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EA43D">
      <w:pPr>
        <w:spacing w:line="360" w:lineRule="auto"/>
        <w:jc w:val="center"/>
        <w:rPr>
          <w:rFonts w:ascii="仿宋_GB2312" w:hAnsi="宋体" w:eastAsia="仿宋_GB2312"/>
          <w:b/>
          <w:sz w:val="52"/>
          <w:szCs w:val="52"/>
        </w:rPr>
      </w:pPr>
    </w:p>
    <w:p w14:paraId="5CD7F06C">
      <w:pPr>
        <w:spacing w:line="360" w:lineRule="auto"/>
        <w:jc w:val="center"/>
        <w:rPr>
          <w:rFonts w:ascii="宋体" w:hAnsi="宋体"/>
          <w:b/>
          <w:sz w:val="28"/>
          <w:szCs w:val="28"/>
        </w:rPr>
      </w:pPr>
      <w:r>
        <w:rPr>
          <w:rFonts w:hint="eastAsia" w:ascii="宋体" w:hAnsi="宋体"/>
          <w:b/>
          <w:sz w:val="48"/>
          <w:szCs w:val="48"/>
        </w:rPr>
        <w:t>南太湖新区垃圾分类数据管理平台建设项目</w:t>
      </w:r>
    </w:p>
    <w:p w14:paraId="00A95CB2">
      <w:pPr>
        <w:snapToGrid w:val="0"/>
        <w:spacing w:line="360" w:lineRule="auto"/>
        <w:jc w:val="center"/>
        <w:rPr>
          <w:rFonts w:ascii="宋体" w:hAnsi="宋体"/>
          <w:b/>
          <w:sz w:val="28"/>
          <w:szCs w:val="28"/>
        </w:rPr>
      </w:pPr>
      <w:r>
        <w:rPr>
          <w:rFonts w:hint="eastAsia" w:ascii="宋体" w:hAnsi="宋体"/>
          <w:b/>
          <w:sz w:val="28"/>
          <w:szCs w:val="28"/>
        </w:rPr>
        <w:t>（财政审批编号：[2024]4701号）</w:t>
      </w:r>
    </w:p>
    <w:p w14:paraId="359F320C">
      <w:pPr>
        <w:snapToGrid w:val="0"/>
        <w:spacing w:before="120" w:beforeLines="50" w:line="360" w:lineRule="auto"/>
        <w:jc w:val="center"/>
        <w:rPr>
          <w:rFonts w:ascii="隶书" w:hAnsi="Arial Narrow" w:eastAsia="楷体_GB2312"/>
          <w:sz w:val="30"/>
          <w:szCs w:val="72"/>
        </w:rPr>
      </w:pPr>
      <w:r>
        <w:rPr>
          <w:rFonts w:hint="eastAsia" w:ascii="宋体" w:hAnsi="宋体" w:cs="宋体"/>
          <w:b/>
          <w:sz w:val="52"/>
          <w:szCs w:val="52"/>
        </w:rPr>
        <w:t>（电子招投标）</w:t>
      </w:r>
    </w:p>
    <w:p w14:paraId="48952331">
      <w:pPr>
        <w:snapToGrid w:val="0"/>
        <w:spacing w:before="120" w:beforeLines="50" w:line="360" w:lineRule="auto"/>
        <w:rPr>
          <w:rFonts w:ascii="隶书" w:hAnsi="Arial Narrow" w:eastAsia="楷体_GB2312"/>
          <w:sz w:val="30"/>
          <w:szCs w:val="72"/>
        </w:rPr>
      </w:pPr>
    </w:p>
    <w:p w14:paraId="5CA15475">
      <w:pPr>
        <w:spacing w:before="120" w:beforeLines="50"/>
        <w:jc w:val="center"/>
        <w:rPr>
          <w:rFonts w:ascii="宋体" w:hAnsi="宋体"/>
          <w:sz w:val="72"/>
          <w:szCs w:val="72"/>
        </w:rPr>
      </w:pPr>
      <w:r>
        <w:rPr>
          <w:rFonts w:hint="eastAsia" w:ascii="宋体" w:hAnsi="宋体"/>
          <w:sz w:val="72"/>
          <w:szCs w:val="72"/>
        </w:rPr>
        <w:t>公开招标采购文件</w:t>
      </w:r>
    </w:p>
    <w:p w14:paraId="058622A9">
      <w:pPr>
        <w:snapToGrid w:val="0"/>
        <w:spacing w:line="360" w:lineRule="auto"/>
        <w:rPr>
          <w:rFonts w:ascii="宋体" w:hAnsi="宋体"/>
          <w:sz w:val="30"/>
          <w:szCs w:val="72"/>
        </w:rPr>
      </w:pPr>
    </w:p>
    <w:p w14:paraId="4D074604">
      <w:pPr>
        <w:snapToGrid w:val="0"/>
        <w:spacing w:line="360" w:lineRule="auto"/>
        <w:rPr>
          <w:rFonts w:ascii="宋体" w:hAnsi="宋体"/>
          <w:sz w:val="30"/>
          <w:szCs w:val="72"/>
        </w:rPr>
      </w:pPr>
    </w:p>
    <w:p w14:paraId="4B21D235">
      <w:pPr>
        <w:pStyle w:val="19"/>
        <w:snapToGrid w:val="0"/>
        <w:spacing w:beforeLines="0" w:afterLines="0" w:line="360" w:lineRule="auto"/>
        <w:ind w:left="2087" w:leftChars="284" w:hanging="1491" w:hangingChars="495"/>
        <w:rPr>
          <w:rFonts w:hAnsi="宋体"/>
          <w:b/>
          <w:sz w:val="30"/>
          <w:szCs w:val="30"/>
        </w:rPr>
      </w:pPr>
      <w:r>
        <w:rPr>
          <w:rFonts w:hAnsi="宋体"/>
          <w:b/>
          <w:sz w:val="30"/>
          <w:szCs w:val="30"/>
        </w:rPr>
        <w:t>项目编号：</w:t>
      </w:r>
      <w:r>
        <w:rPr>
          <w:rFonts w:hint="eastAsia" w:hAnsi="宋体"/>
          <w:b/>
          <w:sz w:val="30"/>
          <w:szCs w:val="30"/>
        </w:rPr>
        <w:t>HYHZ2024-154</w:t>
      </w:r>
    </w:p>
    <w:p w14:paraId="48FF1AEF">
      <w:pPr>
        <w:pStyle w:val="19"/>
        <w:snapToGrid w:val="0"/>
        <w:spacing w:beforeLines="0" w:afterLines="0" w:line="360" w:lineRule="auto"/>
        <w:ind w:left="2087" w:leftChars="284" w:hanging="1491" w:hangingChars="495"/>
        <w:rPr>
          <w:rFonts w:hAnsi="宋体"/>
          <w:b/>
          <w:sz w:val="30"/>
          <w:szCs w:val="30"/>
        </w:rPr>
      </w:pPr>
      <w:r>
        <w:rPr>
          <w:rFonts w:hint="eastAsia" w:hAnsi="宋体"/>
          <w:b/>
          <w:sz w:val="30"/>
          <w:szCs w:val="30"/>
        </w:rPr>
        <w:t>项目名称：南太湖新区垃圾分类数据管理平台建设项目</w:t>
      </w:r>
    </w:p>
    <w:p w14:paraId="63922479">
      <w:pPr>
        <w:pStyle w:val="19"/>
        <w:snapToGrid w:val="0"/>
        <w:spacing w:beforeLines="0" w:afterLines="0" w:line="360" w:lineRule="auto"/>
        <w:ind w:left="2087" w:leftChars="284" w:hanging="1491" w:hangingChars="495"/>
        <w:rPr>
          <w:rFonts w:hAnsi="宋体"/>
          <w:b/>
          <w:sz w:val="30"/>
          <w:szCs w:val="30"/>
        </w:rPr>
      </w:pPr>
      <w:r>
        <w:rPr>
          <w:rFonts w:hAnsi="宋体"/>
          <w:b/>
          <w:sz w:val="30"/>
          <w:szCs w:val="30"/>
        </w:rPr>
        <w:t>采购单位：</w:t>
      </w:r>
      <w:r>
        <w:rPr>
          <w:rFonts w:hint="eastAsia" w:hAnsi="宋体"/>
          <w:b/>
          <w:sz w:val="30"/>
          <w:szCs w:val="30"/>
        </w:rPr>
        <w:t>湖州南太湖新区综合行政执法队</w:t>
      </w:r>
    </w:p>
    <w:p w14:paraId="331F7FEA">
      <w:pPr>
        <w:pStyle w:val="19"/>
        <w:snapToGrid w:val="0"/>
        <w:spacing w:beforeLines="0" w:afterLines="0" w:line="360" w:lineRule="auto"/>
        <w:ind w:firstLine="590" w:firstLineChars="196"/>
        <w:rPr>
          <w:rFonts w:hAnsi="宋体"/>
          <w:b/>
          <w:sz w:val="30"/>
          <w:szCs w:val="30"/>
        </w:rPr>
      </w:pPr>
      <w:r>
        <w:rPr>
          <w:rFonts w:hAnsi="宋体"/>
          <w:b/>
          <w:sz w:val="30"/>
          <w:szCs w:val="30"/>
        </w:rPr>
        <w:t>代理机构：</w:t>
      </w:r>
      <w:r>
        <w:rPr>
          <w:rFonts w:hint="eastAsia" w:hAnsi="宋体"/>
          <w:b/>
          <w:sz w:val="30"/>
          <w:szCs w:val="30"/>
        </w:rPr>
        <w:t>浙江华耀建设咨询有限公司</w:t>
      </w:r>
    </w:p>
    <w:p w14:paraId="401F3BFF">
      <w:pPr>
        <w:pStyle w:val="19"/>
        <w:snapToGrid w:val="0"/>
        <w:spacing w:beforeLines="0" w:afterLines="0" w:line="360" w:lineRule="auto"/>
        <w:ind w:firstLine="590" w:firstLineChars="196"/>
        <w:rPr>
          <w:rFonts w:hAnsi="宋体"/>
          <w:b/>
          <w:sz w:val="30"/>
          <w:szCs w:val="30"/>
        </w:rPr>
      </w:pPr>
    </w:p>
    <w:p w14:paraId="5C3F5FA0">
      <w:pPr>
        <w:snapToGrid w:val="0"/>
        <w:spacing w:line="360" w:lineRule="auto"/>
        <w:jc w:val="center"/>
        <w:rPr>
          <w:rFonts w:ascii="宋体" w:hAnsi="宋体"/>
          <w:b/>
          <w:bCs/>
          <w:w w:val="95"/>
          <w:sz w:val="30"/>
          <w:szCs w:val="30"/>
        </w:rPr>
      </w:pPr>
      <w:r>
        <w:rPr>
          <w:rFonts w:hint="eastAsia" w:ascii="宋体" w:hAnsi="宋体"/>
          <w:b/>
          <w:bCs/>
          <w:w w:val="95"/>
          <w:sz w:val="30"/>
          <w:szCs w:val="30"/>
        </w:rPr>
        <w:t xml:space="preserve">                      2024年9月25日</w:t>
      </w:r>
    </w:p>
    <w:p w14:paraId="45DDB2E4">
      <w:pPr>
        <w:pStyle w:val="19"/>
        <w:spacing w:beforeLines="0" w:afterLines="0" w:line="360" w:lineRule="auto"/>
        <w:jc w:val="center"/>
        <w:rPr>
          <w:rFonts w:ascii="创艺简标宋" w:hAnsi="宋体" w:eastAsia="创艺简标宋"/>
          <w:b/>
          <w:sz w:val="44"/>
          <w:szCs w:val="44"/>
        </w:rPr>
      </w:pPr>
    </w:p>
    <w:p w14:paraId="65B9C936">
      <w:pPr>
        <w:pStyle w:val="19"/>
        <w:spacing w:beforeLines="0" w:afterLines="0" w:line="360" w:lineRule="auto"/>
        <w:jc w:val="center"/>
        <w:rPr>
          <w:rFonts w:ascii="创艺简标宋" w:hAnsi="宋体" w:eastAsia="创艺简标宋"/>
          <w:b/>
          <w:sz w:val="44"/>
          <w:szCs w:val="44"/>
        </w:rPr>
      </w:pPr>
    </w:p>
    <w:p w14:paraId="08C45309">
      <w:pPr>
        <w:pStyle w:val="19"/>
        <w:spacing w:beforeLines="0" w:afterLines="0" w:line="360" w:lineRule="auto"/>
        <w:jc w:val="center"/>
        <w:rPr>
          <w:rFonts w:ascii="创艺简标宋" w:hAnsi="宋体" w:eastAsia="创艺简标宋"/>
          <w:b/>
          <w:sz w:val="44"/>
          <w:szCs w:val="44"/>
        </w:rPr>
      </w:pPr>
    </w:p>
    <w:p w14:paraId="13CC4B8D">
      <w:pPr>
        <w:pStyle w:val="19"/>
        <w:spacing w:beforeLines="0" w:afterLines="0" w:line="360" w:lineRule="auto"/>
        <w:jc w:val="center"/>
        <w:rPr>
          <w:rFonts w:ascii="创艺简标宋" w:hAnsi="宋体" w:eastAsia="创艺简标宋"/>
          <w:b/>
          <w:sz w:val="44"/>
          <w:szCs w:val="44"/>
        </w:rPr>
      </w:pPr>
    </w:p>
    <w:p w14:paraId="1BEF73D1">
      <w:pPr>
        <w:pStyle w:val="19"/>
        <w:spacing w:beforeLines="0" w:afterLines="0" w:line="360" w:lineRule="auto"/>
        <w:jc w:val="center"/>
        <w:rPr>
          <w:rFonts w:hint="eastAsia" w:ascii="创艺简标宋" w:hAnsi="宋体" w:eastAsia="创艺简标宋"/>
          <w:b/>
          <w:sz w:val="44"/>
          <w:szCs w:val="44"/>
        </w:rPr>
      </w:pPr>
    </w:p>
    <w:p w14:paraId="3891E0A2">
      <w:pPr>
        <w:pStyle w:val="19"/>
        <w:spacing w:beforeLines="0" w:afterLines="0" w:line="360" w:lineRule="auto"/>
        <w:jc w:val="center"/>
        <w:rPr>
          <w:rFonts w:ascii="创艺简标宋" w:hAnsi="宋体" w:eastAsia="创艺简标宋"/>
          <w:b/>
          <w:sz w:val="44"/>
          <w:szCs w:val="44"/>
        </w:rPr>
      </w:pPr>
      <w:r>
        <w:rPr>
          <w:rFonts w:hint="eastAsia" w:ascii="创艺简标宋" w:hAnsi="宋体" w:eastAsia="创艺简标宋"/>
          <w:b/>
          <w:sz w:val="44"/>
          <w:szCs w:val="44"/>
        </w:rPr>
        <w:t>目    录</w:t>
      </w:r>
    </w:p>
    <w:p w14:paraId="509D395F">
      <w:pPr>
        <w:pStyle w:val="19"/>
        <w:spacing w:beforeLines="0" w:afterLines="0" w:line="360" w:lineRule="auto"/>
        <w:ind w:left="1470" w:right="1470"/>
        <w:jc w:val="center"/>
        <w:rPr>
          <w:rFonts w:ascii="创艺简标宋" w:hAnsi="宋体" w:eastAsia="创艺简标宋"/>
          <w:sz w:val="44"/>
          <w:szCs w:val="44"/>
        </w:rPr>
      </w:pPr>
    </w:p>
    <w:p w14:paraId="55D27BCD">
      <w:pPr>
        <w:numPr>
          <w:ilvl w:val="0"/>
          <w:numId w:val="1"/>
        </w:numPr>
        <w:spacing w:line="360" w:lineRule="auto"/>
        <w:rPr>
          <w:rFonts w:ascii="宋体" w:hAnsi="宋体"/>
          <w:sz w:val="30"/>
          <w:szCs w:val="20"/>
        </w:rPr>
      </w:pPr>
      <w:r>
        <w:rPr>
          <w:rFonts w:hint="eastAsia" w:ascii="宋体" w:hAnsi="宋体"/>
          <w:sz w:val="30"/>
        </w:rPr>
        <w:t>公开招标采购公告   -------------------------3</w:t>
      </w:r>
    </w:p>
    <w:p w14:paraId="172B054A">
      <w:pPr>
        <w:numPr>
          <w:ilvl w:val="0"/>
          <w:numId w:val="1"/>
        </w:numPr>
        <w:spacing w:line="360" w:lineRule="auto"/>
        <w:rPr>
          <w:rFonts w:ascii="宋体" w:hAnsi="宋体"/>
          <w:sz w:val="30"/>
          <w:szCs w:val="20"/>
        </w:rPr>
      </w:pPr>
      <w:r>
        <w:rPr>
          <w:rFonts w:hint="eastAsia" w:ascii="宋体" w:hAnsi="宋体"/>
          <w:sz w:val="30"/>
        </w:rPr>
        <w:t>招标需求   ---------------------------------7</w:t>
      </w:r>
    </w:p>
    <w:p w14:paraId="001C0B28">
      <w:pPr>
        <w:numPr>
          <w:ilvl w:val="0"/>
          <w:numId w:val="1"/>
        </w:numPr>
        <w:spacing w:line="360" w:lineRule="auto"/>
        <w:rPr>
          <w:sz w:val="30"/>
          <w:szCs w:val="30"/>
        </w:rPr>
      </w:pPr>
      <w:r>
        <w:rPr>
          <w:rFonts w:hint="eastAsia" w:ascii="宋体" w:hAnsi="宋体"/>
          <w:sz w:val="30"/>
        </w:rPr>
        <w:t>投标人须知   ------------------------------18</w:t>
      </w:r>
    </w:p>
    <w:p w14:paraId="43298823">
      <w:pPr>
        <w:spacing w:line="360" w:lineRule="auto"/>
        <w:ind w:firstLine="1350" w:firstLineChars="450"/>
        <w:rPr>
          <w:rFonts w:ascii="宋体" w:hAnsi="宋体"/>
          <w:sz w:val="30"/>
        </w:rPr>
      </w:pPr>
      <w:r>
        <w:rPr>
          <w:rFonts w:hint="eastAsia"/>
          <w:sz w:val="30"/>
          <w:szCs w:val="30"/>
        </w:rPr>
        <w:t xml:space="preserve">一、总则    </w:t>
      </w:r>
      <w:r>
        <w:rPr>
          <w:rFonts w:hint="eastAsia" w:ascii="宋体" w:hAnsi="宋体"/>
          <w:sz w:val="30"/>
        </w:rPr>
        <w:t>--------------------------------19</w:t>
      </w:r>
    </w:p>
    <w:p w14:paraId="2133ECFD">
      <w:pPr>
        <w:spacing w:line="360" w:lineRule="auto"/>
        <w:ind w:firstLine="1350" w:firstLineChars="450"/>
        <w:rPr>
          <w:rFonts w:ascii="宋体" w:hAnsi="宋体"/>
          <w:sz w:val="30"/>
        </w:rPr>
      </w:pPr>
      <w:r>
        <w:rPr>
          <w:rFonts w:hint="eastAsia"/>
          <w:sz w:val="30"/>
          <w:szCs w:val="30"/>
        </w:rPr>
        <w:t xml:space="preserve">二、招标文件    </w:t>
      </w:r>
      <w:r>
        <w:rPr>
          <w:rFonts w:hint="eastAsia" w:ascii="宋体" w:hAnsi="宋体"/>
          <w:sz w:val="30"/>
        </w:rPr>
        <w:t>----------------------------22</w:t>
      </w:r>
    </w:p>
    <w:p w14:paraId="0FF3BBCB">
      <w:pPr>
        <w:spacing w:line="360" w:lineRule="auto"/>
        <w:ind w:firstLine="1350" w:firstLineChars="450"/>
        <w:rPr>
          <w:rFonts w:ascii="宋体" w:hAnsi="宋体"/>
          <w:sz w:val="30"/>
        </w:rPr>
      </w:pPr>
      <w:r>
        <w:rPr>
          <w:rFonts w:hint="eastAsia"/>
          <w:sz w:val="30"/>
          <w:szCs w:val="30"/>
        </w:rPr>
        <w:t xml:space="preserve">三、投标文件的编制     </w:t>
      </w:r>
      <w:r>
        <w:rPr>
          <w:rFonts w:hint="eastAsia" w:ascii="宋体" w:hAnsi="宋体"/>
          <w:sz w:val="30"/>
        </w:rPr>
        <w:t>---------------------23</w:t>
      </w:r>
    </w:p>
    <w:p w14:paraId="5B6A3512">
      <w:pPr>
        <w:spacing w:line="360" w:lineRule="auto"/>
        <w:ind w:firstLine="1350" w:firstLineChars="450"/>
        <w:rPr>
          <w:rFonts w:ascii="宋体" w:hAnsi="宋体"/>
          <w:sz w:val="30"/>
        </w:rPr>
      </w:pPr>
      <w:r>
        <w:rPr>
          <w:rFonts w:hint="eastAsia"/>
          <w:sz w:val="30"/>
          <w:szCs w:val="30"/>
        </w:rPr>
        <w:t xml:space="preserve">四、开标   </w:t>
      </w:r>
      <w:r>
        <w:rPr>
          <w:rFonts w:hint="eastAsia" w:ascii="宋体" w:hAnsi="宋体"/>
          <w:sz w:val="30"/>
        </w:rPr>
        <w:t>---------------------------------28</w:t>
      </w:r>
    </w:p>
    <w:p w14:paraId="3CB51A53">
      <w:pPr>
        <w:spacing w:line="360" w:lineRule="auto"/>
        <w:ind w:firstLine="1350" w:firstLineChars="450"/>
        <w:rPr>
          <w:rFonts w:ascii="宋体" w:hAnsi="宋体"/>
          <w:sz w:val="30"/>
        </w:rPr>
      </w:pPr>
      <w:r>
        <w:rPr>
          <w:rFonts w:hint="eastAsia"/>
          <w:sz w:val="30"/>
          <w:szCs w:val="30"/>
        </w:rPr>
        <w:t xml:space="preserve">五、评标   </w:t>
      </w:r>
      <w:r>
        <w:rPr>
          <w:rFonts w:hint="eastAsia" w:ascii="宋体" w:hAnsi="宋体"/>
          <w:sz w:val="30"/>
        </w:rPr>
        <w:t>---------------------------------29</w:t>
      </w:r>
    </w:p>
    <w:p w14:paraId="61A70390">
      <w:pPr>
        <w:spacing w:line="360" w:lineRule="auto"/>
        <w:ind w:firstLine="1350" w:firstLineChars="450"/>
        <w:rPr>
          <w:rFonts w:ascii="宋体" w:hAnsi="宋体"/>
          <w:sz w:val="30"/>
        </w:rPr>
      </w:pPr>
      <w:r>
        <w:rPr>
          <w:rFonts w:hint="eastAsia"/>
          <w:sz w:val="30"/>
          <w:szCs w:val="30"/>
        </w:rPr>
        <w:t xml:space="preserve">六、定标   </w:t>
      </w:r>
      <w:r>
        <w:rPr>
          <w:rFonts w:hint="eastAsia" w:ascii="宋体" w:hAnsi="宋体"/>
          <w:sz w:val="30"/>
        </w:rPr>
        <w:t>---------------------------------31</w:t>
      </w:r>
    </w:p>
    <w:p w14:paraId="6D4B413D">
      <w:pPr>
        <w:spacing w:line="360" w:lineRule="auto"/>
        <w:ind w:firstLine="1350" w:firstLineChars="450"/>
        <w:rPr>
          <w:sz w:val="30"/>
          <w:szCs w:val="30"/>
        </w:rPr>
      </w:pPr>
      <w:r>
        <w:rPr>
          <w:rFonts w:hint="eastAsia"/>
          <w:sz w:val="30"/>
          <w:szCs w:val="30"/>
        </w:rPr>
        <w:t xml:space="preserve">七、合同授予   </w:t>
      </w:r>
      <w:r>
        <w:rPr>
          <w:rFonts w:hint="eastAsia" w:ascii="宋体" w:hAnsi="宋体"/>
          <w:sz w:val="30"/>
        </w:rPr>
        <w:t>-----------------------------32</w:t>
      </w:r>
    </w:p>
    <w:p w14:paraId="784B3CF0">
      <w:pPr>
        <w:numPr>
          <w:ilvl w:val="0"/>
          <w:numId w:val="1"/>
        </w:numPr>
        <w:spacing w:line="360" w:lineRule="auto"/>
        <w:rPr>
          <w:rFonts w:ascii="宋体" w:hAnsi="宋体"/>
          <w:sz w:val="30"/>
          <w:szCs w:val="20"/>
        </w:rPr>
      </w:pPr>
      <w:r>
        <w:rPr>
          <w:rFonts w:hint="eastAsia" w:ascii="宋体" w:hAnsi="宋体"/>
          <w:sz w:val="30"/>
        </w:rPr>
        <w:t>评标办法及评分标准 ------------------------33</w:t>
      </w:r>
    </w:p>
    <w:p w14:paraId="2B8E1FE7">
      <w:pPr>
        <w:numPr>
          <w:ilvl w:val="0"/>
          <w:numId w:val="1"/>
        </w:numPr>
        <w:spacing w:line="360" w:lineRule="auto"/>
        <w:rPr>
          <w:rFonts w:ascii="宋体" w:hAnsi="宋体"/>
          <w:sz w:val="30"/>
          <w:szCs w:val="20"/>
        </w:rPr>
      </w:pPr>
      <w:r>
        <w:rPr>
          <w:rFonts w:hint="eastAsia" w:ascii="宋体" w:hAnsi="宋体"/>
          <w:sz w:val="30"/>
        </w:rPr>
        <w:t>政府采购合同主要条款-----------------------40</w:t>
      </w:r>
    </w:p>
    <w:p w14:paraId="5A1E7F26">
      <w:pPr>
        <w:numPr>
          <w:ilvl w:val="0"/>
          <w:numId w:val="1"/>
        </w:numPr>
        <w:spacing w:line="360" w:lineRule="auto"/>
        <w:rPr>
          <w:rFonts w:ascii="宋体" w:hAnsi="宋体"/>
          <w:sz w:val="30"/>
          <w:szCs w:val="20"/>
        </w:rPr>
      </w:pPr>
      <w:r>
        <w:rPr>
          <w:rFonts w:hint="eastAsia" w:ascii="宋体" w:hAnsi="宋体"/>
          <w:sz w:val="30"/>
        </w:rPr>
        <w:t>投标文件格式    ---------------------------43</w:t>
      </w:r>
    </w:p>
    <w:p w14:paraId="40ABCE9A"/>
    <w:p w14:paraId="48231A9B"/>
    <w:p w14:paraId="43640E42"/>
    <w:p w14:paraId="1D6DA07E"/>
    <w:p w14:paraId="6D0900A1"/>
    <w:p w14:paraId="269EA4F1"/>
    <w:p w14:paraId="2E158456">
      <w:pPr>
        <w:spacing w:line="360" w:lineRule="auto"/>
        <w:rPr>
          <w:rFonts w:ascii="宋体" w:hAnsi="宋体"/>
          <w:sz w:val="30"/>
          <w:szCs w:val="20"/>
        </w:rPr>
      </w:pPr>
    </w:p>
    <w:p w14:paraId="7A060AE7">
      <w:pPr>
        <w:spacing w:line="360" w:lineRule="auto"/>
        <w:rPr>
          <w:rFonts w:ascii="宋体" w:hAnsi="宋体"/>
          <w:sz w:val="30"/>
          <w:szCs w:val="20"/>
        </w:rPr>
      </w:pPr>
    </w:p>
    <w:p w14:paraId="427438FF">
      <w:pPr>
        <w:pStyle w:val="19"/>
        <w:snapToGrid w:val="0"/>
        <w:spacing w:beforeLines="0" w:afterLines="0" w:line="360" w:lineRule="auto"/>
        <w:jc w:val="center"/>
        <w:outlineLvl w:val="0"/>
        <w:rPr>
          <w:rFonts w:ascii="黑体" w:hAnsi="宋体" w:eastAsia="黑体"/>
          <w:sz w:val="30"/>
          <w:szCs w:val="30"/>
        </w:rPr>
      </w:pPr>
      <w:r>
        <w:rPr>
          <w:rFonts w:hAnsi="宋体"/>
        </w:rPr>
        <w:br w:type="page"/>
      </w:r>
      <w:r>
        <w:rPr>
          <w:rFonts w:hint="eastAsia" w:ascii="黑体" w:hAnsi="宋体" w:eastAsia="黑体"/>
          <w:sz w:val="30"/>
          <w:szCs w:val="30"/>
        </w:rPr>
        <w:t>第一章  公开招标采购公告</w:t>
      </w:r>
    </w:p>
    <w:p w14:paraId="5188D3A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项目概况</w:t>
      </w:r>
    </w:p>
    <w:p w14:paraId="60CCE84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南太湖新区垃圾分类数据管理平台建设项目招标项目的潜在投标人应在浙江政府采购网（http://zfcg.czt.zj.gov.cn/） 获取招标文件，并于2024年10月16日</w:t>
      </w:r>
      <w:r>
        <w:rPr>
          <w:rFonts w:hint="eastAsia" w:ascii="宋体" w:hAnsi="宋体" w:cs="仿宋"/>
          <w:sz w:val="24"/>
        </w:rPr>
        <w:t>14点00分</w:t>
      </w:r>
      <w:r>
        <w:rPr>
          <w:rFonts w:hint="eastAsia" w:ascii="宋体" w:hAnsi="宋体"/>
          <w:sz w:val="24"/>
        </w:rPr>
        <w:t>（北京时间）前递交投标文件。</w:t>
      </w:r>
    </w:p>
    <w:p w14:paraId="7314BC32">
      <w:pPr>
        <w:snapToGrid w:val="0"/>
        <w:spacing w:line="360" w:lineRule="auto"/>
        <w:ind w:firstLine="482" w:firstLineChars="200"/>
        <w:rPr>
          <w:rFonts w:ascii="宋体" w:hAnsi="宋体"/>
          <w:sz w:val="24"/>
        </w:rPr>
      </w:pPr>
      <w:r>
        <w:rPr>
          <w:rFonts w:hint="eastAsia" w:ascii="宋体" w:hAnsi="宋体" w:cs="Arial"/>
          <w:b/>
          <w:sz w:val="24"/>
        </w:rPr>
        <w:t>一、项目基本情况</w:t>
      </w:r>
    </w:p>
    <w:p w14:paraId="760AF3DA">
      <w:pPr>
        <w:spacing w:line="360" w:lineRule="auto"/>
        <w:ind w:firstLine="480" w:firstLineChars="200"/>
        <w:rPr>
          <w:rFonts w:ascii="宋体" w:hAnsi="宋体"/>
          <w:sz w:val="24"/>
        </w:rPr>
      </w:pPr>
      <w:r>
        <w:rPr>
          <w:rFonts w:hint="eastAsia" w:ascii="宋体" w:hAnsi="宋体"/>
          <w:sz w:val="24"/>
        </w:rPr>
        <w:t>项目编号：HYHZ2024-154</w:t>
      </w:r>
    </w:p>
    <w:p w14:paraId="59F071C6">
      <w:pPr>
        <w:spacing w:line="360" w:lineRule="auto"/>
        <w:ind w:firstLine="480" w:firstLineChars="200"/>
        <w:rPr>
          <w:rFonts w:ascii="宋体" w:hAnsi="宋体"/>
          <w:sz w:val="24"/>
        </w:rPr>
      </w:pPr>
      <w:r>
        <w:rPr>
          <w:rFonts w:hint="eastAsia" w:ascii="宋体" w:hAnsi="宋体"/>
          <w:sz w:val="24"/>
        </w:rPr>
        <w:t>项目名称：南太湖新区垃圾分类数据管理平台建设项目</w:t>
      </w:r>
    </w:p>
    <w:p w14:paraId="5AB6C227">
      <w:pPr>
        <w:spacing w:line="360" w:lineRule="auto"/>
        <w:ind w:firstLine="480" w:firstLineChars="200"/>
        <w:rPr>
          <w:rFonts w:ascii="宋体" w:hAnsi="宋体"/>
          <w:color w:val="000000"/>
          <w:sz w:val="24"/>
        </w:rPr>
      </w:pPr>
      <w:r>
        <w:rPr>
          <w:rFonts w:hint="eastAsia" w:ascii="宋体" w:hAnsi="宋体"/>
          <w:color w:val="000000"/>
          <w:sz w:val="24"/>
        </w:rPr>
        <w:t>预算金额：75万元</w:t>
      </w:r>
    </w:p>
    <w:p w14:paraId="75E12C35">
      <w:pPr>
        <w:spacing w:line="360" w:lineRule="auto"/>
        <w:ind w:firstLine="480" w:firstLineChars="200"/>
        <w:rPr>
          <w:rFonts w:ascii="宋体" w:hAnsi="宋体"/>
          <w:color w:val="000000"/>
          <w:sz w:val="24"/>
        </w:rPr>
      </w:pPr>
      <w:r>
        <w:rPr>
          <w:rFonts w:hint="eastAsia" w:ascii="宋体" w:hAnsi="宋体"/>
          <w:color w:val="000000"/>
          <w:sz w:val="24"/>
        </w:rPr>
        <w:t>最高限价：</w:t>
      </w:r>
      <w:r>
        <w:rPr>
          <w:rFonts w:hint="eastAsia" w:ascii="宋体" w:hAnsi="宋体" w:cs="宋体"/>
          <w:color w:val="000000"/>
          <w:kern w:val="0"/>
          <w:sz w:val="24"/>
        </w:rPr>
        <w:t>75万元</w:t>
      </w:r>
    </w:p>
    <w:p w14:paraId="2F1EEA79">
      <w:pPr>
        <w:snapToGrid w:val="0"/>
        <w:spacing w:line="360" w:lineRule="auto"/>
        <w:ind w:firstLine="480" w:firstLineChars="200"/>
        <w:rPr>
          <w:rFonts w:ascii="宋体" w:hAnsi="宋体"/>
          <w:sz w:val="24"/>
        </w:rPr>
      </w:pPr>
      <w:r>
        <w:rPr>
          <w:rFonts w:hint="eastAsia" w:ascii="宋体" w:hAnsi="宋体"/>
          <w:sz w:val="24"/>
        </w:rPr>
        <w:t>采购需求：详</w:t>
      </w:r>
      <w:r>
        <w:rPr>
          <w:rFonts w:hint="eastAsia" w:ascii="宋体" w:hAnsi="宋体" w:cs="仿宋"/>
          <w:sz w:val="24"/>
        </w:rPr>
        <w:t>见招标文件第二章采购需求</w:t>
      </w:r>
    </w:p>
    <w:p w14:paraId="287E7DC2">
      <w:pPr>
        <w:snapToGrid w:val="0"/>
        <w:spacing w:line="360" w:lineRule="auto"/>
        <w:ind w:firstLine="480" w:firstLineChars="200"/>
        <w:rPr>
          <w:rFonts w:ascii="宋体" w:hAnsi="宋体" w:cs="仿宋"/>
          <w:sz w:val="24"/>
        </w:rPr>
      </w:pPr>
      <w:r>
        <w:rPr>
          <w:rFonts w:hint="eastAsia" w:ascii="宋体" w:hAnsi="宋体" w:cs="仿宋"/>
          <w:sz w:val="24"/>
        </w:rPr>
        <w:t>合同履行期限：详见招标文件第二章采购需求</w:t>
      </w:r>
    </w:p>
    <w:p w14:paraId="48BEA898">
      <w:pPr>
        <w:snapToGrid w:val="0"/>
        <w:spacing w:line="360" w:lineRule="auto"/>
        <w:ind w:firstLine="480" w:firstLineChars="200"/>
        <w:rPr>
          <w:rFonts w:ascii="宋体" w:hAnsi="宋体" w:cs="仿宋"/>
          <w:sz w:val="24"/>
        </w:rPr>
      </w:pPr>
      <w:r>
        <w:rPr>
          <w:rFonts w:hint="eastAsia" w:ascii="宋体" w:hAnsi="宋体" w:cs="仿宋"/>
          <w:sz w:val="24"/>
        </w:rPr>
        <w:t>本项目（</w:t>
      </w:r>
      <w:r>
        <w:rPr>
          <w:rFonts w:hint="eastAsia" w:ascii="宋体" w:hAnsi="宋体" w:cs="仿宋"/>
          <w:i/>
          <w:sz w:val="24"/>
        </w:rPr>
        <w:t>是</w:t>
      </w:r>
      <w:r>
        <w:rPr>
          <w:rFonts w:hint="eastAsia" w:ascii="宋体" w:hAnsi="宋体" w:cs="仿宋"/>
          <w:sz w:val="24"/>
        </w:rPr>
        <w:t>）接受联合体投标。</w:t>
      </w:r>
    </w:p>
    <w:p w14:paraId="7E28EF2B">
      <w:pPr>
        <w:snapToGrid w:val="0"/>
        <w:spacing w:line="360" w:lineRule="auto"/>
        <w:ind w:firstLine="482" w:firstLineChars="200"/>
        <w:rPr>
          <w:rFonts w:ascii="宋体" w:hAnsi="宋体" w:cs="Arial"/>
          <w:b/>
          <w:sz w:val="24"/>
        </w:rPr>
      </w:pPr>
      <w:r>
        <w:rPr>
          <w:rFonts w:hint="eastAsia" w:ascii="宋体" w:hAnsi="宋体" w:cs="Arial"/>
          <w:b/>
          <w:sz w:val="24"/>
        </w:rPr>
        <w:t xml:space="preserve">二、申请人的资格要求 </w:t>
      </w:r>
    </w:p>
    <w:p w14:paraId="46F6DA7D">
      <w:pPr>
        <w:snapToGrid w:val="0"/>
        <w:spacing w:line="360" w:lineRule="auto"/>
        <w:ind w:firstLine="480" w:firstLineChars="200"/>
        <w:rPr>
          <w:rFonts w:ascii="宋体" w:hAnsi="宋体" w:cs="仿宋"/>
          <w:sz w:val="24"/>
        </w:rPr>
      </w:pPr>
      <w:r>
        <w:rPr>
          <w:rFonts w:hint="eastAsia" w:ascii="宋体" w:hAnsi="宋体" w:cs="仿宋"/>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05B213EC">
      <w:pPr>
        <w:snapToGrid w:val="0"/>
        <w:spacing w:line="360" w:lineRule="auto"/>
        <w:ind w:firstLine="480" w:firstLineChars="200"/>
        <w:rPr>
          <w:rFonts w:ascii="宋体" w:hAnsi="宋体" w:cs="仿宋"/>
          <w:sz w:val="24"/>
        </w:rPr>
      </w:pPr>
      <w:r>
        <w:rPr>
          <w:rFonts w:hint="eastAsia" w:ascii="宋体" w:hAnsi="宋体" w:cs="仿宋"/>
          <w:sz w:val="24"/>
        </w:rPr>
        <w:t>2.落实政府采购政策需满足的资格要求：无</w:t>
      </w:r>
    </w:p>
    <w:p w14:paraId="16149077">
      <w:pPr>
        <w:snapToGrid w:val="0"/>
        <w:spacing w:line="360" w:lineRule="auto"/>
        <w:ind w:firstLine="480" w:firstLineChars="200"/>
        <w:rPr>
          <w:rFonts w:ascii="宋体" w:hAnsi="宋体" w:cs="仿宋"/>
          <w:sz w:val="24"/>
        </w:rPr>
      </w:pPr>
      <w:r>
        <w:rPr>
          <w:rFonts w:hint="eastAsia" w:ascii="宋体" w:hAnsi="宋体" w:cs="仿宋"/>
          <w:sz w:val="24"/>
        </w:rPr>
        <w:t>▲3.本项目的特定资格要求：无；</w:t>
      </w:r>
    </w:p>
    <w:p w14:paraId="2AA2F1F2">
      <w:pPr>
        <w:snapToGrid w:val="0"/>
        <w:spacing w:line="360" w:lineRule="auto"/>
        <w:ind w:firstLine="482" w:firstLineChars="200"/>
        <w:rPr>
          <w:rFonts w:ascii="宋体" w:hAnsi="宋体" w:cs="Arial"/>
          <w:b/>
          <w:sz w:val="24"/>
        </w:rPr>
      </w:pPr>
      <w:r>
        <w:rPr>
          <w:rFonts w:hint="eastAsia" w:ascii="宋体" w:hAnsi="宋体" w:cs="Arial"/>
          <w:b/>
          <w:sz w:val="24"/>
        </w:rPr>
        <w:t xml:space="preserve">三、获取招标文件 </w:t>
      </w:r>
    </w:p>
    <w:p w14:paraId="3AF3F9A6">
      <w:pPr>
        <w:snapToGrid w:val="0"/>
        <w:spacing w:line="360" w:lineRule="auto"/>
        <w:ind w:firstLine="480" w:firstLineChars="200"/>
        <w:rPr>
          <w:rFonts w:ascii="宋体" w:hAnsi="宋体" w:cs="仿宋"/>
          <w:sz w:val="24"/>
        </w:rPr>
      </w:pPr>
      <w:r>
        <w:rPr>
          <w:rFonts w:hint="eastAsia" w:ascii="宋体" w:hAnsi="宋体" w:cs="仿宋"/>
          <w:sz w:val="24"/>
        </w:rPr>
        <w:t xml:space="preserve">时间：2024年9月25日至 </w:t>
      </w:r>
      <w:r>
        <w:rPr>
          <w:rFonts w:hint="eastAsia" w:ascii="宋体" w:hAnsi="宋体"/>
          <w:sz w:val="24"/>
        </w:rPr>
        <w:t>2024年10月16日</w:t>
      </w:r>
      <w:r>
        <w:rPr>
          <w:rFonts w:hint="eastAsia" w:ascii="宋体" w:hAnsi="宋体" w:cs="仿宋"/>
          <w:sz w:val="24"/>
        </w:rPr>
        <w:t>，每天上午00:00至12:00，下午12:00至23:59</w:t>
      </w:r>
    </w:p>
    <w:p w14:paraId="2901C0E3">
      <w:pPr>
        <w:snapToGrid w:val="0"/>
        <w:spacing w:line="360" w:lineRule="auto"/>
        <w:ind w:firstLine="480" w:firstLineChars="200"/>
        <w:rPr>
          <w:rFonts w:ascii="宋体" w:hAnsi="宋体" w:cs="仿宋"/>
          <w:sz w:val="24"/>
        </w:rPr>
      </w:pPr>
      <w:r>
        <w:rPr>
          <w:rFonts w:hint="eastAsia" w:ascii="宋体" w:hAnsi="宋体" w:cs="仿宋"/>
          <w:sz w:val="24"/>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241D11EA">
      <w:pPr>
        <w:snapToGrid w:val="0"/>
        <w:spacing w:line="360" w:lineRule="auto"/>
        <w:ind w:firstLine="480" w:firstLineChars="200"/>
        <w:rPr>
          <w:rFonts w:ascii="宋体" w:hAnsi="宋体" w:cs="仿宋"/>
          <w:sz w:val="24"/>
        </w:rPr>
      </w:pPr>
      <w:r>
        <w:rPr>
          <w:rFonts w:hint="eastAsia" w:ascii="宋体" w:hAnsi="宋体" w:cs="仿宋"/>
          <w:sz w:val="24"/>
        </w:rPr>
        <w:t>方式：本次招标文件实行网上获取，不接受供应商现场报名。</w:t>
      </w:r>
    </w:p>
    <w:p w14:paraId="70F2CDD5">
      <w:pPr>
        <w:snapToGrid w:val="0"/>
        <w:spacing w:line="360" w:lineRule="auto"/>
        <w:ind w:firstLine="480" w:firstLineChars="200"/>
        <w:rPr>
          <w:rFonts w:ascii="宋体" w:hAnsi="宋体" w:cs="仿宋"/>
          <w:sz w:val="24"/>
        </w:rPr>
      </w:pPr>
      <w:r>
        <w:rPr>
          <w:rFonts w:hint="eastAsia" w:ascii="宋体" w:hAnsi="宋体" w:cs="仿宋"/>
          <w:sz w:val="24"/>
        </w:rPr>
        <w:t>售价：0</w:t>
      </w:r>
    </w:p>
    <w:p w14:paraId="47D32FB3">
      <w:pPr>
        <w:snapToGrid w:val="0"/>
        <w:spacing w:line="360" w:lineRule="auto"/>
        <w:ind w:firstLine="482" w:firstLineChars="200"/>
        <w:rPr>
          <w:rFonts w:ascii="宋体" w:hAnsi="宋体" w:cs="Arial"/>
          <w:b/>
          <w:sz w:val="24"/>
        </w:rPr>
      </w:pPr>
      <w:r>
        <w:rPr>
          <w:rFonts w:hint="eastAsia" w:ascii="宋体" w:hAnsi="宋体" w:cs="Arial"/>
          <w:b/>
          <w:sz w:val="24"/>
        </w:rPr>
        <w:t xml:space="preserve">四、提交投标文件截止时间、开标时间和地点 </w:t>
      </w:r>
    </w:p>
    <w:p w14:paraId="79350301">
      <w:pPr>
        <w:snapToGrid w:val="0"/>
        <w:spacing w:line="360" w:lineRule="auto"/>
        <w:ind w:firstLine="600" w:firstLineChars="250"/>
        <w:rPr>
          <w:rFonts w:ascii="宋体" w:hAnsi="宋体" w:cs="仿宋"/>
          <w:bCs/>
          <w:sz w:val="24"/>
        </w:rPr>
      </w:pPr>
      <w:r>
        <w:rPr>
          <w:rFonts w:hint="eastAsia" w:ascii="宋体" w:hAnsi="宋体" w:cs="仿宋"/>
          <w:sz w:val="24"/>
        </w:rPr>
        <w:t>2024年</w:t>
      </w:r>
      <w:r>
        <w:rPr>
          <w:rFonts w:hint="eastAsia" w:ascii="宋体" w:hAnsi="宋体"/>
          <w:sz w:val="24"/>
        </w:rPr>
        <w:t>10月16日</w:t>
      </w:r>
      <w:r>
        <w:rPr>
          <w:rFonts w:hint="eastAsia" w:ascii="宋体" w:hAnsi="宋体" w:cs="仿宋"/>
          <w:sz w:val="24"/>
        </w:rPr>
        <w:t>14点00分</w:t>
      </w:r>
      <w:r>
        <w:rPr>
          <w:rFonts w:hint="eastAsia" w:ascii="宋体" w:hAnsi="宋体" w:cs="仿宋"/>
          <w:bCs/>
          <w:sz w:val="24"/>
        </w:rPr>
        <w:t>（北京时间）</w:t>
      </w:r>
    </w:p>
    <w:p w14:paraId="7B548106">
      <w:pPr>
        <w:snapToGrid w:val="0"/>
        <w:spacing w:line="360" w:lineRule="auto"/>
        <w:ind w:firstLine="600" w:firstLineChars="250"/>
        <w:rPr>
          <w:rFonts w:ascii="宋体" w:hAnsi="宋体" w:cs="仿宋"/>
          <w:bCs/>
          <w:sz w:val="24"/>
          <w:u w:val="single"/>
        </w:rPr>
      </w:pPr>
      <w:r>
        <w:rPr>
          <w:rFonts w:hint="eastAsia" w:ascii="宋体" w:hAnsi="宋体" w:cs="仿宋"/>
          <w:sz w:val="24"/>
        </w:rPr>
        <w:t>地点：通过“政府采购云平台（http://www.zcygov.cn）”实行在线投标及开标</w:t>
      </w:r>
    </w:p>
    <w:p w14:paraId="75BE4469">
      <w:pPr>
        <w:snapToGrid w:val="0"/>
        <w:spacing w:line="360" w:lineRule="auto"/>
        <w:ind w:firstLine="482" w:firstLineChars="200"/>
        <w:rPr>
          <w:rFonts w:ascii="宋体" w:hAnsi="宋体" w:cs="Arial"/>
          <w:b/>
          <w:sz w:val="24"/>
        </w:rPr>
      </w:pPr>
      <w:r>
        <w:rPr>
          <w:rFonts w:hint="eastAsia" w:ascii="宋体" w:hAnsi="宋体" w:cs="Arial"/>
          <w:b/>
          <w:sz w:val="24"/>
        </w:rPr>
        <w:t>五、公告期限</w:t>
      </w:r>
    </w:p>
    <w:p w14:paraId="2F7D7D56">
      <w:pPr>
        <w:snapToGrid w:val="0"/>
        <w:spacing w:line="360" w:lineRule="auto"/>
        <w:ind w:firstLine="480" w:firstLineChars="200"/>
        <w:rPr>
          <w:rFonts w:ascii="宋体" w:hAnsi="宋体" w:cs="仿宋"/>
          <w:kern w:val="0"/>
          <w:sz w:val="24"/>
        </w:rPr>
      </w:pPr>
      <w:r>
        <w:rPr>
          <w:rFonts w:hint="eastAsia" w:ascii="宋体" w:hAnsi="宋体" w:cs="仿宋"/>
          <w:kern w:val="0"/>
          <w:sz w:val="24"/>
        </w:rPr>
        <w:t>自本公告发布之日起5个工作日。</w:t>
      </w:r>
    </w:p>
    <w:p w14:paraId="06062A3B">
      <w:pPr>
        <w:snapToGrid w:val="0"/>
        <w:spacing w:line="360" w:lineRule="auto"/>
        <w:ind w:firstLine="482" w:firstLineChars="200"/>
        <w:rPr>
          <w:rFonts w:ascii="宋体" w:hAnsi="宋体" w:cs="Arial"/>
          <w:b/>
          <w:sz w:val="24"/>
        </w:rPr>
      </w:pPr>
      <w:r>
        <w:rPr>
          <w:rFonts w:hint="eastAsia" w:ascii="宋体" w:hAnsi="宋体" w:cs="Arial"/>
          <w:b/>
          <w:sz w:val="24"/>
        </w:rPr>
        <w:t>六、其他补充事宜</w:t>
      </w:r>
    </w:p>
    <w:p w14:paraId="38BFADD6">
      <w:pPr>
        <w:spacing w:line="360" w:lineRule="auto"/>
        <w:ind w:firstLine="480" w:firstLineChars="200"/>
        <w:rPr>
          <w:rFonts w:ascii="宋体" w:hAnsi="宋体" w:cs="仿宋"/>
          <w:kern w:val="0"/>
          <w:sz w:val="24"/>
        </w:rPr>
      </w:pPr>
      <w:r>
        <w:rPr>
          <w:rFonts w:hint="eastAsia" w:ascii="宋体" w:hAnsi="宋体" w:cs="仿宋"/>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5023DC">
      <w:pPr>
        <w:spacing w:line="360" w:lineRule="auto"/>
        <w:ind w:firstLine="480" w:firstLineChars="200"/>
        <w:rPr>
          <w:rFonts w:ascii="宋体" w:hAnsi="宋体" w:cs="仿宋"/>
          <w:kern w:val="0"/>
          <w:sz w:val="24"/>
        </w:rPr>
      </w:pPr>
      <w:r>
        <w:rPr>
          <w:rFonts w:hint="eastAsia" w:ascii="宋体" w:hAnsi="宋体" w:cs="仿宋"/>
          <w:sz w:val="24"/>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14:paraId="16D94C62">
      <w:pPr>
        <w:spacing w:line="360" w:lineRule="auto"/>
        <w:ind w:firstLine="480" w:firstLineChars="200"/>
        <w:rPr>
          <w:rFonts w:ascii="宋体" w:hAnsi="宋体" w:cs="仿宋"/>
          <w:kern w:val="0"/>
          <w:sz w:val="24"/>
        </w:rPr>
      </w:pPr>
      <w:r>
        <w:rPr>
          <w:rFonts w:hint="eastAsia" w:ascii="宋体" w:hAnsi="宋体" w:cs="仿宋"/>
          <w:sz w:val="24"/>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14:paraId="3E817FF2">
      <w:pPr>
        <w:spacing w:line="360" w:lineRule="auto"/>
        <w:ind w:firstLine="480" w:firstLineChars="200"/>
        <w:rPr>
          <w:rFonts w:ascii="宋体" w:hAnsi="宋体" w:cs="仿宋"/>
          <w:kern w:val="0"/>
          <w:sz w:val="24"/>
        </w:rPr>
      </w:pPr>
      <w:r>
        <w:rPr>
          <w:rFonts w:hint="eastAsia" w:ascii="宋体" w:hAnsi="宋体" w:cs="仿宋"/>
          <w:sz w:val="24"/>
        </w:rPr>
        <w:t>4.答疑内容是招标文件的组成部分，并将在网上发布补充（答疑、澄清）文件，潜在供应商应自行关注网站公告，采购人不再一一通知，供应商因自身贻误行为导致投标失效的，责任自负。</w:t>
      </w:r>
    </w:p>
    <w:p w14:paraId="2168F7F4">
      <w:pPr>
        <w:spacing w:line="360" w:lineRule="auto"/>
        <w:ind w:firstLine="480" w:firstLineChars="200"/>
        <w:rPr>
          <w:rFonts w:ascii="宋体" w:hAnsi="宋体" w:cs="仿宋"/>
          <w:sz w:val="24"/>
        </w:rPr>
      </w:pPr>
      <w:r>
        <w:rPr>
          <w:rFonts w:hint="eastAsia" w:ascii="宋体" w:hAnsi="宋体" w:cs="仿宋"/>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7EAF9453">
      <w:pPr>
        <w:snapToGrid w:val="0"/>
        <w:spacing w:line="360" w:lineRule="auto"/>
        <w:ind w:firstLine="480" w:firstLineChars="200"/>
        <w:rPr>
          <w:rFonts w:ascii="宋体" w:hAnsi="宋体" w:cs="Arial"/>
          <w:b/>
          <w:sz w:val="24"/>
        </w:rPr>
      </w:pPr>
      <w:r>
        <w:rPr>
          <w:rFonts w:hint="eastAsia" w:ascii="宋体" w:hAnsi="宋体" w:cs="宋体"/>
          <w:sz w:val="24"/>
        </w:rPr>
        <w:t>6.</w:t>
      </w:r>
      <w:r>
        <w:rPr>
          <w:rFonts w:ascii="宋体" w:hAnsi="宋体" w:cs="宋体"/>
          <w:sz w:val="24"/>
        </w:rPr>
        <w:t>根据《政府采购促进中小企业发展管理办法》，本项目是否专门面向中小企业采购：</w:t>
      </w:r>
      <w:r>
        <w:rPr>
          <w:rFonts w:hint="eastAsia" w:ascii="宋体" w:hAnsi="宋体" w:cs="宋体"/>
          <w:sz w:val="24"/>
        </w:rPr>
        <w:t>否</w:t>
      </w:r>
      <w:r>
        <w:rPr>
          <w:rFonts w:hint="eastAsia" w:ascii="宋体" w:hAnsi="宋体" w:cs="宋体"/>
          <w:kern w:val="0"/>
          <w:sz w:val="24"/>
        </w:rPr>
        <w:t>。</w:t>
      </w:r>
    </w:p>
    <w:p w14:paraId="486721E7">
      <w:pPr>
        <w:snapToGrid w:val="0"/>
        <w:spacing w:line="360" w:lineRule="auto"/>
        <w:ind w:firstLine="480" w:firstLineChars="200"/>
        <w:rPr>
          <w:rFonts w:ascii="宋体" w:hAnsi="宋体" w:cs="宋体"/>
          <w:sz w:val="24"/>
        </w:rPr>
      </w:pPr>
      <w:r>
        <w:rPr>
          <w:rFonts w:hint="eastAsia" w:ascii="宋体" w:hAnsi="宋体" w:cs="仿宋"/>
          <w:sz w:val="24"/>
        </w:rPr>
        <w:t>7.本项目公告发布网站： 浙江政府采购网：</w:t>
      </w:r>
      <w:r>
        <w:fldChar w:fldCharType="begin"/>
      </w:r>
      <w:r>
        <w:instrText xml:space="preserve"> HYPERLINK "http://zfcg.czt.zj.gov.cn/" </w:instrText>
      </w:r>
      <w:r>
        <w:fldChar w:fldCharType="separate"/>
      </w:r>
      <w:r>
        <w:rPr>
          <w:rStyle w:val="40"/>
          <w:rFonts w:hint="eastAsia" w:ascii="宋体" w:hAnsi="宋体" w:cs="仿宋"/>
          <w:sz w:val="24"/>
        </w:rPr>
        <w:t>http://zfcg.czt.zj.gov.cn/</w:t>
      </w:r>
      <w:r>
        <w:rPr>
          <w:rStyle w:val="40"/>
          <w:rFonts w:hint="eastAsia" w:ascii="宋体" w:hAnsi="宋体" w:cs="仿宋"/>
          <w:sz w:val="24"/>
        </w:rPr>
        <w:fldChar w:fldCharType="end"/>
      </w:r>
      <w:r>
        <w:rPr>
          <w:rFonts w:hint="eastAsia"/>
        </w:rPr>
        <w:t>，</w:t>
      </w:r>
      <w:r>
        <w:rPr>
          <w:rFonts w:hint="eastAsia" w:ascii="宋体" w:hAnsi="宋体" w:cs="仿宋"/>
          <w:sz w:val="24"/>
        </w:rPr>
        <w:t>湖州市公共资源交易信息网：</w:t>
      </w:r>
      <w:r>
        <w:rPr>
          <w:rFonts w:hint="eastAsia" w:ascii="宋体" w:hAnsi="宋体" w:cs="宋体"/>
          <w:sz w:val="24"/>
        </w:rPr>
        <w:t>http:// ggzyjy.huzhou.gov.cn/-“政府采购”模块。</w:t>
      </w:r>
    </w:p>
    <w:p w14:paraId="6247B6BA">
      <w:pPr>
        <w:snapToGrid w:val="0"/>
        <w:spacing w:line="360" w:lineRule="auto"/>
        <w:ind w:firstLine="480" w:firstLineChars="200"/>
        <w:rPr>
          <w:rFonts w:ascii="宋体" w:hAnsi="宋体" w:cs="仿宋"/>
          <w:kern w:val="0"/>
          <w:sz w:val="24"/>
        </w:rPr>
      </w:pPr>
      <w:r>
        <w:rPr>
          <w:rFonts w:hint="eastAsia" w:ascii="宋体" w:hAnsi="宋体" w:cs="仿宋"/>
          <w:sz w:val="24"/>
        </w:rPr>
        <w:t>8.投标事项：</w:t>
      </w:r>
    </w:p>
    <w:p w14:paraId="7217B5AA">
      <w:pPr>
        <w:spacing w:line="360" w:lineRule="auto"/>
        <w:ind w:firstLine="480" w:firstLineChars="200"/>
        <w:rPr>
          <w:rFonts w:ascii="宋体" w:hAnsi="宋体" w:cs="仿宋"/>
          <w:kern w:val="0"/>
          <w:sz w:val="24"/>
        </w:rPr>
      </w:pPr>
      <w:r>
        <w:rPr>
          <w:rFonts w:hint="eastAsia" w:ascii="宋体" w:hAnsi="宋体" w:cs="仿宋"/>
          <w:sz w:val="24"/>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14:paraId="22C32AFB">
      <w:pPr>
        <w:spacing w:line="360" w:lineRule="auto"/>
        <w:ind w:firstLine="480" w:firstLineChars="200"/>
        <w:rPr>
          <w:rFonts w:ascii="宋体" w:hAnsi="宋体" w:cs="仿宋"/>
          <w:sz w:val="24"/>
        </w:rPr>
      </w:pPr>
      <w:r>
        <w:rPr>
          <w:rFonts w:hint="eastAsia" w:ascii="宋体" w:hAnsi="宋体" w:cs="仿宋"/>
          <w:sz w:val="24"/>
        </w:rPr>
        <w:t>（2）参与政府采购项目的注册供应商，需登录浙江政府采购云平台（http://www.zcygov.cn）进行网上报名，尚未注册的供应商应当先在浙江政府采购云平台上申请注册。</w:t>
      </w:r>
    </w:p>
    <w:p w14:paraId="5C82DA98">
      <w:pPr>
        <w:spacing w:line="360" w:lineRule="auto"/>
        <w:ind w:firstLine="480" w:firstLineChars="200"/>
        <w:jc w:val="left"/>
        <w:rPr>
          <w:rFonts w:ascii="宋体" w:hAnsi="宋体" w:cs="仿宋"/>
          <w:kern w:val="0"/>
          <w:sz w:val="24"/>
        </w:rPr>
      </w:pPr>
      <w:r>
        <w:rPr>
          <w:rFonts w:hint="eastAsia" w:ascii="宋体" w:hAnsi="宋体" w:cs="仿宋"/>
          <w:sz w:val="24"/>
        </w:rPr>
        <w:t>（3）政府采购项目电子交易操作指南：</w:t>
      </w:r>
      <w:r>
        <w:t>https://service.zcygov.cn/#/knowledges/CW1EtGwBFdiHxlNd6I3m/6IMVAG0BFdiHxlNdQ8Na</w:t>
      </w:r>
    </w:p>
    <w:p w14:paraId="1ADD8024">
      <w:pPr>
        <w:spacing w:line="360" w:lineRule="auto"/>
        <w:ind w:firstLine="480" w:firstLineChars="200"/>
        <w:rPr>
          <w:rFonts w:ascii="宋体" w:hAnsi="宋体" w:cs="仿宋"/>
          <w:kern w:val="0"/>
          <w:sz w:val="24"/>
        </w:rPr>
      </w:pPr>
      <w:r>
        <w:rPr>
          <w:rFonts w:hint="eastAsia" w:ascii="宋体" w:hAnsi="宋体" w:cs="仿宋"/>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14:paraId="18F84059">
      <w:pPr>
        <w:spacing w:line="360" w:lineRule="auto"/>
        <w:ind w:firstLine="480" w:firstLineChars="200"/>
        <w:rPr>
          <w:rFonts w:ascii="宋体" w:hAnsi="宋体" w:cs="仿宋"/>
          <w:sz w:val="24"/>
        </w:rPr>
      </w:pPr>
      <w:r>
        <w:rPr>
          <w:rFonts w:hint="eastAsia" w:ascii="宋体" w:hAnsi="宋体" w:cs="仿宋"/>
          <w:sz w:val="24"/>
        </w:rPr>
        <w:t>（5）投标供应商应当在投标截止时间前，将生成的“电子加密投标文件”上传递交至“政府采购云平台”。投标截止时间以后上传递交的投标文件将被“政府采购云平台”拒收。</w:t>
      </w:r>
    </w:p>
    <w:p w14:paraId="78B03BBE">
      <w:pPr>
        <w:spacing w:line="360" w:lineRule="auto"/>
        <w:ind w:firstLine="480" w:firstLineChars="200"/>
        <w:rPr>
          <w:rFonts w:ascii="宋体" w:hAnsi="宋体" w:cs="宋体"/>
          <w:kern w:val="0"/>
          <w:sz w:val="24"/>
        </w:rPr>
      </w:pPr>
      <w:r>
        <w:rPr>
          <w:rFonts w:hint="eastAsia" w:ascii="宋体" w:hAnsi="宋体" w:cs="宋体"/>
          <w:kern w:val="0"/>
          <w:sz w:val="24"/>
        </w:rPr>
        <w:t>（6）备</w:t>
      </w:r>
      <w:r>
        <w:rPr>
          <w:rFonts w:hint="eastAsia" w:ascii="宋体" w:hAnsi="宋体"/>
          <w:sz w:val="24"/>
        </w:rPr>
        <w:t>份</w:t>
      </w:r>
      <w:r>
        <w:rPr>
          <w:rFonts w:hint="eastAsia" w:ascii="宋体" w:hAnsi="宋体" w:cs="宋体"/>
          <w:kern w:val="0"/>
          <w:sz w:val="24"/>
        </w:rPr>
        <w:t>投标文件</w:t>
      </w:r>
      <w:r>
        <w:rPr>
          <w:rFonts w:hint="eastAsia" w:ascii="宋体" w:hAnsi="宋体"/>
          <w:sz w:val="24"/>
        </w:rPr>
        <w:t>：根据“浙江省政府采购项目电子交易管理暂行办法”第二十条规定，本次招标允许供应商递交备份</w:t>
      </w:r>
      <w:r>
        <w:rPr>
          <w:rFonts w:hint="eastAsia" w:ascii="宋体" w:hAnsi="宋体" w:cs="宋体"/>
          <w:kern w:val="0"/>
          <w:sz w:val="24"/>
        </w:rPr>
        <w:t>投标文件</w:t>
      </w:r>
      <w:r>
        <w:rPr>
          <w:rFonts w:hint="eastAsia" w:ascii="宋体" w:hAnsi="宋体"/>
          <w:sz w:val="24"/>
        </w:rPr>
        <w:t>，仅提交备份</w:t>
      </w:r>
      <w:r>
        <w:rPr>
          <w:rFonts w:hint="eastAsia" w:ascii="宋体" w:hAnsi="宋体" w:cs="宋体"/>
          <w:kern w:val="0"/>
          <w:sz w:val="24"/>
        </w:rPr>
        <w:t>投标文件</w:t>
      </w:r>
      <w:r>
        <w:rPr>
          <w:rFonts w:hint="eastAsia" w:ascii="宋体" w:hAnsi="宋体"/>
          <w:sz w:val="24"/>
        </w:rPr>
        <w:t>的，</w:t>
      </w:r>
      <w:r>
        <w:rPr>
          <w:rFonts w:hint="eastAsia" w:ascii="宋体" w:hAnsi="宋体" w:cs="宋体"/>
          <w:kern w:val="0"/>
          <w:sz w:val="24"/>
        </w:rPr>
        <w:t>投标</w:t>
      </w:r>
      <w:r>
        <w:rPr>
          <w:rFonts w:hint="eastAsia" w:ascii="宋体" w:hAnsi="宋体"/>
          <w:sz w:val="24"/>
        </w:rPr>
        <w:t>无效。本项目不强制要求供应商提交备份</w:t>
      </w:r>
      <w:r>
        <w:rPr>
          <w:rFonts w:hint="eastAsia" w:ascii="宋体" w:hAnsi="宋体" w:cs="宋体"/>
          <w:kern w:val="0"/>
          <w:sz w:val="24"/>
        </w:rPr>
        <w:t>投标文件</w:t>
      </w:r>
      <w:r>
        <w:rPr>
          <w:rFonts w:hint="eastAsia" w:ascii="宋体" w:hAnsi="宋体"/>
          <w:sz w:val="24"/>
        </w:rPr>
        <w:t>，但由于未提交备份</w:t>
      </w:r>
      <w:r>
        <w:rPr>
          <w:rFonts w:hint="eastAsia" w:ascii="宋体" w:hAnsi="宋体" w:cs="宋体"/>
          <w:kern w:val="0"/>
          <w:sz w:val="24"/>
        </w:rPr>
        <w:t>投标文件</w:t>
      </w:r>
      <w:r>
        <w:rPr>
          <w:rFonts w:hint="eastAsia" w:ascii="宋体" w:hAnsi="宋体"/>
          <w:sz w:val="24"/>
        </w:rPr>
        <w:t>而造成项目开评标活动无法进行下去的，</w:t>
      </w:r>
      <w:r>
        <w:rPr>
          <w:rFonts w:hint="eastAsia" w:ascii="宋体" w:hAnsi="宋体" w:cs="宋体"/>
          <w:kern w:val="0"/>
          <w:sz w:val="24"/>
        </w:rPr>
        <w:t>投标</w:t>
      </w:r>
      <w:r>
        <w:rPr>
          <w:rFonts w:hint="eastAsia" w:ascii="宋体" w:hAnsi="宋体"/>
          <w:sz w:val="24"/>
        </w:rPr>
        <w:t>无效的，相关风险由供应</w:t>
      </w:r>
      <w:r>
        <w:rPr>
          <w:rFonts w:hint="eastAsia" w:ascii="宋体" w:hAnsi="宋体" w:cs="宋体"/>
          <w:kern w:val="0"/>
          <w:sz w:val="24"/>
        </w:rPr>
        <w:t>商自行承担。</w:t>
      </w:r>
      <w:r>
        <w:rPr>
          <w:rFonts w:ascii="宋体" w:hAnsi="宋体" w:cs="宋体"/>
          <w:kern w:val="0"/>
          <w:sz w:val="24"/>
        </w:rPr>
        <w:t>备份</w:t>
      </w:r>
      <w:r>
        <w:rPr>
          <w:rFonts w:hint="eastAsia" w:ascii="宋体" w:hAnsi="宋体" w:cs="宋体"/>
          <w:kern w:val="0"/>
          <w:sz w:val="24"/>
        </w:rPr>
        <w:t>投标文件：1份。</w:t>
      </w:r>
      <w:r>
        <w:rPr>
          <w:rFonts w:ascii="宋体" w:hAnsi="宋体" w:cs="宋体"/>
          <w:kern w:val="0"/>
          <w:sz w:val="24"/>
        </w:rPr>
        <w:t>以介质存储的数据电文形式的备份</w:t>
      </w:r>
      <w:r>
        <w:rPr>
          <w:rFonts w:hint="eastAsia" w:ascii="宋体" w:hAnsi="宋体" w:cs="宋体"/>
          <w:kern w:val="0"/>
          <w:sz w:val="24"/>
        </w:rPr>
        <w:t>投标文件（</w:t>
      </w:r>
      <w:r>
        <w:rPr>
          <w:rFonts w:ascii="宋体" w:hAnsi="宋体" w:cs="宋体"/>
          <w:kern w:val="0"/>
          <w:sz w:val="24"/>
        </w:rPr>
        <w:t>BFBS格式</w:t>
      </w:r>
      <w:r>
        <w:rPr>
          <w:rFonts w:hint="eastAsia" w:ascii="宋体" w:hAnsi="宋体" w:cs="宋体"/>
          <w:kern w:val="0"/>
          <w:sz w:val="24"/>
        </w:rPr>
        <w:t>）</w:t>
      </w:r>
      <w:r>
        <w:rPr>
          <w:rFonts w:ascii="宋体" w:hAnsi="宋体" w:cs="宋体"/>
          <w:kern w:val="0"/>
          <w:sz w:val="24"/>
        </w:rPr>
        <w:t>，按政采云平台项目采购-电子交易操作指南中上传的电子</w:t>
      </w:r>
      <w:r>
        <w:rPr>
          <w:rFonts w:hint="eastAsia" w:ascii="宋体" w:hAnsi="宋体" w:cs="宋体"/>
          <w:kern w:val="0"/>
          <w:sz w:val="24"/>
        </w:rPr>
        <w:t>投标文件</w:t>
      </w:r>
      <w:r>
        <w:rPr>
          <w:rFonts w:ascii="宋体" w:hAnsi="宋体" w:cs="宋体"/>
          <w:kern w:val="0"/>
          <w:sz w:val="24"/>
        </w:rPr>
        <w:t>格式，以U盘形式存储提供</w:t>
      </w:r>
      <w:r>
        <w:rPr>
          <w:rFonts w:hint="eastAsia" w:ascii="宋体" w:hAnsi="宋体" w:cs="宋体"/>
          <w:kern w:val="0"/>
          <w:sz w:val="24"/>
        </w:rPr>
        <w:t>）</w:t>
      </w:r>
      <w:r>
        <w:rPr>
          <w:rFonts w:ascii="宋体" w:hAnsi="宋体" w:cs="宋体"/>
          <w:kern w:val="0"/>
          <w:sz w:val="24"/>
        </w:rPr>
        <w:t>。U盘盘面上粘贴标签，标注单位名称，装入一个外包封袋中进行邮寄.邮寄时，总的外包封袋上可不注明单位名称，但应注明单位的联系人、联系电话及项目名称</w:t>
      </w:r>
      <w:r>
        <w:rPr>
          <w:rFonts w:hint="eastAsia" w:ascii="宋体" w:hAnsi="宋体" w:cs="宋体"/>
          <w:kern w:val="0"/>
          <w:sz w:val="24"/>
        </w:rPr>
        <w:t>。邮寄地址为：浙江华耀建设咨询有限公司（湖州市静江公寓1单元1101室），联系人：张治中，联系电话：0572-2198738</w:t>
      </w:r>
      <w:r>
        <w:fldChar w:fldCharType="begin"/>
      </w:r>
      <w:r>
        <w:instrText xml:space="preserve"> HYPERLINK "mailto:huayaohz@163.com。供应商应于2020年9月" </w:instrText>
      </w:r>
      <w:r>
        <w:fldChar w:fldCharType="separate"/>
      </w:r>
      <w:r>
        <w:rPr>
          <w:rFonts w:hint="eastAsia" w:ascii="宋体" w:hAnsi="宋体" w:cs="宋体"/>
          <w:kern w:val="0"/>
          <w:sz w:val="24"/>
        </w:rPr>
        <w:t>，</w:t>
      </w:r>
      <w:r>
        <w:rPr>
          <w:rFonts w:hint="eastAsia" w:ascii="宋体" w:hAnsi="宋体" w:cs="宋体"/>
          <w:kern w:val="0"/>
          <w:sz w:val="24"/>
        </w:rPr>
        <w:fldChar w:fldCharType="end"/>
      </w:r>
      <w:r>
        <w:rPr>
          <w:rFonts w:hint="eastAsia" w:ascii="宋体" w:hAnsi="宋体" w:cs="宋体"/>
          <w:kern w:val="0"/>
          <w:sz w:val="24"/>
        </w:rPr>
        <w:t>拒绝到付。以收件人实际签收时间为准，逾期送达的将拒绝接收。</w:t>
      </w:r>
    </w:p>
    <w:p w14:paraId="4DB787E1">
      <w:pPr>
        <w:spacing w:line="360" w:lineRule="auto"/>
        <w:ind w:firstLine="480" w:firstLineChars="200"/>
        <w:rPr>
          <w:rFonts w:ascii="宋体" w:hAnsi="宋体"/>
          <w:sz w:val="24"/>
        </w:rPr>
      </w:pPr>
      <w:r>
        <w:rPr>
          <w:rFonts w:hint="eastAsia" w:ascii="宋体" w:hAnsi="宋体" w:cs="宋体"/>
          <w:kern w:val="0"/>
          <w:sz w:val="24"/>
        </w:rPr>
        <w:t>（7）本项目开评标会议通过政采云电子交易系统在线完成，</w:t>
      </w:r>
      <w:r>
        <w:rPr>
          <w:rFonts w:hint="eastAsia" w:ascii="宋体" w:hAnsi="宋体"/>
          <w:sz w:val="24"/>
        </w:rPr>
        <w:t>请潜在供应商代表自行准备联网的计算机设备、“政府采购云平台”CA数字证书。开评标会议开始后，应全程关注政采云电子交易系统的各类通知：在线询标等，及时澄清、响应，避免逾期无效等情况的发生。</w:t>
      </w:r>
    </w:p>
    <w:p w14:paraId="0385DB43">
      <w:pPr>
        <w:snapToGrid w:val="0"/>
        <w:spacing w:line="360" w:lineRule="auto"/>
        <w:ind w:firstLine="542" w:firstLineChars="225"/>
        <w:rPr>
          <w:rFonts w:ascii="宋体" w:hAnsi="宋体" w:cs="Arial"/>
          <w:b/>
          <w:sz w:val="24"/>
        </w:rPr>
      </w:pPr>
      <w:r>
        <w:rPr>
          <w:rFonts w:hint="eastAsia" w:ascii="宋体" w:hAnsi="宋体" w:cs="Arial"/>
          <w:b/>
          <w:sz w:val="24"/>
        </w:rPr>
        <w:t>七、业务咨询：</w:t>
      </w:r>
    </w:p>
    <w:p w14:paraId="70BC0F3F">
      <w:pPr>
        <w:snapToGrid w:val="0"/>
        <w:spacing w:line="360" w:lineRule="auto"/>
        <w:ind w:firstLine="470" w:firstLineChars="196"/>
        <w:rPr>
          <w:rFonts w:ascii="宋体" w:hAnsi="宋体" w:cs="Arial"/>
          <w:b/>
          <w:sz w:val="24"/>
        </w:rPr>
      </w:pPr>
      <w:r>
        <w:rPr>
          <w:rFonts w:hint="eastAsia" w:ascii="宋体" w:hAnsi="宋体"/>
          <w:sz w:val="24"/>
        </w:rPr>
        <w:t>1.采购代理机构名称：浙江华耀建设咨询有限公司</w:t>
      </w:r>
    </w:p>
    <w:p w14:paraId="56437769">
      <w:pPr>
        <w:snapToGrid w:val="0"/>
        <w:spacing w:line="360" w:lineRule="auto"/>
        <w:ind w:firstLine="480" w:firstLineChars="200"/>
        <w:rPr>
          <w:rFonts w:ascii="宋体" w:hAnsi="宋体"/>
          <w:sz w:val="24"/>
        </w:rPr>
      </w:pPr>
      <w:r>
        <w:rPr>
          <w:rFonts w:hint="eastAsia" w:ascii="宋体" w:hAnsi="宋体"/>
          <w:sz w:val="24"/>
        </w:rPr>
        <w:t>地址：</w:t>
      </w:r>
      <w:r>
        <w:rPr>
          <w:rFonts w:hint="eastAsia" w:ascii="宋体" w:hAnsi="宋体" w:cs="宋体"/>
          <w:kern w:val="0"/>
          <w:sz w:val="24"/>
        </w:rPr>
        <w:t>浙江省湖州市静江公寓1单元1101室</w:t>
      </w:r>
    </w:p>
    <w:p w14:paraId="568B89C0">
      <w:pPr>
        <w:snapToGrid w:val="0"/>
        <w:spacing w:line="360" w:lineRule="auto"/>
        <w:ind w:firstLine="470" w:firstLineChars="196"/>
        <w:rPr>
          <w:rFonts w:ascii="宋体" w:hAnsi="宋体"/>
          <w:sz w:val="24"/>
        </w:rPr>
      </w:pPr>
      <w:r>
        <w:rPr>
          <w:rFonts w:hint="eastAsia" w:ascii="宋体" w:hAnsi="宋体"/>
          <w:sz w:val="24"/>
        </w:rPr>
        <w:t>联系人：小张；联系电话：0572-2198738；传真：0572-2198739</w:t>
      </w:r>
    </w:p>
    <w:p w14:paraId="57E663F7">
      <w:pPr>
        <w:snapToGrid w:val="0"/>
        <w:spacing w:line="360" w:lineRule="auto"/>
        <w:ind w:firstLine="470" w:firstLineChars="196"/>
        <w:rPr>
          <w:rFonts w:ascii="宋体" w:hAnsi="宋体"/>
          <w:sz w:val="24"/>
        </w:rPr>
      </w:pPr>
      <w:r>
        <w:rPr>
          <w:rFonts w:hint="eastAsia" w:ascii="宋体" w:hAnsi="宋体"/>
          <w:sz w:val="24"/>
        </w:rPr>
        <w:t>供应商质疑函接收人：何女士   联系电话：0572-2371910</w:t>
      </w:r>
    </w:p>
    <w:p w14:paraId="0CE1A467">
      <w:pPr>
        <w:snapToGrid w:val="0"/>
        <w:spacing w:line="360" w:lineRule="auto"/>
        <w:ind w:firstLine="470" w:firstLineChars="196"/>
        <w:rPr>
          <w:rFonts w:ascii="宋体" w:hAnsi="宋体"/>
          <w:sz w:val="24"/>
        </w:rPr>
      </w:pPr>
      <w:r>
        <w:rPr>
          <w:rFonts w:hint="eastAsia" w:ascii="宋体" w:hAnsi="宋体"/>
          <w:sz w:val="24"/>
        </w:rPr>
        <w:t>电子邮箱：</w:t>
      </w:r>
      <w:r>
        <w:fldChar w:fldCharType="begin"/>
      </w:r>
      <w:r>
        <w:instrText xml:space="preserve"> HYPERLINK "mailto:huayaohz@163.com。" </w:instrText>
      </w:r>
      <w:r>
        <w:fldChar w:fldCharType="separate"/>
      </w:r>
      <w:r>
        <w:rPr>
          <w:rFonts w:hint="eastAsia" w:ascii="宋体" w:hAnsi="宋体"/>
          <w:sz w:val="24"/>
        </w:rPr>
        <w:t>huayaohz@163.com</w:t>
      </w:r>
      <w:r>
        <w:rPr>
          <w:rFonts w:hint="eastAsia" w:ascii="宋体" w:hAnsi="宋体"/>
          <w:sz w:val="24"/>
        </w:rPr>
        <w:fldChar w:fldCharType="end"/>
      </w:r>
    </w:p>
    <w:p w14:paraId="320A8AE5">
      <w:pPr>
        <w:snapToGrid w:val="0"/>
        <w:spacing w:line="360" w:lineRule="auto"/>
        <w:ind w:firstLine="420" w:firstLineChars="200"/>
      </w:pPr>
    </w:p>
    <w:p w14:paraId="656985DE">
      <w:pPr>
        <w:snapToGrid w:val="0"/>
        <w:spacing w:line="360" w:lineRule="auto"/>
        <w:ind w:firstLine="470" w:firstLineChars="196"/>
        <w:rPr>
          <w:rFonts w:ascii="宋体" w:hAnsi="宋体"/>
          <w:sz w:val="24"/>
        </w:rPr>
      </w:pPr>
      <w:r>
        <w:rPr>
          <w:rFonts w:hint="eastAsia" w:ascii="宋体" w:hAnsi="宋体" w:cs="Arial"/>
          <w:sz w:val="24"/>
        </w:rPr>
        <w:t>2.采购人名称：</w:t>
      </w:r>
      <w:r>
        <w:rPr>
          <w:rFonts w:hint="eastAsia" w:ascii="宋体" w:hAnsi="宋体"/>
          <w:sz w:val="24"/>
        </w:rPr>
        <w:t xml:space="preserve">湖州南太湖新区综合行政执法队 </w:t>
      </w:r>
    </w:p>
    <w:p w14:paraId="3AE25711">
      <w:pPr>
        <w:snapToGrid w:val="0"/>
        <w:spacing w:line="360" w:lineRule="auto"/>
        <w:ind w:firstLine="470" w:firstLineChars="196"/>
        <w:rPr>
          <w:rFonts w:ascii="宋体" w:hAnsi="宋体"/>
          <w:sz w:val="24"/>
        </w:rPr>
      </w:pPr>
      <w:r>
        <w:rPr>
          <w:rFonts w:hint="eastAsia" w:ascii="宋体" w:hAnsi="宋体"/>
          <w:sz w:val="24"/>
        </w:rPr>
        <w:t>地址：</w:t>
      </w:r>
      <w:r>
        <w:rPr>
          <w:rFonts w:ascii="宋体" w:hAnsi="宋体"/>
          <w:sz w:val="24"/>
        </w:rPr>
        <w:t>湖州市田园东路228号凯泰大厦</w:t>
      </w:r>
    </w:p>
    <w:p w14:paraId="0D29F43F">
      <w:pPr>
        <w:snapToGrid w:val="0"/>
        <w:spacing w:line="360" w:lineRule="auto"/>
        <w:ind w:firstLine="470" w:firstLineChars="196"/>
        <w:rPr>
          <w:rFonts w:ascii="宋体" w:hAnsi="宋体"/>
          <w:sz w:val="24"/>
        </w:rPr>
      </w:pPr>
      <w:r>
        <w:rPr>
          <w:rFonts w:hint="eastAsia" w:ascii="宋体" w:hAnsi="宋体"/>
          <w:sz w:val="24"/>
        </w:rPr>
        <w:t>联系人：章女士             电话：0572-</w:t>
      </w:r>
      <w:r>
        <w:rPr>
          <w:rFonts w:ascii="宋体" w:hAnsi="宋体"/>
          <w:sz w:val="24"/>
        </w:rPr>
        <w:t>2106464</w:t>
      </w:r>
    </w:p>
    <w:p w14:paraId="0F9E1F4E">
      <w:pPr>
        <w:snapToGrid w:val="0"/>
        <w:spacing w:line="360" w:lineRule="auto"/>
        <w:ind w:firstLine="470" w:firstLineChars="196"/>
        <w:rPr>
          <w:rFonts w:ascii="宋体" w:hAnsi="宋体"/>
          <w:sz w:val="24"/>
        </w:rPr>
      </w:pPr>
      <w:r>
        <w:rPr>
          <w:rFonts w:hint="eastAsia" w:ascii="宋体" w:hAnsi="宋体"/>
          <w:sz w:val="24"/>
        </w:rPr>
        <w:t>采购人质疑联系人：史女士   联系电话：0572-</w:t>
      </w:r>
      <w:r>
        <w:rPr>
          <w:rFonts w:ascii="宋体" w:hAnsi="宋体"/>
          <w:sz w:val="24"/>
        </w:rPr>
        <w:t>2106464</w:t>
      </w:r>
    </w:p>
    <w:p w14:paraId="0C29B790">
      <w:pPr>
        <w:snapToGrid w:val="0"/>
        <w:spacing w:line="360" w:lineRule="auto"/>
        <w:ind w:firstLine="470" w:firstLineChars="196"/>
        <w:rPr>
          <w:rFonts w:ascii="宋体"/>
          <w:sz w:val="24"/>
        </w:rPr>
      </w:pPr>
      <w:r>
        <w:rPr>
          <w:rFonts w:hint="eastAsia" w:ascii="宋体"/>
          <w:sz w:val="24"/>
        </w:rPr>
        <w:t xml:space="preserve"> </w:t>
      </w:r>
    </w:p>
    <w:p w14:paraId="7DC35C50">
      <w:pPr>
        <w:snapToGrid w:val="0"/>
        <w:spacing w:line="460" w:lineRule="exact"/>
        <w:ind w:firstLine="470" w:firstLineChars="196"/>
        <w:rPr>
          <w:rFonts w:ascii="宋体"/>
          <w:sz w:val="24"/>
        </w:rPr>
      </w:pPr>
    </w:p>
    <w:p w14:paraId="0C693554">
      <w:pPr>
        <w:snapToGrid w:val="0"/>
        <w:spacing w:line="360" w:lineRule="auto"/>
        <w:ind w:firstLine="480" w:firstLineChars="200"/>
        <w:rPr>
          <w:rFonts w:ascii="宋体" w:hAnsi="宋体" w:cs="Arial"/>
          <w:sz w:val="24"/>
        </w:rPr>
      </w:pPr>
      <w:r>
        <w:rPr>
          <w:rFonts w:hint="eastAsia" w:ascii="宋体" w:hAnsi="宋体" w:cs="Arial"/>
          <w:sz w:val="24"/>
        </w:rPr>
        <w:t>3. 同级政府采购监督管理部门名称：湖州市财政局政府采购监管处</w:t>
      </w:r>
    </w:p>
    <w:p w14:paraId="04AF2239">
      <w:pPr>
        <w:snapToGrid w:val="0"/>
        <w:spacing w:line="360" w:lineRule="auto"/>
        <w:ind w:firstLine="480" w:firstLineChars="200"/>
        <w:rPr>
          <w:rFonts w:ascii="宋体" w:hAnsi="宋体" w:cs="Arial"/>
          <w:sz w:val="24"/>
        </w:rPr>
      </w:pPr>
      <w:r>
        <w:rPr>
          <w:rFonts w:hint="eastAsia" w:ascii="宋体" w:hAnsi="宋体" w:cs="Arial"/>
          <w:sz w:val="24"/>
        </w:rPr>
        <w:t>地址：浙江省湖州市龙王山路518号</w:t>
      </w:r>
    </w:p>
    <w:p w14:paraId="168C24FB">
      <w:pPr>
        <w:snapToGrid w:val="0"/>
        <w:spacing w:line="360" w:lineRule="auto"/>
        <w:ind w:firstLine="480" w:firstLineChars="200"/>
        <w:rPr>
          <w:rFonts w:ascii="宋体" w:hAnsi="宋体" w:cs="Arial"/>
          <w:sz w:val="24"/>
        </w:rPr>
      </w:pPr>
      <w:r>
        <w:rPr>
          <w:rFonts w:hint="eastAsia" w:ascii="宋体" w:hAnsi="宋体" w:cs="Arial"/>
          <w:sz w:val="24"/>
        </w:rPr>
        <w:t>联系人：程先生；监督投诉电话：0572-2150216</w:t>
      </w:r>
    </w:p>
    <w:p w14:paraId="49409538">
      <w:pPr>
        <w:snapToGrid w:val="0"/>
        <w:spacing w:line="360" w:lineRule="auto"/>
        <w:ind w:firstLine="420" w:firstLineChars="200"/>
      </w:pPr>
    </w:p>
    <w:p w14:paraId="52FF6F47">
      <w:pPr>
        <w:snapToGrid w:val="0"/>
        <w:spacing w:line="360" w:lineRule="auto"/>
        <w:ind w:left="238"/>
        <w:rPr>
          <w:rFonts w:ascii="宋体" w:hAnsi="宋体"/>
          <w:sz w:val="24"/>
        </w:rPr>
      </w:pPr>
      <w:r>
        <w:rPr>
          <w:rFonts w:hint="eastAsia" w:ascii="宋体" w:hAnsi="宋体" w:cs="Arial"/>
          <w:sz w:val="24"/>
        </w:rPr>
        <w:t xml:space="preserve">                                               湖州南太湖新区综合行政执法队</w:t>
      </w:r>
    </w:p>
    <w:p w14:paraId="502B20B5">
      <w:pPr>
        <w:snapToGrid w:val="0"/>
        <w:spacing w:line="360" w:lineRule="auto"/>
        <w:ind w:left="238"/>
        <w:jc w:val="center"/>
        <w:rPr>
          <w:rFonts w:ascii="宋体" w:hAnsi="宋体"/>
          <w:sz w:val="24"/>
        </w:rPr>
      </w:pPr>
      <w:r>
        <w:rPr>
          <w:rFonts w:hint="eastAsia" w:ascii="宋体" w:hAnsi="宋体"/>
          <w:sz w:val="24"/>
        </w:rPr>
        <w:t xml:space="preserve">                                                 浙江华耀建设咨询有限公司</w:t>
      </w:r>
    </w:p>
    <w:p w14:paraId="165CAA03">
      <w:pPr>
        <w:snapToGrid w:val="0"/>
        <w:spacing w:line="360" w:lineRule="auto"/>
        <w:ind w:left="238"/>
        <w:jc w:val="center"/>
        <w:rPr>
          <w:rFonts w:ascii="宋体" w:hAnsi="宋体"/>
          <w:sz w:val="24"/>
        </w:rPr>
      </w:pPr>
      <w:r>
        <w:rPr>
          <w:rFonts w:hint="eastAsia" w:ascii="宋体" w:hAnsi="宋体"/>
          <w:sz w:val="24"/>
        </w:rPr>
        <w:t xml:space="preserve">                                            2024年9月25日</w:t>
      </w:r>
    </w:p>
    <w:p w14:paraId="17997828">
      <w:pPr>
        <w:pStyle w:val="2"/>
      </w:pPr>
    </w:p>
    <w:p w14:paraId="41934A97">
      <w:pPr>
        <w:jc w:val="left"/>
        <w:rPr>
          <w:rFonts w:ascii="宋体" w:hAnsi="宋体" w:cs="仿宋"/>
          <w:b/>
          <w:sz w:val="24"/>
        </w:rPr>
      </w:pPr>
      <w:r>
        <w:rPr>
          <w:rFonts w:hint="eastAsia" w:ascii="宋体" w:hAnsi="宋体" w:cs="仿宋"/>
          <w:b/>
          <w:sz w:val="24"/>
        </w:rPr>
        <w:t>若对项目采购电子交易系统操作有疑问，可登录政采云（https://www.zcygov.cn/），点击右侧咨询小采，获取采小蜜智能服务管家帮助，或拨打政采云服务热线400-881-7190获取热线服务帮助。</w:t>
      </w:r>
    </w:p>
    <w:p w14:paraId="65F81190">
      <w:pPr>
        <w:rPr>
          <w:rFonts w:ascii="宋体" w:hAnsi="宋体" w:cs="仿宋"/>
          <w:b/>
          <w:sz w:val="24"/>
        </w:rPr>
      </w:pPr>
      <w:r>
        <w:rPr>
          <w:rFonts w:hint="eastAsia" w:ascii="宋体" w:hAnsi="宋体" w:cs="仿宋"/>
          <w:b/>
          <w:sz w:val="24"/>
        </w:rPr>
        <w:t>CA问题联系电话（人工）：汇信CA 400-888-4636；天谷CA 400-087-8198。</w:t>
      </w:r>
    </w:p>
    <w:p w14:paraId="0CC15466">
      <w:pPr>
        <w:pStyle w:val="2"/>
      </w:pPr>
    </w:p>
    <w:p w14:paraId="6EF99F1C">
      <w:pPr>
        <w:pStyle w:val="42"/>
        <w:rPr>
          <w:color w:val="auto"/>
        </w:rPr>
      </w:pPr>
    </w:p>
    <w:p w14:paraId="10190AEE"/>
    <w:p w14:paraId="3DB39E12"/>
    <w:p w14:paraId="5031ADB4">
      <w:pPr>
        <w:snapToGrid w:val="0"/>
        <w:spacing w:line="360" w:lineRule="auto"/>
        <w:ind w:left="238"/>
        <w:jc w:val="center"/>
        <w:rPr>
          <w:rFonts w:ascii="黑体" w:hAnsi="宋体" w:eastAsia="黑体"/>
          <w:sz w:val="30"/>
          <w:szCs w:val="30"/>
        </w:rPr>
      </w:pPr>
      <w:r>
        <w:rPr>
          <w:rFonts w:hint="eastAsia" w:ascii="黑体" w:hAnsi="宋体" w:eastAsia="黑体"/>
          <w:sz w:val="30"/>
          <w:szCs w:val="30"/>
        </w:rPr>
        <w:t>第二章  招标需求</w:t>
      </w:r>
    </w:p>
    <w:p w14:paraId="1B07C8D5">
      <w:pPr>
        <w:widowControl/>
        <w:spacing w:line="360" w:lineRule="auto"/>
        <w:ind w:firstLine="482" w:firstLineChars="200"/>
        <w:jc w:val="left"/>
        <w:rPr>
          <w:rFonts w:ascii="宋体" w:hAnsi="宋体"/>
          <w:sz w:val="24"/>
          <w:highlight w:val="yellow"/>
        </w:rPr>
      </w:pPr>
      <w:r>
        <w:rPr>
          <w:rFonts w:hint="eastAsia" w:ascii="宋体" w:hAnsi="宋体"/>
          <w:b/>
          <w:sz w:val="24"/>
        </w:rPr>
        <w:t>一、采购项目名称：南太湖新区垃圾分类数据管理平台建设项目</w:t>
      </w:r>
    </w:p>
    <w:p w14:paraId="33D88DB4">
      <w:pPr>
        <w:widowControl/>
        <w:spacing w:line="360" w:lineRule="auto"/>
        <w:ind w:firstLine="482" w:firstLineChars="200"/>
        <w:jc w:val="left"/>
        <w:rPr>
          <w:rFonts w:ascii="宋体" w:hAnsi="宋体"/>
          <w:b/>
          <w:sz w:val="24"/>
        </w:rPr>
      </w:pPr>
      <w:r>
        <w:rPr>
          <w:rFonts w:hint="eastAsia" w:ascii="宋体" w:hAnsi="宋体"/>
          <w:b/>
          <w:sz w:val="24"/>
        </w:rPr>
        <w:t>二、采购项目编号：HYHZ2024-154</w:t>
      </w:r>
    </w:p>
    <w:p w14:paraId="13B4A945">
      <w:pPr>
        <w:widowControl/>
        <w:spacing w:line="360" w:lineRule="auto"/>
        <w:ind w:firstLine="482" w:firstLineChars="200"/>
        <w:jc w:val="left"/>
        <w:rPr>
          <w:rFonts w:ascii="宋体" w:hAnsi="宋体" w:cs="宋体"/>
          <w:b/>
          <w:kern w:val="0"/>
          <w:sz w:val="24"/>
        </w:rPr>
      </w:pPr>
      <w:r>
        <w:rPr>
          <w:rFonts w:hint="eastAsia" w:ascii="宋体" w:hAnsi="宋体"/>
          <w:b/>
          <w:sz w:val="24"/>
        </w:rPr>
        <w:t>三、采购项目预算：</w:t>
      </w:r>
      <w:r>
        <w:rPr>
          <w:rFonts w:hint="eastAsia" w:ascii="宋体" w:hAnsi="宋体" w:cs="宋体"/>
          <w:b/>
          <w:kern w:val="0"/>
          <w:sz w:val="24"/>
        </w:rPr>
        <w:t>人民币柒拾伍万元整（￥750000.00）</w:t>
      </w:r>
    </w:p>
    <w:p w14:paraId="3AE853FA">
      <w:pPr>
        <w:widowControl/>
        <w:spacing w:line="360" w:lineRule="auto"/>
        <w:ind w:firstLine="482" w:firstLineChars="200"/>
        <w:jc w:val="left"/>
        <w:rPr>
          <w:rFonts w:ascii="宋体" w:hAnsi="宋体"/>
          <w:b/>
          <w:sz w:val="24"/>
        </w:rPr>
      </w:pPr>
      <w:r>
        <w:rPr>
          <w:rFonts w:hint="eastAsia" w:ascii="宋体" w:hAnsi="宋体"/>
          <w:b/>
          <w:sz w:val="24"/>
        </w:rPr>
        <w:t>四、采购项目实施地点：湖州南太湖新区综合行政执法队</w:t>
      </w:r>
    </w:p>
    <w:p w14:paraId="14CEFEFA">
      <w:pPr>
        <w:widowControl/>
        <w:spacing w:line="360" w:lineRule="auto"/>
        <w:ind w:firstLine="482" w:firstLineChars="200"/>
        <w:jc w:val="left"/>
        <w:rPr>
          <w:rFonts w:ascii="宋体" w:hAnsi="宋体"/>
          <w:b/>
          <w:bCs/>
          <w:sz w:val="24"/>
        </w:rPr>
      </w:pPr>
      <w:r>
        <w:rPr>
          <w:rFonts w:hint="eastAsia" w:ascii="宋体" w:hAnsi="宋体"/>
          <w:b/>
          <w:bCs/>
          <w:sz w:val="24"/>
        </w:rPr>
        <w:t>五、采购项目采购清单和</w:t>
      </w:r>
      <w:r>
        <w:rPr>
          <w:rFonts w:ascii="宋体" w:hAnsi="宋体"/>
          <w:b/>
          <w:bCs/>
          <w:sz w:val="24"/>
        </w:rPr>
        <w:t>规格型号</w:t>
      </w:r>
      <w:r>
        <w:rPr>
          <w:rFonts w:hint="eastAsia" w:ascii="宋体" w:hAnsi="宋体"/>
          <w:b/>
          <w:bCs/>
          <w:sz w:val="24"/>
        </w:rPr>
        <w:t>、</w:t>
      </w:r>
      <w:r>
        <w:rPr>
          <w:rFonts w:ascii="宋体" w:hAnsi="宋体"/>
          <w:b/>
          <w:bCs/>
          <w:sz w:val="24"/>
        </w:rPr>
        <w:t>技术参数、</w:t>
      </w:r>
      <w:r>
        <w:rPr>
          <w:rFonts w:hint="eastAsia" w:ascii="宋体" w:hAnsi="宋体"/>
          <w:b/>
          <w:bCs/>
          <w:sz w:val="24"/>
        </w:rPr>
        <w:t>附件</w:t>
      </w:r>
      <w:r>
        <w:rPr>
          <w:rFonts w:ascii="宋体" w:hAnsi="宋体"/>
          <w:b/>
          <w:bCs/>
          <w:sz w:val="24"/>
        </w:rPr>
        <w:t>清单</w:t>
      </w:r>
      <w:r>
        <w:rPr>
          <w:rFonts w:hint="eastAsia" w:ascii="宋体" w:hAnsi="宋体"/>
          <w:b/>
          <w:bCs/>
          <w:sz w:val="24"/>
        </w:rPr>
        <w:t>等：</w:t>
      </w:r>
    </w:p>
    <w:p w14:paraId="51CFD034">
      <w:pPr>
        <w:widowControl/>
        <w:spacing w:line="360" w:lineRule="auto"/>
        <w:ind w:firstLine="482" w:firstLineChars="200"/>
        <w:jc w:val="left"/>
        <w:rPr>
          <w:rFonts w:ascii="宋体" w:hAnsi="宋体"/>
          <w:b/>
          <w:sz w:val="24"/>
        </w:rPr>
      </w:pPr>
      <w:bookmarkStart w:id="0" w:name="_Toc30696"/>
      <w:bookmarkStart w:id="1" w:name="_Toc6749"/>
      <w:r>
        <w:rPr>
          <w:rFonts w:hint="eastAsia" w:ascii="宋体" w:hAnsi="宋体"/>
          <w:b/>
          <w:sz w:val="24"/>
        </w:rPr>
        <w:t>（一）项目背景</w:t>
      </w:r>
      <w:bookmarkEnd w:id="0"/>
    </w:p>
    <w:p w14:paraId="71BAB21E">
      <w:pPr>
        <w:widowControl/>
        <w:spacing w:line="360" w:lineRule="auto"/>
        <w:ind w:firstLine="482" w:firstLineChars="200"/>
        <w:jc w:val="left"/>
        <w:rPr>
          <w:rFonts w:ascii="宋体" w:hAnsi="宋体"/>
          <w:b/>
          <w:sz w:val="24"/>
        </w:rPr>
      </w:pPr>
      <w:bookmarkStart w:id="2" w:name="_Toc4712"/>
      <w:r>
        <w:rPr>
          <w:rFonts w:hint="eastAsia" w:ascii="宋体" w:hAnsi="宋体"/>
          <w:b/>
          <w:sz w:val="24"/>
        </w:rPr>
        <w:t>1.项目提出的背景</w:t>
      </w:r>
      <w:bookmarkEnd w:id="2"/>
    </w:p>
    <w:p w14:paraId="60618530">
      <w:pPr>
        <w:spacing w:line="360" w:lineRule="auto"/>
        <w:ind w:firstLine="480"/>
        <w:rPr>
          <w:rFonts w:ascii="宋体" w:hAnsi="宋体"/>
          <w:sz w:val="24"/>
        </w:rPr>
      </w:pPr>
      <w:r>
        <w:rPr>
          <w:rFonts w:hint="eastAsia" w:ascii="宋体" w:hAnsi="宋体" w:cs="宋体"/>
          <w:sz w:val="24"/>
        </w:rPr>
        <w:t>2019年，住房和城乡建设部等9部门联合印发《关于在全国地级及以上城市全面开展生活垃圾分类工作的通知》，根据通知，到2020年，46个重点城市基本建成生活垃圾分类处理系统；其他地级城市实现公共机构生活垃圾分类全覆盖，至少有1个街道基本建成生活垃圾分类示范片区。到2022年，各地级城市至少有1个区实现生活垃圾分类全覆盖；其他各区至少有1个街道基本建成生活垃圾分类示范片区。到2025年，全国地级及以上城市基本建成生活垃圾分类处理系统。</w:t>
      </w:r>
    </w:p>
    <w:p w14:paraId="6DF4A74A">
      <w:pPr>
        <w:widowControl/>
        <w:spacing w:line="360" w:lineRule="auto"/>
        <w:ind w:firstLine="482" w:firstLineChars="200"/>
        <w:jc w:val="left"/>
        <w:rPr>
          <w:rFonts w:ascii="宋体" w:hAnsi="宋体"/>
          <w:b/>
          <w:sz w:val="24"/>
        </w:rPr>
      </w:pPr>
      <w:bookmarkStart w:id="3" w:name="_Toc17629"/>
      <w:r>
        <w:rPr>
          <w:rFonts w:hint="eastAsia" w:ascii="宋体" w:hAnsi="宋体"/>
          <w:b/>
          <w:sz w:val="24"/>
        </w:rPr>
        <w:t>2.项目建设的依据</w:t>
      </w:r>
      <w:bookmarkEnd w:id="3"/>
    </w:p>
    <w:p w14:paraId="26E606A7">
      <w:pPr>
        <w:spacing w:line="360" w:lineRule="auto"/>
        <w:ind w:firstLine="482"/>
        <w:rPr>
          <w:rFonts w:ascii="宋体" w:hAnsi="宋体"/>
          <w:b/>
          <w:bCs/>
          <w:sz w:val="24"/>
        </w:rPr>
      </w:pPr>
      <w:r>
        <w:rPr>
          <w:rFonts w:hint="eastAsia" w:ascii="宋体" w:hAnsi="宋体" w:cs="宋体"/>
          <w:b/>
          <w:bCs/>
          <w:sz w:val="24"/>
        </w:rPr>
        <w:t>国家政策/规划</w:t>
      </w:r>
    </w:p>
    <w:p w14:paraId="1CE740CB">
      <w:pPr>
        <w:spacing w:line="360" w:lineRule="auto"/>
        <w:ind w:firstLine="480"/>
        <w:rPr>
          <w:rFonts w:ascii="宋体" w:hAnsi="宋体"/>
          <w:sz w:val="24"/>
        </w:rPr>
      </w:pPr>
      <w:r>
        <w:rPr>
          <w:rFonts w:hint="eastAsia" w:ascii="宋体" w:hAnsi="宋体" w:cs="宋体"/>
          <w:sz w:val="24"/>
        </w:rPr>
        <w:t>《中华人民共和国国民经济和社会发展第十四个五年规划和 2035 年远景目标纲要》（2021）</w:t>
      </w:r>
    </w:p>
    <w:p w14:paraId="17F3D834">
      <w:pPr>
        <w:spacing w:line="360" w:lineRule="auto"/>
        <w:ind w:firstLine="480"/>
        <w:rPr>
          <w:rFonts w:ascii="宋体" w:hAnsi="宋体"/>
          <w:sz w:val="24"/>
        </w:rPr>
      </w:pPr>
      <w:r>
        <w:rPr>
          <w:rFonts w:hint="eastAsia" w:ascii="宋体" w:hAnsi="宋体" w:cs="宋体"/>
          <w:sz w:val="24"/>
        </w:rPr>
        <w:t>住房和城乡建设部等9部门联合印发《关于在全国地级及以上城市全面开展生活垃圾分类工作的通知》（2019）</w:t>
      </w:r>
    </w:p>
    <w:p w14:paraId="28F370A0">
      <w:pPr>
        <w:spacing w:line="360" w:lineRule="auto"/>
        <w:ind w:firstLine="480"/>
        <w:rPr>
          <w:rFonts w:ascii="宋体" w:hAnsi="宋体"/>
          <w:sz w:val="24"/>
        </w:rPr>
      </w:pPr>
      <w:r>
        <w:rPr>
          <w:rFonts w:hint="eastAsia" w:ascii="宋体" w:hAnsi="宋体" w:cs="宋体"/>
          <w:sz w:val="24"/>
        </w:rPr>
        <w:t>《大数据产业发展规划（2016-2020）》（工信部规[2016]412号）</w:t>
      </w:r>
    </w:p>
    <w:p w14:paraId="0BE373E0">
      <w:pPr>
        <w:spacing w:line="360" w:lineRule="auto"/>
        <w:ind w:firstLine="482"/>
        <w:rPr>
          <w:rFonts w:ascii="宋体" w:hAnsi="宋体"/>
          <w:b/>
          <w:bCs/>
          <w:sz w:val="24"/>
        </w:rPr>
      </w:pPr>
      <w:r>
        <w:rPr>
          <w:rFonts w:hint="eastAsia" w:ascii="宋体" w:hAnsi="宋体" w:cs="宋体"/>
          <w:b/>
          <w:bCs/>
          <w:sz w:val="24"/>
        </w:rPr>
        <w:t>当地政策/文件</w:t>
      </w:r>
    </w:p>
    <w:p w14:paraId="678E4652">
      <w:pPr>
        <w:spacing w:line="360" w:lineRule="auto"/>
        <w:ind w:firstLine="480"/>
        <w:rPr>
          <w:rFonts w:ascii="宋体" w:hAnsi="宋体"/>
          <w:sz w:val="24"/>
        </w:rPr>
      </w:pPr>
      <w:r>
        <w:rPr>
          <w:rFonts w:hint="eastAsia" w:ascii="宋体" w:hAnsi="宋体" w:cs="宋体"/>
          <w:sz w:val="24"/>
        </w:rPr>
        <w:t>《浙江省城镇生活垃圾分类管理办法》（省政府办公厅[2018]第365号）</w:t>
      </w:r>
    </w:p>
    <w:p w14:paraId="08CD734B">
      <w:pPr>
        <w:spacing w:line="360" w:lineRule="auto"/>
        <w:ind w:firstLine="480"/>
        <w:rPr>
          <w:rFonts w:ascii="宋体" w:hAnsi="宋体"/>
          <w:sz w:val="24"/>
        </w:rPr>
      </w:pPr>
      <w:r>
        <w:rPr>
          <w:rFonts w:hint="eastAsia" w:ascii="宋体" w:hAnsi="宋体" w:cs="宋体"/>
          <w:sz w:val="24"/>
        </w:rPr>
        <w:t>《浙江省数字经济促进条例》（浙江省人大及其常委会[2020]）</w:t>
      </w:r>
    </w:p>
    <w:p w14:paraId="5B7AC31E">
      <w:pPr>
        <w:spacing w:line="360" w:lineRule="auto"/>
        <w:ind w:firstLine="480"/>
        <w:rPr>
          <w:rFonts w:ascii="宋体" w:hAnsi="宋体"/>
          <w:sz w:val="24"/>
        </w:rPr>
      </w:pPr>
      <w:r>
        <w:rPr>
          <w:rFonts w:hint="eastAsia" w:ascii="宋体" w:hAnsi="宋体" w:cs="宋体"/>
          <w:sz w:val="24"/>
        </w:rPr>
        <w:t>《生活垃圾分类智能设施配置及管理规范》（湖州市市场监督管理局[2023]）</w:t>
      </w:r>
    </w:p>
    <w:p w14:paraId="274389AF">
      <w:pPr>
        <w:spacing w:line="360" w:lineRule="auto"/>
        <w:ind w:firstLine="480"/>
        <w:rPr>
          <w:rFonts w:ascii="宋体" w:hAnsi="宋体"/>
          <w:sz w:val="24"/>
        </w:rPr>
      </w:pPr>
    </w:p>
    <w:p w14:paraId="1FFC962A">
      <w:pPr>
        <w:widowControl/>
        <w:spacing w:line="360" w:lineRule="auto"/>
        <w:ind w:firstLine="482" w:firstLineChars="200"/>
        <w:jc w:val="left"/>
        <w:rPr>
          <w:rFonts w:ascii="宋体" w:hAnsi="宋体"/>
          <w:b/>
          <w:sz w:val="24"/>
        </w:rPr>
      </w:pPr>
      <w:r>
        <w:rPr>
          <w:rFonts w:hint="eastAsia" w:ascii="宋体" w:hAnsi="宋体"/>
          <w:b/>
          <w:sz w:val="24"/>
        </w:rPr>
        <w:t>（二）项目建设内容</w:t>
      </w:r>
      <w:bookmarkEnd w:id="1"/>
    </w:p>
    <w:p w14:paraId="31E5C97E">
      <w:pPr>
        <w:widowControl/>
        <w:spacing w:line="360" w:lineRule="auto"/>
        <w:ind w:firstLine="482" w:firstLineChars="200"/>
        <w:jc w:val="left"/>
        <w:rPr>
          <w:rFonts w:ascii="宋体" w:hAnsi="宋体"/>
          <w:b/>
          <w:sz w:val="24"/>
        </w:rPr>
      </w:pPr>
      <w:bookmarkStart w:id="4" w:name="_Toc31379"/>
      <w:r>
        <w:rPr>
          <w:rFonts w:hint="eastAsia" w:ascii="宋体" w:hAnsi="宋体"/>
          <w:b/>
          <w:sz w:val="24"/>
        </w:rPr>
        <w:t>1.建设内容</w:t>
      </w:r>
      <w:bookmarkEnd w:id="4"/>
    </w:p>
    <w:p w14:paraId="10A13C72">
      <w:pPr>
        <w:spacing w:line="360" w:lineRule="auto"/>
        <w:ind w:firstLine="480"/>
        <w:rPr>
          <w:rFonts w:ascii="宋体" w:hAnsi="宋体"/>
          <w:sz w:val="24"/>
        </w:rPr>
      </w:pPr>
      <w:r>
        <w:rPr>
          <w:rFonts w:hint="eastAsia" w:ascii="宋体" w:hAnsi="宋体" w:cs="宋体"/>
          <w:sz w:val="24"/>
        </w:rPr>
        <w:t>湖州南太湖新区综合行政执法队去年获得省生活垃圾分类工作优秀单位，且垃圾分类成为湖州南太湖新区特色，依托此试点工作背景，进一步提升垃圾分类数字化改革的建设工作，大致包括：</w:t>
      </w:r>
    </w:p>
    <w:p w14:paraId="103CB301">
      <w:pPr>
        <w:spacing w:line="360" w:lineRule="auto"/>
        <w:ind w:firstLine="480"/>
        <w:rPr>
          <w:rFonts w:ascii="宋体" w:hAnsi="宋体"/>
          <w:sz w:val="24"/>
        </w:rPr>
      </w:pPr>
      <w:r>
        <w:rPr>
          <w:rFonts w:hint="eastAsia" w:ascii="宋体" w:hAnsi="宋体" w:cs="宋体"/>
          <w:sz w:val="24"/>
        </w:rPr>
        <w:t>积极开展省、市数改试点工作，完成数据收集、数据对接、问卷调查等上级规定的工作。</w:t>
      </w:r>
    </w:p>
    <w:p w14:paraId="1660A1B3">
      <w:pPr>
        <w:spacing w:line="360" w:lineRule="auto"/>
        <w:ind w:firstLine="480"/>
        <w:rPr>
          <w:rFonts w:ascii="宋体" w:hAnsi="宋体"/>
          <w:sz w:val="24"/>
        </w:rPr>
      </w:pPr>
      <w:r>
        <w:rPr>
          <w:rFonts w:hint="eastAsia" w:ascii="宋体" w:hAnsi="宋体" w:cs="宋体"/>
          <w:sz w:val="24"/>
        </w:rPr>
        <w:t>运用人工智能分析、AI智能识别、大数据、GIS、5G等技术手段，以市级平台要求为基础，搭建覆盖“区、街/镇”的多层级、全区域的生活垃圾综合管控平台，结合南太湖新区生活垃圾管理实际需求，打造符合管理实际、与市级平台无缝对接的信息化管理平台。</w:t>
      </w:r>
    </w:p>
    <w:p w14:paraId="1A1BC328">
      <w:pPr>
        <w:spacing w:line="360" w:lineRule="auto"/>
        <w:ind w:firstLine="480"/>
        <w:rPr>
          <w:rFonts w:ascii="宋体" w:hAnsi="宋体"/>
          <w:sz w:val="24"/>
        </w:rPr>
      </w:pPr>
      <w:r>
        <w:rPr>
          <w:rFonts w:hint="eastAsia" w:ascii="宋体" w:hAnsi="宋体" w:cs="宋体"/>
          <w:sz w:val="24"/>
        </w:rPr>
        <w:t>综合应用物联网、互联网、数据库技术、传感器技术、数据分析技术以及计算机信息管理和辅助技术等，以源头精准化减量为核心，实现生活垃圾的精细化、全量化、智能化的管理，通过信息化系统的建设，可以实现垃圾分类投放过程监管与分类效果的量化评估，进行各种形式的查询、统计，促进垃圾分类工作进展、健康运营，为各级领导提供决策支持，同步做好与市级平台、其他系统平台、运营企业平台的对接与数据融合。</w:t>
      </w:r>
    </w:p>
    <w:p w14:paraId="5A453A92">
      <w:pPr>
        <w:widowControl/>
        <w:spacing w:line="360" w:lineRule="auto"/>
        <w:ind w:firstLine="482" w:firstLineChars="200"/>
        <w:jc w:val="left"/>
        <w:rPr>
          <w:rFonts w:ascii="宋体" w:hAnsi="宋体"/>
          <w:b/>
          <w:sz w:val="24"/>
        </w:rPr>
      </w:pPr>
    </w:p>
    <w:p w14:paraId="36E1C3FF">
      <w:pPr>
        <w:widowControl/>
        <w:spacing w:line="360" w:lineRule="auto"/>
        <w:ind w:firstLine="482" w:firstLineChars="200"/>
        <w:jc w:val="left"/>
        <w:rPr>
          <w:rFonts w:ascii="宋体" w:hAnsi="宋体"/>
          <w:b/>
          <w:sz w:val="24"/>
        </w:rPr>
      </w:pPr>
      <w:r>
        <w:rPr>
          <w:rFonts w:hint="eastAsia" w:ascii="宋体" w:hAnsi="宋体"/>
          <w:b/>
          <w:sz w:val="24"/>
        </w:rPr>
        <w:t>2.项目目标</w:t>
      </w:r>
    </w:p>
    <w:p w14:paraId="6644D982">
      <w:pPr>
        <w:spacing w:line="360" w:lineRule="auto"/>
        <w:ind w:firstLine="482"/>
        <w:rPr>
          <w:rFonts w:ascii="宋体" w:hAnsi="宋体"/>
          <w:sz w:val="24"/>
        </w:rPr>
      </w:pPr>
      <w:r>
        <w:rPr>
          <w:rFonts w:hint="eastAsia" w:ascii="宋体" w:hAnsi="宋体" w:cs="宋体"/>
          <w:b/>
          <w:bCs/>
          <w:sz w:val="24"/>
        </w:rPr>
        <w:t>一是梳理垃圾分类发展现状，构建指标体系。</w:t>
      </w:r>
      <w:r>
        <w:rPr>
          <w:rFonts w:hint="eastAsia" w:ascii="宋体" w:hAnsi="宋体" w:cs="宋体"/>
          <w:sz w:val="24"/>
        </w:rPr>
        <w:t>围绕数字赋能垃圾分类发展，为垃圾分类新业态及发展提供服务支撑，以目标为导向梳理垃圾分类监管的难点痛点，全面创新垃圾分类发展经济效益、社会效益、生态环境和产业发展等4大类指标的垃圾分类发展指标体系，涵盖垃圾分类经济效益、垃圾分类社会效益、垃圾分类生态环境、垃圾分类产业发展等内容。</w:t>
      </w:r>
    </w:p>
    <w:p w14:paraId="085A6A28">
      <w:pPr>
        <w:spacing w:line="360" w:lineRule="auto"/>
        <w:ind w:firstLine="482"/>
        <w:rPr>
          <w:rFonts w:ascii="宋体" w:hAnsi="宋体"/>
          <w:sz w:val="24"/>
        </w:rPr>
      </w:pPr>
      <w:r>
        <w:rPr>
          <w:rFonts w:hint="eastAsia" w:ascii="宋体" w:hAnsi="宋体" w:cs="宋体"/>
          <w:b/>
          <w:bCs/>
          <w:sz w:val="24"/>
        </w:rPr>
        <w:t>二是一体化推进，实现数据采集常态化。</w:t>
      </w:r>
      <w:r>
        <w:rPr>
          <w:rFonts w:hint="eastAsia" w:ascii="宋体" w:hAnsi="宋体" w:cs="宋体"/>
          <w:sz w:val="24"/>
        </w:rPr>
        <w:t>建立省市县乡多级协同联动机制，实现了垃圾分类监测数据采集常态化、监测内容指标化。</w:t>
      </w:r>
    </w:p>
    <w:p w14:paraId="0A99E203">
      <w:pPr>
        <w:spacing w:line="360" w:lineRule="auto"/>
        <w:ind w:firstLine="482"/>
        <w:rPr>
          <w:rFonts w:ascii="宋体" w:hAnsi="宋体"/>
          <w:sz w:val="24"/>
        </w:rPr>
      </w:pPr>
      <w:r>
        <w:rPr>
          <w:rFonts w:hint="eastAsia" w:ascii="宋体" w:hAnsi="宋体" w:cs="宋体"/>
          <w:b/>
          <w:bCs/>
          <w:sz w:val="24"/>
        </w:rPr>
        <w:t>三是强化数据共享，探索业务协同场景应用。</w:t>
      </w:r>
      <w:r>
        <w:rPr>
          <w:rFonts w:hint="eastAsia" w:ascii="宋体" w:hAnsi="宋体" w:cs="宋体"/>
          <w:sz w:val="24"/>
        </w:rPr>
        <w:t>不断完善系统框架功能，持续推动数据共享，推动垃圾分类基础资源设施设备的数据共享，探索垃圾分类运营方式、监管方式的多场景应用。</w:t>
      </w:r>
    </w:p>
    <w:p w14:paraId="0B59D316">
      <w:pPr>
        <w:spacing w:line="360" w:lineRule="auto"/>
        <w:ind w:firstLine="482"/>
        <w:rPr>
          <w:rFonts w:ascii="宋体" w:hAnsi="宋体"/>
          <w:sz w:val="24"/>
        </w:rPr>
      </w:pPr>
      <w:r>
        <w:rPr>
          <w:rFonts w:hint="eastAsia" w:ascii="宋体" w:hAnsi="宋体" w:cs="宋体"/>
          <w:b/>
          <w:bCs/>
          <w:sz w:val="24"/>
        </w:rPr>
        <w:t>四是数字赋能，辅助决策支撑。</w:t>
      </w:r>
      <w:r>
        <w:rPr>
          <w:rFonts w:hint="eastAsia" w:ascii="宋体" w:hAnsi="宋体" w:cs="宋体"/>
          <w:sz w:val="24"/>
          <w:lang w:val="en"/>
        </w:rPr>
        <w:t>新区</w:t>
      </w:r>
      <w:r>
        <w:rPr>
          <w:rFonts w:hint="eastAsia" w:ascii="宋体" w:hAnsi="宋体" w:cs="宋体"/>
          <w:sz w:val="24"/>
        </w:rPr>
        <w:t>综合执法</w:t>
      </w:r>
      <w:r>
        <w:rPr>
          <w:rFonts w:ascii="宋体" w:hAnsi="宋体" w:cs="宋体"/>
          <w:sz w:val="24"/>
          <w:lang w:val="en"/>
        </w:rPr>
        <w:t>分</w:t>
      </w:r>
      <w:r>
        <w:rPr>
          <w:rFonts w:hint="eastAsia" w:ascii="宋体" w:hAnsi="宋体" w:cs="宋体"/>
          <w:sz w:val="24"/>
        </w:rPr>
        <w:t>局指挥中心可以实时监控城市垃圾分类的状况、接收并处理各类预警信息，提高执法效率和管理水平。能够提供高效、实时、准确的信息展示，实现可视化指挥，从而提高指挥中心的调度和决策效率。</w:t>
      </w:r>
    </w:p>
    <w:p w14:paraId="67D1C462">
      <w:pPr>
        <w:spacing w:line="360" w:lineRule="auto"/>
        <w:ind w:firstLine="480"/>
        <w:rPr>
          <w:rFonts w:ascii="宋体" w:hAnsi="宋体"/>
          <w:sz w:val="24"/>
        </w:rPr>
      </w:pPr>
      <w:r>
        <w:rPr>
          <w:rFonts w:hint="eastAsia" w:ascii="宋体" w:hAnsi="宋体" w:cs="宋体"/>
          <w:sz w:val="24"/>
        </w:rPr>
        <w:t>基于垃圾分类监测数据，通过全方位、多角度分析垃圾分类发展现状以及存在的问题，为各级党委政府、垃圾分类行政部门和各监测点科学发展提供指导性信息服务及决策依据。</w:t>
      </w:r>
    </w:p>
    <w:p w14:paraId="14245A82">
      <w:pPr>
        <w:spacing w:line="360" w:lineRule="auto"/>
        <w:ind w:firstLine="482"/>
        <w:rPr>
          <w:rFonts w:ascii="宋体" w:hAnsi="宋体"/>
          <w:sz w:val="24"/>
        </w:rPr>
      </w:pPr>
      <w:r>
        <w:rPr>
          <w:rFonts w:hint="eastAsia" w:ascii="宋体" w:hAnsi="宋体" w:cs="宋体"/>
          <w:b/>
          <w:bCs/>
          <w:sz w:val="24"/>
        </w:rPr>
        <w:t>五是面向公共服务，加强宣传推广。</w:t>
      </w:r>
      <w:r>
        <w:rPr>
          <w:rFonts w:hint="eastAsia" w:ascii="宋体" w:hAnsi="宋体" w:cs="宋体"/>
          <w:sz w:val="24"/>
        </w:rPr>
        <w:t>融合南太湖新区当地居民投放习惯结合垃圾分类内容，差异化分析垃圾分类特点，面向公众实施精准推广，全面促进垃圾分类的发展。</w:t>
      </w:r>
    </w:p>
    <w:p w14:paraId="02F1AC79">
      <w:pPr>
        <w:widowControl/>
        <w:spacing w:line="360" w:lineRule="auto"/>
        <w:ind w:firstLine="482" w:firstLineChars="200"/>
        <w:jc w:val="left"/>
        <w:rPr>
          <w:rFonts w:ascii="宋体" w:hAnsi="宋体"/>
          <w:b/>
          <w:sz w:val="24"/>
        </w:rPr>
      </w:pPr>
      <w:r>
        <w:rPr>
          <w:rFonts w:hint="eastAsia" w:ascii="宋体" w:hAnsi="宋体"/>
          <w:b/>
          <w:sz w:val="24"/>
        </w:rPr>
        <w:t>（三）项目建设清单</w:t>
      </w:r>
    </w:p>
    <w:p w14:paraId="24FAE1A5">
      <w:pPr>
        <w:widowControl/>
        <w:spacing w:line="360" w:lineRule="auto"/>
        <w:ind w:firstLine="482" w:firstLineChars="200"/>
        <w:jc w:val="left"/>
        <w:rPr>
          <w:rFonts w:ascii="宋体" w:hAnsi="宋体"/>
          <w:b/>
          <w:sz w:val="24"/>
        </w:rPr>
      </w:pPr>
      <w:r>
        <w:rPr>
          <w:rFonts w:hint="eastAsia" w:ascii="宋体" w:hAnsi="宋体"/>
          <w:b/>
          <w:sz w:val="24"/>
        </w:rPr>
        <w:t>1.软件清单</w:t>
      </w:r>
    </w:p>
    <w:tbl>
      <w:tblPr>
        <w:tblStyle w:val="34"/>
        <w:tblW w:w="0" w:type="auto"/>
        <w:tblInd w:w="0" w:type="dxa"/>
        <w:tblLayout w:type="autofit"/>
        <w:tblCellMar>
          <w:top w:w="0" w:type="dxa"/>
          <w:left w:w="108" w:type="dxa"/>
          <w:bottom w:w="0" w:type="dxa"/>
          <w:right w:w="108" w:type="dxa"/>
        </w:tblCellMar>
      </w:tblPr>
      <w:tblGrid>
        <w:gridCol w:w="498"/>
        <w:gridCol w:w="829"/>
        <w:gridCol w:w="1076"/>
        <w:gridCol w:w="6228"/>
        <w:gridCol w:w="498"/>
        <w:gridCol w:w="499"/>
      </w:tblGrid>
      <w:tr w14:paraId="0A3A893D">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AC9EE">
            <w:pPr>
              <w:spacing w:line="360" w:lineRule="auto"/>
              <w:jc w:val="center"/>
              <w:textAlignment w:val="center"/>
              <w:rPr>
                <w:rFonts w:ascii="宋体" w:hAnsi="宋体"/>
                <w:b/>
                <w:bCs/>
                <w:color w:val="0D0D0D"/>
              </w:rPr>
            </w:pPr>
            <w:r>
              <w:rPr>
                <w:rFonts w:hint="eastAsia" w:ascii="宋体" w:hAnsi="宋体" w:cs="宋体"/>
                <w:b/>
                <w:bCs/>
                <w:color w:val="0D0D0D"/>
                <w:kern w:val="0"/>
                <w:sz w:val="24"/>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D1F7C">
            <w:pPr>
              <w:spacing w:line="360" w:lineRule="auto"/>
              <w:jc w:val="center"/>
              <w:textAlignment w:val="center"/>
              <w:rPr>
                <w:rFonts w:ascii="宋体" w:hAnsi="宋体"/>
                <w:b/>
                <w:bCs/>
                <w:color w:val="0D0D0D"/>
              </w:rPr>
            </w:pPr>
            <w:r>
              <w:rPr>
                <w:rFonts w:hint="eastAsia" w:ascii="宋体" w:hAnsi="宋体" w:cs="宋体"/>
                <w:b/>
                <w:bCs/>
                <w:color w:val="0D0D0D"/>
                <w:kern w:val="0"/>
                <w:sz w:val="24"/>
                <w:lang w:bidi="ar"/>
              </w:rPr>
              <w:t>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AB6FA">
            <w:pPr>
              <w:spacing w:line="360" w:lineRule="auto"/>
              <w:jc w:val="center"/>
              <w:textAlignment w:val="center"/>
              <w:rPr>
                <w:rFonts w:ascii="宋体" w:hAnsi="宋体"/>
                <w:b/>
                <w:bCs/>
                <w:color w:val="0D0D0D"/>
              </w:rPr>
            </w:pPr>
            <w:r>
              <w:rPr>
                <w:rFonts w:hint="eastAsia" w:ascii="宋体" w:hAnsi="宋体" w:cs="宋体"/>
                <w:b/>
                <w:bCs/>
                <w:color w:val="0D0D0D"/>
                <w:kern w:val="0"/>
                <w:sz w:val="24"/>
                <w:lang w:bidi="ar"/>
              </w:rPr>
              <w:t>子模块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8D672">
            <w:pPr>
              <w:spacing w:line="360" w:lineRule="auto"/>
              <w:jc w:val="center"/>
              <w:textAlignment w:val="center"/>
              <w:rPr>
                <w:rFonts w:ascii="宋体" w:hAnsi="宋体"/>
                <w:b/>
                <w:bCs/>
                <w:color w:val="0D0D0D"/>
              </w:rPr>
            </w:pPr>
            <w:r>
              <w:rPr>
                <w:rFonts w:hint="eastAsia" w:ascii="宋体" w:hAnsi="宋体" w:cs="宋体"/>
                <w:b/>
                <w:bCs/>
                <w:color w:val="0D0D0D"/>
                <w:kern w:val="0"/>
                <w:sz w:val="24"/>
                <w:lang w:bidi="ar"/>
              </w:rPr>
              <w:t>实现功能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B18AB">
            <w:pPr>
              <w:spacing w:line="360" w:lineRule="auto"/>
              <w:jc w:val="center"/>
              <w:textAlignment w:val="center"/>
              <w:rPr>
                <w:rFonts w:ascii="宋体" w:hAnsi="宋体"/>
                <w:b/>
                <w:bCs/>
                <w:color w:val="0D0D0D"/>
              </w:rPr>
            </w:pPr>
            <w:r>
              <w:rPr>
                <w:rFonts w:hint="eastAsia" w:ascii="宋体" w:hAnsi="宋体" w:cs="宋体"/>
                <w:b/>
                <w:bCs/>
                <w:color w:val="0D0D0D"/>
                <w:kern w:val="0"/>
                <w:sz w:val="24"/>
                <w:lang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D2EB75">
            <w:pPr>
              <w:spacing w:line="360" w:lineRule="auto"/>
              <w:jc w:val="center"/>
              <w:textAlignment w:val="center"/>
              <w:rPr>
                <w:rFonts w:ascii="宋体" w:hAnsi="宋体"/>
                <w:b/>
                <w:bCs/>
                <w:color w:val="0D0D0D"/>
              </w:rPr>
            </w:pPr>
            <w:r>
              <w:rPr>
                <w:rFonts w:hint="eastAsia" w:ascii="宋体" w:hAnsi="宋体" w:cs="宋体"/>
                <w:b/>
                <w:bCs/>
                <w:color w:val="0D0D0D"/>
                <w:kern w:val="0"/>
                <w:sz w:val="24"/>
                <w:lang w:bidi="ar"/>
              </w:rPr>
              <w:t>数量</w:t>
            </w:r>
          </w:p>
        </w:tc>
      </w:tr>
      <w:tr w14:paraId="25273CB2">
        <w:tblPrEx>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2193D">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AC2A7">
            <w:pPr>
              <w:spacing w:line="360" w:lineRule="auto"/>
              <w:jc w:val="center"/>
              <w:textAlignment w:val="center"/>
              <w:rPr>
                <w:rFonts w:ascii="宋体" w:hAnsi="宋体"/>
                <w:color w:val="000000"/>
              </w:rPr>
            </w:pPr>
            <w:r>
              <w:rPr>
                <w:rFonts w:hint="eastAsia" w:ascii="宋体" w:hAnsi="宋体" w:cs="宋体"/>
                <w:color w:val="000000"/>
                <w:kern w:val="0"/>
                <w:sz w:val="24"/>
                <w:lang w:bidi="ar"/>
              </w:rPr>
              <w:t>基础信息管理模块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5A851">
            <w:pPr>
              <w:spacing w:line="360" w:lineRule="auto"/>
              <w:jc w:val="center"/>
              <w:textAlignment w:val="center"/>
              <w:rPr>
                <w:rFonts w:ascii="宋体" w:hAnsi="宋体"/>
                <w:color w:val="000000"/>
              </w:rPr>
            </w:pPr>
            <w:r>
              <w:rPr>
                <w:rFonts w:hint="eastAsia" w:ascii="宋体" w:hAnsi="宋体" w:cs="宋体"/>
                <w:color w:val="000000"/>
                <w:kern w:val="0"/>
                <w:sz w:val="24"/>
                <w:lang w:bidi="ar"/>
              </w:rPr>
              <w:t>行政区划管理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5F276">
            <w:pPr>
              <w:spacing w:line="360" w:lineRule="auto"/>
              <w:textAlignment w:val="center"/>
              <w:rPr>
                <w:rFonts w:ascii="宋体" w:hAnsi="宋体"/>
                <w:color w:val="000000"/>
              </w:rPr>
            </w:pPr>
            <w:r>
              <w:rPr>
                <w:rFonts w:hint="eastAsia" w:ascii="宋体" w:hAnsi="宋体" w:cs="宋体"/>
                <w:color w:val="000000"/>
                <w:kern w:val="0"/>
                <w:sz w:val="24"/>
                <w:lang w:bidi="ar"/>
              </w:rPr>
              <w:t>对南太湖新增区划信息进行管理，包含区划名称，行政代码，GIS信息等，支持查看、修改和删除。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CE168">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6149D">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4D906496">
        <w:tblPrEx>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CF6F2">
            <w:pPr>
              <w:spacing w:line="360" w:lineRule="auto"/>
              <w:jc w:val="center"/>
              <w:textAlignment w:val="center"/>
              <w:rPr>
                <w:rFonts w:ascii="宋体" w:hAnsi="宋体"/>
                <w:color w:val="000000"/>
              </w:rPr>
            </w:pPr>
            <w:r>
              <w:rPr>
                <w:rFonts w:hint="eastAsia" w:ascii="宋体" w:hAnsi="宋体" w:cs="宋体"/>
                <w:color w:val="000000"/>
                <w:kern w:val="0"/>
                <w:sz w:val="24"/>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7CD36">
            <w:pPr>
              <w:spacing w:line="360" w:lineRule="auto"/>
              <w:jc w:val="center"/>
              <w:rPr>
                <w:rFonts w:ascii="宋体" w:hAnsi="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33999">
            <w:pPr>
              <w:spacing w:line="360" w:lineRule="auto"/>
              <w:jc w:val="center"/>
              <w:textAlignment w:val="center"/>
              <w:rPr>
                <w:rFonts w:ascii="宋体" w:hAnsi="宋体"/>
                <w:color w:val="000000"/>
              </w:rPr>
            </w:pPr>
            <w:r>
              <w:rPr>
                <w:rFonts w:hint="eastAsia" w:ascii="宋体" w:hAnsi="宋体" w:cs="宋体"/>
                <w:color w:val="000000"/>
                <w:kern w:val="0"/>
                <w:sz w:val="24"/>
                <w:lang w:bidi="ar"/>
              </w:rPr>
              <w:t>政府单位基础信息管理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EAFC8">
            <w:pPr>
              <w:spacing w:line="360" w:lineRule="auto"/>
              <w:textAlignment w:val="center"/>
              <w:rPr>
                <w:rFonts w:ascii="宋体" w:hAnsi="宋体"/>
                <w:color w:val="000000"/>
              </w:rPr>
            </w:pPr>
            <w:r>
              <w:rPr>
                <w:rFonts w:hint="eastAsia" w:ascii="宋体" w:hAnsi="宋体" w:cs="宋体"/>
                <w:color w:val="000000"/>
                <w:kern w:val="0"/>
                <w:sz w:val="24"/>
                <w:lang w:bidi="ar"/>
              </w:rPr>
              <w:t>建立南太湖新区及下属街道单位台账，包括单位名称、管理部门、负责人、联系方式、管理范围等基本信息建立统一的数据管理系统，通过清晰台账实现街道单位垃圾分类作业的有效开展，为后续对街道的综合管理提供基础数据支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9C198">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85AE1">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7020E479">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28F5A">
            <w:pPr>
              <w:spacing w:line="360" w:lineRule="auto"/>
              <w:jc w:val="center"/>
              <w:textAlignment w:val="center"/>
              <w:rPr>
                <w:rFonts w:ascii="宋体" w:hAnsi="宋体"/>
                <w:color w:val="000000"/>
              </w:rPr>
            </w:pPr>
            <w:r>
              <w:rPr>
                <w:rFonts w:hint="eastAsia" w:ascii="宋体" w:hAnsi="宋体" w:cs="宋体"/>
                <w:color w:val="000000"/>
                <w:kern w:val="0"/>
                <w:sz w:val="24"/>
                <w:lang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49C42">
            <w:pPr>
              <w:spacing w:line="360" w:lineRule="auto"/>
              <w:jc w:val="center"/>
              <w:rPr>
                <w:rFonts w:ascii="宋体" w:hAnsi="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697E1">
            <w:pPr>
              <w:spacing w:line="360" w:lineRule="auto"/>
              <w:jc w:val="center"/>
              <w:textAlignment w:val="center"/>
              <w:rPr>
                <w:rFonts w:ascii="宋体" w:hAnsi="宋体"/>
                <w:color w:val="000000"/>
              </w:rPr>
            </w:pPr>
            <w:r>
              <w:rPr>
                <w:rFonts w:hint="eastAsia" w:ascii="宋体" w:hAnsi="宋体" w:cs="宋体"/>
                <w:color w:val="000000"/>
                <w:kern w:val="0"/>
                <w:sz w:val="24"/>
                <w:lang w:bidi="ar"/>
              </w:rPr>
              <w:t>运营单位基础信息管理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0A6D9">
            <w:pPr>
              <w:spacing w:line="360" w:lineRule="auto"/>
              <w:textAlignment w:val="center"/>
              <w:rPr>
                <w:rFonts w:ascii="宋体" w:hAnsi="宋体"/>
                <w:color w:val="000000"/>
              </w:rPr>
            </w:pPr>
            <w:r>
              <w:rPr>
                <w:rFonts w:hint="eastAsia" w:ascii="宋体" w:hAnsi="宋体" w:cs="宋体"/>
                <w:color w:val="000000"/>
                <w:kern w:val="0"/>
                <w:sz w:val="24"/>
                <w:lang w:bidi="ar"/>
              </w:rPr>
              <w:t>对参与生活垃圾分类的物业单位或者第三方运营单位基本信息进行管理，建立辖区市场化包括公司名称、服务范围、服务年限、指标要求、项目负责人员、联系方式等，作为对运营单位作业管理的基础。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9DBFD">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DCE82">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6EFF6084">
        <w:tblPrEx>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E9B3F">
            <w:pPr>
              <w:spacing w:line="360" w:lineRule="auto"/>
              <w:jc w:val="center"/>
              <w:textAlignment w:val="center"/>
              <w:rPr>
                <w:rFonts w:ascii="宋体" w:hAnsi="宋体"/>
                <w:color w:val="000000"/>
              </w:rPr>
            </w:pPr>
            <w:r>
              <w:rPr>
                <w:rFonts w:hint="eastAsia" w:ascii="宋体" w:hAnsi="宋体" w:cs="宋体"/>
                <w:color w:val="000000"/>
                <w:kern w:val="0"/>
                <w:sz w:val="24"/>
                <w:lang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ED99D">
            <w:pPr>
              <w:spacing w:line="360" w:lineRule="auto"/>
              <w:jc w:val="center"/>
              <w:rPr>
                <w:rFonts w:ascii="宋体" w:hAnsi="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B4DE4">
            <w:pPr>
              <w:spacing w:line="360" w:lineRule="auto"/>
              <w:jc w:val="center"/>
              <w:textAlignment w:val="center"/>
              <w:rPr>
                <w:rFonts w:ascii="宋体" w:hAnsi="宋体"/>
                <w:color w:val="000000"/>
              </w:rPr>
            </w:pPr>
            <w:r>
              <w:rPr>
                <w:rFonts w:hint="eastAsia" w:ascii="宋体" w:hAnsi="宋体" w:cs="宋体"/>
                <w:color w:val="000000"/>
                <w:kern w:val="0"/>
                <w:sz w:val="24"/>
                <w:lang w:bidi="ar"/>
              </w:rPr>
              <w:t>分类小区基础信息管理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E692C">
            <w:pPr>
              <w:spacing w:line="360" w:lineRule="auto"/>
              <w:textAlignment w:val="center"/>
              <w:rPr>
                <w:rFonts w:ascii="宋体" w:hAnsi="宋体"/>
                <w:color w:val="000000"/>
              </w:rPr>
            </w:pPr>
            <w:r>
              <w:rPr>
                <w:rFonts w:hint="eastAsia" w:ascii="宋体" w:hAnsi="宋体" w:cs="宋体"/>
                <w:color w:val="000000"/>
                <w:kern w:val="0"/>
                <w:sz w:val="24"/>
                <w:lang w:bidi="ar"/>
              </w:rPr>
              <w:t>建立分类小区台账，包括小区名称、所属街道、所属社区、所属物业（运营商）、分类模式、覆盖居民户、设施数量、督导人员配置等数据。建立分类小区数据库，可自定义划分区域，实现街道区域网格化管理，可自定义划分区域，实现下级单位区域网格化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66855">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2E74D">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3C93FD93">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C2F94">
            <w:pPr>
              <w:spacing w:line="360" w:lineRule="auto"/>
              <w:jc w:val="center"/>
              <w:textAlignment w:val="center"/>
              <w:rPr>
                <w:rFonts w:ascii="宋体" w:hAnsi="宋体"/>
                <w:color w:val="000000"/>
              </w:rPr>
            </w:pPr>
            <w:r>
              <w:rPr>
                <w:rFonts w:hint="eastAsia" w:ascii="宋体" w:hAnsi="宋体" w:cs="宋体"/>
                <w:color w:val="000000"/>
                <w:kern w:val="0"/>
                <w:sz w:val="24"/>
                <w:lang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8E058">
            <w:pPr>
              <w:spacing w:line="360" w:lineRule="auto"/>
              <w:jc w:val="center"/>
              <w:rPr>
                <w:rFonts w:ascii="宋体" w:hAnsi="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186DE">
            <w:pPr>
              <w:spacing w:line="360" w:lineRule="auto"/>
              <w:jc w:val="center"/>
              <w:textAlignment w:val="center"/>
              <w:rPr>
                <w:rFonts w:ascii="宋体" w:hAnsi="宋体"/>
                <w:color w:val="000000"/>
              </w:rPr>
            </w:pPr>
            <w:r>
              <w:rPr>
                <w:rFonts w:hint="eastAsia" w:ascii="宋体" w:hAnsi="宋体" w:cs="宋体"/>
                <w:color w:val="000000"/>
                <w:kern w:val="0"/>
                <w:sz w:val="24"/>
                <w:lang w:bidi="ar"/>
              </w:rPr>
              <w:t>分类居民信息管理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AE144">
            <w:pPr>
              <w:spacing w:line="360" w:lineRule="auto"/>
              <w:textAlignment w:val="center"/>
              <w:rPr>
                <w:rFonts w:ascii="宋体" w:hAnsi="宋体"/>
                <w:color w:val="000000"/>
              </w:rPr>
            </w:pPr>
            <w:r>
              <w:rPr>
                <w:rFonts w:hint="eastAsia" w:ascii="宋体" w:hAnsi="宋体" w:cs="宋体"/>
                <w:color w:val="000000"/>
                <w:kern w:val="0"/>
                <w:sz w:val="24"/>
                <w:lang w:bidi="ar"/>
              </w:rPr>
              <w:t>分类居民基本信息管理是将小区居民的门牌号、联系方式、积分卡信息、注册渠道等有关生活垃圾分类的基本信息进行录入和汇总分析，为评价分类居民积极性和分类质量督察做基础数据支撑。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9FD95">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94BAE">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0A9BE5A7">
        <w:tblPrEx>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6846F">
            <w:pPr>
              <w:spacing w:line="360" w:lineRule="auto"/>
              <w:jc w:val="center"/>
              <w:textAlignment w:val="center"/>
              <w:rPr>
                <w:rFonts w:ascii="宋体" w:hAnsi="宋体"/>
                <w:color w:val="000000"/>
              </w:rPr>
            </w:pPr>
            <w:r>
              <w:rPr>
                <w:rFonts w:hint="eastAsia" w:ascii="宋体" w:hAnsi="宋体" w:cs="宋体"/>
                <w:color w:val="000000"/>
                <w:kern w:val="0"/>
                <w:sz w:val="24"/>
                <w:lang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938BA">
            <w:pPr>
              <w:spacing w:line="360" w:lineRule="auto"/>
              <w:jc w:val="center"/>
              <w:rPr>
                <w:rFonts w:ascii="宋体" w:hAnsi="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DC2AC">
            <w:pPr>
              <w:spacing w:line="360" w:lineRule="auto"/>
              <w:jc w:val="center"/>
              <w:textAlignment w:val="center"/>
              <w:rPr>
                <w:rFonts w:ascii="宋体" w:hAnsi="宋体"/>
                <w:color w:val="000000"/>
              </w:rPr>
            </w:pPr>
            <w:r>
              <w:rPr>
                <w:rFonts w:hint="eastAsia" w:ascii="宋体" w:hAnsi="宋体" w:cs="宋体"/>
                <w:color w:val="000000"/>
                <w:kern w:val="0"/>
                <w:sz w:val="24"/>
                <w:lang w:bidi="ar"/>
              </w:rPr>
              <w:t>投放点信息管理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ED1B7">
            <w:pPr>
              <w:spacing w:line="360" w:lineRule="auto"/>
              <w:textAlignment w:val="center"/>
              <w:rPr>
                <w:rFonts w:ascii="宋体" w:hAnsi="宋体"/>
                <w:color w:val="000000"/>
              </w:rPr>
            </w:pPr>
            <w:r>
              <w:rPr>
                <w:rFonts w:hint="eastAsia" w:ascii="宋体" w:hAnsi="宋体" w:cs="宋体"/>
                <w:color w:val="000000"/>
                <w:kern w:val="0"/>
                <w:sz w:val="24"/>
                <w:lang w:bidi="ar"/>
              </w:rPr>
              <w:t>建立垃圾投放点动态信息台账，包括投放点所在位置、所属行政区划、改造方式、改造时间等，支持对投放点定时开放时间、督导员信息进行配置管理，并支持对现场图片进行拍照上传，管理人员可以统一查看投放点改造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B8633">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ADFF1">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7A7032A5">
        <w:tblPrEx>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F5A37">
            <w:pPr>
              <w:spacing w:line="360" w:lineRule="auto"/>
              <w:jc w:val="center"/>
              <w:textAlignment w:val="center"/>
              <w:rPr>
                <w:rFonts w:ascii="宋体" w:hAnsi="宋体"/>
                <w:color w:val="000000"/>
              </w:rPr>
            </w:pPr>
            <w:r>
              <w:rPr>
                <w:rFonts w:hint="eastAsia" w:ascii="宋体" w:hAnsi="宋体" w:cs="宋体"/>
                <w:color w:val="000000"/>
                <w:kern w:val="0"/>
                <w:sz w:val="24"/>
                <w:lang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2E46B">
            <w:pPr>
              <w:spacing w:line="360" w:lineRule="auto"/>
              <w:jc w:val="center"/>
              <w:rPr>
                <w:rFonts w:ascii="宋体" w:hAnsi="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85E1D">
            <w:pPr>
              <w:spacing w:line="360" w:lineRule="auto"/>
              <w:jc w:val="center"/>
              <w:textAlignment w:val="center"/>
              <w:rPr>
                <w:rFonts w:ascii="宋体" w:hAnsi="宋体"/>
                <w:color w:val="000000"/>
              </w:rPr>
            </w:pPr>
            <w:r>
              <w:rPr>
                <w:rFonts w:hint="eastAsia" w:ascii="宋体" w:hAnsi="宋体" w:cs="宋体"/>
                <w:color w:val="000000"/>
                <w:kern w:val="0"/>
                <w:sz w:val="24"/>
                <w:lang w:bidi="ar"/>
              </w:rPr>
              <w:t>设施设备信息管理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E00167">
            <w:pPr>
              <w:spacing w:line="360" w:lineRule="auto"/>
              <w:textAlignment w:val="center"/>
              <w:rPr>
                <w:rFonts w:ascii="宋体" w:hAnsi="宋体"/>
                <w:color w:val="000000"/>
              </w:rPr>
            </w:pPr>
            <w:r>
              <w:rPr>
                <w:rFonts w:hint="eastAsia" w:ascii="宋体" w:hAnsi="宋体" w:cs="宋体"/>
                <w:color w:val="000000"/>
                <w:kern w:val="0"/>
                <w:sz w:val="24"/>
                <w:lang w:bidi="ar"/>
              </w:rPr>
              <w:t>实现各分类设施（视频设备、智能设备等）的集中管理，设备基础信息包括设备名称、设备用途、设备编号、设备所在位置、设备容量、负责人、联系方式等。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258B6">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B1B7F">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38706BE8">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E1D77">
            <w:pPr>
              <w:spacing w:line="360" w:lineRule="auto"/>
              <w:jc w:val="center"/>
              <w:textAlignment w:val="center"/>
              <w:rPr>
                <w:rFonts w:ascii="宋体" w:hAnsi="宋体"/>
                <w:color w:val="000000"/>
              </w:rPr>
            </w:pPr>
            <w:r>
              <w:rPr>
                <w:rFonts w:hint="eastAsia" w:ascii="宋体" w:hAnsi="宋体" w:cs="宋体"/>
                <w:color w:val="000000"/>
                <w:kern w:val="0"/>
                <w:sz w:val="24"/>
                <w:lang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E661D">
            <w:pPr>
              <w:spacing w:line="360" w:lineRule="auto"/>
              <w:jc w:val="center"/>
              <w:rPr>
                <w:rFonts w:ascii="宋体" w:hAnsi="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CB7D9">
            <w:pPr>
              <w:spacing w:line="360" w:lineRule="auto"/>
              <w:jc w:val="center"/>
              <w:textAlignment w:val="center"/>
              <w:rPr>
                <w:rFonts w:ascii="宋体" w:hAnsi="宋体"/>
                <w:color w:val="000000"/>
              </w:rPr>
            </w:pPr>
            <w:r>
              <w:rPr>
                <w:rFonts w:hint="eastAsia" w:ascii="宋体" w:hAnsi="宋体" w:cs="宋体"/>
                <w:color w:val="000000"/>
                <w:kern w:val="0"/>
                <w:sz w:val="24"/>
                <w:lang w:bidi="ar"/>
              </w:rPr>
              <w:t>人员信息管理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DF576B">
            <w:pPr>
              <w:spacing w:line="360" w:lineRule="auto"/>
              <w:textAlignment w:val="center"/>
              <w:rPr>
                <w:rFonts w:ascii="宋体" w:hAnsi="宋体"/>
                <w:color w:val="000000"/>
              </w:rPr>
            </w:pPr>
            <w:r>
              <w:rPr>
                <w:rFonts w:hint="eastAsia" w:ascii="宋体" w:hAnsi="宋体" w:cs="宋体"/>
                <w:color w:val="000000"/>
                <w:kern w:val="0"/>
                <w:sz w:val="24"/>
                <w:lang w:bidi="ar"/>
              </w:rPr>
              <w:t>对南太湖新区政府人员、下属街道人员、运营单位人员、物业人员等人员信息进行管理。人员基本信息主要包括但不限于部门、姓名、联系电话、年龄、性别、职位等。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EE29B">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3BC20">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7EC540F8">
        <w:tblPrEx>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7C3FF">
            <w:pPr>
              <w:spacing w:line="360" w:lineRule="auto"/>
              <w:jc w:val="center"/>
              <w:textAlignment w:val="center"/>
              <w:rPr>
                <w:rFonts w:ascii="宋体" w:hAnsi="宋体"/>
                <w:color w:val="000000"/>
              </w:rPr>
            </w:pPr>
            <w:r>
              <w:rPr>
                <w:rFonts w:hint="eastAsia" w:ascii="宋体" w:hAnsi="宋体" w:cs="宋体"/>
                <w:color w:val="000000"/>
                <w:kern w:val="0"/>
                <w:sz w:val="24"/>
                <w:lang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F0192">
            <w:pPr>
              <w:spacing w:line="360" w:lineRule="auto"/>
              <w:jc w:val="center"/>
              <w:textAlignment w:val="center"/>
              <w:rPr>
                <w:rFonts w:ascii="宋体" w:hAnsi="宋体"/>
                <w:color w:val="000000"/>
              </w:rPr>
            </w:pPr>
            <w:r>
              <w:rPr>
                <w:rFonts w:hint="eastAsia" w:ascii="宋体" w:hAnsi="宋体" w:cs="宋体"/>
                <w:color w:val="000000"/>
                <w:kern w:val="0"/>
                <w:sz w:val="24"/>
                <w:lang w:bidi="ar"/>
              </w:rPr>
              <w:t>分类投放溯源模块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8CB96">
            <w:pPr>
              <w:spacing w:line="360" w:lineRule="auto"/>
              <w:jc w:val="center"/>
              <w:textAlignment w:val="center"/>
              <w:rPr>
                <w:rFonts w:ascii="宋体" w:hAnsi="宋体"/>
                <w:color w:val="000000"/>
              </w:rPr>
            </w:pPr>
            <w:r>
              <w:rPr>
                <w:rFonts w:hint="eastAsia" w:ascii="宋体" w:hAnsi="宋体" w:cs="宋体"/>
                <w:color w:val="000000"/>
                <w:kern w:val="0"/>
                <w:sz w:val="24"/>
                <w:lang w:bidi="ar"/>
              </w:rPr>
              <w:t>投放点设备接入管理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B6D84">
            <w:pPr>
              <w:spacing w:line="360" w:lineRule="auto"/>
              <w:textAlignment w:val="center"/>
              <w:rPr>
                <w:rFonts w:ascii="宋体" w:hAnsi="宋体"/>
                <w:color w:val="000000"/>
              </w:rPr>
            </w:pPr>
            <w:r>
              <w:rPr>
                <w:rFonts w:hint="eastAsia" w:ascii="宋体" w:hAnsi="宋体" w:cs="宋体"/>
                <w:color w:val="000000"/>
                <w:kern w:val="0"/>
                <w:sz w:val="24"/>
                <w:lang w:bidi="ar"/>
              </w:rPr>
              <w:t>建立投放数据统一接入标准，各运营单位根据标准进行标准改造后统一接入，保障数据采集实时、真实。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603A4">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A2CAF">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52882FCE">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DD882">
            <w:pPr>
              <w:spacing w:line="360" w:lineRule="auto"/>
              <w:jc w:val="center"/>
              <w:textAlignment w:val="center"/>
              <w:rPr>
                <w:rFonts w:ascii="宋体" w:hAnsi="宋体"/>
                <w:color w:val="000000"/>
              </w:rPr>
            </w:pPr>
            <w:r>
              <w:rPr>
                <w:rFonts w:hint="eastAsia" w:ascii="宋体" w:hAnsi="宋体" w:cs="宋体"/>
                <w:color w:val="000000"/>
                <w:kern w:val="0"/>
                <w:sz w:val="24"/>
                <w:lang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7C315">
            <w:pPr>
              <w:spacing w:line="360" w:lineRule="auto"/>
              <w:jc w:val="center"/>
              <w:rPr>
                <w:rFonts w:ascii="宋体" w:hAnsi="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17238">
            <w:pPr>
              <w:spacing w:line="360" w:lineRule="auto"/>
              <w:jc w:val="center"/>
              <w:textAlignment w:val="center"/>
              <w:rPr>
                <w:rFonts w:ascii="宋体" w:hAnsi="宋体"/>
                <w:color w:val="000000"/>
              </w:rPr>
            </w:pPr>
            <w:r>
              <w:rPr>
                <w:rFonts w:hint="eastAsia" w:ascii="宋体" w:hAnsi="宋体" w:cs="宋体"/>
                <w:color w:val="000000"/>
                <w:kern w:val="0"/>
                <w:sz w:val="24"/>
                <w:lang w:bidi="ar"/>
              </w:rPr>
              <w:t>源头投放记录管理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FE6F2">
            <w:pPr>
              <w:spacing w:line="360" w:lineRule="auto"/>
              <w:textAlignment w:val="center"/>
              <w:rPr>
                <w:rFonts w:ascii="宋体" w:hAnsi="宋体"/>
                <w:color w:val="000000"/>
              </w:rPr>
            </w:pPr>
            <w:r>
              <w:rPr>
                <w:rFonts w:hint="eastAsia" w:ascii="宋体" w:hAnsi="宋体" w:cs="宋体"/>
                <w:color w:val="000000"/>
                <w:kern w:val="0"/>
                <w:sz w:val="24"/>
                <w:lang w:bidi="ar"/>
              </w:rPr>
              <w:t>投放记录管理是对居民投放数据进行统一管理，记录居民的投放次数、质量、重量作为源头管理数据基础，目前记录主要包括投放居民、投放时间、投放类型、投放次数、投放重量、投放质量、刷卡时间等。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825A3">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23F9E">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05B7AC65">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7D2371">
            <w:pPr>
              <w:spacing w:line="360" w:lineRule="auto"/>
              <w:jc w:val="center"/>
              <w:textAlignment w:val="center"/>
              <w:rPr>
                <w:rFonts w:ascii="宋体" w:hAnsi="宋体"/>
                <w:color w:val="000000"/>
              </w:rPr>
            </w:pPr>
            <w:r>
              <w:rPr>
                <w:rFonts w:hint="eastAsia" w:ascii="宋体" w:hAnsi="宋体" w:cs="宋体"/>
                <w:color w:val="000000"/>
                <w:kern w:val="0"/>
                <w:sz w:val="24"/>
                <w:lang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88A7C">
            <w:pPr>
              <w:spacing w:line="360" w:lineRule="auto"/>
              <w:jc w:val="center"/>
              <w:textAlignment w:val="center"/>
              <w:rPr>
                <w:rFonts w:ascii="宋体" w:hAnsi="宋体"/>
                <w:color w:val="000000"/>
              </w:rPr>
            </w:pPr>
            <w:r>
              <w:rPr>
                <w:rFonts w:hint="eastAsia" w:ascii="宋体" w:hAnsi="宋体" w:cs="宋体"/>
                <w:color w:val="000000"/>
                <w:kern w:val="0"/>
                <w:sz w:val="24"/>
                <w:lang w:bidi="ar"/>
              </w:rPr>
              <w:t>投放行为AI监管模块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125AC">
            <w:pPr>
              <w:spacing w:line="360" w:lineRule="auto"/>
              <w:jc w:val="center"/>
              <w:textAlignment w:val="center"/>
              <w:rPr>
                <w:rFonts w:ascii="宋体" w:hAnsi="宋体"/>
                <w:color w:val="000000"/>
              </w:rPr>
            </w:pPr>
            <w:r>
              <w:rPr>
                <w:rFonts w:hint="eastAsia" w:ascii="宋体" w:hAnsi="宋体" w:cs="宋体"/>
                <w:color w:val="000000"/>
                <w:kern w:val="0"/>
                <w:sz w:val="24"/>
                <w:lang w:bidi="ar"/>
              </w:rPr>
              <w:t>投放行为AI识别管理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3AAB9">
            <w:pPr>
              <w:spacing w:line="360" w:lineRule="auto"/>
              <w:textAlignment w:val="center"/>
              <w:rPr>
                <w:rFonts w:ascii="宋体" w:hAnsi="宋体"/>
                <w:color w:val="000000"/>
              </w:rPr>
            </w:pPr>
            <w:r>
              <w:rPr>
                <w:rFonts w:hint="eastAsia" w:ascii="宋体" w:hAnsi="宋体" w:cs="宋体"/>
                <w:color w:val="000000"/>
                <w:kern w:val="0"/>
                <w:sz w:val="24"/>
                <w:lang w:bidi="ar"/>
              </w:rPr>
              <w:t>通过关键点位视频设备实现投放行为AI识别，主要包括混合投放事件、垃圾满溢事件、垃圾落地事件、垃圾滞留事件，形成异常数据。对违规事件生成报警记录，对违规投放投放时间、投放现场进行还原。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438A6">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406FA">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0C804133">
        <w:tblPrEx>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D5BA5">
            <w:pPr>
              <w:spacing w:line="360" w:lineRule="auto"/>
              <w:jc w:val="center"/>
              <w:textAlignment w:val="center"/>
              <w:rPr>
                <w:rFonts w:ascii="宋体" w:hAnsi="宋体"/>
                <w:color w:val="000000"/>
              </w:rPr>
            </w:pPr>
            <w:r>
              <w:rPr>
                <w:rFonts w:hint="eastAsia" w:ascii="宋体" w:hAnsi="宋体" w:cs="宋体"/>
                <w:color w:val="000000"/>
                <w:kern w:val="0"/>
                <w:sz w:val="24"/>
                <w:lang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F7C14">
            <w:pPr>
              <w:spacing w:line="360" w:lineRule="auto"/>
              <w:jc w:val="center"/>
              <w:rPr>
                <w:rFonts w:ascii="宋体" w:hAnsi="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AD803">
            <w:pPr>
              <w:spacing w:line="360" w:lineRule="auto"/>
              <w:jc w:val="center"/>
              <w:textAlignment w:val="center"/>
              <w:rPr>
                <w:rFonts w:ascii="宋体" w:hAnsi="宋体"/>
                <w:color w:val="000000"/>
              </w:rPr>
            </w:pPr>
            <w:r>
              <w:rPr>
                <w:rFonts w:hint="eastAsia" w:ascii="宋体" w:hAnsi="宋体" w:cs="宋体"/>
                <w:color w:val="000000"/>
                <w:kern w:val="0"/>
                <w:sz w:val="24"/>
                <w:lang w:bidi="ar"/>
              </w:rPr>
              <w:t>投放点视频监管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3AC21">
            <w:pPr>
              <w:spacing w:line="360" w:lineRule="auto"/>
              <w:textAlignment w:val="center"/>
              <w:rPr>
                <w:rFonts w:ascii="宋体" w:hAnsi="宋体"/>
                <w:color w:val="000000"/>
              </w:rPr>
            </w:pPr>
            <w:r>
              <w:rPr>
                <w:rFonts w:hint="eastAsia" w:ascii="宋体" w:hAnsi="宋体" w:cs="宋体"/>
                <w:color w:val="000000"/>
                <w:kern w:val="0"/>
                <w:sz w:val="24"/>
                <w:lang w:bidi="ar"/>
              </w:rPr>
              <w:t>支持垃圾投放点视频实时查看、历史回看，当监管到异常投放行为时进行抓拍取证等。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5BEE5B">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C49E1">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6662E22D">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60980">
            <w:pPr>
              <w:spacing w:line="360" w:lineRule="auto"/>
              <w:jc w:val="center"/>
              <w:textAlignment w:val="center"/>
              <w:rPr>
                <w:rFonts w:ascii="宋体" w:hAnsi="宋体"/>
                <w:color w:val="000000"/>
              </w:rPr>
            </w:pPr>
            <w:r>
              <w:rPr>
                <w:rFonts w:hint="eastAsia" w:ascii="宋体" w:hAnsi="宋体" w:cs="宋体"/>
                <w:color w:val="000000"/>
                <w:kern w:val="0"/>
                <w:sz w:val="24"/>
                <w:lang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D5FD3">
            <w:pPr>
              <w:spacing w:line="360" w:lineRule="auto"/>
              <w:jc w:val="center"/>
              <w:rPr>
                <w:rFonts w:ascii="宋体" w:hAnsi="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6F720">
            <w:pPr>
              <w:spacing w:line="360" w:lineRule="auto"/>
              <w:jc w:val="center"/>
              <w:textAlignment w:val="center"/>
              <w:rPr>
                <w:rFonts w:ascii="宋体" w:hAnsi="宋体"/>
                <w:color w:val="000000"/>
              </w:rPr>
            </w:pPr>
            <w:r>
              <w:rPr>
                <w:rFonts w:hint="eastAsia" w:ascii="宋体" w:hAnsi="宋体" w:cs="宋体"/>
                <w:color w:val="000000"/>
                <w:kern w:val="0"/>
                <w:sz w:val="24"/>
                <w:lang w:bidi="ar"/>
              </w:rPr>
              <w:t>违规投放记录查看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40124">
            <w:pPr>
              <w:spacing w:line="360" w:lineRule="auto"/>
              <w:textAlignment w:val="center"/>
              <w:rPr>
                <w:rFonts w:ascii="宋体" w:hAnsi="宋体"/>
                <w:color w:val="000000"/>
              </w:rPr>
            </w:pPr>
            <w:r>
              <w:rPr>
                <w:rFonts w:hint="eastAsia" w:ascii="宋体" w:hAnsi="宋体" w:cs="宋体"/>
                <w:color w:val="000000"/>
                <w:kern w:val="0"/>
                <w:sz w:val="24"/>
                <w:lang w:bidi="ar"/>
              </w:rPr>
              <w:t>实现对违规投放的综合管理，通过AI识别算法识别到居民的违规行为，标记异常违规投放行为，设置处理规则，支持将异常事件抄送至街道办相关管理人员进行查看。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CCB8E">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28EBB">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7A0B5E99">
        <w:tblPrEx>
          <w:tblCellMar>
            <w:top w:w="0" w:type="dxa"/>
            <w:left w:w="108" w:type="dxa"/>
            <w:bottom w:w="0" w:type="dxa"/>
            <w:right w:w="108" w:type="dxa"/>
          </w:tblCellMar>
        </w:tblPrEx>
        <w:trPr>
          <w:trHeight w:val="2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58854">
            <w:pPr>
              <w:spacing w:line="360" w:lineRule="auto"/>
              <w:jc w:val="center"/>
              <w:textAlignment w:val="center"/>
              <w:rPr>
                <w:rFonts w:ascii="宋体" w:hAnsi="宋体"/>
                <w:color w:val="000000"/>
              </w:rPr>
            </w:pPr>
            <w:r>
              <w:rPr>
                <w:rFonts w:hint="eastAsia" w:ascii="宋体" w:hAnsi="宋体" w:cs="宋体"/>
                <w:color w:val="000000"/>
                <w:kern w:val="0"/>
                <w:sz w:val="24"/>
                <w:lang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421BE">
            <w:pPr>
              <w:spacing w:line="360" w:lineRule="auto"/>
              <w:jc w:val="center"/>
              <w:rPr>
                <w:rFonts w:ascii="宋体" w:hAnsi="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A0C8E">
            <w:pPr>
              <w:spacing w:line="360" w:lineRule="auto"/>
              <w:jc w:val="center"/>
              <w:textAlignment w:val="center"/>
              <w:rPr>
                <w:rFonts w:ascii="宋体" w:hAnsi="宋体"/>
                <w:color w:val="000000"/>
              </w:rPr>
            </w:pPr>
            <w:r>
              <w:rPr>
                <w:rFonts w:hint="eastAsia" w:ascii="宋体" w:hAnsi="宋体" w:cs="宋体"/>
                <w:color w:val="000000"/>
                <w:kern w:val="0"/>
                <w:sz w:val="24"/>
                <w:lang w:bidi="ar"/>
              </w:rPr>
              <w:t>报警闭环管理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DC624">
            <w:pPr>
              <w:spacing w:line="360" w:lineRule="auto"/>
              <w:textAlignment w:val="center"/>
              <w:rPr>
                <w:rFonts w:ascii="宋体" w:hAnsi="宋体"/>
                <w:color w:val="000000"/>
                <w:lang w:bidi="ar"/>
              </w:rPr>
            </w:pPr>
            <w:r>
              <w:rPr>
                <w:rFonts w:hint="eastAsia" w:ascii="宋体" w:hAnsi="宋体" w:cs="宋体"/>
                <w:color w:val="000000"/>
                <w:kern w:val="0"/>
                <w:sz w:val="24"/>
                <w:lang w:bidi="ar"/>
              </w:rPr>
              <w:t>通过前端AI 分析设备对各类违规行为进行分析研判，形成报警记录，通过台账记录的形式展示AI报警记录关键信息，包括报警点位、报警时长、抓拍照片、违规类型等，支持管理人员查看历史视频、工单详情、工单处理进展等信息。</w:t>
            </w:r>
          </w:p>
          <w:p w14:paraId="447FCC0B">
            <w:pPr>
              <w:spacing w:line="360" w:lineRule="auto"/>
              <w:textAlignment w:val="center"/>
              <w:rPr>
                <w:rFonts w:ascii="宋体" w:hAnsi="宋体"/>
                <w:color w:val="000000"/>
              </w:rPr>
            </w:pPr>
            <w:r>
              <w:rPr>
                <w:rFonts w:hint="eastAsia" w:ascii="宋体" w:hAnsi="宋体" w:cs="宋体"/>
                <w:color w:val="000000"/>
                <w:kern w:val="0"/>
                <w:sz w:val="24"/>
                <w:lang w:bidi="ar"/>
              </w:rPr>
              <w:t>对于审核完的违规事件推送到相应的管理人员进行处理，后台设置处理时效，对于超时未处理的事件上升级别督促整改，并上传整改照片，形成闭环管理。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DAC98">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E5012">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3958C73D">
        <w:tblPrEx>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0F38C">
            <w:pPr>
              <w:spacing w:line="360" w:lineRule="auto"/>
              <w:jc w:val="center"/>
              <w:textAlignment w:val="center"/>
              <w:rPr>
                <w:rFonts w:ascii="宋体" w:hAnsi="宋体"/>
                <w:color w:val="000000"/>
              </w:rPr>
            </w:pPr>
            <w:r>
              <w:rPr>
                <w:rFonts w:hint="eastAsia" w:ascii="宋体" w:hAnsi="宋体" w:cs="宋体"/>
                <w:color w:val="000000"/>
                <w:kern w:val="0"/>
                <w:sz w:val="24"/>
                <w:lang w:bidi="ar"/>
              </w:rPr>
              <w:t>15</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6F8BF1D7">
            <w:pPr>
              <w:spacing w:line="360" w:lineRule="auto"/>
              <w:jc w:val="center"/>
              <w:textAlignment w:val="center"/>
              <w:rPr>
                <w:rFonts w:ascii="宋体" w:hAnsi="宋体"/>
                <w:color w:val="000000"/>
              </w:rPr>
            </w:pPr>
            <w:r>
              <w:rPr>
                <w:rFonts w:hint="eastAsia" w:ascii="宋体" w:hAnsi="宋体" w:cs="宋体"/>
                <w:color w:val="000000"/>
                <w:kern w:val="0"/>
                <w:sz w:val="24"/>
                <w:lang w:bidi="ar"/>
              </w:rPr>
              <w:t>分类积分管理模块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E2313">
            <w:pPr>
              <w:spacing w:line="360" w:lineRule="auto"/>
              <w:jc w:val="center"/>
              <w:textAlignment w:val="center"/>
              <w:rPr>
                <w:rFonts w:ascii="宋体" w:hAnsi="宋体"/>
                <w:color w:val="000000"/>
              </w:rPr>
            </w:pPr>
            <w:r>
              <w:rPr>
                <w:rFonts w:hint="eastAsia" w:ascii="宋体" w:hAnsi="宋体" w:cs="宋体"/>
                <w:color w:val="000000"/>
                <w:kern w:val="0"/>
                <w:sz w:val="24"/>
                <w:lang w:bidi="ar"/>
              </w:rPr>
              <w:t>积分台账管理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FC66E">
            <w:pPr>
              <w:spacing w:line="360" w:lineRule="auto"/>
              <w:textAlignment w:val="center"/>
              <w:rPr>
                <w:rFonts w:ascii="宋体" w:hAnsi="宋体"/>
                <w:color w:val="000000"/>
              </w:rPr>
            </w:pPr>
            <w:r>
              <w:rPr>
                <w:rFonts w:hint="eastAsia" w:ascii="宋体" w:hAnsi="宋体" w:cs="宋体"/>
                <w:color w:val="000000"/>
                <w:kern w:val="0"/>
                <w:sz w:val="24"/>
                <w:lang w:bidi="ar"/>
              </w:rPr>
              <w:t>积分管理系统实现南太湖新区辖区分类积分（对接市级平台）的统一管理，建立分类积分台账、分类积分变化数据。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6719C">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FDB26">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686A644B">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686DE">
            <w:pPr>
              <w:spacing w:line="360" w:lineRule="auto"/>
              <w:jc w:val="center"/>
              <w:textAlignment w:val="center"/>
              <w:rPr>
                <w:rFonts w:ascii="宋体" w:hAnsi="宋体"/>
                <w:color w:val="000000"/>
              </w:rPr>
            </w:pPr>
            <w:r>
              <w:rPr>
                <w:rFonts w:hint="eastAsia" w:ascii="宋体" w:hAnsi="宋体" w:cs="宋体"/>
                <w:color w:val="000000"/>
                <w:kern w:val="0"/>
                <w:sz w:val="24"/>
                <w:lang w:bidi="ar"/>
              </w:rPr>
              <w:t>16</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F209BE5">
            <w:pPr>
              <w:spacing w:line="360" w:lineRule="auto"/>
              <w:jc w:val="center"/>
              <w:rPr>
                <w:rFonts w:ascii="宋体" w:hAnsi="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E17F2">
            <w:pPr>
              <w:spacing w:line="360" w:lineRule="auto"/>
              <w:jc w:val="center"/>
              <w:textAlignment w:val="center"/>
              <w:rPr>
                <w:rFonts w:ascii="宋体" w:hAnsi="宋体"/>
                <w:color w:val="000000"/>
              </w:rPr>
            </w:pPr>
            <w:r>
              <w:rPr>
                <w:rFonts w:hint="eastAsia" w:ascii="宋体" w:hAnsi="宋体" w:cs="宋体"/>
                <w:color w:val="000000"/>
                <w:kern w:val="0"/>
                <w:sz w:val="24"/>
                <w:lang w:bidi="ar"/>
              </w:rPr>
              <w:t>积分变化管理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519CE">
            <w:pPr>
              <w:spacing w:line="360" w:lineRule="auto"/>
              <w:textAlignment w:val="center"/>
              <w:rPr>
                <w:rFonts w:ascii="宋体" w:hAnsi="宋体"/>
                <w:color w:val="000000"/>
              </w:rPr>
            </w:pPr>
            <w:r>
              <w:rPr>
                <w:rFonts w:hint="eastAsia" w:ascii="宋体" w:hAnsi="宋体" w:cs="宋体"/>
                <w:color w:val="000000"/>
                <w:kern w:val="0"/>
                <w:sz w:val="24"/>
                <w:lang w:bidi="ar"/>
              </w:rPr>
              <w:t>居民在垃圾分类账户中的积分数据是居民参与垃圾分类活动的直观体现，积分数据的变动代表居民的偏好，对用户积分数据的来源、流向等变动情况进行记录，记录其增加、减少信息。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46E26">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C6867">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77240939">
        <w:tblPrEx>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0F2FC">
            <w:pPr>
              <w:spacing w:line="360" w:lineRule="auto"/>
              <w:jc w:val="center"/>
              <w:textAlignment w:val="center"/>
              <w:rPr>
                <w:rFonts w:ascii="宋体" w:hAnsi="宋体"/>
                <w:color w:val="000000"/>
              </w:rPr>
            </w:pPr>
            <w:r>
              <w:rPr>
                <w:rFonts w:hint="eastAsia" w:ascii="宋体" w:hAnsi="宋体" w:cs="宋体"/>
                <w:color w:val="000000"/>
                <w:kern w:val="0"/>
                <w:sz w:val="24"/>
                <w:lang w:bidi="ar"/>
              </w:rPr>
              <w:t>17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91084">
            <w:pPr>
              <w:spacing w:line="360" w:lineRule="auto"/>
              <w:jc w:val="center"/>
              <w:textAlignment w:val="center"/>
              <w:rPr>
                <w:rFonts w:ascii="宋体" w:hAnsi="宋体"/>
                <w:color w:val="000000"/>
              </w:rPr>
            </w:pPr>
            <w:r>
              <w:rPr>
                <w:rFonts w:hint="eastAsia" w:ascii="宋体" w:hAnsi="宋体" w:cs="宋体"/>
                <w:color w:val="000000"/>
                <w:kern w:val="0"/>
                <w:sz w:val="24"/>
                <w:lang w:bidi="ar"/>
              </w:rPr>
              <w:t>分类数据统计分析模块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1F670">
            <w:pPr>
              <w:spacing w:line="360" w:lineRule="auto"/>
              <w:jc w:val="center"/>
              <w:textAlignment w:val="center"/>
              <w:rPr>
                <w:rFonts w:ascii="宋体" w:hAnsi="宋体"/>
                <w:color w:val="000000"/>
              </w:rPr>
            </w:pPr>
            <w:r>
              <w:rPr>
                <w:rFonts w:hint="eastAsia" w:ascii="宋体" w:hAnsi="宋体" w:cs="宋体"/>
                <w:color w:val="000000"/>
                <w:kern w:val="0"/>
                <w:sz w:val="24"/>
                <w:lang w:bidi="ar"/>
              </w:rPr>
              <w:t>积分数据统计分析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2C0802">
            <w:pPr>
              <w:spacing w:line="360" w:lineRule="auto"/>
              <w:textAlignment w:val="center"/>
              <w:rPr>
                <w:rFonts w:ascii="宋体" w:hAnsi="宋体"/>
                <w:color w:val="000000"/>
              </w:rPr>
            </w:pPr>
            <w:r>
              <w:rPr>
                <w:rFonts w:hint="eastAsia" w:ascii="宋体" w:hAnsi="宋体" w:cs="宋体"/>
                <w:color w:val="000000"/>
                <w:kern w:val="0"/>
                <w:sz w:val="24"/>
                <w:lang w:bidi="ar"/>
              </w:rPr>
              <w:t>对积分的变化数据进行统计与分析，建立多维度多类型的积分数据汇总报表，以便管理部门从多方面考量和规划垃圾分类工作，并运用折线图直观展示变化趋势。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3AB95">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23689">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1D1E0F57">
        <w:tblPrEx>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9BFDC">
            <w:pPr>
              <w:spacing w:line="360" w:lineRule="auto"/>
              <w:jc w:val="center"/>
              <w:textAlignment w:val="center"/>
              <w:rPr>
                <w:rFonts w:ascii="宋体" w:hAnsi="宋体"/>
                <w:color w:val="000000"/>
              </w:rPr>
            </w:pPr>
            <w:r>
              <w:rPr>
                <w:rFonts w:hint="eastAsia" w:ascii="宋体" w:hAnsi="宋体" w:cs="宋体"/>
                <w:color w:val="000000"/>
                <w:kern w:val="0"/>
                <w:sz w:val="24"/>
                <w:lang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CBE63">
            <w:pPr>
              <w:spacing w:line="360" w:lineRule="auto"/>
              <w:jc w:val="center"/>
              <w:rPr>
                <w:rFonts w:ascii="宋体" w:hAnsi="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F2DE5">
            <w:pPr>
              <w:spacing w:line="360" w:lineRule="auto"/>
              <w:jc w:val="center"/>
              <w:textAlignment w:val="center"/>
              <w:rPr>
                <w:rFonts w:ascii="宋体" w:hAnsi="宋体"/>
                <w:color w:val="000000"/>
              </w:rPr>
            </w:pPr>
            <w:r>
              <w:rPr>
                <w:rFonts w:hint="eastAsia" w:ascii="宋体" w:hAnsi="宋体" w:cs="宋体"/>
                <w:color w:val="000000"/>
                <w:kern w:val="0"/>
                <w:sz w:val="24"/>
                <w:lang w:bidi="ar"/>
              </w:rPr>
              <w:t>参与情况统计分析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DD897D">
            <w:pPr>
              <w:spacing w:line="360" w:lineRule="auto"/>
              <w:textAlignment w:val="center"/>
              <w:rPr>
                <w:rFonts w:ascii="宋体" w:hAnsi="宋体"/>
                <w:color w:val="000000"/>
                <w:lang w:bidi="ar"/>
              </w:rPr>
            </w:pPr>
            <w:r>
              <w:rPr>
                <w:rFonts w:hint="eastAsia" w:ascii="宋体" w:hAnsi="宋体" w:cs="宋体"/>
                <w:color w:val="000000"/>
                <w:kern w:val="0"/>
                <w:sz w:val="24"/>
                <w:lang w:bidi="ar"/>
              </w:rPr>
              <w:t>通过智能设备采集到的投放数据、积分兑换数据涉及到的用户统计参与人数，参与人数数据除以居民总数，智能得参与率，同时也支持自定义“分子”数据项。</w:t>
            </w:r>
          </w:p>
          <w:p w14:paraId="3BCFD07C">
            <w:pPr>
              <w:spacing w:line="360" w:lineRule="auto"/>
              <w:textAlignment w:val="center"/>
              <w:rPr>
                <w:rFonts w:ascii="宋体" w:hAnsi="宋体"/>
                <w:color w:val="000000"/>
              </w:rPr>
            </w:pPr>
            <w:r>
              <w:rPr>
                <w:rFonts w:hint="eastAsia" w:ascii="宋体" w:hAnsi="宋体" w:cs="宋体"/>
                <w:color w:val="000000"/>
                <w:kern w:val="0"/>
                <w:sz w:val="24"/>
                <w:lang w:bidi="ar"/>
              </w:rPr>
              <w:t>按照时间维度、行政区划维度统计居民分类参与人数/参与率，查看变化趋势、对比区域数据。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C05C9">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304F2">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0D3A90C3">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E3F29">
            <w:pPr>
              <w:spacing w:line="360" w:lineRule="auto"/>
              <w:jc w:val="center"/>
              <w:textAlignment w:val="center"/>
              <w:rPr>
                <w:rFonts w:ascii="宋体" w:hAnsi="宋体"/>
                <w:color w:val="000000"/>
              </w:rPr>
            </w:pPr>
            <w:r>
              <w:rPr>
                <w:rFonts w:hint="eastAsia" w:ascii="宋体" w:hAnsi="宋体" w:cs="宋体"/>
                <w:color w:val="000000"/>
                <w:kern w:val="0"/>
                <w:sz w:val="24"/>
                <w:lang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ED63C">
            <w:pPr>
              <w:spacing w:line="360" w:lineRule="auto"/>
              <w:jc w:val="center"/>
              <w:rPr>
                <w:rFonts w:ascii="宋体" w:hAnsi="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701EA">
            <w:pPr>
              <w:spacing w:line="360" w:lineRule="auto"/>
              <w:jc w:val="center"/>
              <w:textAlignment w:val="center"/>
              <w:rPr>
                <w:rFonts w:ascii="宋体" w:hAnsi="宋体"/>
                <w:color w:val="000000"/>
              </w:rPr>
            </w:pPr>
            <w:r>
              <w:rPr>
                <w:rFonts w:hint="eastAsia" w:ascii="宋体" w:hAnsi="宋体" w:cs="宋体"/>
                <w:color w:val="000000"/>
                <w:kern w:val="0"/>
                <w:sz w:val="24"/>
                <w:lang w:bidi="ar"/>
              </w:rPr>
              <w:t>投放数据统计分析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77314">
            <w:pPr>
              <w:spacing w:line="360" w:lineRule="auto"/>
              <w:textAlignment w:val="center"/>
              <w:rPr>
                <w:rFonts w:ascii="宋体" w:hAnsi="宋体"/>
                <w:color w:val="000000"/>
              </w:rPr>
            </w:pPr>
            <w:r>
              <w:rPr>
                <w:rFonts w:hint="eastAsia" w:ascii="宋体" w:hAnsi="宋体" w:cs="宋体"/>
                <w:color w:val="000000"/>
                <w:kern w:val="0"/>
                <w:sz w:val="24"/>
                <w:lang w:bidi="ar"/>
              </w:rPr>
              <w:t>实现投放点称重溯源，进行源头垃圾产生量计量管理，计量数据实时传输至监控平台，以投放点位管理单元，支持根据垃圾类型、时间、区域维度进行筛选，系统形成汇总数据。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0CB8F">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89D752">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1717F5FB">
        <w:tblPrEx>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26D1A">
            <w:pPr>
              <w:spacing w:line="360" w:lineRule="auto"/>
              <w:jc w:val="center"/>
              <w:textAlignment w:val="center"/>
              <w:rPr>
                <w:rFonts w:ascii="宋体" w:hAnsi="宋体"/>
                <w:color w:val="000000"/>
              </w:rPr>
            </w:pPr>
            <w:r>
              <w:rPr>
                <w:rFonts w:hint="eastAsia" w:ascii="宋体" w:hAnsi="宋体" w:cs="宋体"/>
                <w:color w:val="000000"/>
                <w:kern w:val="0"/>
                <w:sz w:val="24"/>
                <w:lang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B78D5">
            <w:pPr>
              <w:spacing w:line="360" w:lineRule="auto"/>
              <w:jc w:val="center"/>
              <w:rPr>
                <w:rFonts w:ascii="宋体" w:hAnsi="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9D322">
            <w:pPr>
              <w:spacing w:line="360" w:lineRule="auto"/>
              <w:jc w:val="center"/>
              <w:textAlignment w:val="center"/>
              <w:rPr>
                <w:rFonts w:ascii="宋体" w:hAnsi="宋体"/>
                <w:color w:val="000000"/>
              </w:rPr>
            </w:pPr>
            <w:r>
              <w:rPr>
                <w:rFonts w:hint="eastAsia" w:ascii="宋体" w:hAnsi="宋体" w:cs="宋体"/>
                <w:color w:val="000000"/>
                <w:kern w:val="0"/>
                <w:sz w:val="24"/>
                <w:lang w:bidi="ar"/>
              </w:rPr>
              <w:t>源头称重报表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FBD3D">
            <w:pPr>
              <w:spacing w:line="360" w:lineRule="auto"/>
              <w:textAlignment w:val="center"/>
              <w:rPr>
                <w:rFonts w:ascii="宋体" w:hAnsi="宋体"/>
                <w:color w:val="000000"/>
              </w:rPr>
            </w:pPr>
            <w:r>
              <w:rPr>
                <w:rFonts w:hint="eastAsia" w:ascii="宋体" w:hAnsi="宋体" w:cs="宋体"/>
                <w:color w:val="000000"/>
                <w:kern w:val="0"/>
                <w:sz w:val="24"/>
                <w:lang w:bidi="ar"/>
              </w:rPr>
              <w:t>各类垃圾产生量对比报表、投放点收集量日、周、月报表及各类垃圾产生占比对比报表、垃圾产生趋势图表、分类质量变化等。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94EED">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E8996">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254C1EA0">
        <w:tblPrEx>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020AE">
            <w:pPr>
              <w:spacing w:line="360" w:lineRule="auto"/>
              <w:jc w:val="center"/>
              <w:textAlignment w:val="center"/>
              <w:rPr>
                <w:rFonts w:ascii="宋体" w:hAnsi="宋体"/>
                <w:color w:val="000000"/>
              </w:rPr>
            </w:pPr>
            <w:r>
              <w:rPr>
                <w:rFonts w:hint="eastAsia" w:ascii="宋体" w:hAnsi="宋体" w:cs="宋体"/>
                <w:color w:val="000000"/>
                <w:kern w:val="0"/>
                <w:sz w:val="24"/>
                <w:lang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7380F">
            <w:pPr>
              <w:spacing w:line="360" w:lineRule="auto"/>
              <w:jc w:val="center"/>
              <w:rPr>
                <w:rFonts w:ascii="宋体" w:hAnsi="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0F1A1">
            <w:pPr>
              <w:spacing w:line="360" w:lineRule="auto"/>
              <w:jc w:val="center"/>
              <w:textAlignment w:val="center"/>
              <w:rPr>
                <w:rFonts w:ascii="宋体" w:hAnsi="宋体"/>
                <w:color w:val="000000"/>
              </w:rPr>
            </w:pPr>
            <w:r>
              <w:rPr>
                <w:rFonts w:hint="eastAsia" w:ascii="宋体" w:hAnsi="宋体" w:cs="宋体"/>
                <w:color w:val="000000"/>
                <w:kern w:val="0"/>
                <w:sz w:val="24"/>
                <w:lang w:bidi="ar"/>
              </w:rPr>
              <w:t>违规投放统计分析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08D20">
            <w:pPr>
              <w:spacing w:line="360" w:lineRule="auto"/>
              <w:textAlignment w:val="center"/>
              <w:rPr>
                <w:rFonts w:ascii="宋体" w:hAnsi="宋体"/>
                <w:color w:val="000000"/>
              </w:rPr>
            </w:pPr>
            <w:r>
              <w:rPr>
                <w:rFonts w:hint="eastAsia" w:ascii="宋体" w:hAnsi="宋体" w:cs="宋体"/>
                <w:color w:val="000000"/>
                <w:kern w:val="0"/>
                <w:sz w:val="24"/>
                <w:lang w:bidi="ar"/>
              </w:rPr>
              <w:t>从发生频次统计各报警事件发生频次、高发点位、高发时段等维度进行统计比较，可运用可视化图表进行对比分析。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8FDCE">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28642">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76FFEBAA">
        <w:tblPrEx>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1FE1E">
            <w:pPr>
              <w:spacing w:line="360" w:lineRule="auto"/>
              <w:jc w:val="center"/>
              <w:textAlignment w:val="center"/>
              <w:rPr>
                <w:rFonts w:ascii="宋体" w:hAnsi="宋体"/>
                <w:color w:val="000000"/>
              </w:rPr>
            </w:pPr>
            <w:r>
              <w:rPr>
                <w:rFonts w:hint="eastAsia" w:ascii="宋体" w:hAnsi="宋体" w:cs="宋体"/>
                <w:color w:val="000000"/>
                <w:kern w:val="0"/>
                <w:sz w:val="24"/>
                <w:lang w:bidi="ar"/>
              </w:rPr>
              <w:t>22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34B3C">
            <w:pPr>
              <w:spacing w:line="360" w:lineRule="auto"/>
              <w:jc w:val="center"/>
              <w:textAlignment w:val="center"/>
              <w:rPr>
                <w:rFonts w:ascii="宋体" w:hAnsi="宋体"/>
                <w:color w:val="000000"/>
              </w:rPr>
            </w:pPr>
            <w:r>
              <w:rPr>
                <w:rFonts w:hint="eastAsia" w:ascii="宋体" w:hAnsi="宋体" w:cs="宋体"/>
                <w:color w:val="000000"/>
                <w:kern w:val="0"/>
                <w:sz w:val="24"/>
                <w:lang w:bidi="ar"/>
              </w:rPr>
              <w:t>后台支撑管理模块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BB6AD">
            <w:pPr>
              <w:spacing w:line="360" w:lineRule="auto"/>
              <w:jc w:val="center"/>
              <w:textAlignment w:val="center"/>
              <w:rPr>
                <w:rFonts w:ascii="宋体" w:hAnsi="宋体"/>
                <w:color w:val="000000"/>
              </w:rPr>
            </w:pPr>
            <w:r>
              <w:rPr>
                <w:rFonts w:hint="eastAsia" w:ascii="宋体" w:hAnsi="宋体" w:cs="宋体"/>
                <w:color w:val="000000"/>
                <w:kern w:val="0"/>
                <w:sz w:val="24"/>
                <w:lang w:bidi="ar"/>
              </w:rPr>
              <w:t>权限管理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D0A45">
            <w:pPr>
              <w:spacing w:line="360" w:lineRule="auto"/>
              <w:textAlignment w:val="center"/>
              <w:rPr>
                <w:rFonts w:ascii="宋体" w:hAnsi="宋体"/>
                <w:color w:val="000000"/>
              </w:rPr>
            </w:pPr>
            <w:r>
              <w:rPr>
                <w:rFonts w:hint="eastAsia" w:ascii="宋体" w:hAnsi="宋体" w:cs="宋体"/>
                <w:color w:val="000000"/>
                <w:kern w:val="0"/>
                <w:sz w:val="24"/>
                <w:lang w:bidi="ar"/>
              </w:rPr>
              <w:t>为了保证系统的安全性和服务信息的针对性，系统对所有用户都进行身份认证和权限管理。提供的认证服务有身份证认证、密码认证，并支持更高安全性的指纹认证。所有的系统功能和业务功能的执行都需要先进行权限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3948F">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1B54F">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237B529D">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9E661">
            <w:pPr>
              <w:spacing w:line="360" w:lineRule="auto"/>
              <w:jc w:val="center"/>
              <w:textAlignment w:val="center"/>
              <w:rPr>
                <w:rFonts w:ascii="宋体" w:hAnsi="宋体"/>
                <w:color w:val="000000"/>
              </w:rPr>
            </w:pPr>
            <w:r>
              <w:rPr>
                <w:rFonts w:hint="eastAsia" w:ascii="宋体" w:hAnsi="宋体" w:cs="宋体"/>
                <w:color w:val="000000"/>
                <w:kern w:val="0"/>
                <w:sz w:val="24"/>
                <w:lang w:bidi="ar"/>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16A9D">
            <w:pPr>
              <w:spacing w:line="360" w:lineRule="auto"/>
              <w:jc w:val="center"/>
              <w:rPr>
                <w:rFonts w:ascii="宋体" w:hAnsi="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CC4BB">
            <w:pPr>
              <w:spacing w:line="360" w:lineRule="auto"/>
              <w:jc w:val="center"/>
              <w:textAlignment w:val="center"/>
              <w:rPr>
                <w:rFonts w:ascii="宋体" w:hAnsi="宋体"/>
                <w:color w:val="000000"/>
              </w:rPr>
            </w:pPr>
            <w:r>
              <w:rPr>
                <w:rFonts w:hint="eastAsia" w:ascii="宋体" w:hAnsi="宋体" w:cs="宋体"/>
                <w:color w:val="000000"/>
                <w:kern w:val="0"/>
                <w:sz w:val="24"/>
                <w:lang w:bidi="ar"/>
              </w:rPr>
              <w:t>参数管理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1A9A3">
            <w:pPr>
              <w:spacing w:line="360" w:lineRule="auto"/>
              <w:textAlignment w:val="center"/>
              <w:rPr>
                <w:rFonts w:ascii="宋体" w:hAnsi="宋体"/>
                <w:color w:val="000000"/>
              </w:rPr>
            </w:pPr>
            <w:r>
              <w:rPr>
                <w:rFonts w:hint="eastAsia" w:ascii="宋体" w:hAnsi="宋体" w:cs="宋体"/>
                <w:color w:val="000000"/>
                <w:kern w:val="0"/>
                <w:sz w:val="24"/>
                <w:lang w:bidi="ar"/>
              </w:rPr>
              <w:t>参数管理实现对垃圾分类数据管理平台使用到的共用参数数据进行增删改查操作。通过参数管理的建立，可提高系统的扩展性，并满足在业务变化时系统的快速维护，也可减少数据录入时的人为错误，方便统计汇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C9643">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F80DF">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00AC1DC7">
        <w:tblPrEx>
          <w:tblCellMar>
            <w:top w:w="0" w:type="dxa"/>
            <w:left w:w="108" w:type="dxa"/>
            <w:bottom w:w="0" w:type="dxa"/>
            <w:right w:w="108" w:type="dxa"/>
          </w:tblCellMar>
        </w:tblPrEx>
        <w:trPr>
          <w:trHeight w:val="2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823A7">
            <w:pPr>
              <w:spacing w:line="360" w:lineRule="auto"/>
              <w:jc w:val="center"/>
              <w:textAlignment w:val="center"/>
              <w:rPr>
                <w:rFonts w:ascii="宋体" w:hAnsi="宋体"/>
                <w:color w:val="000000"/>
              </w:rPr>
            </w:pPr>
            <w:r>
              <w:rPr>
                <w:rFonts w:hint="eastAsia" w:ascii="宋体" w:hAnsi="宋体" w:cs="宋体"/>
                <w:color w:val="000000"/>
                <w:kern w:val="0"/>
                <w:sz w:val="24"/>
                <w:lang w:bidi="ar"/>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F12A1">
            <w:pPr>
              <w:spacing w:line="360" w:lineRule="auto"/>
              <w:jc w:val="center"/>
              <w:rPr>
                <w:rFonts w:ascii="宋体" w:hAnsi="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35C01">
            <w:pPr>
              <w:spacing w:line="360" w:lineRule="auto"/>
              <w:jc w:val="center"/>
              <w:textAlignment w:val="center"/>
              <w:rPr>
                <w:rFonts w:ascii="宋体" w:hAnsi="宋体"/>
                <w:color w:val="000000"/>
              </w:rPr>
            </w:pPr>
            <w:r>
              <w:rPr>
                <w:rFonts w:hint="eastAsia" w:ascii="宋体" w:hAnsi="宋体" w:cs="宋体"/>
                <w:color w:val="000000"/>
                <w:kern w:val="0"/>
                <w:sz w:val="24"/>
                <w:lang w:bidi="ar"/>
              </w:rPr>
              <w:t>日志管理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39BAEB">
            <w:pPr>
              <w:spacing w:line="360" w:lineRule="auto"/>
              <w:textAlignment w:val="center"/>
              <w:rPr>
                <w:rFonts w:ascii="宋体" w:hAnsi="宋体"/>
                <w:color w:val="000000"/>
              </w:rPr>
            </w:pPr>
            <w:r>
              <w:rPr>
                <w:rFonts w:hint="eastAsia" w:ascii="宋体" w:hAnsi="宋体" w:cs="宋体"/>
                <w:color w:val="000000"/>
                <w:kern w:val="0"/>
                <w:sz w:val="24"/>
                <w:lang w:bidi="ar"/>
              </w:rPr>
              <w:t>垃圾分类智能管理系统的日志管理是系统运行和数据安全的重要组成部分，主要包括操作日志和登录日志。操作日志记录了用户在系统中的各项操作，如垃圾投放记录、分类查询等，通过详细记录用户行为，系统管理员可以审查和分析用户活动，确保系统的正常运行。登录日志则追踪用户登录和退出的信息，包括登录时间、IP地址等，有助于监测潜在的安全威胁和防范未经授权的访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B2C9C">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0FB41">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0780FC5A">
        <w:tblPrEx>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A6A30">
            <w:pPr>
              <w:spacing w:line="360" w:lineRule="auto"/>
              <w:jc w:val="center"/>
              <w:textAlignment w:val="center"/>
              <w:rPr>
                <w:rFonts w:ascii="宋体" w:hAnsi="宋体"/>
                <w:color w:val="000000"/>
              </w:rPr>
            </w:pPr>
            <w:r>
              <w:rPr>
                <w:rFonts w:hint="eastAsia" w:ascii="宋体" w:hAnsi="宋体" w:cs="宋体"/>
                <w:color w:val="000000"/>
                <w:kern w:val="0"/>
                <w:sz w:val="24"/>
                <w:lang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532CE">
            <w:pPr>
              <w:spacing w:line="360" w:lineRule="auto"/>
              <w:jc w:val="center"/>
              <w:rPr>
                <w:rFonts w:ascii="宋体" w:hAnsi="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71F87">
            <w:pPr>
              <w:spacing w:line="360" w:lineRule="auto"/>
              <w:jc w:val="center"/>
              <w:textAlignment w:val="center"/>
              <w:rPr>
                <w:rFonts w:ascii="宋体" w:hAnsi="宋体"/>
                <w:color w:val="000000"/>
              </w:rPr>
            </w:pPr>
            <w:r>
              <w:rPr>
                <w:rFonts w:hint="eastAsia" w:ascii="宋体" w:hAnsi="宋体" w:cs="宋体"/>
                <w:color w:val="000000"/>
                <w:kern w:val="0"/>
                <w:sz w:val="24"/>
                <w:lang w:bidi="ar"/>
              </w:rPr>
              <w:t>图元管理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D04C6">
            <w:pPr>
              <w:spacing w:line="360" w:lineRule="auto"/>
              <w:textAlignment w:val="center"/>
              <w:rPr>
                <w:rFonts w:ascii="宋体" w:hAnsi="宋体"/>
                <w:color w:val="000000"/>
              </w:rPr>
            </w:pPr>
            <w:r>
              <w:rPr>
                <w:rFonts w:hint="eastAsia" w:ascii="宋体" w:hAnsi="宋体" w:cs="宋体"/>
                <w:color w:val="000000"/>
                <w:kern w:val="0"/>
                <w:sz w:val="24"/>
                <w:lang w:bidi="ar"/>
              </w:rPr>
              <w:t>图元管理模块是系统的核心组成部分，涵盖了图元GIS、图元类型和图元管理等关键功能。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35C29A">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5C36E">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4E0FD8F5">
        <w:tblPrEx>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435A2">
            <w:pPr>
              <w:spacing w:line="360" w:lineRule="auto"/>
              <w:jc w:val="center"/>
              <w:textAlignment w:val="center"/>
              <w:rPr>
                <w:rFonts w:ascii="宋体" w:hAnsi="宋体"/>
                <w:color w:val="000000"/>
              </w:rPr>
            </w:pPr>
            <w:r>
              <w:rPr>
                <w:rFonts w:hint="eastAsia" w:ascii="宋体" w:hAnsi="宋体" w:cs="宋体"/>
                <w:color w:val="000000"/>
                <w:kern w:val="0"/>
                <w:sz w:val="24"/>
                <w:lang w:bidi="ar"/>
              </w:rPr>
              <w:t>26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C0DDD">
            <w:pPr>
              <w:spacing w:line="360" w:lineRule="auto"/>
              <w:jc w:val="center"/>
              <w:textAlignment w:val="center"/>
              <w:rPr>
                <w:rFonts w:ascii="宋体" w:hAnsi="宋体"/>
                <w:color w:val="000000"/>
              </w:rPr>
            </w:pPr>
            <w:r>
              <w:rPr>
                <w:rFonts w:hint="eastAsia" w:ascii="宋体" w:hAnsi="宋体" w:cs="宋体"/>
                <w:color w:val="000000"/>
                <w:kern w:val="0"/>
                <w:sz w:val="24"/>
                <w:lang w:bidi="ar"/>
              </w:rPr>
              <w:t>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19273">
            <w:pPr>
              <w:spacing w:line="360" w:lineRule="auto"/>
              <w:jc w:val="center"/>
              <w:textAlignment w:val="center"/>
              <w:rPr>
                <w:rFonts w:ascii="宋体" w:hAnsi="宋体"/>
                <w:color w:val="000000"/>
              </w:rPr>
            </w:pPr>
            <w:r>
              <w:rPr>
                <w:rFonts w:hint="eastAsia" w:ascii="宋体" w:hAnsi="宋体" w:cs="宋体"/>
                <w:color w:val="000000"/>
                <w:kern w:val="0"/>
                <w:sz w:val="24"/>
                <w:lang w:bidi="ar"/>
              </w:rPr>
              <w:t>湖州市垃圾分类智慧监管平台对接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01ABE">
            <w:pPr>
              <w:spacing w:line="360" w:lineRule="auto"/>
              <w:textAlignment w:val="center"/>
              <w:rPr>
                <w:rFonts w:ascii="宋体" w:hAnsi="宋体"/>
                <w:color w:val="000000"/>
              </w:rPr>
            </w:pPr>
            <w:r>
              <w:rPr>
                <w:rFonts w:hint="eastAsia" w:ascii="宋体" w:hAnsi="宋体" w:cs="宋体"/>
                <w:color w:val="000000"/>
                <w:kern w:val="0"/>
                <w:sz w:val="24"/>
                <w:lang w:bidi="ar"/>
              </w:rPr>
              <w:t>根据浙江省湖州市生活垃圾分类监管平台建设项目平台数据接入规范实现公开对接。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719E4">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A2AD6">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r w14:paraId="6B61BBC4">
        <w:tblPrEx>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23117">
            <w:pPr>
              <w:spacing w:line="360" w:lineRule="auto"/>
              <w:jc w:val="center"/>
              <w:textAlignment w:val="center"/>
              <w:rPr>
                <w:rFonts w:ascii="宋体" w:hAnsi="宋体"/>
                <w:color w:val="000000"/>
              </w:rPr>
            </w:pPr>
            <w:r>
              <w:rPr>
                <w:rFonts w:hint="eastAsia" w:ascii="宋体" w:hAnsi="宋体" w:cs="宋体"/>
                <w:color w:val="000000"/>
                <w:kern w:val="0"/>
                <w:sz w:val="24"/>
                <w:lang w:bidi="ar"/>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15EB9">
            <w:pPr>
              <w:spacing w:line="360" w:lineRule="auto"/>
              <w:jc w:val="center"/>
              <w:rPr>
                <w:rFonts w:ascii="宋体" w:hAnsi="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CF9A31">
            <w:pPr>
              <w:spacing w:line="360" w:lineRule="auto"/>
              <w:textAlignment w:val="center"/>
              <w:rPr>
                <w:rFonts w:ascii="宋体" w:hAnsi="宋体"/>
                <w:color w:val="000000"/>
              </w:rPr>
            </w:pPr>
            <w:r>
              <w:rPr>
                <w:rFonts w:hint="eastAsia" w:ascii="宋体" w:hAnsi="宋体" w:cs="宋体"/>
                <w:color w:val="000000"/>
                <w:kern w:val="0"/>
                <w:sz w:val="24"/>
                <w:lang w:bidi="ar"/>
              </w:rPr>
              <w:t>南太湖新区第三方运营单位平台对接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3FAF9">
            <w:pPr>
              <w:spacing w:line="360" w:lineRule="auto"/>
              <w:textAlignment w:val="center"/>
              <w:rPr>
                <w:rFonts w:ascii="宋体" w:hAnsi="宋体"/>
                <w:color w:val="000000"/>
              </w:rPr>
            </w:pPr>
            <w:r>
              <w:rPr>
                <w:rFonts w:hint="eastAsia" w:ascii="宋体" w:hAnsi="宋体" w:cs="宋体"/>
                <w:color w:val="000000"/>
                <w:kern w:val="0"/>
                <w:sz w:val="24"/>
                <w:lang w:bidi="ar"/>
              </w:rPr>
              <w:t>按照市级数据对接标准规范开发数据对接接口，各运营单位根据标准改造后，将垃圾分类相关运营数据接入本平台。包括垃圾分类小区、垃圾分类投放点、投放点督导人员、投放行为等信息数据，为垃圾分类业务开展提供数据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EB3DC">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5485D">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r>
    </w:tbl>
    <w:p w14:paraId="1ED8439C">
      <w:pPr>
        <w:widowControl/>
        <w:spacing w:line="360" w:lineRule="auto"/>
        <w:ind w:firstLine="482" w:firstLineChars="200"/>
        <w:jc w:val="left"/>
        <w:rPr>
          <w:rFonts w:ascii="宋体" w:hAnsi="宋体"/>
          <w:b/>
          <w:sz w:val="24"/>
        </w:rPr>
      </w:pPr>
    </w:p>
    <w:p w14:paraId="177E01BB">
      <w:pPr>
        <w:widowControl/>
        <w:spacing w:line="360" w:lineRule="auto"/>
        <w:ind w:firstLine="482" w:firstLineChars="200"/>
        <w:jc w:val="left"/>
        <w:rPr>
          <w:rFonts w:ascii="宋体" w:hAnsi="宋体"/>
          <w:b/>
          <w:sz w:val="24"/>
        </w:rPr>
      </w:pPr>
      <w:r>
        <w:rPr>
          <w:rFonts w:hint="eastAsia" w:ascii="宋体" w:hAnsi="宋体"/>
          <w:b/>
          <w:sz w:val="24"/>
        </w:rPr>
        <w:t>2.网络安全建设清单</w:t>
      </w:r>
    </w:p>
    <w:tbl>
      <w:tblPr>
        <w:tblStyle w:val="34"/>
        <w:tblW w:w="0" w:type="auto"/>
        <w:tblInd w:w="0" w:type="dxa"/>
        <w:tblLayout w:type="autofit"/>
        <w:tblCellMar>
          <w:top w:w="0" w:type="dxa"/>
          <w:left w:w="108" w:type="dxa"/>
          <w:bottom w:w="0" w:type="dxa"/>
          <w:right w:w="108" w:type="dxa"/>
        </w:tblCellMar>
      </w:tblPr>
      <w:tblGrid>
        <w:gridCol w:w="623"/>
        <w:gridCol w:w="1449"/>
        <w:gridCol w:w="1614"/>
        <w:gridCol w:w="4695"/>
        <w:gridCol w:w="623"/>
        <w:gridCol w:w="624"/>
      </w:tblGrid>
      <w:tr w14:paraId="1DE894BD">
        <w:tblPrEx>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24218">
            <w:pPr>
              <w:spacing w:line="360" w:lineRule="auto"/>
              <w:jc w:val="center"/>
              <w:textAlignment w:val="center"/>
              <w:rPr>
                <w:rFonts w:ascii="宋体" w:hAnsi="宋体"/>
                <w:b/>
                <w:bCs/>
                <w:color w:val="000000"/>
              </w:rPr>
            </w:pPr>
            <w:r>
              <w:rPr>
                <w:rFonts w:hint="eastAsia" w:ascii="宋体" w:hAnsi="宋体" w:cs="宋体"/>
                <w:b/>
                <w:bCs/>
                <w:color w:val="000000"/>
                <w:kern w:val="0"/>
                <w:sz w:val="24"/>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3B44B">
            <w:pPr>
              <w:spacing w:line="360" w:lineRule="auto"/>
              <w:jc w:val="center"/>
              <w:textAlignment w:val="center"/>
              <w:rPr>
                <w:rFonts w:ascii="宋体" w:hAnsi="宋体"/>
                <w:b/>
                <w:bCs/>
                <w:color w:val="000000"/>
              </w:rPr>
            </w:pPr>
            <w:r>
              <w:rPr>
                <w:rFonts w:hint="eastAsia" w:ascii="宋体" w:hAnsi="宋体" w:cs="宋体"/>
                <w:b/>
                <w:bCs/>
                <w:color w:val="000000"/>
                <w:kern w:val="0"/>
                <w:sz w:val="24"/>
                <w:lang w:bidi="ar"/>
              </w:rPr>
              <w:t>建设类型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719D2">
            <w:pPr>
              <w:spacing w:line="360" w:lineRule="auto"/>
              <w:jc w:val="center"/>
              <w:textAlignment w:val="center"/>
              <w:rPr>
                <w:rFonts w:ascii="宋体" w:hAnsi="宋体"/>
                <w:b/>
                <w:bCs/>
                <w:color w:val="000000"/>
              </w:rPr>
            </w:pPr>
            <w:r>
              <w:rPr>
                <w:rFonts w:hint="eastAsia" w:ascii="宋体" w:hAnsi="宋体" w:cs="宋体"/>
                <w:b/>
                <w:bCs/>
                <w:color w:val="000000"/>
                <w:kern w:val="0"/>
                <w:sz w:val="24"/>
                <w:lang w:bidi="ar"/>
              </w:rPr>
              <w:t>建设内容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F98B2">
            <w:pPr>
              <w:spacing w:line="360" w:lineRule="auto"/>
              <w:jc w:val="center"/>
              <w:textAlignment w:val="center"/>
              <w:rPr>
                <w:rFonts w:ascii="宋体" w:hAnsi="宋体"/>
                <w:b/>
                <w:bCs/>
                <w:color w:val="000000"/>
              </w:rPr>
            </w:pPr>
            <w:r>
              <w:rPr>
                <w:rFonts w:hint="eastAsia" w:ascii="宋体" w:hAnsi="宋体" w:cs="宋体"/>
                <w:b/>
                <w:bCs/>
                <w:color w:val="000000"/>
                <w:kern w:val="0"/>
                <w:sz w:val="24"/>
                <w:lang w:bidi="ar"/>
              </w:rPr>
              <w:t>功能说明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3F6CD4">
            <w:pPr>
              <w:spacing w:line="360" w:lineRule="auto"/>
              <w:jc w:val="center"/>
              <w:textAlignment w:val="center"/>
              <w:rPr>
                <w:rFonts w:ascii="宋体" w:hAnsi="宋体"/>
                <w:b/>
                <w:bCs/>
                <w:color w:val="000000"/>
              </w:rPr>
            </w:pPr>
            <w:r>
              <w:rPr>
                <w:rFonts w:hint="eastAsia" w:ascii="宋体" w:hAnsi="宋体" w:cs="宋体"/>
                <w:b/>
                <w:bCs/>
                <w:color w:val="000000"/>
                <w:kern w:val="0"/>
                <w:sz w:val="24"/>
                <w:lang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4C960">
            <w:pPr>
              <w:spacing w:line="360" w:lineRule="auto"/>
              <w:jc w:val="center"/>
              <w:textAlignment w:val="center"/>
              <w:rPr>
                <w:rFonts w:ascii="宋体" w:hAnsi="宋体"/>
                <w:b/>
                <w:bCs/>
                <w:color w:val="000000"/>
              </w:rPr>
            </w:pPr>
            <w:r>
              <w:rPr>
                <w:rFonts w:hint="eastAsia" w:ascii="宋体" w:hAnsi="宋体" w:cs="宋体"/>
                <w:b/>
                <w:bCs/>
                <w:color w:val="000000"/>
                <w:kern w:val="0"/>
                <w:sz w:val="24"/>
                <w:lang w:bidi="ar"/>
              </w:rPr>
              <w:t>单位</w:t>
            </w:r>
          </w:p>
        </w:tc>
      </w:tr>
      <w:tr w14:paraId="61066176">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69BBD">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B3D1D">
            <w:pPr>
              <w:spacing w:line="360" w:lineRule="auto"/>
              <w:jc w:val="center"/>
              <w:textAlignment w:val="center"/>
              <w:rPr>
                <w:rFonts w:ascii="宋体" w:hAnsi="宋体"/>
                <w:color w:val="000000"/>
              </w:rPr>
            </w:pPr>
            <w:r>
              <w:rPr>
                <w:rFonts w:hint="eastAsia" w:ascii="宋体" w:hAnsi="宋体" w:cs="宋体"/>
                <w:color w:val="000000"/>
                <w:kern w:val="0"/>
                <w:sz w:val="24"/>
                <w:lang w:bidi="ar"/>
              </w:rPr>
              <w:t>等保测评服务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6F928">
            <w:pPr>
              <w:spacing w:line="360" w:lineRule="auto"/>
              <w:jc w:val="center"/>
              <w:textAlignment w:val="center"/>
              <w:rPr>
                <w:rFonts w:ascii="宋体" w:hAnsi="宋体"/>
                <w:color w:val="000000"/>
              </w:rPr>
            </w:pPr>
            <w:r>
              <w:rPr>
                <w:rFonts w:hint="eastAsia" w:ascii="宋体" w:hAnsi="宋体" w:cs="宋体"/>
                <w:color w:val="000000"/>
                <w:kern w:val="0"/>
                <w:sz w:val="24"/>
                <w:lang w:bidi="ar"/>
              </w:rPr>
              <w:t>二级等保测评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B2632">
            <w:pPr>
              <w:spacing w:line="360" w:lineRule="auto"/>
              <w:jc w:val="center"/>
              <w:textAlignment w:val="center"/>
              <w:rPr>
                <w:rFonts w:ascii="宋体" w:hAnsi="宋体"/>
                <w:color w:val="000000"/>
              </w:rPr>
            </w:pPr>
            <w:r>
              <w:rPr>
                <w:rFonts w:hint="eastAsia" w:ascii="宋体" w:hAnsi="宋体" w:cs="宋体"/>
                <w:color w:val="000000"/>
                <w:kern w:val="0"/>
                <w:sz w:val="24"/>
                <w:lang w:bidi="ar"/>
              </w:rPr>
              <w:t>二级等保测评服务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6BDDC">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865B2">
            <w:pPr>
              <w:spacing w:line="360" w:lineRule="auto"/>
              <w:jc w:val="center"/>
              <w:textAlignment w:val="center"/>
              <w:rPr>
                <w:rFonts w:ascii="宋体" w:hAnsi="宋体"/>
                <w:color w:val="000000"/>
              </w:rPr>
            </w:pPr>
            <w:r>
              <w:rPr>
                <w:rFonts w:hint="eastAsia" w:ascii="宋体" w:hAnsi="宋体" w:cs="宋体"/>
                <w:color w:val="000000"/>
                <w:kern w:val="0"/>
                <w:sz w:val="24"/>
                <w:lang w:bidi="ar"/>
              </w:rPr>
              <w:t>项</w:t>
            </w:r>
          </w:p>
        </w:tc>
      </w:tr>
      <w:tr w14:paraId="363CA4DD">
        <w:tblPrEx>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A68FA">
            <w:pPr>
              <w:spacing w:line="360" w:lineRule="auto"/>
              <w:jc w:val="center"/>
              <w:textAlignment w:val="center"/>
              <w:rPr>
                <w:rFonts w:ascii="宋体" w:hAnsi="宋体"/>
                <w:color w:val="000000"/>
              </w:rPr>
            </w:pPr>
            <w:r>
              <w:rPr>
                <w:rFonts w:hint="eastAsia" w:ascii="宋体" w:hAnsi="宋体" w:cs="宋体"/>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441AA9">
            <w:pPr>
              <w:spacing w:line="360" w:lineRule="auto"/>
              <w:jc w:val="center"/>
              <w:textAlignment w:val="center"/>
              <w:rPr>
                <w:rFonts w:ascii="宋体" w:hAnsi="宋体"/>
                <w:color w:val="000000"/>
              </w:rPr>
            </w:pPr>
            <w:r>
              <w:rPr>
                <w:rFonts w:hint="eastAsia" w:ascii="宋体" w:hAnsi="宋体" w:cs="宋体"/>
                <w:color w:val="000000"/>
                <w:kern w:val="0"/>
                <w:sz w:val="24"/>
                <w:lang w:bidi="ar"/>
              </w:rPr>
              <w:t>云组件安全服务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B23E2">
            <w:pPr>
              <w:spacing w:line="360" w:lineRule="auto"/>
              <w:jc w:val="center"/>
              <w:textAlignment w:val="center"/>
              <w:rPr>
                <w:rFonts w:ascii="宋体" w:hAnsi="宋体"/>
                <w:color w:val="000000"/>
              </w:rPr>
            </w:pPr>
            <w:r>
              <w:rPr>
                <w:rFonts w:hint="eastAsia" w:ascii="宋体" w:hAnsi="宋体" w:cs="宋体"/>
                <w:color w:val="000000"/>
                <w:kern w:val="0"/>
                <w:sz w:val="24"/>
                <w:lang w:bidi="ar"/>
              </w:rPr>
              <w:t>安全组件初级套餐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4ACC2">
            <w:pPr>
              <w:spacing w:line="360" w:lineRule="auto"/>
              <w:jc w:val="center"/>
              <w:textAlignment w:val="center"/>
              <w:rPr>
                <w:rFonts w:ascii="宋体" w:hAnsi="宋体"/>
                <w:color w:val="000000"/>
                <w:lang w:bidi="ar"/>
              </w:rPr>
            </w:pPr>
            <w:r>
              <w:rPr>
                <w:rFonts w:hint="eastAsia" w:ascii="宋体" w:hAnsi="宋体" w:cs="宋体"/>
                <w:color w:val="000000"/>
                <w:kern w:val="0"/>
                <w:sz w:val="24"/>
                <w:lang w:bidi="ar"/>
              </w:rPr>
              <w:t>适合不大于5个虚拟主机、500Mbps吞吐流量、2个数据库</w:t>
            </w:r>
          </w:p>
          <w:p w14:paraId="5660C2DE">
            <w:pPr>
              <w:spacing w:line="360" w:lineRule="auto"/>
              <w:jc w:val="center"/>
              <w:textAlignment w:val="center"/>
              <w:rPr>
                <w:rFonts w:ascii="宋体" w:hAnsi="宋体"/>
                <w:color w:val="000000"/>
              </w:rPr>
            </w:pPr>
            <w:r>
              <w:rPr>
                <w:rFonts w:hint="eastAsia" w:ascii="宋体" w:hAnsi="宋体" w:cs="宋体"/>
                <w:color w:val="000000"/>
                <w:kern w:val="0"/>
                <w:sz w:val="24"/>
                <w:lang w:bidi="ar"/>
              </w:rPr>
              <w:t>实例、5个日志源、2个WEB应用系统的单位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80728">
            <w:pPr>
              <w:spacing w:line="360" w:lineRule="auto"/>
              <w:jc w:val="center"/>
              <w:textAlignment w:val="center"/>
              <w:rPr>
                <w:rFonts w:ascii="宋体" w:hAnsi="宋体"/>
                <w:color w:val="000000"/>
              </w:rPr>
            </w:pPr>
            <w:r>
              <w:rPr>
                <w:rFonts w:hint="eastAsia" w:ascii="宋体" w:hAnsi="宋体" w:cs="宋体"/>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A1F36">
            <w:pPr>
              <w:spacing w:line="360" w:lineRule="auto"/>
              <w:jc w:val="center"/>
              <w:textAlignment w:val="center"/>
              <w:rPr>
                <w:rFonts w:ascii="宋体" w:hAnsi="宋体"/>
                <w:color w:val="000000"/>
              </w:rPr>
            </w:pPr>
            <w:r>
              <w:rPr>
                <w:rFonts w:hint="eastAsia" w:ascii="宋体" w:hAnsi="宋体" w:cs="宋体"/>
                <w:color w:val="000000"/>
                <w:kern w:val="0"/>
                <w:sz w:val="24"/>
                <w:lang w:bidi="ar"/>
              </w:rPr>
              <w:t>套</w:t>
            </w:r>
          </w:p>
        </w:tc>
      </w:tr>
    </w:tbl>
    <w:p w14:paraId="16834F5C">
      <w:pPr>
        <w:widowControl/>
        <w:spacing w:line="360" w:lineRule="auto"/>
        <w:ind w:firstLine="482" w:firstLineChars="200"/>
        <w:jc w:val="left"/>
        <w:rPr>
          <w:rFonts w:ascii="宋体" w:hAnsi="宋体"/>
          <w:b/>
          <w:sz w:val="24"/>
        </w:rPr>
      </w:pPr>
      <w:bookmarkStart w:id="5" w:name="_Toc25280"/>
    </w:p>
    <w:p w14:paraId="31AF7DA1">
      <w:pPr>
        <w:widowControl/>
        <w:spacing w:line="360" w:lineRule="auto"/>
        <w:ind w:firstLine="482" w:firstLineChars="200"/>
        <w:jc w:val="left"/>
        <w:rPr>
          <w:rFonts w:ascii="宋体" w:hAnsi="宋体"/>
          <w:b/>
          <w:sz w:val="24"/>
        </w:rPr>
      </w:pPr>
      <w:r>
        <w:rPr>
          <w:rFonts w:hint="eastAsia" w:ascii="宋体" w:hAnsi="宋体"/>
          <w:b/>
          <w:sz w:val="24"/>
        </w:rPr>
        <w:t>（四）功能设计</w:t>
      </w:r>
      <w:bookmarkEnd w:id="5"/>
      <w:r>
        <w:rPr>
          <w:rFonts w:hint="eastAsia" w:ascii="宋体" w:hAnsi="宋体"/>
          <w:b/>
          <w:sz w:val="24"/>
        </w:rPr>
        <w:t>需求</w:t>
      </w:r>
    </w:p>
    <w:p w14:paraId="51C84FE1">
      <w:pPr>
        <w:widowControl/>
        <w:spacing w:line="360" w:lineRule="auto"/>
        <w:ind w:firstLine="482" w:firstLineChars="200"/>
        <w:jc w:val="left"/>
        <w:rPr>
          <w:rFonts w:ascii="宋体" w:hAnsi="宋体"/>
          <w:b/>
          <w:sz w:val="24"/>
        </w:rPr>
      </w:pPr>
      <w:r>
        <w:rPr>
          <w:rFonts w:hint="eastAsia" w:ascii="宋体" w:hAnsi="宋体"/>
          <w:b/>
          <w:sz w:val="24"/>
        </w:rPr>
        <w:t>1.基础信息管理模块</w:t>
      </w:r>
    </w:p>
    <w:p w14:paraId="356213AF">
      <w:pPr>
        <w:widowControl/>
        <w:spacing w:line="360" w:lineRule="auto"/>
        <w:ind w:firstLine="482" w:firstLineChars="200"/>
        <w:jc w:val="left"/>
        <w:rPr>
          <w:rFonts w:ascii="宋体" w:hAnsi="宋体"/>
          <w:b/>
          <w:sz w:val="24"/>
        </w:rPr>
      </w:pPr>
      <w:r>
        <w:rPr>
          <w:rFonts w:hint="eastAsia" w:ascii="宋体" w:hAnsi="宋体"/>
          <w:b/>
          <w:sz w:val="24"/>
        </w:rPr>
        <w:t>（1）行政区划管理</w:t>
      </w:r>
    </w:p>
    <w:p w14:paraId="0CA12F6E">
      <w:pPr>
        <w:spacing w:line="360" w:lineRule="auto"/>
        <w:ind w:firstLine="480"/>
        <w:rPr>
          <w:rFonts w:ascii="宋体" w:hAnsi="宋体"/>
        </w:rPr>
      </w:pPr>
      <w:r>
        <w:rPr>
          <w:rFonts w:hint="eastAsia" w:ascii="宋体" w:hAnsi="宋体" w:cs="宋体"/>
        </w:rPr>
        <w:t>对南太湖新增区划信息进行管理，包含区划名称，行政代码，GIS信息等，支持查看、修改和删除。</w:t>
      </w:r>
    </w:p>
    <w:p w14:paraId="281572F7">
      <w:pPr>
        <w:widowControl/>
        <w:spacing w:line="360" w:lineRule="auto"/>
        <w:ind w:firstLine="482" w:firstLineChars="200"/>
        <w:jc w:val="left"/>
        <w:rPr>
          <w:rFonts w:ascii="宋体" w:hAnsi="宋体"/>
          <w:b/>
          <w:sz w:val="24"/>
        </w:rPr>
      </w:pPr>
      <w:r>
        <w:rPr>
          <w:rFonts w:hint="eastAsia" w:ascii="宋体" w:hAnsi="宋体"/>
          <w:b/>
          <w:sz w:val="24"/>
        </w:rPr>
        <w:t>（2）政府单位基础信息管理</w:t>
      </w:r>
    </w:p>
    <w:p w14:paraId="65BB3C18">
      <w:pPr>
        <w:spacing w:line="360" w:lineRule="auto"/>
        <w:ind w:firstLine="480"/>
        <w:rPr>
          <w:rFonts w:ascii="宋体" w:hAnsi="宋体"/>
        </w:rPr>
      </w:pPr>
      <w:r>
        <w:rPr>
          <w:rFonts w:hint="eastAsia" w:ascii="宋体" w:hAnsi="宋体" w:cs="宋体"/>
        </w:rPr>
        <w:t>建立南太湖新区及下属街道单位台账，包括单位名称、管理部门、负责人、联系方式、管理范围等基本信息建立统一的数据管理系统，通过清晰台账实现街道单位垃圾分类作业的有效开展，为后续对街道的综合管理提供基础数据支撑。</w:t>
      </w:r>
    </w:p>
    <w:p w14:paraId="2CA718A8">
      <w:pPr>
        <w:widowControl/>
        <w:spacing w:line="360" w:lineRule="auto"/>
        <w:ind w:firstLine="482" w:firstLineChars="200"/>
        <w:jc w:val="left"/>
        <w:rPr>
          <w:rFonts w:ascii="宋体" w:hAnsi="宋体"/>
          <w:b/>
          <w:sz w:val="24"/>
        </w:rPr>
      </w:pPr>
      <w:r>
        <w:rPr>
          <w:rFonts w:hint="eastAsia" w:ascii="宋体" w:hAnsi="宋体"/>
          <w:b/>
          <w:sz w:val="24"/>
        </w:rPr>
        <w:t>（3）运营单位基础信息管理</w:t>
      </w:r>
    </w:p>
    <w:p w14:paraId="5B37A285">
      <w:pPr>
        <w:spacing w:line="360" w:lineRule="auto"/>
        <w:ind w:firstLine="480"/>
        <w:rPr>
          <w:rFonts w:ascii="宋体" w:hAnsi="宋体"/>
        </w:rPr>
      </w:pPr>
      <w:r>
        <w:rPr>
          <w:rFonts w:hint="eastAsia" w:ascii="宋体" w:hAnsi="宋体" w:cs="宋体"/>
        </w:rPr>
        <w:t>对参与生活垃圾分类的物业单位或者第三方运营单位基本信息进行管理，建立辖区市场化包括公司名称、服务范围、服务年限、指标要求、项目负责人员、联系方式等，作为对运营单位作业管理的基础。</w:t>
      </w:r>
    </w:p>
    <w:p w14:paraId="155A8A6F">
      <w:pPr>
        <w:widowControl/>
        <w:spacing w:line="360" w:lineRule="auto"/>
        <w:ind w:firstLine="482" w:firstLineChars="200"/>
        <w:jc w:val="left"/>
        <w:rPr>
          <w:rFonts w:ascii="宋体" w:hAnsi="宋体"/>
          <w:b/>
          <w:sz w:val="24"/>
        </w:rPr>
      </w:pPr>
      <w:r>
        <w:rPr>
          <w:rFonts w:hint="eastAsia" w:ascii="宋体" w:hAnsi="宋体"/>
          <w:b/>
          <w:sz w:val="24"/>
        </w:rPr>
        <w:t>（4）分类小区基础信息管理</w:t>
      </w:r>
    </w:p>
    <w:p w14:paraId="0BC4DBB5">
      <w:pPr>
        <w:spacing w:line="360" w:lineRule="auto"/>
        <w:ind w:firstLine="480"/>
        <w:rPr>
          <w:rFonts w:ascii="宋体" w:hAnsi="宋体"/>
        </w:rPr>
      </w:pPr>
      <w:r>
        <w:rPr>
          <w:rFonts w:hint="eastAsia" w:ascii="宋体" w:hAnsi="宋体" w:cs="宋体"/>
        </w:rPr>
        <w:t>建立分类小区台账，包括小区名称、所属街道、所属社区、所属物业（运营商）、分类模式、覆盖居民户、设施数量、督导人员配置等数据。建立分类小区数据库，可自定义划分区域，实现街道区域网格化管理，可自定义划分区域，实现下级单位区域网格化管理。</w:t>
      </w:r>
    </w:p>
    <w:p w14:paraId="268C4625">
      <w:pPr>
        <w:widowControl/>
        <w:spacing w:line="360" w:lineRule="auto"/>
        <w:ind w:firstLine="482" w:firstLineChars="200"/>
        <w:jc w:val="left"/>
        <w:rPr>
          <w:rFonts w:ascii="宋体" w:hAnsi="宋体"/>
          <w:b/>
          <w:sz w:val="24"/>
        </w:rPr>
      </w:pPr>
      <w:r>
        <w:rPr>
          <w:rFonts w:hint="eastAsia" w:ascii="宋体" w:hAnsi="宋体"/>
          <w:b/>
          <w:sz w:val="24"/>
        </w:rPr>
        <w:t>（5）分类居民信息管理</w:t>
      </w:r>
    </w:p>
    <w:p w14:paraId="7404FFE0">
      <w:pPr>
        <w:spacing w:line="360" w:lineRule="auto"/>
        <w:ind w:firstLine="480"/>
        <w:rPr>
          <w:rFonts w:ascii="宋体" w:hAnsi="宋体"/>
        </w:rPr>
      </w:pPr>
      <w:r>
        <w:rPr>
          <w:rFonts w:hint="eastAsia" w:ascii="宋体" w:hAnsi="宋体" w:cs="宋体"/>
        </w:rPr>
        <w:t>分类居民基本信息管理是将小区居民的门牌号、联系方式、积分卡信息、注册渠道等有关生活垃圾分类的基本信息进行录入和汇总分析，为评价分类居民积极性和分类质量督察做基础数据支撑。</w:t>
      </w:r>
    </w:p>
    <w:p w14:paraId="61BB0AFF">
      <w:pPr>
        <w:widowControl/>
        <w:spacing w:line="360" w:lineRule="auto"/>
        <w:ind w:firstLine="482" w:firstLineChars="200"/>
        <w:jc w:val="left"/>
        <w:rPr>
          <w:rFonts w:ascii="宋体" w:hAnsi="宋体"/>
          <w:b/>
          <w:sz w:val="24"/>
        </w:rPr>
      </w:pPr>
      <w:r>
        <w:rPr>
          <w:rFonts w:hint="eastAsia" w:ascii="宋体" w:hAnsi="宋体"/>
          <w:b/>
          <w:sz w:val="24"/>
        </w:rPr>
        <w:t>（6）投放点信息管理</w:t>
      </w:r>
    </w:p>
    <w:p w14:paraId="2DB5DCFD">
      <w:pPr>
        <w:spacing w:line="360" w:lineRule="auto"/>
        <w:ind w:firstLine="480"/>
        <w:rPr>
          <w:rFonts w:ascii="宋体" w:hAnsi="宋体"/>
        </w:rPr>
      </w:pPr>
      <w:r>
        <w:rPr>
          <w:rFonts w:hint="eastAsia" w:ascii="宋体" w:hAnsi="宋体" w:cs="宋体"/>
        </w:rPr>
        <w:t>建立垃圾投放点动态信息台账，包括投放点所在位置、所属行政区划、改造方式、改造时间等，支持对投放点定时开放时间、督导员信息进行配置管理，并支持对现场图片进行拍照上传，管理人员可以统一查看投放点改造情况。</w:t>
      </w:r>
    </w:p>
    <w:p w14:paraId="6AFC30F5">
      <w:pPr>
        <w:widowControl/>
        <w:spacing w:line="360" w:lineRule="auto"/>
        <w:ind w:firstLine="482" w:firstLineChars="200"/>
        <w:jc w:val="left"/>
        <w:rPr>
          <w:rFonts w:ascii="宋体" w:hAnsi="宋体"/>
          <w:b/>
          <w:sz w:val="24"/>
        </w:rPr>
      </w:pPr>
      <w:r>
        <w:rPr>
          <w:rFonts w:hint="eastAsia" w:ascii="宋体" w:hAnsi="宋体"/>
          <w:b/>
          <w:sz w:val="24"/>
        </w:rPr>
        <w:t>（7）设施设备信息管理</w:t>
      </w:r>
    </w:p>
    <w:p w14:paraId="157DC86C">
      <w:pPr>
        <w:spacing w:line="360" w:lineRule="auto"/>
        <w:ind w:firstLine="480"/>
        <w:rPr>
          <w:rFonts w:ascii="宋体" w:hAnsi="宋体"/>
        </w:rPr>
      </w:pPr>
      <w:r>
        <w:rPr>
          <w:rFonts w:hint="eastAsia" w:ascii="宋体" w:hAnsi="宋体" w:cs="宋体"/>
        </w:rPr>
        <w:t>实现各分类设施（视频设备、智能设备等）的集中管理，设备基础信息包括设备名称、设备用途、设备编号、设备所在位置、设备容量、负责人、联系方式等。</w:t>
      </w:r>
    </w:p>
    <w:p w14:paraId="4C81CA78">
      <w:pPr>
        <w:widowControl/>
        <w:spacing w:line="360" w:lineRule="auto"/>
        <w:ind w:firstLine="482" w:firstLineChars="200"/>
        <w:jc w:val="left"/>
        <w:rPr>
          <w:rFonts w:ascii="宋体" w:hAnsi="宋体"/>
          <w:b/>
          <w:sz w:val="24"/>
        </w:rPr>
      </w:pPr>
      <w:r>
        <w:rPr>
          <w:rFonts w:hint="eastAsia" w:ascii="宋体" w:hAnsi="宋体"/>
          <w:b/>
          <w:sz w:val="24"/>
        </w:rPr>
        <w:t>（8）人员信息管理</w:t>
      </w:r>
    </w:p>
    <w:p w14:paraId="6682494F">
      <w:pPr>
        <w:spacing w:line="360" w:lineRule="auto"/>
        <w:ind w:firstLine="480"/>
        <w:rPr>
          <w:rFonts w:ascii="宋体" w:hAnsi="宋体"/>
        </w:rPr>
      </w:pPr>
      <w:r>
        <w:rPr>
          <w:rFonts w:hint="eastAsia" w:ascii="宋体" w:hAnsi="宋体" w:cs="宋体"/>
        </w:rPr>
        <w:t>对南太湖新区政府人员、下属街道人员、运营单位人员、物业人员等人员信息进行管理。人员基本信息主要包括但不限于部门、姓名、联系电话、年龄、性别、职位等。</w:t>
      </w:r>
    </w:p>
    <w:p w14:paraId="41058CF5">
      <w:pPr>
        <w:widowControl/>
        <w:spacing w:line="360" w:lineRule="auto"/>
        <w:ind w:firstLine="482" w:firstLineChars="200"/>
        <w:jc w:val="left"/>
        <w:rPr>
          <w:rFonts w:ascii="宋体" w:hAnsi="宋体"/>
          <w:b/>
          <w:sz w:val="24"/>
        </w:rPr>
      </w:pPr>
      <w:r>
        <w:rPr>
          <w:rFonts w:hint="eastAsia" w:ascii="宋体" w:hAnsi="宋体"/>
          <w:b/>
          <w:sz w:val="24"/>
        </w:rPr>
        <w:t>2.分类投放溯源模块</w:t>
      </w:r>
    </w:p>
    <w:p w14:paraId="26B9926A">
      <w:pPr>
        <w:widowControl/>
        <w:spacing w:line="360" w:lineRule="auto"/>
        <w:ind w:firstLine="482" w:firstLineChars="200"/>
        <w:jc w:val="left"/>
        <w:rPr>
          <w:rFonts w:ascii="宋体" w:hAnsi="宋体"/>
          <w:b/>
          <w:sz w:val="24"/>
        </w:rPr>
      </w:pPr>
      <w:r>
        <w:rPr>
          <w:rFonts w:hint="eastAsia" w:ascii="宋体" w:hAnsi="宋体"/>
          <w:b/>
          <w:sz w:val="24"/>
        </w:rPr>
        <w:t>（1）投放点设备接入管理</w:t>
      </w:r>
    </w:p>
    <w:p w14:paraId="574863D1">
      <w:pPr>
        <w:spacing w:line="360" w:lineRule="auto"/>
        <w:ind w:firstLine="480"/>
        <w:rPr>
          <w:rFonts w:ascii="宋体" w:hAnsi="宋体"/>
        </w:rPr>
      </w:pPr>
      <w:r>
        <w:rPr>
          <w:rFonts w:hint="eastAsia" w:ascii="宋体" w:hAnsi="宋体" w:cs="宋体"/>
        </w:rPr>
        <w:t>建立投放数据统一接入标准，各运营单位根据标准进行标准改造后统一接入，保障数据采集实时、真实。</w:t>
      </w:r>
    </w:p>
    <w:p w14:paraId="55D1FC51">
      <w:pPr>
        <w:widowControl/>
        <w:spacing w:line="360" w:lineRule="auto"/>
        <w:ind w:firstLine="482" w:firstLineChars="200"/>
        <w:jc w:val="left"/>
        <w:rPr>
          <w:rFonts w:ascii="宋体" w:hAnsi="宋体"/>
          <w:b/>
          <w:sz w:val="24"/>
        </w:rPr>
      </w:pPr>
      <w:r>
        <w:rPr>
          <w:rFonts w:hint="eastAsia" w:ascii="宋体" w:hAnsi="宋体"/>
          <w:b/>
          <w:sz w:val="24"/>
        </w:rPr>
        <w:t>（2）源头投放记录管理</w:t>
      </w:r>
    </w:p>
    <w:p w14:paraId="5A865DBD">
      <w:pPr>
        <w:spacing w:line="360" w:lineRule="auto"/>
        <w:ind w:firstLine="480"/>
        <w:rPr>
          <w:rFonts w:ascii="宋体" w:hAnsi="宋体"/>
        </w:rPr>
      </w:pPr>
      <w:r>
        <w:rPr>
          <w:rFonts w:hint="eastAsia" w:ascii="宋体" w:hAnsi="宋体" w:cs="宋体"/>
        </w:rPr>
        <w:t>投放记录管理是对居民投放数据进行统一管理，记录居民的投放次数、质量、重量作为源头管理数据基础，目前记录主要包括投放居民、投放时间、投放类型、投放次数、投放重量、投放质量、刷卡时间等。</w:t>
      </w:r>
    </w:p>
    <w:p w14:paraId="65D3E99F">
      <w:pPr>
        <w:widowControl/>
        <w:spacing w:line="360" w:lineRule="auto"/>
        <w:ind w:firstLine="482" w:firstLineChars="200"/>
        <w:jc w:val="left"/>
        <w:rPr>
          <w:rFonts w:ascii="宋体" w:hAnsi="宋体"/>
          <w:b/>
          <w:sz w:val="24"/>
        </w:rPr>
      </w:pPr>
      <w:r>
        <w:rPr>
          <w:rFonts w:hint="eastAsia" w:ascii="宋体" w:hAnsi="宋体"/>
          <w:b/>
          <w:sz w:val="24"/>
        </w:rPr>
        <w:t>3.投放行为AI监管模块</w:t>
      </w:r>
    </w:p>
    <w:p w14:paraId="5B761550">
      <w:pPr>
        <w:widowControl/>
        <w:spacing w:line="360" w:lineRule="auto"/>
        <w:ind w:firstLine="482" w:firstLineChars="200"/>
        <w:jc w:val="left"/>
        <w:rPr>
          <w:rFonts w:ascii="宋体" w:hAnsi="宋体"/>
          <w:b/>
          <w:sz w:val="24"/>
        </w:rPr>
      </w:pPr>
      <w:r>
        <w:rPr>
          <w:rFonts w:hint="eastAsia" w:ascii="宋体" w:hAnsi="宋体"/>
          <w:b/>
          <w:sz w:val="24"/>
        </w:rPr>
        <w:t>（1）投放行为AI识别管理</w:t>
      </w:r>
    </w:p>
    <w:p w14:paraId="575AFC82">
      <w:pPr>
        <w:spacing w:line="360" w:lineRule="auto"/>
        <w:ind w:firstLine="480"/>
        <w:rPr>
          <w:rFonts w:ascii="宋体" w:hAnsi="宋体"/>
        </w:rPr>
      </w:pPr>
      <w:r>
        <w:rPr>
          <w:rFonts w:hint="eastAsia" w:ascii="宋体" w:hAnsi="宋体" w:cs="宋体"/>
        </w:rPr>
        <w:t>通过关键点位视频设备实现投放行为AI识别，主要包括混合投放事件、垃圾满溢事件、垃圾落地事件、垃圾滞留事件，形成异常数据。对违规事件生成报警记录，对违规投放投放时间、投放现场进行还原。</w:t>
      </w:r>
    </w:p>
    <w:p w14:paraId="0E2B0B3C">
      <w:pPr>
        <w:widowControl/>
        <w:spacing w:line="360" w:lineRule="auto"/>
        <w:ind w:firstLine="482" w:firstLineChars="200"/>
        <w:jc w:val="left"/>
        <w:rPr>
          <w:rFonts w:ascii="宋体" w:hAnsi="宋体"/>
          <w:b/>
          <w:sz w:val="24"/>
        </w:rPr>
      </w:pPr>
      <w:r>
        <w:rPr>
          <w:rFonts w:hint="eastAsia" w:ascii="宋体" w:hAnsi="宋体"/>
          <w:b/>
          <w:sz w:val="24"/>
        </w:rPr>
        <w:t>（2）投放点视频监管</w:t>
      </w:r>
    </w:p>
    <w:p w14:paraId="080142AF">
      <w:pPr>
        <w:spacing w:line="360" w:lineRule="auto"/>
        <w:ind w:firstLine="480"/>
        <w:rPr>
          <w:rFonts w:ascii="宋体" w:hAnsi="宋体"/>
        </w:rPr>
      </w:pPr>
      <w:r>
        <w:rPr>
          <w:rFonts w:hint="eastAsia" w:ascii="宋体" w:hAnsi="宋体" w:cs="宋体"/>
        </w:rPr>
        <w:t>支持垃圾投放点视频实时查看、历史回看，当监管到异常投放行为时进行抓拍取证等。</w:t>
      </w:r>
    </w:p>
    <w:p w14:paraId="4513E6A7">
      <w:pPr>
        <w:widowControl/>
        <w:spacing w:line="360" w:lineRule="auto"/>
        <w:ind w:firstLine="482" w:firstLineChars="200"/>
        <w:jc w:val="left"/>
        <w:rPr>
          <w:rFonts w:ascii="宋体" w:hAnsi="宋体"/>
          <w:b/>
          <w:sz w:val="24"/>
        </w:rPr>
      </w:pPr>
      <w:r>
        <w:rPr>
          <w:rFonts w:hint="eastAsia" w:ascii="宋体" w:hAnsi="宋体"/>
          <w:b/>
          <w:sz w:val="24"/>
        </w:rPr>
        <w:t>（3）违规投放记录查看</w:t>
      </w:r>
    </w:p>
    <w:p w14:paraId="4D3A016D">
      <w:pPr>
        <w:spacing w:line="360" w:lineRule="auto"/>
        <w:ind w:firstLine="480"/>
        <w:rPr>
          <w:rFonts w:ascii="宋体" w:hAnsi="宋体"/>
        </w:rPr>
      </w:pPr>
      <w:r>
        <w:rPr>
          <w:rFonts w:hint="eastAsia" w:ascii="宋体" w:hAnsi="宋体" w:cs="宋体"/>
        </w:rPr>
        <w:t>实现对违规投放的综合管理，通过AI识别算法识别到居民的违规行为，标记异常违规投放行为，设置处理规则，支持将异常事件抄送至街道办相关管理人员进行查看。</w:t>
      </w:r>
    </w:p>
    <w:p w14:paraId="53EAA130">
      <w:pPr>
        <w:widowControl/>
        <w:spacing w:line="360" w:lineRule="auto"/>
        <w:ind w:firstLine="482" w:firstLineChars="200"/>
        <w:jc w:val="left"/>
        <w:rPr>
          <w:rFonts w:ascii="宋体" w:hAnsi="宋体"/>
          <w:b/>
          <w:sz w:val="24"/>
        </w:rPr>
      </w:pPr>
      <w:r>
        <w:rPr>
          <w:rFonts w:hint="eastAsia" w:ascii="宋体" w:hAnsi="宋体"/>
          <w:b/>
          <w:sz w:val="24"/>
        </w:rPr>
        <w:t>（3）报警闭环管理</w:t>
      </w:r>
    </w:p>
    <w:p w14:paraId="29780BB8">
      <w:pPr>
        <w:spacing w:line="360" w:lineRule="auto"/>
        <w:ind w:firstLine="480"/>
        <w:rPr>
          <w:rFonts w:ascii="宋体" w:hAnsi="宋体"/>
        </w:rPr>
      </w:pPr>
      <w:r>
        <w:rPr>
          <w:rFonts w:hint="eastAsia" w:ascii="宋体" w:hAnsi="宋体" w:cs="宋体"/>
        </w:rPr>
        <w:t>通过前端AI 分析设备对各类违规行为进行分析研判，形成报警记录，通过台账记录的形式展示AI报警记录关键信息，包括报警点位、报警时长、抓拍照片、违规类型等，支持管理人员查看历史视频、工单详情、工单处理进展等信息。</w:t>
      </w:r>
    </w:p>
    <w:p w14:paraId="5B9FCA83">
      <w:pPr>
        <w:spacing w:line="360" w:lineRule="auto"/>
        <w:ind w:firstLine="480"/>
        <w:rPr>
          <w:rFonts w:ascii="宋体" w:hAnsi="宋体"/>
        </w:rPr>
      </w:pPr>
      <w:r>
        <w:rPr>
          <w:rFonts w:hint="eastAsia" w:ascii="宋体" w:hAnsi="宋体" w:cs="宋体"/>
        </w:rPr>
        <w:t>对于审核完的违规事件推送到相应的管理人员进行处理，后台设置处理时效，对于超时未处理的事件上升级别督促整改，并上传整改照片，形成闭环管理。</w:t>
      </w:r>
    </w:p>
    <w:p w14:paraId="1DD0240F">
      <w:pPr>
        <w:widowControl/>
        <w:spacing w:line="360" w:lineRule="auto"/>
        <w:ind w:firstLine="482" w:firstLineChars="200"/>
        <w:jc w:val="left"/>
        <w:rPr>
          <w:rFonts w:ascii="宋体" w:hAnsi="宋体"/>
          <w:b/>
          <w:sz w:val="24"/>
        </w:rPr>
      </w:pPr>
      <w:r>
        <w:rPr>
          <w:rFonts w:hint="eastAsia" w:ascii="宋体" w:hAnsi="宋体"/>
          <w:b/>
          <w:sz w:val="24"/>
        </w:rPr>
        <w:t>4.分类积分管理模块</w:t>
      </w:r>
    </w:p>
    <w:p w14:paraId="6EDFB0EE">
      <w:pPr>
        <w:widowControl/>
        <w:spacing w:line="360" w:lineRule="auto"/>
        <w:ind w:firstLine="482" w:firstLineChars="200"/>
        <w:jc w:val="left"/>
        <w:rPr>
          <w:rFonts w:ascii="宋体" w:hAnsi="宋体"/>
          <w:b/>
          <w:sz w:val="24"/>
        </w:rPr>
      </w:pPr>
      <w:r>
        <w:rPr>
          <w:rFonts w:hint="eastAsia" w:ascii="宋体" w:hAnsi="宋体"/>
          <w:b/>
          <w:sz w:val="24"/>
        </w:rPr>
        <w:t>（1）积分台账管理</w:t>
      </w:r>
    </w:p>
    <w:p w14:paraId="4D0F3D88">
      <w:pPr>
        <w:spacing w:line="360" w:lineRule="auto"/>
        <w:ind w:firstLine="480"/>
        <w:rPr>
          <w:rFonts w:ascii="宋体" w:hAnsi="宋体"/>
        </w:rPr>
      </w:pPr>
      <w:r>
        <w:rPr>
          <w:rFonts w:hint="eastAsia" w:ascii="宋体" w:hAnsi="宋体" w:cs="宋体"/>
        </w:rPr>
        <w:t>积分管理系统实现南太湖新区辖区分类积分（对接市级平台）的统一管理，建立分类积分台账、分类积分变化数据。</w:t>
      </w:r>
    </w:p>
    <w:p w14:paraId="73FE13F8">
      <w:pPr>
        <w:widowControl/>
        <w:spacing w:line="360" w:lineRule="auto"/>
        <w:ind w:firstLine="482" w:firstLineChars="200"/>
        <w:jc w:val="left"/>
        <w:rPr>
          <w:rFonts w:ascii="宋体" w:hAnsi="宋体"/>
          <w:b/>
          <w:sz w:val="24"/>
        </w:rPr>
      </w:pPr>
      <w:r>
        <w:rPr>
          <w:rFonts w:hint="eastAsia" w:ascii="宋体" w:hAnsi="宋体"/>
          <w:b/>
          <w:sz w:val="24"/>
        </w:rPr>
        <w:t>（2）积分变化管理</w:t>
      </w:r>
    </w:p>
    <w:p w14:paraId="5736F707">
      <w:pPr>
        <w:spacing w:line="360" w:lineRule="auto"/>
        <w:ind w:firstLine="480"/>
        <w:rPr>
          <w:rFonts w:ascii="宋体" w:hAnsi="宋体"/>
        </w:rPr>
      </w:pPr>
      <w:r>
        <w:rPr>
          <w:rFonts w:hint="eastAsia" w:ascii="宋体" w:hAnsi="宋体" w:cs="宋体"/>
        </w:rPr>
        <w:t>居民在垃圾分类账户中的积分数据是居民参与垃圾分类活动的直观体现，积分数据的变动代表居民的偏好，对用户积分数据的来源、流向等变动情况进行记录，记录其增加、减少信息。</w:t>
      </w:r>
    </w:p>
    <w:p w14:paraId="5A60F384">
      <w:pPr>
        <w:widowControl/>
        <w:spacing w:line="360" w:lineRule="auto"/>
        <w:ind w:firstLine="482" w:firstLineChars="200"/>
        <w:jc w:val="left"/>
        <w:rPr>
          <w:rFonts w:ascii="宋体" w:hAnsi="宋体"/>
          <w:b/>
          <w:sz w:val="24"/>
        </w:rPr>
      </w:pPr>
      <w:r>
        <w:rPr>
          <w:rFonts w:hint="eastAsia" w:ascii="宋体" w:hAnsi="宋体"/>
          <w:b/>
          <w:sz w:val="24"/>
        </w:rPr>
        <w:t>5.分类数据统计分析模块</w:t>
      </w:r>
    </w:p>
    <w:p w14:paraId="21C42416">
      <w:pPr>
        <w:widowControl/>
        <w:spacing w:line="360" w:lineRule="auto"/>
        <w:ind w:firstLine="482" w:firstLineChars="200"/>
        <w:jc w:val="left"/>
        <w:rPr>
          <w:rFonts w:ascii="宋体" w:hAnsi="宋体"/>
          <w:b/>
          <w:sz w:val="24"/>
        </w:rPr>
      </w:pPr>
      <w:r>
        <w:rPr>
          <w:rFonts w:hint="eastAsia" w:ascii="宋体" w:hAnsi="宋体"/>
          <w:b/>
          <w:sz w:val="24"/>
        </w:rPr>
        <w:t>（1）积分数据统计分析</w:t>
      </w:r>
    </w:p>
    <w:p w14:paraId="3E4005D5">
      <w:pPr>
        <w:spacing w:line="360" w:lineRule="auto"/>
        <w:ind w:firstLine="480"/>
        <w:rPr>
          <w:rFonts w:ascii="宋体" w:hAnsi="宋体"/>
        </w:rPr>
      </w:pPr>
      <w:r>
        <w:rPr>
          <w:rFonts w:hint="eastAsia" w:ascii="宋体" w:hAnsi="宋体" w:cs="宋体"/>
        </w:rPr>
        <w:t>对积分的变化数据进行统计与分析，建立多维度多类型的积分数据汇总报表，以便管理部门从多方面考量和规划垃圾分类工作，并运用折线图直观展示变化趋势。</w:t>
      </w:r>
    </w:p>
    <w:p w14:paraId="6142E629">
      <w:pPr>
        <w:widowControl/>
        <w:spacing w:line="360" w:lineRule="auto"/>
        <w:ind w:firstLine="482" w:firstLineChars="200"/>
        <w:jc w:val="left"/>
        <w:rPr>
          <w:rFonts w:ascii="宋体" w:hAnsi="宋体"/>
          <w:b/>
          <w:sz w:val="24"/>
        </w:rPr>
      </w:pPr>
      <w:r>
        <w:rPr>
          <w:rFonts w:hint="eastAsia" w:ascii="宋体" w:hAnsi="宋体"/>
          <w:b/>
          <w:sz w:val="24"/>
        </w:rPr>
        <w:t>（2）参与情况统计分析</w:t>
      </w:r>
    </w:p>
    <w:p w14:paraId="5710CFEB">
      <w:pPr>
        <w:spacing w:line="360" w:lineRule="auto"/>
        <w:ind w:firstLine="480"/>
        <w:rPr>
          <w:rFonts w:ascii="宋体" w:hAnsi="宋体"/>
        </w:rPr>
      </w:pPr>
      <w:r>
        <w:rPr>
          <w:rFonts w:hint="eastAsia" w:ascii="宋体" w:hAnsi="宋体" w:cs="宋体"/>
        </w:rPr>
        <w:t>通过智能设备采集到的投放数据、积分兑换数据涉及到的用户统计参与人数，参与人数数据除以居民总数，智能得参与率，同时也支持自定义“分子”数据项。</w:t>
      </w:r>
    </w:p>
    <w:p w14:paraId="6738DF66">
      <w:pPr>
        <w:spacing w:line="360" w:lineRule="auto"/>
        <w:ind w:firstLine="480"/>
        <w:rPr>
          <w:rFonts w:ascii="宋体" w:hAnsi="宋体"/>
        </w:rPr>
      </w:pPr>
      <w:r>
        <w:rPr>
          <w:rFonts w:hint="eastAsia" w:ascii="宋体" w:hAnsi="宋体" w:cs="宋体"/>
        </w:rPr>
        <w:t>按照时间维度、行政区划维度统计居民分类参与人数/参与率，查看变化趋势、对比区域数据。</w:t>
      </w:r>
    </w:p>
    <w:p w14:paraId="074444C9">
      <w:pPr>
        <w:widowControl/>
        <w:spacing w:line="360" w:lineRule="auto"/>
        <w:ind w:firstLine="482" w:firstLineChars="200"/>
        <w:jc w:val="left"/>
        <w:rPr>
          <w:rFonts w:ascii="宋体" w:hAnsi="宋体"/>
          <w:b/>
          <w:sz w:val="24"/>
        </w:rPr>
      </w:pPr>
      <w:r>
        <w:rPr>
          <w:rFonts w:hint="eastAsia" w:ascii="宋体" w:hAnsi="宋体"/>
          <w:b/>
          <w:sz w:val="24"/>
        </w:rPr>
        <w:t>（3）投放数据统计分析</w:t>
      </w:r>
    </w:p>
    <w:p w14:paraId="1FD728A6">
      <w:pPr>
        <w:spacing w:line="360" w:lineRule="auto"/>
        <w:ind w:firstLine="480"/>
        <w:rPr>
          <w:rFonts w:ascii="宋体" w:hAnsi="宋体"/>
        </w:rPr>
      </w:pPr>
      <w:r>
        <w:rPr>
          <w:rFonts w:hint="eastAsia" w:ascii="宋体" w:hAnsi="宋体" w:cs="宋体"/>
        </w:rPr>
        <w:t>实现投放点称重溯源，进行源头垃圾产生量计量管理，计量数据实时传输至监控平台，以投放点位管理单元，支持根据垃圾类型、时间、区域维度进行筛选，系统形成汇总数据。</w:t>
      </w:r>
    </w:p>
    <w:p w14:paraId="48F4F8CC">
      <w:pPr>
        <w:widowControl/>
        <w:spacing w:line="360" w:lineRule="auto"/>
        <w:ind w:firstLine="482" w:firstLineChars="200"/>
        <w:jc w:val="left"/>
        <w:rPr>
          <w:rFonts w:ascii="宋体" w:hAnsi="宋体"/>
          <w:b/>
          <w:sz w:val="24"/>
        </w:rPr>
      </w:pPr>
      <w:r>
        <w:rPr>
          <w:rFonts w:hint="eastAsia" w:ascii="宋体" w:hAnsi="宋体"/>
          <w:b/>
          <w:sz w:val="24"/>
        </w:rPr>
        <w:t>（4）源头称重报表</w:t>
      </w:r>
    </w:p>
    <w:p w14:paraId="08907E5B">
      <w:pPr>
        <w:spacing w:line="360" w:lineRule="auto"/>
        <w:ind w:firstLine="480"/>
        <w:rPr>
          <w:rFonts w:ascii="宋体" w:hAnsi="宋体"/>
        </w:rPr>
      </w:pPr>
      <w:r>
        <w:rPr>
          <w:rFonts w:hint="eastAsia" w:ascii="宋体" w:hAnsi="宋体" w:cs="宋体"/>
        </w:rPr>
        <w:t>各类垃圾产生量对比报表、投放点收集量日、周、月报表及各类垃圾产生占比对比报表、垃圾产生趋势图表、分类质量变化等。</w:t>
      </w:r>
    </w:p>
    <w:p w14:paraId="432E3A18">
      <w:pPr>
        <w:widowControl/>
        <w:spacing w:line="360" w:lineRule="auto"/>
        <w:ind w:firstLine="482" w:firstLineChars="200"/>
        <w:jc w:val="left"/>
        <w:rPr>
          <w:rFonts w:ascii="宋体" w:hAnsi="宋体"/>
          <w:b/>
          <w:sz w:val="24"/>
        </w:rPr>
      </w:pPr>
      <w:r>
        <w:rPr>
          <w:rFonts w:hint="eastAsia" w:ascii="宋体" w:hAnsi="宋体"/>
          <w:b/>
          <w:sz w:val="24"/>
        </w:rPr>
        <w:t>（5）违规投放统计分析</w:t>
      </w:r>
    </w:p>
    <w:p w14:paraId="63C9EF0A">
      <w:pPr>
        <w:spacing w:line="360" w:lineRule="auto"/>
        <w:ind w:firstLine="480"/>
        <w:rPr>
          <w:rFonts w:ascii="宋体" w:hAnsi="宋体"/>
        </w:rPr>
      </w:pPr>
      <w:r>
        <w:rPr>
          <w:rFonts w:hint="eastAsia" w:ascii="宋体" w:hAnsi="宋体" w:cs="宋体"/>
        </w:rPr>
        <w:t>从发生频次统计各报警事件发生频次、高发点位、高发时段等维度进行统计比较，可运用可视化图表进行对比分析。</w:t>
      </w:r>
    </w:p>
    <w:p w14:paraId="5756DF35">
      <w:pPr>
        <w:widowControl/>
        <w:spacing w:line="360" w:lineRule="auto"/>
        <w:ind w:firstLine="482" w:firstLineChars="200"/>
        <w:jc w:val="left"/>
        <w:rPr>
          <w:rFonts w:ascii="宋体" w:hAnsi="宋体"/>
          <w:b/>
          <w:sz w:val="24"/>
        </w:rPr>
      </w:pPr>
      <w:r>
        <w:rPr>
          <w:rFonts w:hint="eastAsia" w:ascii="宋体" w:hAnsi="宋体"/>
          <w:b/>
          <w:sz w:val="24"/>
        </w:rPr>
        <w:t>6.后台支撑管理模块</w:t>
      </w:r>
    </w:p>
    <w:p w14:paraId="18F4E205">
      <w:pPr>
        <w:widowControl/>
        <w:spacing w:line="360" w:lineRule="auto"/>
        <w:ind w:firstLine="482" w:firstLineChars="200"/>
        <w:jc w:val="left"/>
        <w:rPr>
          <w:rFonts w:ascii="宋体" w:hAnsi="宋体"/>
          <w:b/>
          <w:sz w:val="24"/>
        </w:rPr>
      </w:pPr>
      <w:r>
        <w:rPr>
          <w:rFonts w:hint="eastAsia" w:ascii="宋体" w:hAnsi="宋体"/>
          <w:b/>
          <w:sz w:val="24"/>
        </w:rPr>
        <w:t>（1）权限管理</w:t>
      </w:r>
    </w:p>
    <w:p w14:paraId="4BAB17F6">
      <w:pPr>
        <w:spacing w:line="360" w:lineRule="auto"/>
        <w:ind w:firstLine="480"/>
        <w:rPr>
          <w:rFonts w:ascii="宋体" w:hAnsi="宋体"/>
        </w:rPr>
      </w:pPr>
      <w:r>
        <w:rPr>
          <w:rFonts w:hint="eastAsia" w:ascii="宋体" w:hAnsi="宋体" w:cs="宋体"/>
        </w:rPr>
        <w:t>为了保证系统的安全性和服务信息的针对性，系统对所有用户都进行身份认证和权限管理。提供的认证服务有身份证认证、密码认证，并支持更高安全性的指纹认证。所有的系统功能和业务功能的执行都需要先进行权限控制。</w:t>
      </w:r>
    </w:p>
    <w:p w14:paraId="217EDE74">
      <w:pPr>
        <w:widowControl/>
        <w:spacing w:line="360" w:lineRule="auto"/>
        <w:ind w:firstLine="482" w:firstLineChars="200"/>
        <w:jc w:val="left"/>
        <w:rPr>
          <w:rFonts w:ascii="宋体" w:hAnsi="宋体"/>
          <w:b/>
          <w:sz w:val="24"/>
        </w:rPr>
      </w:pPr>
      <w:r>
        <w:rPr>
          <w:rFonts w:hint="eastAsia" w:ascii="宋体" w:hAnsi="宋体"/>
          <w:b/>
          <w:sz w:val="24"/>
        </w:rPr>
        <w:t>（2）参数管理</w:t>
      </w:r>
    </w:p>
    <w:p w14:paraId="7A4CAD59">
      <w:pPr>
        <w:spacing w:line="360" w:lineRule="auto"/>
        <w:ind w:firstLine="480"/>
        <w:rPr>
          <w:rFonts w:ascii="宋体" w:hAnsi="宋体"/>
        </w:rPr>
      </w:pPr>
      <w:r>
        <w:rPr>
          <w:rFonts w:hint="eastAsia" w:ascii="宋体" w:hAnsi="宋体" w:cs="宋体"/>
        </w:rPr>
        <w:t>参数管理实现对垃圾分类数据管理平台使用到的共用参数数据进行增删改查操作。通过参数管理的建立，可提高系统的扩展性，并满足在业务变化时系统的快速维护，也可减少数据录入时的人为错误，方便统计汇总。</w:t>
      </w:r>
    </w:p>
    <w:p w14:paraId="25A21A09">
      <w:pPr>
        <w:widowControl/>
        <w:spacing w:line="360" w:lineRule="auto"/>
        <w:ind w:firstLine="482" w:firstLineChars="200"/>
        <w:jc w:val="left"/>
        <w:rPr>
          <w:rFonts w:ascii="宋体" w:hAnsi="宋体"/>
          <w:b/>
          <w:sz w:val="24"/>
        </w:rPr>
      </w:pPr>
      <w:r>
        <w:rPr>
          <w:rFonts w:hint="eastAsia" w:ascii="宋体" w:hAnsi="宋体"/>
          <w:b/>
          <w:sz w:val="24"/>
        </w:rPr>
        <w:t>（3）日志管理</w:t>
      </w:r>
    </w:p>
    <w:p w14:paraId="1CF11D93">
      <w:pPr>
        <w:spacing w:line="360" w:lineRule="auto"/>
        <w:ind w:firstLine="480"/>
        <w:rPr>
          <w:rFonts w:ascii="宋体" w:hAnsi="宋体"/>
        </w:rPr>
      </w:pPr>
      <w:r>
        <w:rPr>
          <w:rFonts w:hint="eastAsia" w:ascii="宋体" w:hAnsi="宋体" w:cs="宋体"/>
        </w:rPr>
        <w:t>垃圾分类智能管理系统的日志管理是系统运行和数据安全的重要组成部分，主要包括操作日志和登录日志。操作日志记录了用户在系统中的各项操作，如垃圾投放记录、分类查询等，通过详细记录用户行为，系统管理员可以审查和分析用户活动，确保系统的正常运行。登录日志则追踪用户登录和退出的信息，包括登录时间、IP地址等，有助于监测潜在的安全威胁和防范未经授权的访问。</w:t>
      </w:r>
    </w:p>
    <w:p w14:paraId="4525F177">
      <w:pPr>
        <w:widowControl/>
        <w:spacing w:line="360" w:lineRule="auto"/>
        <w:ind w:firstLine="482" w:firstLineChars="200"/>
        <w:jc w:val="left"/>
        <w:rPr>
          <w:rFonts w:ascii="宋体" w:hAnsi="宋体"/>
          <w:b/>
          <w:sz w:val="24"/>
        </w:rPr>
      </w:pPr>
      <w:r>
        <w:rPr>
          <w:rFonts w:hint="eastAsia" w:ascii="宋体" w:hAnsi="宋体"/>
          <w:b/>
          <w:sz w:val="24"/>
        </w:rPr>
        <w:t>（4）图元管理</w:t>
      </w:r>
    </w:p>
    <w:p w14:paraId="62DE9222">
      <w:pPr>
        <w:spacing w:line="360" w:lineRule="auto"/>
        <w:ind w:firstLine="480"/>
        <w:rPr>
          <w:rFonts w:ascii="宋体" w:hAnsi="宋体"/>
        </w:rPr>
      </w:pPr>
      <w:r>
        <w:rPr>
          <w:rFonts w:hint="eastAsia" w:ascii="宋体" w:hAnsi="宋体" w:cs="宋体"/>
        </w:rPr>
        <w:t>图元管理模块是系统的核心组成部分，涵盖了图元GIS、图元类型和图元管理等关键功能。</w:t>
      </w:r>
    </w:p>
    <w:p w14:paraId="365D22FC">
      <w:pPr>
        <w:widowControl/>
        <w:spacing w:line="360" w:lineRule="auto"/>
        <w:ind w:firstLine="482" w:firstLineChars="200"/>
        <w:jc w:val="left"/>
        <w:rPr>
          <w:rFonts w:ascii="宋体" w:hAnsi="宋体"/>
          <w:b/>
          <w:sz w:val="24"/>
        </w:rPr>
      </w:pPr>
      <w:r>
        <w:rPr>
          <w:rFonts w:hint="eastAsia" w:ascii="宋体" w:hAnsi="宋体"/>
          <w:b/>
          <w:sz w:val="24"/>
        </w:rPr>
        <w:t>7.系统对接</w:t>
      </w:r>
    </w:p>
    <w:p w14:paraId="1A8FF23F">
      <w:pPr>
        <w:widowControl/>
        <w:spacing w:line="360" w:lineRule="auto"/>
        <w:ind w:firstLine="482" w:firstLineChars="200"/>
        <w:jc w:val="left"/>
        <w:rPr>
          <w:rFonts w:ascii="宋体" w:hAnsi="宋体"/>
          <w:b/>
          <w:sz w:val="24"/>
        </w:rPr>
      </w:pPr>
      <w:r>
        <w:rPr>
          <w:rFonts w:hint="eastAsia" w:ascii="宋体" w:hAnsi="宋体"/>
          <w:b/>
          <w:sz w:val="24"/>
        </w:rPr>
        <w:t>（1）湖州市垃圾分类智慧监管平台对接</w:t>
      </w:r>
    </w:p>
    <w:p w14:paraId="6B8ABDD2">
      <w:pPr>
        <w:spacing w:line="360" w:lineRule="auto"/>
        <w:ind w:firstLine="480"/>
        <w:rPr>
          <w:rFonts w:ascii="宋体" w:hAnsi="宋体"/>
        </w:rPr>
      </w:pPr>
      <w:r>
        <w:rPr>
          <w:rFonts w:hint="eastAsia" w:ascii="宋体" w:hAnsi="宋体" w:cs="宋体"/>
        </w:rPr>
        <w:t>根据浙江省湖州市生活垃圾分类监管平台建设项目平台数据接入规范实现公开对接。</w:t>
      </w:r>
    </w:p>
    <w:p w14:paraId="77C2482A">
      <w:pPr>
        <w:widowControl/>
        <w:spacing w:line="360" w:lineRule="auto"/>
        <w:ind w:firstLine="482" w:firstLineChars="200"/>
        <w:jc w:val="left"/>
        <w:rPr>
          <w:rFonts w:ascii="宋体" w:hAnsi="宋体"/>
          <w:b/>
          <w:sz w:val="24"/>
        </w:rPr>
      </w:pPr>
      <w:r>
        <w:rPr>
          <w:rFonts w:hint="eastAsia" w:ascii="宋体" w:hAnsi="宋体"/>
          <w:b/>
          <w:sz w:val="24"/>
        </w:rPr>
        <w:t>（2）南太湖新区第三方运营单位平台对接</w:t>
      </w:r>
    </w:p>
    <w:p w14:paraId="25597EE9">
      <w:pPr>
        <w:spacing w:line="360" w:lineRule="auto"/>
        <w:ind w:firstLine="480"/>
        <w:rPr>
          <w:rFonts w:ascii="宋体" w:hAnsi="宋体" w:cs="宋体"/>
        </w:rPr>
      </w:pPr>
      <w:r>
        <w:rPr>
          <w:rFonts w:hint="eastAsia" w:ascii="宋体" w:hAnsi="宋体" w:cs="宋体"/>
        </w:rPr>
        <w:t>按照市级数据对接标准规范开发数据对接接口，各运营单位根据标准改造后，将垃圾分类相关运营数据接入本平台。包括垃圾分类小区、垃圾分类投放点、投放点督导人员、投放行为等信息数据，为垃圾分类业务开展提供数据保障。</w:t>
      </w:r>
      <w:bookmarkStart w:id="6" w:name="_Toc12742"/>
    </w:p>
    <w:p w14:paraId="259EBAA6">
      <w:pPr>
        <w:spacing w:line="360" w:lineRule="auto"/>
        <w:ind w:firstLine="480"/>
        <w:rPr>
          <w:rFonts w:ascii="宋体" w:hAnsi="宋体"/>
          <w:b/>
          <w:sz w:val="24"/>
        </w:rPr>
      </w:pPr>
    </w:p>
    <w:p w14:paraId="4FF1423F">
      <w:pPr>
        <w:spacing w:line="360" w:lineRule="auto"/>
        <w:ind w:firstLine="480"/>
        <w:rPr>
          <w:rFonts w:ascii="宋体" w:hAnsi="宋体"/>
          <w:b/>
          <w:sz w:val="24"/>
        </w:rPr>
      </w:pPr>
      <w:r>
        <w:rPr>
          <w:rFonts w:hint="eastAsia" w:ascii="宋体" w:hAnsi="宋体"/>
          <w:b/>
          <w:sz w:val="24"/>
        </w:rPr>
        <w:t>（五）基础资源需求设计</w:t>
      </w:r>
      <w:bookmarkEnd w:id="6"/>
    </w:p>
    <w:p w14:paraId="37B0879D">
      <w:pPr>
        <w:spacing w:line="360" w:lineRule="auto"/>
        <w:ind w:firstLine="480"/>
        <w:rPr>
          <w:rFonts w:ascii="宋体" w:hAnsi="宋体"/>
        </w:rPr>
      </w:pPr>
      <w:r>
        <w:rPr>
          <w:rFonts w:hint="eastAsia" w:ascii="宋体" w:hAnsi="宋体" w:cs="宋体"/>
        </w:rPr>
        <w:t>考虑到所监管的数据量大，所以本项目系统后期计划部署在信创云平台中，利用信创云平台已有的安全体系保障本项目系统的设备安全、环境安全、网络和通信安全等，软件开发方负责本系统安全。目前信创云平台具备高稳定性及高可用性，已采用双链路备份、双机主备、集群部署、堆叠等技术方式，不存在单点故障，由信创云平台提供运维服务数据备份、安全保障等支持。</w:t>
      </w:r>
    </w:p>
    <w:p w14:paraId="13879D26">
      <w:pPr>
        <w:spacing w:line="360" w:lineRule="auto"/>
        <w:ind w:firstLine="480"/>
        <w:rPr>
          <w:rFonts w:ascii="宋体" w:hAnsi="宋体"/>
        </w:rPr>
      </w:pPr>
      <w:r>
        <w:rPr>
          <w:rFonts w:hint="eastAsia" w:ascii="宋体" w:hAnsi="宋体" w:cs="宋体"/>
        </w:rPr>
        <w:t>为避免重复建设，本项目系统建设所需硬件由5台服务器组成，1台应用服务器、1台公共组件服务器、1台接入服务器、1台数据库服务器和1台视频服务器。这5台服务器由信创云平台提供。本项目系统建设所需软件由5套麒麟操作系统、1套数据库软件组成，由信创云平台提供和安装。</w:t>
      </w:r>
    </w:p>
    <w:p w14:paraId="6ACD2863">
      <w:pPr>
        <w:spacing w:line="360" w:lineRule="auto"/>
        <w:ind w:firstLine="480"/>
        <w:rPr>
          <w:rFonts w:ascii="宋体" w:hAnsi="宋体" w:cs="宋体"/>
        </w:rPr>
      </w:pPr>
      <w:r>
        <w:rPr>
          <w:rFonts w:hint="eastAsia" w:ascii="宋体" w:hAnsi="宋体" w:cs="宋体"/>
        </w:rPr>
        <w:t>本项目用户分为内部用户和外部用户，内部用户（各级监管）通过统一身份认证平台所提供的工作账户在信创云平台内部访问本项目系统，外部用户（运营单位）通过互联网访问本项目系统，登录系统所用账户、密码由系统统一提供并授权访问对应的业务模块。</w:t>
      </w:r>
    </w:p>
    <w:p w14:paraId="09129E7D">
      <w:pPr>
        <w:pStyle w:val="2"/>
      </w:pPr>
    </w:p>
    <w:p w14:paraId="45F90F48">
      <w:pPr>
        <w:spacing w:line="360" w:lineRule="auto"/>
        <w:ind w:firstLine="480"/>
        <w:rPr>
          <w:rFonts w:ascii="宋体" w:hAnsi="宋体"/>
          <w:b/>
          <w:sz w:val="24"/>
        </w:rPr>
      </w:pPr>
      <w:bookmarkStart w:id="7" w:name="_Toc22308"/>
      <w:r>
        <w:rPr>
          <w:rFonts w:hint="eastAsia" w:ascii="宋体" w:hAnsi="宋体"/>
          <w:b/>
          <w:sz w:val="24"/>
        </w:rPr>
        <w:t>（六）数据资源需求设计</w:t>
      </w:r>
      <w:bookmarkEnd w:id="7"/>
    </w:p>
    <w:tbl>
      <w:tblPr>
        <w:tblStyle w:val="34"/>
        <w:tblW w:w="8595" w:type="dxa"/>
        <w:tblInd w:w="0" w:type="dxa"/>
        <w:tblLayout w:type="fixed"/>
        <w:tblCellMar>
          <w:top w:w="0" w:type="dxa"/>
          <w:left w:w="108" w:type="dxa"/>
          <w:bottom w:w="0" w:type="dxa"/>
          <w:right w:w="108" w:type="dxa"/>
        </w:tblCellMar>
      </w:tblPr>
      <w:tblGrid>
        <w:gridCol w:w="726"/>
        <w:gridCol w:w="1537"/>
        <w:gridCol w:w="1409"/>
        <w:gridCol w:w="1227"/>
        <w:gridCol w:w="1345"/>
        <w:gridCol w:w="2351"/>
      </w:tblGrid>
      <w:tr w14:paraId="3DE5D4D3">
        <w:tblPrEx>
          <w:tblCellMar>
            <w:top w:w="0" w:type="dxa"/>
            <w:left w:w="108" w:type="dxa"/>
            <w:bottom w:w="0" w:type="dxa"/>
            <w:right w:w="108" w:type="dxa"/>
          </w:tblCellMar>
        </w:tblPrEx>
        <w:trPr>
          <w:trHeight w:val="2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39B8">
            <w:pPr>
              <w:spacing w:line="360" w:lineRule="auto"/>
              <w:jc w:val="center"/>
              <w:textAlignment w:val="center"/>
              <w:rPr>
                <w:rFonts w:ascii="宋体" w:hAnsi="宋体"/>
                <w:b/>
                <w:bCs/>
                <w:color w:val="000000"/>
                <w:sz w:val="22"/>
              </w:rPr>
            </w:pPr>
            <w:r>
              <w:rPr>
                <w:rFonts w:hint="eastAsia" w:ascii="宋体" w:hAnsi="宋体" w:cs="宋体"/>
                <w:b/>
                <w:bCs/>
                <w:color w:val="000000"/>
                <w:kern w:val="0"/>
                <w:sz w:val="22"/>
                <w:lang w:bidi="ar"/>
              </w:rPr>
              <w:t>序号</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3239">
            <w:pPr>
              <w:spacing w:line="360" w:lineRule="auto"/>
              <w:jc w:val="center"/>
              <w:textAlignment w:val="center"/>
              <w:rPr>
                <w:rFonts w:ascii="宋体" w:hAnsi="宋体"/>
                <w:b/>
                <w:bCs/>
                <w:color w:val="000000"/>
                <w:sz w:val="22"/>
              </w:rPr>
            </w:pPr>
            <w:r>
              <w:rPr>
                <w:rFonts w:hint="eastAsia" w:ascii="宋体" w:hAnsi="宋体" w:cs="宋体"/>
                <w:b/>
                <w:bCs/>
                <w:color w:val="000000"/>
                <w:kern w:val="0"/>
                <w:sz w:val="22"/>
                <w:lang w:bidi="ar"/>
              </w:rPr>
              <w:t>数据类型</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51EF">
            <w:pPr>
              <w:spacing w:line="360" w:lineRule="auto"/>
              <w:jc w:val="center"/>
              <w:textAlignment w:val="center"/>
              <w:rPr>
                <w:rFonts w:ascii="宋体" w:hAnsi="宋体"/>
                <w:b/>
                <w:bCs/>
                <w:color w:val="000000"/>
                <w:sz w:val="22"/>
              </w:rPr>
            </w:pPr>
            <w:r>
              <w:rPr>
                <w:rFonts w:hint="eastAsia" w:ascii="宋体" w:hAnsi="宋体" w:cs="宋体"/>
                <w:b/>
                <w:bCs/>
                <w:color w:val="000000"/>
                <w:kern w:val="0"/>
                <w:sz w:val="22"/>
                <w:lang w:bidi="ar"/>
              </w:rPr>
              <w:t>数源单位</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B91F">
            <w:pPr>
              <w:spacing w:line="360" w:lineRule="auto"/>
              <w:jc w:val="center"/>
              <w:textAlignment w:val="center"/>
              <w:rPr>
                <w:rFonts w:ascii="宋体" w:hAnsi="宋体"/>
                <w:b/>
                <w:bCs/>
                <w:color w:val="000000"/>
                <w:sz w:val="22"/>
              </w:rPr>
            </w:pPr>
            <w:r>
              <w:rPr>
                <w:rFonts w:hint="eastAsia" w:ascii="宋体" w:hAnsi="宋体" w:cs="宋体"/>
                <w:b/>
                <w:bCs/>
                <w:color w:val="000000"/>
                <w:kern w:val="0"/>
                <w:sz w:val="22"/>
                <w:lang w:bidi="ar"/>
              </w:rPr>
              <w:t>更新频率</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8813">
            <w:pPr>
              <w:spacing w:line="360" w:lineRule="auto"/>
              <w:jc w:val="center"/>
              <w:textAlignment w:val="center"/>
              <w:rPr>
                <w:rFonts w:ascii="宋体" w:hAnsi="宋体"/>
                <w:b/>
                <w:bCs/>
                <w:color w:val="000000"/>
                <w:sz w:val="22"/>
              </w:rPr>
            </w:pPr>
            <w:r>
              <w:rPr>
                <w:rFonts w:hint="eastAsia" w:ascii="宋体" w:hAnsi="宋体" w:cs="宋体"/>
                <w:b/>
                <w:bCs/>
                <w:color w:val="000000"/>
                <w:kern w:val="0"/>
                <w:sz w:val="22"/>
                <w:lang w:bidi="ar"/>
              </w:rPr>
              <w:t>共享方式</w:t>
            </w:r>
          </w:p>
        </w:tc>
        <w:tc>
          <w:tcPr>
            <w:tcW w:w="2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0812">
            <w:pPr>
              <w:spacing w:line="360" w:lineRule="auto"/>
              <w:jc w:val="center"/>
              <w:textAlignment w:val="center"/>
              <w:rPr>
                <w:rFonts w:ascii="宋体" w:hAnsi="宋体"/>
                <w:b/>
                <w:bCs/>
                <w:color w:val="000000"/>
                <w:sz w:val="22"/>
              </w:rPr>
            </w:pPr>
            <w:r>
              <w:rPr>
                <w:rFonts w:hint="eastAsia" w:ascii="宋体" w:hAnsi="宋体" w:cs="宋体"/>
                <w:b/>
                <w:bCs/>
                <w:color w:val="000000"/>
                <w:kern w:val="0"/>
                <w:sz w:val="22"/>
                <w:lang w:bidi="ar"/>
              </w:rPr>
              <w:t>数源系统</w:t>
            </w:r>
          </w:p>
        </w:tc>
      </w:tr>
      <w:tr w14:paraId="420BB00E">
        <w:tblPrEx>
          <w:tblCellMar>
            <w:top w:w="0" w:type="dxa"/>
            <w:left w:w="108" w:type="dxa"/>
            <w:bottom w:w="0" w:type="dxa"/>
            <w:right w:w="108" w:type="dxa"/>
          </w:tblCellMar>
        </w:tblPrEx>
        <w:trPr>
          <w:trHeight w:val="2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9372">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1</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253E">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投放记录</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2B39">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第三方单位</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02FD">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每40分钟</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6C4B">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API接口</w:t>
            </w:r>
          </w:p>
        </w:tc>
        <w:tc>
          <w:tcPr>
            <w:tcW w:w="2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EF14">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第三方单位分类系统</w:t>
            </w:r>
          </w:p>
        </w:tc>
      </w:tr>
      <w:tr w14:paraId="0F2ABF1F">
        <w:tblPrEx>
          <w:tblCellMar>
            <w:top w:w="0" w:type="dxa"/>
            <w:left w:w="108" w:type="dxa"/>
            <w:bottom w:w="0" w:type="dxa"/>
            <w:right w:w="108" w:type="dxa"/>
          </w:tblCellMar>
        </w:tblPrEx>
        <w:trPr>
          <w:trHeight w:val="2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902D">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2</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2D0D">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居民用户</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D357">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第三方单位</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9FD1">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每40分钟</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FC5D">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API接口</w:t>
            </w:r>
          </w:p>
        </w:tc>
        <w:tc>
          <w:tcPr>
            <w:tcW w:w="2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497B">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第三方单位分类系统</w:t>
            </w:r>
          </w:p>
        </w:tc>
      </w:tr>
      <w:tr w14:paraId="7F8560D4">
        <w:tblPrEx>
          <w:tblCellMar>
            <w:top w:w="0" w:type="dxa"/>
            <w:left w:w="108" w:type="dxa"/>
            <w:bottom w:w="0" w:type="dxa"/>
            <w:right w:w="108" w:type="dxa"/>
          </w:tblCellMar>
        </w:tblPrEx>
        <w:trPr>
          <w:trHeight w:val="2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4388">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3</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1AB6">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投放点</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2EA2">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第三方单位</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9185">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每40分钟</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54EA">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API接口</w:t>
            </w:r>
          </w:p>
        </w:tc>
        <w:tc>
          <w:tcPr>
            <w:tcW w:w="2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2702">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第三方单位分类系统</w:t>
            </w:r>
          </w:p>
        </w:tc>
      </w:tr>
      <w:tr w14:paraId="456DE30C">
        <w:tblPrEx>
          <w:tblCellMar>
            <w:top w:w="0" w:type="dxa"/>
            <w:left w:w="108" w:type="dxa"/>
            <w:bottom w:w="0" w:type="dxa"/>
            <w:right w:w="108" w:type="dxa"/>
          </w:tblCellMar>
        </w:tblPrEx>
        <w:trPr>
          <w:trHeight w:val="2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283A">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4</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3DDF">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设备</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C645">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第三方单位</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4D7C">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每40分钟</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1CBE">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API接口</w:t>
            </w:r>
          </w:p>
        </w:tc>
        <w:tc>
          <w:tcPr>
            <w:tcW w:w="2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4AE4">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第三方单位分类系统</w:t>
            </w:r>
          </w:p>
        </w:tc>
      </w:tr>
      <w:tr w14:paraId="5AF0F8A4">
        <w:tblPrEx>
          <w:tblCellMar>
            <w:top w:w="0" w:type="dxa"/>
            <w:left w:w="108" w:type="dxa"/>
            <w:bottom w:w="0" w:type="dxa"/>
            <w:right w:w="108" w:type="dxa"/>
          </w:tblCellMar>
        </w:tblPrEx>
        <w:trPr>
          <w:trHeight w:val="2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E600">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5</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9722">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违规投放事件</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39DD">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第三方单位</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1C0A">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每40分钟</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2B0D">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API接口</w:t>
            </w:r>
          </w:p>
        </w:tc>
        <w:tc>
          <w:tcPr>
            <w:tcW w:w="2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CC4F">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第三方单位分类系统</w:t>
            </w:r>
          </w:p>
        </w:tc>
      </w:tr>
      <w:tr w14:paraId="0B5FEE6C">
        <w:tblPrEx>
          <w:tblCellMar>
            <w:top w:w="0" w:type="dxa"/>
            <w:left w:w="108" w:type="dxa"/>
            <w:bottom w:w="0" w:type="dxa"/>
            <w:right w:w="108" w:type="dxa"/>
          </w:tblCellMar>
        </w:tblPrEx>
        <w:trPr>
          <w:trHeight w:val="2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EFE2">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6</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3DF1">
            <w:pPr>
              <w:spacing w:line="360" w:lineRule="auto"/>
              <w:jc w:val="center"/>
              <w:textAlignment w:val="center"/>
              <w:rPr>
                <w:rFonts w:ascii="宋体" w:hAnsi="宋体"/>
                <w:color w:val="000000"/>
                <w:sz w:val="22"/>
                <w:lang w:bidi="ar"/>
              </w:rPr>
            </w:pPr>
            <w:r>
              <w:rPr>
                <w:rFonts w:hint="eastAsia" w:ascii="宋体" w:hAnsi="宋体" w:cs="宋体"/>
                <w:color w:val="000000"/>
                <w:kern w:val="0"/>
                <w:sz w:val="22"/>
                <w:lang w:bidi="ar"/>
              </w:rPr>
              <w:t>分类积分</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2BA1">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第三方单位</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5A54">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每40分钟</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CF02">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API接口</w:t>
            </w:r>
          </w:p>
        </w:tc>
        <w:tc>
          <w:tcPr>
            <w:tcW w:w="2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DA92">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第三方单位分类系统</w:t>
            </w:r>
          </w:p>
        </w:tc>
      </w:tr>
      <w:tr w14:paraId="73A1CFEA">
        <w:tblPrEx>
          <w:tblCellMar>
            <w:top w:w="0" w:type="dxa"/>
            <w:left w:w="108" w:type="dxa"/>
            <w:bottom w:w="0" w:type="dxa"/>
            <w:right w:w="108" w:type="dxa"/>
          </w:tblCellMar>
        </w:tblPrEx>
        <w:trPr>
          <w:trHeight w:val="2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2F1C">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7</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B63B">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投放记录</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403B">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区分类办</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7B00">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每40分钟</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B556">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API接口</w:t>
            </w:r>
          </w:p>
        </w:tc>
        <w:tc>
          <w:tcPr>
            <w:tcW w:w="2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E0CB">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湖州市垃圾分类智慧监管平台</w:t>
            </w:r>
          </w:p>
        </w:tc>
      </w:tr>
      <w:tr w14:paraId="4D0915FD">
        <w:tblPrEx>
          <w:tblCellMar>
            <w:top w:w="0" w:type="dxa"/>
            <w:left w:w="108" w:type="dxa"/>
            <w:bottom w:w="0" w:type="dxa"/>
            <w:right w:w="108" w:type="dxa"/>
          </w:tblCellMar>
        </w:tblPrEx>
        <w:trPr>
          <w:trHeight w:val="2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5E81">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8</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9A00">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居民用户</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7D2E">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区分类办</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D614">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每40分钟</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4F28">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API接口</w:t>
            </w:r>
          </w:p>
        </w:tc>
        <w:tc>
          <w:tcPr>
            <w:tcW w:w="2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4240">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湖州市垃圾分类智慧监管平台</w:t>
            </w:r>
          </w:p>
        </w:tc>
      </w:tr>
      <w:tr w14:paraId="1C0DDA13">
        <w:tblPrEx>
          <w:tblCellMar>
            <w:top w:w="0" w:type="dxa"/>
            <w:left w:w="108" w:type="dxa"/>
            <w:bottom w:w="0" w:type="dxa"/>
            <w:right w:w="108" w:type="dxa"/>
          </w:tblCellMar>
        </w:tblPrEx>
        <w:trPr>
          <w:trHeight w:val="2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0521">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9</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D2AE">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投放点</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D2EC">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区分类办</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6723">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每40分钟</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4F3C">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API接口</w:t>
            </w:r>
          </w:p>
        </w:tc>
        <w:tc>
          <w:tcPr>
            <w:tcW w:w="2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FF44">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湖州市垃圾分类智慧监管平台</w:t>
            </w:r>
          </w:p>
        </w:tc>
      </w:tr>
      <w:tr w14:paraId="09A5D514">
        <w:tblPrEx>
          <w:tblCellMar>
            <w:top w:w="0" w:type="dxa"/>
            <w:left w:w="108" w:type="dxa"/>
            <w:bottom w:w="0" w:type="dxa"/>
            <w:right w:w="108" w:type="dxa"/>
          </w:tblCellMar>
        </w:tblPrEx>
        <w:trPr>
          <w:trHeight w:val="2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7680">
            <w:pPr>
              <w:spacing w:line="360" w:lineRule="auto"/>
              <w:jc w:val="center"/>
              <w:textAlignment w:val="center"/>
              <w:rPr>
                <w:rFonts w:ascii="宋体" w:hAnsi="宋体"/>
                <w:color w:val="000000"/>
                <w:sz w:val="22"/>
              </w:rPr>
            </w:pPr>
            <w:r>
              <w:rPr>
                <w:rFonts w:hint="eastAsia" w:ascii="宋体" w:hAnsi="宋体" w:cs="宋体"/>
                <w:color w:val="000000"/>
                <w:sz w:val="22"/>
              </w:rPr>
              <w:t>10</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D5A0">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设备</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C5BB">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区分类办</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0225">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每40分钟</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C59C">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API接口</w:t>
            </w:r>
          </w:p>
        </w:tc>
        <w:tc>
          <w:tcPr>
            <w:tcW w:w="2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ECD2">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湖州市垃圾分类智慧监管平台</w:t>
            </w:r>
          </w:p>
        </w:tc>
      </w:tr>
      <w:tr w14:paraId="61015BA9">
        <w:tblPrEx>
          <w:tblCellMar>
            <w:top w:w="0" w:type="dxa"/>
            <w:left w:w="108" w:type="dxa"/>
            <w:bottom w:w="0" w:type="dxa"/>
            <w:right w:w="108" w:type="dxa"/>
          </w:tblCellMar>
        </w:tblPrEx>
        <w:trPr>
          <w:trHeight w:val="2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2974">
            <w:pPr>
              <w:spacing w:line="360" w:lineRule="auto"/>
              <w:jc w:val="center"/>
              <w:textAlignment w:val="center"/>
              <w:rPr>
                <w:rFonts w:ascii="宋体" w:hAnsi="宋体"/>
                <w:color w:val="000000"/>
                <w:sz w:val="22"/>
                <w:lang w:bidi="ar"/>
              </w:rPr>
            </w:pPr>
            <w:r>
              <w:rPr>
                <w:rFonts w:hint="eastAsia" w:ascii="宋体" w:hAnsi="宋体" w:cs="宋体"/>
                <w:color w:val="000000"/>
                <w:kern w:val="0"/>
                <w:sz w:val="22"/>
                <w:lang w:bidi="ar"/>
              </w:rPr>
              <w:t>11</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78CC">
            <w:pPr>
              <w:spacing w:line="360" w:lineRule="auto"/>
              <w:jc w:val="center"/>
              <w:textAlignment w:val="center"/>
              <w:rPr>
                <w:rFonts w:ascii="宋体" w:hAnsi="宋体"/>
                <w:color w:val="000000"/>
                <w:sz w:val="22"/>
                <w:lang w:bidi="ar"/>
              </w:rPr>
            </w:pPr>
            <w:r>
              <w:rPr>
                <w:rFonts w:hint="eastAsia" w:ascii="宋体" w:hAnsi="宋体" w:cs="宋体"/>
                <w:color w:val="000000"/>
                <w:kern w:val="0"/>
                <w:sz w:val="22"/>
                <w:lang w:bidi="ar"/>
              </w:rPr>
              <w:t>分类积分</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0DE9">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区分类办</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F6D4">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每40分钟</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81A0">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API接口</w:t>
            </w:r>
          </w:p>
        </w:tc>
        <w:tc>
          <w:tcPr>
            <w:tcW w:w="2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9534">
            <w:pPr>
              <w:spacing w:line="360" w:lineRule="auto"/>
              <w:jc w:val="center"/>
              <w:textAlignment w:val="center"/>
              <w:rPr>
                <w:rFonts w:ascii="宋体" w:hAnsi="宋体"/>
                <w:color w:val="000000"/>
                <w:sz w:val="22"/>
              </w:rPr>
            </w:pPr>
            <w:r>
              <w:rPr>
                <w:rFonts w:hint="eastAsia" w:ascii="宋体" w:hAnsi="宋体" w:cs="宋体"/>
                <w:color w:val="000000"/>
                <w:kern w:val="0"/>
                <w:sz w:val="22"/>
                <w:lang w:bidi="ar"/>
              </w:rPr>
              <w:t>湖州市垃圾分类智慧监管平台</w:t>
            </w:r>
          </w:p>
        </w:tc>
      </w:tr>
    </w:tbl>
    <w:p w14:paraId="3B8E653D">
      <w:pPr>
        <w:spacing w:line="360" w:lineRule="auto"/>
        <w:ind w:firstLine="480"/>
        <w:rPr>
          <w:rFonts w:ascii="宋体" w:hAnsi="宋体"/>
          <w:b/>
          <w:sz w:val="24"/>
        </w:rPr>
      </w:pPr>
      <w:bookmarkStart w:id="8" w:name="_Toc11238"/>
    </w:p>
    <w:p w14:paraId="1B573C4C">
      <w:pPr>
        <w:spacing w:line="360" w:lineRule="auto"/>
        <w:ind w:firstLine="480"/>
        <w:rPr>
          <w:rFonts w:ascii="宋体" w:hAnsi="宋体"/>
          <w:b/>
          <w:sz w:val="24"/>
        </w:rPr>
      </w:pPr>
      <w:r>
        <w:rPr>
          <w:rFonts w:hint="eastAsia" w:ascii="宋体" w:hAnsi="宋体"/>
          <w:b/>
          <w:sz w:val="24"/>
        </w:rPr>
        <w:t>（七）组件资源需求设计</w:t>
      </w:r>
      <w:bookmarkEnd w:id="8"/>
    </w:p>
    <w:p w14:paraId="6CE90986">
      <w:pPr>
        <w:spacing w:line="360" w:lineRule="auto"/>
        <w:ind w:firstLine="480"/>
        <w:rPr>
          <w:rFonts w:ascii="宋体" w:hAnsi="宋体" w:cs="宋体"/>
        </w:rPr>
      </w:pPr>
      <w:r>
        <w:rPr>
          <w:rFonts w:hint="eastAsia" w:ascii="宋体" w:hAnsi="宋体" w:cs="宋体"/>
        </w:rPr>
        <w:t>申请浙政钉扫码组件、短信服务组件。</w:t>
      </w:r>
    </w:p>
    <w:p w14:paraId="2E97EFC3">
      <w:pPr>
        <w:pStyle w:val="2"/>
      </w:pPr>
    </w:p>
    <w:p w14:paraId="42B79602">
      <w:pPr>
        <w:spacing w:line="360" w:lineRule="auto"/>
        <w:ind w:firstLine="480"/>
        <w:rPr>
          <w:rFonts w:ascii="宋体" w:hAnsi="宋体"/>
          <w:b/>
          <w:sz w:val="24"/>
        </w:rPr>
      </w:pPr>
      <w:bookmarkStart w:id="9" w:name="_Toc10875"/>
      <w:r>
        <w:rPr>
          <w:rFonts w:hint="eastAsia" w:ascii="宋体" w:hAnsi="宋体"/>
          <w:b/>
          <w:sz w:val="24"/>
        </w:rPr>
        <w:t>（八）应用发布端设计</w:t>
      </w:r>
      <w:bookmarkEnd w:id="9"/>
    </w:p>
    <w:p w14:paraId="2B6BE00D">
      <w:pPr>
        <w:spacing w:line="360" w:lineRule="auto"/>
        <w:ind w:firstLine="480"/>
        <w:rPr>
          <w:rFonts w:ascii="宋体" w:hAnsi="宋体" w:cs="宋体"/>
        </w:rPr>
      </w:pPr>
      <w:r>
        <w:rPr>
          <w:rFonts w:hint="eastAsia" w:ascii="宋体" w:hAnsi="宋体" w:cs="宋体"/>
        </w:rPr>
        <w:t>应用部署在web端平台，不产生移动端应用。</w:t>
      </w:r>
    </w:p>
    <w:p w14:paraId="19387E1C">
      <w:pPr>
        <w:pStyle w:val="2"/>
      </w:pPr>
    </w:p>
    <w:p w14:paraId="0CB2A373">
      <w:pPr>
        <w:spacing w:line="360" w:lineRule="auto"/>
        <w:ind w:firstLine="480"/>
        <w:rPr>
          <w:rFonts w:ascii="宋体" w:hAnsi="宋体"/>
          <w:b/>
          <w:sz w:val="24"/>
        </w:rPr>
      </w:pPr>
      <w:bookmarkStart w:id="10" w:name="_Toc5594"/>
      <w:r>
        <w:rPr>
          <w:rFonts w:hint="eastAsia" w:ascii="宋体" w:hAnsi="宋体"/>
          <w:b/>
          <w:sz w:val="24"/>
        </w:rPr>
        <w:t>（九）网络安全需求设计</w:t>
      </w:r>
      <w:bookmarkEnd w:id="10"/>
    </w:p>
    <w:p w14:paraId="7DA76B03">
      <w:pPr>
        <w:spacing w:line="360" w:lineRule="auto"/>
        <w:ind w:firstLine="480"/>
        <w:rPr>
          <w:rFonts w:ascii="宋体" w:hAnsi="宋体"/>
        </w:rPr>
      </w:pPr>
      <w:r>
        <w:rPr>
          <w:rFonts w:hint="eastAsia" w:ascii="宋体" w:hAnsi="宋体" w:cs="宋体"/>
        </w:rPr>
        <w:t>平台部署在政务外网，使用政务外网的网络安全防护要求。</w:t>
      </w:r>
    </w:p>
    <w:p w14:paraId="46A8CA1C">
      <w:pPr>
        <w:pStyle w:val="19"/>
        <w:spacing w:beforeLines="0" w:afterLines="0" w:line="360" w:lineRule="auto"/>
        <w:ind w:firstLine="482" w:firstLineChars="200"/>
        <w:outlineLvl w:val="0"/>
        <w:rPr>
          <w:rFonts w:hAnsi="宋体"/>
          <w:b/>
        </w:rPr>
      </w:pPr>
    </w:p>
    <w:p w14:paraId="5B4637C2">
      <w:pPr>
        <w:pStyle w:val="19"/>
        <w:spacing w:beforeLines="0" w:afterLines="0" w:line="360" w:lineRule="auto"/>
        <w:ind w:firstLine="482" w:firstLineChars="200"/>
        <w:outlineLvl w:val="0"/>
        <w:rPr>
          <w:rFonts w:hAnsi="宋体"/>
          <w:b/>
        </w:rPr>
      </w:pPr>
      <w:r>
        <w:rPr>
          <w:rFonts w:hint="eastAsia" w:hAnsi="宋体"/>
          <w:b/>
        </w:rPr>
        <w:t>六、</w:t>
      </w:r>
      <w:r>
        <w:rPr>
          <w:rFonts w:hAnsi="宋体"/>
          <w:b/>
        </w:rPr>
        <w:t>商务要求</w:t>
      </w:r>
    </w:p>
    <w:tbl>
      <w:tblPr>
        <w:tblStyle w:val="34"/>
        <w:tblW w:w="10207"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2"/>
        <w:gridCol w:w="8505"/>
      </w:tblGrid>
      <w:tr w14:paraId="4BA80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702" w:type="dxa"/>
            <w:tcBorders>
              <w:top w:val="single" w:color="auto" w:sz="4" w:space="0"/>
              <w:left w:val="single" w:color="auto" w:sz="4" w:space="0"/>
              <w:bottom w:val="single" w:color="auto" w:sz="4" w:space="0"/>
              <w:right w:val="single" w:color="auto" w:sz="4" w:space="0"/>
            </w:tcBorders>
            <w:vAlign w:val="center"/>
          </w:tcPr>
          <w:p w14:paraId="7E5594F2">
            <w:pPr>
              <w:rPr>
                <w:rFonts w:ascii="宋体" w:hAnsi="宋体" w:cs="宋体"/>
                <w:sz w:val="24"/>
              </w:rPr>
            </w:pPr>
            <w:r>
              <w:rPr>
                <w:rFonts w:hint="eastAsia" w:ascii="宋体" w:hAnsi="宋体" w:cs="宋体"/>
                <w:sz w:val="24"/>
              </w:rPr>
              <w:t>服务期及地点</w:t>
            </w:r>
          </w:p>
        </w:tc>
        <w:tc>
          <w:tcPr>
            <w:tcW w:w="8505" w:type="dxa"/>
            <w:tcBorders>
              <w:top w:val="single" w:color="auto" w:sz="4" w:space="0"/>
              <w:left w:val="single" w:color="auto" w:sz="4" w:space="0"/>
              <w:bottom w:val="single" w:color="auto" w:sz="4" w:space="0"/>
              <w:right w:val="single" w:color="auto" w:sz="4" w:space="0"/>
            </w:tcBorders>
            <w:vAlign w:val="center"/>
          </w:tcPr>
          <w:p w14:paraId="7FD43451">
            <w:pPr>
              <w:spacing w:line="360" w:lineRule="auto"/>
              <w:rPr>
                <w:rFonts w:ascii="宋体" w:hAnsi="宋体" w:cs="宋体"/>
                <w:sz w:val="24"/>
              </w:rPr>
            </w:pPr>
            <w:r>
              <w:rPr>
                <w:rFonts w:hint="eastAsia" w:ascii="宋体" w:hAnsi="宋体" w:cs="宋体"/>
                <w:sz w:val="24"/>
              </w:rPr>
              <w:t xml:space="preserve">▲服务期：合同签订后三个月内完成平台建设工作；服务期三年，自本项目验收通过之日起开始计算。 </w:t>
            </w:r>
          </w:p>
          <w:p w14:paraId="1A88B9A4">
            <w:pPr>
              <w:spacing w:line="360" w:lineRule="auto"/>
              <w:rPr>
                <w:rFonts w:ascii="宋体" w:hAnsi="宋体" w:cs="宋体"/>
                <w:sz w:val="24"/>
              </w:rPr>
            </w:pPr>
            <w:r>
              <w:rPr>
                <w:rFonts w:hint="eastAsia" w:ascii="宋体" w:hAnsi="宋体" w:cs="宋体"/>
                <w:sz w:val="24"/>
              </w:rPr>
              <w:t>地点：采购人指定地点；</w:t>
            </w:r>
          </w:p>
        </w:tc>
      </w:tr>
      <w:tr w14:paraId="06B3E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702" w:type="dxa"/>
            <w:tcBorders>
              <w:top w:val="single" w:color="auto" w:sz="4" w:space="0"/>
              <w:left w:val="single" w:color="auto" w:sz="4" w:space="0"/>
              <w:bottom w:val="single" w:color="auto" w:sz="4" w:space="0"/>
              <w:right w:val="single" w:color="auto" w:sz="4" w:space="0"/>
            </w:tcBorders>
          </w:tcPr>
          <w:p w14:paraId="69B3E15A">
            <w:pPr>
              <w:rPr>
                <w:rFonts w:ascii="宋体" w:hAnsi="宋体" w:cs="宋体"/>
                <w:sz w:val="24"/>
                <w:highlight w:val="yellow"/>
              </w:rPr>
            </w:pPr>
            <w:r>
              <w:rPr>
                <w:rFonts w:hint="eastAsia" w:ascii="宋体" w:hAnsi="宋体" w:cs="宋体"/>
                <w:sz w:val="24"/>
              </w:rPr>
              <w:t>付款方式</w:t>
            </w:r>
          </w:p>
        </w:tc>
        <w:tc>
          <w:tcPr>
            <w:tcW w:w="8505" w:type="dxa"/>
            <w:tcBorders>
              <w:top w:val="single" w:color="auto" w:sz="4" w:space="0"/>
              <w:left w:val="single" w:color="auto" w:sz="4" w:space="0"/>
              <w:bottom w:val="single" w:color="auto" w:sz="4" w:space="0"/>
              <w:right w:val="single" w:color="auto" w:sz="4" w:space="0"/>
            </w:tcBorders>
          </w:tcPr>
          <w:p w14:paraId="0D78C925">
            <w:pPr>
              <w:spacing w:line="360" w:lineRule="auto"/>
            </w:pPr>
            <w:r>
              <w:rPr>
                <w:rFonts w:hint="eastAsia" w:ascii="宋体" w:hAnsi="宋体" w:cs="宋体"/>
                <w:sz w:val="24"/>
              </w:rPr>
              <w:t>▲根据《保障中小企业款项支付条例》</w:t>
            </w:r>
            <w:r>
              <w:rPr>
                <w:rFonts w:ascii="宋体" w:hAnsi="宋体" w:cs="宋体"/>
                <w:sz w:val="24"/>
              </w:rPr>
              <w:t>、</w:t>
            </w:r>
            <w:r>
              <w:rPr>
                <w:rFonts w:hint="eastAsia" w:ascii="宋体" w:hAnsi="宋体" w:cs="宋体"/>
                <w:sz w:val="24"/>
              </w:rPr>
              <w:t>省财政厅《关于坚决打赢疫情防控阻击战进一步做好政府采购资金支持企业发展工作的通知》（浙财采监【2022】3号）要求，制定如下付款方式：合同签订并具备实施条件后7个工作日内，支付合同金额20%作为预付款；项目终验合格后付清余款。</w:t>
            </w:r>
          </w:p>
          <w:p w14:paraId="52B1D6F6">
            <w:pPr>
              <w:spacing w:line="360" w:lineRule="auto"/>
              <w:rPr>
                <w:rFonts w:ascii="宋体" w:hAnsi="宋体" w:cs="宋体"/>
                <w:sz w:val="24"/>
                <w:highlight w:val="yellow"/>
              </w:rPr>
            </w:pPr>
            <w:r>
              <w:rPr>
                <w:rFonts w:hint="eastAsia" w:ascii="宋体" w:hAnsi="宋体" w:cs="宋体"/>
                <w:sz w:val="24"/>
              </w:rPr>
              <w:t>注：</w:t>
            </w:r>
            <w:r>
              <w:rPr>
                <w:rFonts w:ascii="宋体" w:hAnsi="宋体" w:cs="宋体"/>
                <w:sz w:val="24"/>
              </w:rPr>
              <w:t>若成交供应商明确表示无需预付款或者主动要求降低预付款比例的，采购人可不适用前述规定。</w:t>
            </w:r>
          </w:p>
        </w:tc>
      </w:tr>
    </w:tbl>
    <w:p w14:paraId="6521D07A">
      <w:pPr>
        <w:pStyle w:val="2"/>
        <w:spacing w:after="0" w:line="360" w:lineRule="auto"/>
        <w:rPr>
          <w:rFonts w:ascii="宋体" w:hAnsi="宋体" w:cs="宋体"/>
          <w:b/>
          <w:kern w:val="0"/>
          <w:sz w:val="24"/>
          <w:szCs w:val="22"/>
        </w:rPr>
      </w:pPr>
      <w:r>
        <w:rPr>
          <w:rFonts w:hint="eastAsia" w:ascii="宋体" w:hAnsi="宋体" w:cs="宋体"/>
          <w:b/>
          <w:kern w:val="0"/>
          <w:sz w:val="24"/>
          <w:szCs w:val="22"/>
        </w:rPr>
        <w:t>注：1、本项目</w:t>
      </w:r>
      <w:r>
        <w:rPr>
          <w:rFonts w:ascii="宋体" w:hAnsi="宋体" w:cs="宋体"/>
          <w:b/>
          <w:kern w:val="0"/>
          <w:sz w:val="24"/>
          <w:szCs w:val="22"/>
        </w:rPr>
        <w:t>采购标的对应的中小企业划分标准所属行业</w:t>
      </w:r>
      <w:r>
        <w:rPr>
          <w:rFonts w:hint="eastAsia" w:ascii="宋体" w:hAnsi="宋体" w:cs="宋体"/>
          <w:b/>
          <w:kern w:val="0"/>
          <w:sz w:val="24"/>
          <w:szCs w:val="22"/>
        </w:rPr>
        <w:t>为其他未列明行业。</w:t>
      </w:r>
    </w:p>
    <w:p w14:paraId="6BE42405">
      <w:pPr>
        <w:spacing w:line="360" w:lineRule="auto"/>
        <w:ind w:firstLine="472" w:firstLineChars="196"/>
      </w:pPr>
      <w:r>
        <w:rPr>
          <w:rFonts w:hint="eastAsia" w:ascii="宋体" w:hAnsi="宋体" w:cs="宋体"/>
          <w:b/>
          <w:kern w:val="0"/>
          <w:sz w:val="24"/>
        </w:rPr>
        <w:t>2.</w:t>
      </w:r>
      <w:r>
        <w:rPr>
          <w:rFonts w:ascii="宋体" w:hAnsi="宋体" w:cs="宋体"/>
          <w:b/>
          <w:kern w:val="0"/>
          <w:sz w:val="24"/>
        </w:rPr>
        <w:t>依据《</w:t>
      </w:r>
      <w:r>
        <w:rPr>
          <w:rFonts w:hint="eastAsia" w:ascii="宋体" w:hAnsi="宋体" w:cs="宋体"/>
          <w:b/>
          <w:kern w:val="0"/>
          <w:sz w:val="24"/>
        </w:rPr>
        <w:t>政府采购促进中小企业发展管理办法</w:t>
      </w:r>
      <w:r>
        <w:rPr>
          <w:rFonts w:ascii="宋体" w:hAnsi="宋体" w:cs="宋体"/>
          <w:b/>
          <w:kern w:val="0"/>
          <w:sz w:val="24"/>
        </w:rPr>
        <w:t>》</w:t>
      </w:r>
      <w:r>
        <w:rPr>
          <w:rFonts w:hint="eastAsia" w:ascii="宋体" w:hAnsi="宋体" w:cs="宋体"/>
          <w:b/>
          <w:kern w:val="0"/>
          <w:sz w:val="24"/>
        </w:rPr>
        <w:t>（财库【2020】46号）</w:t>
      </w:r>
      <w:r>
        <w:rPr>
          <w:rFonts w:ascii="宋体" w:hAnsi="宋体" w:cs="宋体"/>
          <w:b/>
          <w:kern w:val="0"/>
          <w:sz w:val="24"/>
        </w:rPr>
        <w:t xml:space="preserve">规定享受扶持政策获得政府采购合同的，小微企业不得将合同分包给大中型企业，中型企业不得将合同分包给大型企业。 </w:t>
      </w:r>
    </w:p>
    <w:p w14:paraId="62B9DDE5">
      <w:pPr>
        <w:snapToGrid w:val="0"/>
        <w:spacing w:line="360" w:lineRule="auto"/>
        <w:jc w:val="center"/>
        <w:rPr>
          <w:rFonts w:ascii="黑体" w:hAnsi="宋体" w:eastAsia="黑体"/>
          <w:sz w:val="30"/>
          <w:szCs w:val="30"/>
        </w:rPr>
      </w:pPr>
    </w:p>
    <w:p w14:paraId="0A5EA0A0">
      <w:pPr>
        <w:snapToGrid w:val="0"/>
        <w:spacing w:line="360" w:lineRule="auto"/>
        <w:jc w:val="center"/>
        <w:rPr>
          <w:rFonts w:ascii="黑体" w:hAnsi="宋体" w:eastAsia="黑体"/>
          <w:sz w:val="30"/>
          <w:szCs w:val="30"/>
        </w:rPr>
      </w:pPr>
      <w:r>
        <w:rPr>
          <w:rFonts w:hint="eastAsia" w:ascii="黑体" w:hAnsi="宋体" w:eastAsia="黑体"/>
          <w:sz w:val="30"/>
          <w:szCs w:val="30"/>
        </w:rPr>
        <w:t>第三章  投标人须知</w:t>
      </w:r>
    </w:p>
    <w:p w14:paraId="3609AF02">
      <w:pPr>
        <w:snapToGrid w:val="0"/>
        <w:spacing w:line="360" w:lineRule="auto"/>
        <w:ind w:left="238"/>
        <w:jc w:val="center"/>
        <w:outlineLvl w:val="1"/>
        <w:rPr>
          <w:rFonts w:ascii="宋体" w:hAnsi="宋体"/>
          <w:b/>
          <w:sz w:val="30"/>
          <w:szCs w:val="30"/>
        </w:rPr>
      </w:pPr>
      <w:r>
        <w:rPr>
          <w:rFonts w:hint="eastAsia" w:ascii="宋体" w:hAnsi="宋体"/>
          <w:b/>
          <w:sz w:val="30"/>
          <w:szCs w:val="30"/>
        </w:rPr>
        <w:t>前附表</w:t>
      </w:r>
    </w:p>
    <w:tbl>
      <w:tblPr>
        <w:tblStyle w:val="34"/>
        <w:tblW w:w="995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56"/>
      </w:tblGrid>
      <w:tr w14:paraId="65D35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14:paraId="7D9CBF99">
            <w:pPr>
              <w:snapToGrid w:val="0"/>
              <w:spacing w:line="360" w:lineRule="auto"/>
              <w:jc w:val="center"/>
              <w:rPr>
                <w:rFonts w:ascii="宋体" w:hAnsi="宋体"/>
                <w:sz w:val="24"/>
                <w:szCs w:val="20"/>
              </w:rPr>
            </w:pPr>
            <w:r>
              <w:rPr>
                <w:rFonts w:hint="eastAsia" w:ascii="宋体" w:hAnsi="宋体"/>
                <w:sz w:val="24"/>
              </w:rPr>
              <w:t>序号</w:t>
            </w:r>
          </w:p>
        </w:tc>
        <w:tc>
          <w:tcPr>
            <w:tcW w:w="9056" w:type="dxa"/>
            <w:tcBorders>
              <w:top w:val="single" w:color="auto" w:sz="4" w:space="0"/>
              <w:left w:val="single" w:color="auto" w:sz="4" w:space="0"/>
              <w:bottom w:val="single" w:color="auto" w:sz="4" w:space="0"/>
              <w:right w:val="single" w:color="auto" w:sz="4" w:space="0"/>
            </w:tcBorders>
            <w:vAlign w:val="center"/>
          </w:tcPr>
          <w:p w14:paraId="07B7B79F">
            <w:pPr>
              <w:snapToGrid w:val="0"/>
              <w:spacing w:line="360" w:lineRule="auto"/>
              <w:jc w:val="center"/>
              <w:rPr>
                <w:rFonts w:ascii="宋体" w:hAnsi="宋体"/>
                <w:sz w:val="24"/>
                <w:szCs w:val="20"/>
              </w:rPr>
            </w:pPr>
            <w:r>
              <w:rPr>
                <w:rFonts w:hint="eastAsia" w:ascii="宋体" w:hAnsi="宋体"/>
                <w:sz w:val="24"/>
              </w:rPr>
              <w:t>内容、要求</w:t>
            </w:r>
          </w:p>
        </w:tc>
      </w:tr>
      <w:tr w14:paraId="68FA6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0" w:type="dxa"/>
            <w:tcBorders>
              <w:top w:val="single" w:color="auto" w:sz="4" w:space="0"/>
              <w:left w:val="single" w:color="auto" w:sz="4" w:space="0"/>
              <w:bottom w:val="single" w:color="auto" w:sz="4" w:space="0"/>
              <w:right w:val="single" w:color="auto" w:sz="4" w:space="0"/>
            </w:tcBorders>
            <w:vAlign w:val="center"/>
          </w:tcPr>
          <w:p w14:paraId="2448C252">
            <w:pPr>
              <w:snapToGrid w:val="0"/>
              <w:spacing w:line="360" w:lineRule="auto"/>
              <w:jc w:val="center"/>
              <w:rPr>
                <w:rFonts w:ascii="宋体" w:hAnsi="宋体"/>
                <w:sz w:val="24"/>
                <w:szCs w:val="20"/>
              </w:rPr>
            </w:pPr>
            <w:r>
              <w:rPr>
                <w:rFonts w:ascii="宋体" w:hAnsi="宋体"/>
                <w:sz w:val="24"/>
              </w:rPr>
              <w:t>1</w:t>
            </w:r>
          </w:p>
        </w:tc>
        <w:tc>
          <w:tcPr>
            <w:tcW w:w="9056" w:type="dxa"/>
            <w:tcBorders>
              <w:top w:val="single" w:color="auto" w:sz="4" w:space="0"/>
              <w:left w:val="single" w:color="auto" w:sz="4" w:space="0"/>
              <w:bottom w:val="single" w:color="auto" w:sz="4" w:space="0"/>
              <w:right w:val="single" w:color="auto" w:sz="4" w:space="0"/>
            </w:tcBorders>
            <w:vAlign w:val="center"/>
          </w:tcPr>
          <w:p w14:paraId="6B9CCA66">
            <w:pPr>
              <w:widowControl/>
              <w:jc w:val="left"/>
              <w:rPr>
                <w:rFonts w:ascii="宋体" w:hAnsi="宋体"/>
                <w:sz w:val="24"/>
              </w:rPr>
            </w:pPr>
            <w:r>
              <w:rPr>
                <w:rFonts w:hint="eastAsia" w:ascii="宋体" w:hAnsi="宋体"/>
                <w:sz w:val="24"/>
              </w:rPr>
              <w:t>项目名称：南太湖新区垃圾分类数据管理平台建设项目</w:t>
            </w:r>
          </w:p>
        </w:tc>
      </w:tr>
      <w:tr w14:paraId="24A72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7E5B4B44">
            <w:pPr>
              <w:snapToGrid w:val="0"/>
              <w:spacing w:line="360" w:lineRule="auto"/>
              <w:jc w:val="center"/>
              <w:rPr>
                <w:rFonts w:ascii="宋体" w:hAnsi="宋体"/>
                <w:sz w:val="24"/>
                <w:szCs w:val="20"/>
              </w:rPr>
            </w:pPr>
            <w:r>
              <w:rPr>
                <w:rFonts w:ascii="宋体" w:hAnsi="宋体"/>
                <w:sz w:val="24"/>
              </w:rPr>
              <w:t>2</w:t>
            </w:r>
          </w:p>
        </w:tc>
        <w:tc>
          <w:tcPr>
            <w:tcW w:w="9056" w:type="dxa"/>
            <w:tcBorders>
              <w:top w:val="single" w:color="auto" w:sz="4" w:space="0"/>
              <w:left w:val="single" w:color="auto" w:sz="4" w:space="0"/>
              <w:bottom w:val="single" w:color="auto" w:sz="4" w:space="0"/>
              <w:right w:val="single" w:color="auto" w:sz="4" w:space="0"/>
            </w:tcBorders>
            <w:vAlign w:val="center"/>
          </w:tcPr>
          <w:p w14:paraId="65E9A123">
            <w:pPr>
              <w:widowControl/>
              <w:jc w:val="left"/>
              <w:rPr>
                <w:rFonts w:ascii="宋体" w:hAnsi="宋体"/>
                <w:sz w:val="24"/>
              </w:rPr>
            </w:pPr>
            <w:r>
              <w:rPr>
                <w:rFonts w:hint="eastAsia" w:ascii="宋体" w:hAnsi="宋体"/>
                <w:sz w:val="24"/>
              </w:rPr>
              <w:t>采购数量及单位：详见招标文件</w:t>
            </w:r>
          </w:p>
        </w:tc>
      </w:tr>
      <w:tr w14:paraId="571F4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30050A3B">
            <w:pPr>
              <w:snapToGrid w:val="0"/>
              <w:spacing w:line="360" w:lineRule="auto"/>
              <w:jc w:val="center"/>
              <w:rPr>
                <w:rFonts w:ascii="宋体" w:hAnsi="宋体"/>
                <w:sz w:val="24"/>
              </w:rPr>
            </w:pPr>
            <w:r>
              <w:rPr>
                <w:rFonts w:hint="eastAsia" w:ascii="宋体" w:hAnsi="宋体"/>
                <w:sz w:val="24"/>
              </w:rPr>
              <w:t>3</w:t>
            </w:r>
          </w:p>
        </w:tc>
        <w:tc>
          <w:tcPr>
            <w:tcW w:w="9056" w:type="dxa"/>
            <w:tcBorders>
              <w:top w:val="single" w:color="auto" w:sz="4" w:space="0"/>
              <w:left w:val="single" w:color="auto" w:sz="4" w:space="0"/>
              <w:bottom w:val="single" w:color="auto" w:sz="4" w:space="0"/>
              <w:right w:val="single" w:color="auto" w:sz="4" w:space="0"/>
            </w:tcBorders>
            <w:vAlign w:val="center"/>
          </w:tcPr>
          <w:p w14:paraId="06C4FEA8">
            <w:pPr>
              <w:widowControl/>
              <w:jc w:val="left"/>
              <w:rPr>
                <w:rFonts w:ascii="宋体" w:hAnsi="宋体"/>
                <w:sz w:val="24"/>
              </w:rPr>
            </w:pPr>
            <w:r>
              <w:rPr>
                <w:rFonts w:hint="eastAsia" w:ascii="宋体" w:hAnsi="宋体"/>
                <w:sz w:val="24"/>
              </w:rPr>
              <w:t>投标报价及费用：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.不论投标结果如何，投标人均应自行承担所有与投标有关的全部费用。3.本项目招标代理服务费收取人民币壹万壹仟</w:t>
            </w:r>
            <w:r>
              <w:rPr>
                <w:rFonts w:hint="eastAsia" w:ascii="宋体" w:hAnsi="宋体" w:cs="宋体"/>
                <w:sz w:val="24"/>
              </w:rPr>
              <w:t>元整（￥11000.00</w:t>
            </w:r>
            <w:r>
              <w:rPr>
                <w:rFonts w:hint="eastAsia" w:ascii="宋体" w:hAnsi="宋体" w:cs="宋体"/>
                <w:sz w:val="24"/>
                <w:lang w:eastAsia="zh-CN"/>
              </w:rPr>
              <w:t>）</w:t>
            </w:r>
            <w:r>
              <w:rPr>
                <w:rFonts w:hint="eastAsia" w:ascii="宋体" w:hAnsi="宋体"/>
                <w:sz w:val="24"/>
              </w:rPr>
              <w:t>，由中标人全额支付。</w:t>
            </w:r>
          </w:p>
        </w:tc>
      </w:tr>
      <w:tr w14:paraId="57660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14:paraId="29676D41">
            <w:pPr>
              <w:snapToGrid w:val="0"/>
              <w:spacing w:line="360" w:lineRule="auto"/>
              <w:jc w:val="center"/>
              <w:rPr>
                <w:rFonts w:ascii="宋体" w:hAnsi="宋体"/>
                <w:sz w:val="24"/>
                <w:szCs w:val="20"/>
              </w:rPr>
            </w:pPr>
            <w:r>
              <w:rPr>
                <w:rFonts w:ascii="宋体" w:hAnsi="宋体"/>
                <w:sz w:val="24"/>
              </w:rPr>
              <w:t>4</w:t>
            </w:r>
          </w:p>
        </w:tc>
        <w:tc>
          <w:tcPr>
            <w:tcW w:w="9056" w:type="dxa"/>
            <w:tcBorders>
              <w:top w:val="single" w:color="auto" w:sz="4" w:space="0"/>
              <w:left w:val="single" w:color="auto" w:sz="4" w:space="0"/>
              <w:bottom w:val="single" w:color="auto" w:sz="4" w:space="0"/>
              <w:right w:val="single" w:color="auto" w:sz="4" w:space="0"/>
            </w:tcBorders>
            <w:vAlign w:val="center"/>
          </w:tcPr>
          <w:p w14:paraId="7DFC29C4">
            <w:pPr>
              <w:widowControl/>
              <w:jc w:val="left"/>
              <w:rPr>
                <w:rFonts w:ascii="宋体" w:hAnsi="宋体"/>
                <w:sz w:val="24"/>
              </w:rPr>
            </w:pPr>
            <w:r>
              <w:rPr>
                <w:rFonts w:hint="eastAsia" w:ascii="宋体" w:hAnsi="宋体"/>
                <w:sz w:val="24"/>
              </w:rPr>
              <w:t>投标保证金：不缴纳</w:t>
            </w:r>
          </w:p>
        </w:tc>
      </w:tr>
      <w:tr w14:paraId="14279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14:paraId="6FCB0A44">
            <w:pPr>
              <w:snapToGrid w:val="0"/>
              <w:spacing w:line="360" w:lineRule="auto"/>
              <w:jc w:val="center"/>
              <w:rPr>
                <w:rFonts w:ascii="宋体" w:hAnsi="宋体"/>
                <w:sz w:val="24"/>
                <w:szCs w:val="20"/>
              </w:rPr>
            </w:pPr>
            <w:r>
              <w:rPr>
                <w:rFonts w:ascii="宋体" w:hAnsi="宋体"/>
                <w:sz w:val="24"/>
              </w:rPr>
              <w:t>5</w:t>
            </w:r>
          </w:p>
        </w:tc>
        <w:tc>
          <w:tcPr>
            <w:tcW w:w="9056" w:type="dxa"/>
            <w:tcBorders>
              <w:top w:val="single" w:color="auto" w:sz="4" w:space="0"/>
              <w:left w:val="single" w:color="auto" w:sz="4" w:space="0"/>
              <w:bottom w:val="single" w:color="auto" w:sz="4" w:space="0"/>
              <w:right w:val="single" w:color="auto" w:sz="4" w:space="0"/>
            </w:tcBorders>
            <w:vAlign w:val="center"/>
          </w:tcPr>
          <w:p w14:paraId="2506F388">
            <w:pPr>
              <w:widowControl/>
              <w:jc w:val="left"/>
              <w:rPr>
                <w:rFonts w:ascii="宋体" w:hAnsi="宋体"/>
                <w:sz w:val="24"/>
              </w:rPr>
            </w:pPr>
            <w:r>
              <w:rPr>
                <w:rFonts w:hint="eastAsia" w:ascii="宋体" w:hAnsi="宋体"/>
                <w:sz w:val="24"/>
              </w:rPr>
              <w:t>现场踏勘：不组织</w:t>
            </w:r>
          </w:p>
        </w:tc>
      </w:tr>
      <w:tr w14:paraId="26AD5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37EEFB1D">
            <w:pPr>
              <w:snapToGrid w:val="0"/>
              <w:spacing w:line="360" w:lineRule="auto"/>
              <w:jc w:val="center"/>
              <w:rPr>
                <w:rFonts w:ascii="宋体" w:hAnsi="宋体"/>
                <w:sz w:val="24"/>
                <w:szCs w:val="20"/>
              </w:rPr>
            </w:pPr>
            <w:r>
              <w:rPr>
                <w:rFonts w:hint="eastAsia" w:ascii="宋体" w:hAnsi="宋体"/>
                <w:sz w:val="24"/>
                <w:szCs w:val="20"/>
              </w:rPr>
              <w:t>6</w:t>
            </w:r>
          </w:p>
        </w:tc>
        <w:tc>
          <w:tcPr>
            <w:tcW w:w="9056" w:type="dxa"/>
            <w:tcBorders>
              <w:top w:val="single" w:color="auto" w:sz="4" w:space="0"/>
              <w:left w:val="single" w:color="auto" w:sz="4" w:space="0"/>
              <w:bottom w:val="single" w:color="auto" w:sz="4" w:space="0"/>
              <w:right w:val="single" w:color="auto" w:sz="4" w:space="0"/>
            </w:tcBorders>
            <w:vAlign w:val="center"/>
          </w:tcPr>
          <w:p w14:paraId="24109028">
            <w:pPr>
              <w:widowControl/>
              <w:jc w:val="left"/>
              <w:rPr>
                <w:rFonts w:ascii="宋体" w:hAnsi="宋体"/>
                <w:sz w:val="24"/>
              </w:rPr>
            </w:pPr>
            <w:r>
              <w:rPr>
                <w:rFonts w:hint="eastAsia" w:ascii="宋体" w:hAnsi="宋体"/>
                <w:sz w:val="24"/>
              </w:rPr>
              <w:t>答疑与澄清：投标人如认为招标文件表述不清晰、存在歧视性、排他性或者其他违法内容的，应当于2024年10月8日17:00前，以书面形式要求招标采购单位作出书面解释、澄清或者向招标采购单位提出书面质疑；招标采购单位将于2024年10 月10日前组织答疑；答疑内容是招标文件的组成部分，将在网上发布补充（答疑、澄清）文件，潜在投标人应自行关注网站公告，招标人不再一一通知。投标人因自身贻误行为导致投标失败的，责任自负。</w:t>
            </w:r>
          </w:p>
        </w:tc>
      </w:tr>
      <w:tr w14:paraId="3A3A8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6C423A54">
            <w:pPr>
              <w:snapToGrid w:val="0"/>
              <w:spacing w:line="360" w:lineRule="auto"/>
              <w:jc w:val="center"/>
              <w:rPr>
                <w:rFonts w:ascii="宋体" w:hAnsi="宋体"/>
                <w:sz w:val="24"/>
              </w:rPr>
            </w:pPr>
            <w:r>
              <w:rPr>
                <w:rFonts w:hint="eastAsia" w:ascii="宋体" w:hAnsi="宋体"/>
                <w:sz w:val="24"/>
              </w:rPr>
              <w:t>7</w:t>
            </w:r>
          </w:p>
        </w:tc>
        <w:tc>
          <w:tcPr>
            <w:tcW w:w="9056" w:type="dxa"/>
            <w:tcBorders>
              <w:top w:val="single" w:color="auto" w:sz="4" w:space="0"/>
              <w:left w:val="single" w:color="auto" w:sz="4" w:space="0"/>
              <w:bottom w:val="single" w:color="auto" w:sz="4" w:space="0"/>
              <w:right w:val="single" w:color="auto" w:sz="4" w:space="0"/>
            </w:tcBorders>
            <w:vAlign w:val="center"/>
          </w:tcPr>
          <w:p w14:paraId="1723C1A8">
            <w:pPr>
              <w:widowControl/>
              <w:jc w:val="left"/>
              <w:rPr>
                <w:rFonts w:ascii="宋体" w:hAnsi="宋体"/>
                <w:sz w:val="24"/>
              </w:rPr>
            </w:pPr>
            <w:r>
              <w:rPr>
                <w:rFonts w:hint="eastAsia" w:ascii="宋体" w:hAnsi="宋体"/>
                <w:sz w:val="24"/>
              </w:rPr>
              <w:t>投标文件组成：1、电子投标文件（包括“电子加密投标文件”和“备份投标文件”，在投标文件编制完成后同时生成）</w:t>
            </w:r>
          </w:p>
          <w:p w14:paraId="00970DE5">
            <w:pPr>
              <w:widowControl/>
              <w:jc w:val="left"/>
              <w:rPr>
                <w:rFonts w:ascii="宋体" w:hAnsi="宋体"/>
                <w:sz w:val="24"/>
              </w:rPr>
            </w:pPr>
            <w:r>
              <w:rPr>
                <w:rFonts w:hint="eastAsia" w:ascii="宋体" w:hAnsi="宋体"/>
                <w:sz w:val="24"/>
              </w:rPr>
              <w:t>（1）“电子加密投标文件”是指通过“政采云电子交易客户端”完成投标文件编制后生成并加密的数据电文形式的投标文件。</w:t>
            </w:r>
          </w:p>
          <w:p w14:paraId="4698D734">
            <w:pPr>
              <w:widowControl/>
              <w:jc w:val="left"/>
              <w:rPr>
                <w:rFonts w:ascii="宋体" w:hAnsi="宋体"/>
                <w:sz w:val="24"/>
              </w:rPr>
            </w:pPr>
            <w:r>
              <w:rPr>
                <w:rFonts w:hint="eastAsia" w:ascii="宋体" w:hAnsi="宋体"/>
                <w:sz w:val="24"/>
              </w:rPr>
              <w:t>（2）“备份投标文件”是指与“电子加密投标文件”同时生成的数据电文形式的电子文件（备份标书），其他方式编制的备份投标文件视为无效备份投标文件。仅在出现解密异常情况下使用。</w:t>
            </w:r>
          </w:p>
          <w:p w14:paraId="6485CCF3">
            <w:pPr>
              <w:widowControl/>
              <w:autoSpaceDE w:val="0"/>
              <w:autoSpaceDN w:val="0"/>
              <w:jc w:val="left"/>
              <w:textAlignment w:val="bottom"/>
              <w:rPr>
                <w:rFonts w:ascii="宋体" w:hAnsi="宋体"/>
                <w:sz w:val="24"/>
              </w:rPr>
            </w:pPr>
            <w:r>
              <w:rPr>
                <w:rFonts w:hint="eastAsia" w:ascii="宋体" w:hAnsi="宋体"/>
                <w:sz w:val="24"/>
              </w:rPr>
              <w:t>2、中标后，中标单位需在领取中标通知书时，向招标代理机构提交与投标时电子投标文件一致的纸质版本一式三份（按照招标文件要求签字盖章）。</w:t>
            </w:r>
          </w:p>
        </w:tc>
      </w:tr>
      <w:tr w14:paraId="581B7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00" w:type="dxa"/>
            <w:tcBorders>
              <w:top w:val="single" w:color="auto" w:sz="4" w:space="0"/>
              <w:left w:val="single" w:color="auto" w:sz="4" w:space="0"/>
              <w:bottom w:val="single" w:color="auto" w:sz="4" w:space="0"/>
              <w:right w:val="single" w:color="auto" w:sz="4" w:space="0"/>
            </w:tcBorders>
            <w:vAlign w:val="center"/>
          </w:tcPr>
          <w:p w14:paraId="29375D32">
            <w:pPr>
              <w:snapToGrid w:val="0"/>
              <w:spacing w:line="360" w:lineRule="auto"/>
              <w:jc w:val="center"/>
              <w:rPr>
                <w:rFonts w:ascii="宋体" w:hAnsi="宋体"/>
                <w:sz w:val="24"/>
              </w:rPr>
            </w:pPr>
            <w:r>
              <w:rPr>
                <w:rFonts w:hint="eastAsia" w:ascii="宋体" w:hAnsi="宋体"/>
                <w:sz w:val="24"/>
              </w:rPr>
              <w:t>8</w:t>
            </w:r>
          </w:p>
        </w:tc>
        <w:tc>
          <w:tcPr>
            <w:tcW w:w="9056" w:type="dxa"/>
            <w:tcBorders>
              <w:top w:val="single" w:color="auto" w:sz="4" w:space="0"/>
              <w:left w:val="single" w:color="auto" w:sz="4" w:space="0"/>
              <w:bottom w:val="single" w:color="auto" w:sz="4" w:space="0"/>
              <w:right w:val="single" w:color="auto" w:sz="4" w:space="0"/>
            </w:tcBorders>
            <w:vAlign w:val="center"/>
          </w:tcPr>
          <w:p w14:paraId="53BBB04D">
            <w:pPr>
              <w:widowControl/>
              <w:jc w:val="left"/>
              <w:rPr>
                <w:rFonts w:ascii="宋体" w:hAnsi="宋体"/>
                <w:sz w:val="24"/>
              </w:rPr>
            </w:pPr>
            <w:r>
              <w:rPr>
                <w:rFonts w:hint="eastAsia" w:ascii="宋体" w:hAnsi="宋体"/>
                <w:sz w:val="24"/>
              </w:rPr>
              <w:t>投标文件份数：1、“电子加密投标文件”：在线上传递交、一份。2、 “备份投标文件”：一份。</w:t>
            </w:r>
            <w:r>
              <w:rPr>
                <w:rFonts w:ascii="宋体" w:hAnsi="宋体"/>
                <w:sz w:val="24"/>
              </w:rPr>
              <w:t>以介质存储的数据电文形式的备份</w:t>
            </w:r>
            <w:r>
              <w:rPr>
                <w:rFonts w:hint="eastAsia" w:ascii="宋体" w:hAnsi="宋体"/>
                <w:sz w:val="24"/>
              </w:rPr>
              <w:t>投标</w:t>
            </w:r>
            <w:r>
              <w:rPr>
                <w:rFonts w:ascii="宋体" w:hAnsi="宋体"/>
                <w:sz w:val="24"/>
              </w:rPr>
              <w:t>文件</w:t>
            </w:r>
            <w:r>
              <w:rPr>
                <w:rFonts w:hint="eastAsia" w:ascii="宋体" w:hAnsi="宋体"/>
                <w:sz w:val="24"/>
              </w:rPr>
              <w:t>（</w:t>
            </w:r>
            <w:r>
              <w:rPr>
                <w:rFonts w:ascii="宋体" w:hAnsi="宋体"/>
                <w:sz w:val="24"/>
              </w:rPr>
              <w:t>BFBS格式</w:t>
            </w:r>
            <w:r>
              <w:rPr>
                <w:rFonts w:hint="eastAsia" w:ascii="宋体" w:hAnsi="宋体"/>
                <w:sz w:val="24"/>
              </w:rPr>
              <w:t>）</w:t>
            </w:r>
            <w:r>
              <w:rPr>
                <w:rFonts w:ascii="宋体" w:hAnsi="宋体"/>
                <w:sz w:val="24"/>
              </w:rPr>
              <w:t>，按政采云平台项目采购-电子交易操作指南中上传的电子</w:t>
            </w:r>
            <w:r>
              <w:rPr>
                <w:rFonts w:hint="eastAsia" w:ascii="宋体" w:hAnsi="宋体"/>
                <w:sz w:val="24"/>
              </w:rPr>
              <w:t>投标</w:t>
            </w:r>
            <w:r>
              <w:rPr>
                <w:rFonts w:ascii="宋体" w:hAnsi="宋体"/>
                <w:sz w:val="24"/>
              </w:rPr>
              <w:t>文件格式，以U盘形式存储提供</w:t>
            </w:r>
            <w:r>
              <w:rPr>
                <w:rFonts w:hint="eastAsia" w:ascii="宋体" w:hAnsi="宋体"/>
                <w:sz w:val="24"/>
              </w:rPr>
              <w:t>）</w:t>
            </w:r>
            <w:r>
              <w:rPr>
                <w:rFonts w:ascii="宋体" w:hAnsi="宋体"/>
                <w:sz w:val="24"/>
              </w:rPr>
              <w:t>。U盘盘面上粘贴标签，标注单位名称，装入一个外包封袋中进行邮寄.邮寄时，总的外包封袋上可不注明单位名称，但应注明单位的联系人、联系电话及项目名称</w:t>
            </w:r>
            <w:r>
              <w:rPr>
                <w:rFonts w:hint="eastAsia" w:ascii="宋体" w:hAnsi="宋体"/>
                <w:sz w:val="24"/>
              </w:rPr>
              <w:t>。邮寄地址为：浙江华耀建设咨询有限公司（湖州市静江公寓1单元1101室），联系人：张治中，联系电话：0572-2198738</w:t>
            </w:r>
            <w:r>
              <w:fldChar w:fldCharType="begin"/>
            </w:r>
            <w:r>
              <w:instrText xml:space="preserve"> HYPERLINK "mailto:huayaohz@163.com。供应商应于2020年9月" </w:instrText>
            </w:r>
            <w:r>
              <w:fldChar w:fldCharType="separate"/>
            </w:r>
            <w:r>
              <w:rPr>
                <w:rFonts w:hint="eastAsia" w:ascii="宋体" w:hAnsi="宋体"/>
                <w:sz w:val="24"/>
              </w:rPr>
              <w:t>。供应商应于2024年10月16日</w:t>
            </w:r>
            <w:r>
              <w:rPr>
                <w:rFonts w:hint="eastAsia" w:ascii="宋体" w:hAnsi="宋体"/>
                <w:sz w:val="24"/>
              </w:rPr>
              <w:fldChar w:fldCharType="end"/>
            </w:r>
            <w:r>
              <w:rPr>
                <w:rFonts w:hint="eastAsia" w:ascii="宋体" w:hAnsi="宋体"/>
                <w:sz w:val="24"/>
              </w:rPr>
              <w:t>11:30时前准时送达，拒绝到付。以收件人实际签收时间为准，逾期送达的将拒绝接收。</w:t>
            </w:r>
          </w:p>
        </w:tc>
      </w:tr>
      <w:tr w14:paraId="42372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14:paraId="577CA417">
            <w:pPr>
              <w:snapToGrid w:val="0"/>
              <w:spacing w:line="360" w:lineRule="auto"/>
              <w:jc w:val="center"/>
              <w:rPr>
                <w:rFonts w:ascii="宋体" w:hAnsi="宋体"/>
                <w:sz w:val="24"/>
                <w:szCs w:val="20"/>
              </w:rPr>
            </w:pPr>
            <w:r>
              <w:rPr>
                <w:rFonts w:hint="eastAsia" w:ascii="宋体" w:hAnsi="宋体"/>
                <w:sz w:val="24"/>
                <w:szCs w:val="20"/>
              </w:rPr>
              <w:t>9</w:t>
            </w:r>
          </w:p>
        </w:tc>
        <w:tc>
          <w:tcPr>
            <w:tcW w:w="9056" w:type="dxa"/>
            <w:tcBorders>
              <w:top w:val="single" w:color="auto" w:sz="4" w:space="0"/>
              <w:left w:val="single" w:color="auto" w:sz="4" w:space="0"/>
              <w:bottom w:val="single" w:color="auto" w:sz="4" w:space="0"/>
              <w:right w:val="single" w:color="auto" w:sz="4" w:space="0"/>
            </w:tcBorders>
            <w:vAlign w:val="center"/>
          </w:tcPr>
          <w:p w14:paraId="452AB0E0">
            <w:pPr>
              <w:widowControl/>
              <w:jc w:val="left"/>
              <w:rPr>
                <w:rFonts w:ascii="宋体" w:hAnsi="宋体"/>
                <w:sz w:val="24"/>
              </w:rPr>
            </w:pPr>
            <w:r>
              <w:rPr>
                <w:rFonts w:hint="eastAsia" w:ascii="宋体" w:hAnsi="宋体"/>
                <w:sz w:val="24"/>
              </w:rPr>
              <w:t>电子加密投标文件的解密和异常情况处理：</w:t>
            </w:r>
          </w:p>
          <w:p w14:paraId="37B6848A">
            <w:pPr>
              <w:widowControl/>
              <w:jc w:val="left"/>
              <w:rPr>
                <w:rFonts w:ascii="宋体" w:hAnsi="宋体"/>
                <w:sz w:val="24"/>
              </w:rPr>
            </w:pPr>
            <w:r>
              <w:rPr>
                <w:rFonts w:hint="eastAsia" w:ascii="宋体" w:hAnsi="宋体"/>
                <w:sz w:val="24"/>
              </w:rPr>
              <w:t>（1）开标后，采购组织机构将向各投标供应商发出“电子加密投标文件”的解密通知，各投标供应商代表应当在接到解密通知后30分钟内自行完成“电子加密投标文件”的在线解密。</w:t>
            </w:r>
          </w:p>
          <w:p w14:paraId="49E10DBB">
            <w:pPr>
              <w:widowControl/>
              <w:jc w:val="left"/>
              <w:rPr>
                <w:rFonts w:ascii="宋体" w:hAnsi="宋体"/>
                <w:sz w:val="24"/>
              </w:rPr>
            </w:pPr>
            <w:r>
              <w:rPr>
                <w:rFonts w:hint="eastAsia" w:ascii="宋体" w:hAnsi="宋体"/>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BBB2EAA">
            <w:pPr>
              <w:widowControl/>
              <w:jc w:val="left"/>
              <w:rPr>
                <w:rFonts w:ascii="宋体" w:hAnsi="宋体"/>
                <w:sz w:val="24"/>
              </w:rPr>
            </w:pPr>
            <w:r>
              <w:rPr>
                <w:rFonts w:hint="eastAsia" w:ascii="宋体" w:hAnsi="宋体"/>
                <w:sz w:val="24"/>
              </w:rPr>
              <w:t>（3）投标截止时间前，投标供应商仅递交了“备份投标文件”而未将电子加密投标文件上传至“政府采购云平台”的，投标无效。</w:t>
            </w:r>
          </w:p>
        </w:tc>
      </w:tr>
      <w:tr w14:paraId="236FD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14:paraId="7D1A5490">
            <w:pPr>
              <w:snapToGrid w:val="0"/>
              <w:spacing w:line="360" w:lineRule="auto"/>
              <w:jc w:val="center"/>
              <w:rPr>
                <w:rFonts w:ascii="宋体" w:hAnsi="宋体"/>
                <w:sz w:val="24"/>
                <w:szCs w:val="20"/>
              </w:rPr>
            </w:pPr>
            <w:r>
              <w:rPr>
                <w:rFonts w:hint="eastAsia" w:ascii="宋体" w:hAnsi="宋体"/>
                <w:sz w:val="24"/>
              </w:rPr>
              <w:t>10</w:t>
            </w:r>
          </w:p>
        </w:tc>
        <w:tc>
          <w:tcPr>
            <w:tcW w:w="9056" w:type="dxa"/>
            <w:tcBorders>
              <w:top w:val="single" w:color="auto" w:sz="4" w:space="0"/>
              <w:left w:val="single" w:color="auto" w:sz="4" w:space="0"/>
              <w:bottom w:val="single" w:color="auto" w:sz="4" w:space="0"/>
              <w:right w:val="single" w:color="auto" w:sz="4" w:space="0"/>
            </w:tcBorders>
            <w:vAlign w:val="center"/>
          </w:tcPr>
          <w:p w14:paraId="57AA30C5">
            <w:pPr>
              <w:widowControl/>
              <w:jc w:val="left"/>
              <w:rPr>
                <w:rFonts w:ascii="宋体" w:hAnsi="宋体"/>
                <w:sz w:val="24"/>
              </w:rPr>
            </w:pPr>
            <w:r>
              <w:rPr>
                <w:rFonts w:hint="eastAsia" w:ascii="宋体" w:hAnsi="宋体"/>
                <w:sz w:val="24"/>
              </w:rPr>
              <w:t>开标时间及地点：2024年10月16日</w:t>
            </w:r>
            <w:r>
              <w:rPr>
                <w:rFonts w:hint="eastAsia" w:ascii="宋体" w:hAnsi="宋体" w:cs="仿宋"/>
                <w:sz w:val="24"/>
              </w:rPr>
              <w:t>14点00分</w:t>
            </w:r>
            <w:r>
              <w:rPr>
                <w:rFonts w:hint="eastAsia" w:ascii="宋体" w:hAnsi="宋体"/>
                <w:sz w:val="24"/>
              </w:rPr>
              <w:t>（北京时间）</w:t>
            </w:r>
          </w:p>
          <w:p w14:paraId="01D1EA11">
            <w:pPr>
              <w:widowControl/>
              <w:jc w:val="left"/>
              <w:rPr>
                <w:rFonts w:ascii="宋体" w:hAnsi="宋体"/>
                <w:sz w:val="24"/>
              </w:rPr>
            </w:pPr>
            <w:r>
              <w:rPr>
                <w:rFonts w:hint="eastAsia" w:ascii="宋体" w:hAnsi="宋体"/>
                <w:sz w:val="24"/>
              </w:rPr>
              <w:t>浙江省湖州市公共资源交易中心二楼开标室（湖州市仁皇山片区金盖山路</w:t>
            </w:r>
            <w:r>
              <w:rPr>
                <w:rFonts w:ascii="宋体" w:hAnsi="宋体"/>
                <w:sz w:val="24"/>
              </w:rPr>
              <w:t>66</w:t>
            </w:r>
            <w:r>
              <w:rPr>
                <w:rFonts w:hint="eastAsia" w:ascii="宋体" w:hAnsi="宋体"/>
                <w:sz w:val="24"/>
              </w:rPr>
              <w:t>号</w:t>
            </w:r>
            <w:r>
              <w:rPr>
                <w:rFonts w:ascii="宋体" w:hAnsi="宋体"/>
                <w:sz w:val="24"/>
              </w:rPr>
              <w:t>2</w:t>
            </w:r>
            <w:r>
              <w:rPr>
                <w:rFonts w:hint="eastAsia" w:ascii="宋体" w:hAnsi="宋体"/>
                <w:sz w:val="24"/>
              </w:rPr>
              <w:t>号楼，具体详见二楼大厅公告栏），供应商应在投标截止时间前登入“政府采购云平台（www.zcygov.cn）”在线参与开标，并完成CA锁在线解密投标文件等相关工作。</w:t>
            </w:r>
          </w:p>
        </w:tc>
      </w:tr>
      <w:tr w14:paraId="2D0FB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14:paraId="01EB4E9A">
            <w:pPr>
              <w:snapToGrid w:val="0"/>
              <w:spacing w:line="360" w:lineRule="auto"/>
              <w:jc w:val="center"/>
              <w:rPr>
                <w:rFonts w:ascii="宋体" w:hAnsi="宋体"/>
                <w:sz w:val="24"/>
                <w:szCs w:val="20"/>
              </w:rPr>
            </w:pPr>
            <w:r>
              <w:rPr>
                <w:rFonts w:ascii="宋体" w:hAnsi="宋体"/>
                <w:sz w:val="24"/>
              </w:rPr>
              <w:t>10</w:t>
            </w:r>
          </w:p>
        </w:tc>
        <w:tc>
          <w:tcPr>
            <w:tcW w:w="9056" w:type="dxa"/>
            <w:tcBorders>
              <w:top w:val="single" w:color="auto" w:sz="4" w:space="0"/>
              <w:left w:val="single" w:color="auto" w:sz="4" w:space="0"/>
              <w:bottom w:val="single" w:color="auto" w:sz="4" w:space="0"/>
              <w:right w:val="single" w:color="auto" w:sz="4" w:space="0"/>
            </w:tcBorders>
            <w:vAlign w:val="center"/>
          </w:tcPr>
          <w:p w14:paraId="4650C59C">
            <w:pPr>
              <w:widowControl/>
              <w:jc w:val="left"/>
              <w:rPr>
                <w:rFonts w:ascii="宋体" w:hAnsi="宋体"/>
                <w:sz w:val="24"/>
              </w:rPr>
            </w:pPr>
            <w:r>
              <w:rPr>
                <w:rFonts w:hint="eastAsia" w:ascii="宋体" w:hAnsi="宋体"/>
                <w:sz w:val="24"/>
              </w:rPr>
              <w:t>评标办法及评分标准：详见招标文件</w:t>
            </w:r>
          </w:p>
        </w:tc>
      </w:tr>
      <w:tr w14:paraId="39DAF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14:paraId="0CD2DB98">
            <w:pPr>
              <w:snapToGrid w:val="0"/>
              <w:spacing w:line="360" w:lineRule="auto"/>
              <w:jc w:val="center"/>
              <w:rPr>
                <w:rFonts w:ascii="宋体" w:hAnsi="宋体"/>
                <w:sz w:val="24"/>
                <w:szCs w:val="20"/>
              </w:rPr>
            </w:pPr>
            <w:r>
              <w:rPr>
                <w:rFonts w:ascii="宋体" w:hAnsi="宋体"/>
                <w:sz w:val="24"/>
              </w:rPr>
              <w:t>11</w:t>
            </w:r>
          </w:p>
        </w:tc>
        <w:tc>
          <w:tcPr>
            <w:tcW w:w="9056" w:type="dxa"/>
            <w:tcBorders>
              <w:top w:val="single" w:color="auto" w:sz="4" w:space="0"/>
              <w:left w:val="single" w:color="auto" w:sz="4" w:space="0"/>
              <w:bottom w:val="single" w:color="auto" w:sz="4" w:space="0"/>
              <w:right w:val="single" w:color="auto" w:sz="4" w:space="0"/>
            </w:tcBorders>
            <w:vAlign w:val="center"/>
          </w:tcPr>
          <w:p w14:paraId="125F72B6">
            <w:pPr>
              <w:widowControl/>
              <w:jc w:val="left"/>
              <w:rPr>
                <w:rFonts w:ascii="宋体" w:hAnsi="宋体"/>
                <w:sz w:val="24"/>
              </w:rPr>
            </w:pPr>
            <w:r>
              <w:rPr>
                <w:rFonts w:hint="eastAsia" w:ascii="宋体" w:hAnsi="宋体"/>
                <w:sz w:val="24"/>
              </w:rPr>
              <w:t>中标公告：中标供应商确定后，中标公告于浙江省政府采购网：</w:t>
            </w:r>
            <w:r>
              <w:rPr>
                <w:rFonts w:hint="eastAsia" w:ascii="宋体" w:hAnsi="宋体"/>
                <w:sz w:val="24"/>
                <w:lang w:eastAsia="zh-CN"/>
              </w:rPr>
              <w:t>(</w:t>
            </w:r>
            <w:r>
              <w:fldChar w:fldCharType="begin"/>
            </w:r>
            <w:r>
              <w:instrText xml:space="preserve"> HYPERLINK "http://www.zjzfcg.gov.cn/" </w:instrText>
            </w:r>
            <w:r>
              <w:fldChar w:fldCharType="separate"/>
            </w:r>
            <w:r>
              <w:rPr>
                <w:rFonts w:ascii="宋体" w:hAnsi="宋体"/>
                <w:sz w:val="24"/>
              </w:rPr>
              <w:t>http://www.zjzfcg.gov.cn</w:t>
            </w:r>
            <w:r>
              <w:rPr>
                <w:rFonts w:ascii="宋体" w:hAnsi="宋体"/>
                <w:sz w:val="24"/>
              </w:rPr>
              <w:fldChar w:fldCharType="end"/>
            </w:r>
            <w:r>
              <w:rPr>
                <w:rFonts w:ascii="宋体" w:hAnsi="宋体"/>
                <w:sz w:val="24"/>
              </w:rPr>
              <w:t>)</w:t>
            </w:r>
            <w:r>
              <w:rPr>
                <w:rFonts w:hint="eastAsia" w:ascii="宋体" w:hAnsi="宋体"/>
                <w:sz w:val="24"/>
              </w:rPr>
              <w:t>、</w:t>
            </w:r>
            <w:r>
              <w:rPr>
                <w:rFonts w:ascii="宋体" w:hAnsi="宋体"/>
                <w:sz w:val="24"/>
              </w:rPr>
              <w:t>湖州市公共资源交易信息网</w:t>
            </w:r>
            <w:r>
              <w:rPr>
                <w:rFonts w:hint="eastAsia" w:ascii="宋体" w:hAnsi="宋体" w:cs="宋体"/>
                <w:sz w:val="24"/>
              </w:rPr>
              <w:t>http:// ggzyjy.huzhou.gov.cn/</w:t>
            </w:r>
            <w:r>
              <w:rPr>
                <w:rFonts w:hint="eastAsia" w:ascii="宋体" w:hAnsi="宋体"/>
                <w:sz w:val="24"/>
              </w:rPr>
              <w:t>等网站。</w:t>
            </w:r>
          </w:p>
        </w:tc>
      </w:tr>
      <w:tr w14:paraId="7EB03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14:paraId="6CB8645B">
            <w:pPr>
              <w:snapToGrid w:val="0"/>
              <w:spacing w:line="360" w:lineRule="auto"/>
              <w:jc w:val="center"/>
              <w:rPr>
                <w:rFonts w:ascii="宋体" w:hAnsi="宋体"/>
                <w:sz w:val="24"/>
                <w:szCs w:val="20"/>
              </w:rPr>
            </w:pPr>
            <w:r>
              <w:rPr>
                <w:rFonts w:ascii="宋体" w:hAnsi="宋体"/>
                <w:sz w:val="24"/>
              </w:rPr>
              <w:t>12</w:t>
            </w:r>
          </w:p>
        </w:tc>
        <w:tc>
          <w:tcPr>
            <w:tcW w:w="9056" w:type="dxa"/>
            <w:tcBorders>
              <w:top w:val="single" w:color="auto" w:sz="4" w:space="0"/>
              <w:left w:val="single" w:color="auto" w:sz="4" w:space="0"/>
              <w:bottom w:val="single" w:color="auto" w:sz="4" w:space="0"/>
              <w:right w:val="single" w:color="auto" w:sz="4" w:space="0"/>
            </w:tcBorders>
            <w:vAlign w:val="center"/>
          </w:tcPr>
          <w:p w14:paraId="452AC3A6">
            <w:pPr>
              <w:widowControl/>
              <w:jc w:val="left"/>
              <w:rPr>
                <w:rFonts w:ascii="宋体" w:hAnsi="宋体"/>
                <w:sz w:val="24"/>
              </w:rPr>
            </w:pPr>
            <w:r>
              <w:rPr>
                <w:rFonts w:hint="eastAsia" w:ascii="宋体" w:hAnsi="宋体"/>
                <w:sz w:val="24"/>
              </w:rPr>
              <w:t>签订合同时间：中标通知书发出后30日内。</w:t>
            </w:r>
          </w:p>
        </w:tc>
      </w:tr>
      <w:tr w14:paraId="0CCFD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14:paraId="1700DBE7">
            <w:pPr>
              <w:snapToGrid w:val="0"/>
              <w:spacing w:line="360" w:lineRule="auto"/>
              <w:jc w:val="center"/>
              <w:rPr>
                <w:rFonts w:ascii="宋体" w:hAnsi="宋体"/>
                <w:sz w:val="24"/>
                <w:szCs w:val="20"/>
              </w:rPr>
            </w:pPr>
            <w:r>
              <w:rPr>
                <w:rFonts w:ascii="宋体" w:hAnsi="宋体"/>
                <w:sz w:val="24"/>
              </w:rPr>
              <w:t>13</w:t>
            </w:r>
          </w:p>
        </w:tc>
        <w:tc>
          <w:tcPr>
            <w:tcW w:w="9056" w:type="dxa"/>
            <w:tcBorders>
              <w:top w:val="single" w:color="auto" w:sz="4" w:space="0"/>
              <w:left w:val="single" w:color="auto" w:sz="4" w:space="0"/>
              <w:bottom w:val="single" w:color="auto" w:sz="4" w:space="0"/>
              <w:right w:val="single" w:color="auto" w:sz="4" w:space="0"/>
            </w:tcBorders>
            <w:vAlign w:val="center"/>
          </w:tcPr>
          <w:p w14:paraId="1F36C3BC">
            <w:pPr>
              <w:widowControl/>
              <w:jc w:val="left"/>
              <w:rPr>
                <w:rFonts w:ascii="宋体" w:hAnsi="宋体"/>
                <w:sz w:val="24"/>
              </w:rPr>
            </w:pPr>
            <w:r>
              <w:rPr>
                <w:rFonts w:hint="eastAsia" w:ascii="宋体" w:hAnsi="宋体"/>
                <w:sz w:val="24"/>
              </w:rPr>
              <w:t>履约保证金：无</w:t>
            </w:r>
          </w:p>
        </w:tc>
      </w:tr>
      <w:tr w14:paraId="41FCB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vAlign w:val="center"/>
          </w:tcPr>
          <w:p w14:paraId="55C80F09">
            <w:pPr>
              <w:snapToGrid w:val="0"/>
              <w:spacing w:line="360" w:lineRule="auto"/>
              <w:jc w:val="center"/>
              <w:rPr>
                <w:rFonts w:ascii="宋体" w:hAnsi="宋体"/>
                <w:sz w:val="24"/>
                <w:szCs w:val="20"/>
              </w:rPr>
            </w:pPr>
            <w:r>
              <w:rPr>
                <w:rFonts w:ascii="宋体" w:hAnsi="宋体"/>
                <w:sz w:val="24"/>
              </w:rPr>
              <w:t>14</w:t>
            </w:r>
          </w:p>
        </w:tc>
        <w:tc>
          <w:tcPr>
            <w:tcW w:w="9056" w:type="dxa"/>
            <w:tcBorders>
              <w:top w:val="single" w:color="auto" w:sz="4" w:space="0"/>
              <w:left w:val="single" w:color="auto" w:sz="4" w:space="0"/>
              <w:bottom w:val="single" w:color="auto" w:sz="4" w:space="0"/>
              <w:right w:val="single" w:color="auto" w:sz="4" w:space="0"/>
            </w:tcBorders>
            <w:vAlign w:val="center"/>
          </w:tcPr>
          <w:p w14:paraId="3D08CEBF">
            <w:pPr>
              <w:widowControl/>
              <w:jc w:val="left"/>
              <w:rPr>
                <w:rFonts w:ascii="宋体" w:hAnsi="宋体"/>
                <w:sz w:val="24"/>
              </w:rPr>
            </w:pPr>
            <w:r>
              <w:rPr>
                <w:rFonts w:hint="eastAsia" w:ascii="宋体" w:hAnsi="宋体"/>
                <w:sz w:val="24"/>
              </w:rPr>
              <w:t>采购资金来源：财政资金</w:t>
            </w:r>
          </w:p>
        </w:tc>
      </w:tr>
      <w:tr w14:paraId="67CDC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14:paraId="7DC4D3AF">
            <w:pPr>
              <w:snapToGrid w:val="0"/>
              <w:spacing w:line="360" w:lineRule="auto"/>
              <w:jc w:val="center"/>
              <w:rPr>
                <w:rFonts w:ascii="宋体" w:hAnsi="宋体"/>
                <w:sz w:val="24"/>
                <w:szCs w:val="20"/>
              </w:rPr>
            </w:pPr>
            <w:r>
              <w:rPr>
                <w:rFonts w:ascii="宋体" w:hAnsi="宋体"/>
                <w:sz w:val="24"/>
              </w:rPr>
              <w:t>15</w:t>
            </w:r>
          </w:p>
        </w:tc>
        <w:tc>
          <w:tcPr>
            <w:tcW w:w="9056" w:type="dxa"/>
            <w:tcBorders>
              <w:top w:val="single" w:color="auto" w:sz="4" w:space="0"/>
              <w:left w:val="single" w:color="auto" w:sz="4" w:space="0"/>
              <w:bottom w:val="single" w:color="auto" w:sz="4" w:space="0"/>
              <w:right w:val="single" w:color="auto" w:sz="4" w:space="0"/>
            </w:tcBorders>
            <w:vAlign w:val="center"/>
          </w:tcPr>
          <w:p w14:paraId="03CBF47C">
            <w:pPr>
              <w:widowControl/>
              <w:jc w:val="left"/>
              <w:rPr>
                <w:rFonts w:ascii="宋体" w:hAnsi="宋体"/>
                <w:sz w:val="24"/>
              </w:rPr>
            </w:pPr>
            <w:r>
              <w:rPr>
                <w:rFonts w:hint="eastAsia" w:ascii="宋体" w:hAnsi="宋体"/>
                <w:sz w:val="24"/>
              </w:rPr>
              <w:t>付款方式：采购人自行支付</w:t>
            </w:r>
          </w:p>
        </w:tc>
      </w:tr>
      <w:tr w14:paraId="20F78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14:paraId="2E30E928">
            <w:pPr>
              <w:snapToGrid w:val="0"/>
              <w:spacing w:line="360" w:lineRule="auto"/>
              <w:jc w:val="center"/>
              <w:rPr>
                <w:rFonts w:ascii="宋体" w:hAnsi="宋体"/>
                <w:sz w:val="24"/>
              </w:rPr>
            </w:pPr>
            <w:r>
              <w:rPr>
                <w:rFonts w:ascii="宋体" w:hAnsi="宋体"/>
                <w:sz w:val="24"/>
              </w:rPr>
              <w:t>16</w:t>
            </w:r>
          </w:p>
        </w:tc>
        <w:tc>
          <w:tcPr>
            <w:tcW w:w="9056" w:type="dxa"/>
            <w:tcBorders>
              <w:top w:val="single" w:color="auto" w:sz="4" w:space="0"/>
              <w:left w:val="single" w:color="auto" w:sz="4" w:space="0"/>
              <w:bottom w:val="single" w:color="auto" w:sz="4" w:space="0"/>
              <w:right w:val="single" w:color="auto" w:sz="4" w:space="0"/>
            </w:tcBorders>
            <w:vAlign w:val="center"/>
          </w:tcPr>
          <w:p w14:paraId="053A60B6">
            <w:pPr>
              <w:widowControl/>
              <w:jc w:val="left"/>
              <w:rPr>
                <w:rFonts w:ascii="宋体" w:hAnsi="宋体"/>
                <w:sz w:val="24"/>
              </w:rPr>
            </w:pPr>
            <w:r>
              <w:rPr>
                <w:rFonts w:hint="eastAsia" w:ascii="宋体" w:hAnsi="宋体"/>
                <w:sz w:val="24"/>
              </w:rPr>
              <w:t>投标文件有效期：120天</w:t>
            </w:r>
          </w:p>
        </w:tc>
      </w:tr>
      <w:tr w14:paraId="7627E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auto" w:sz="4" w:space="0"/>
              <w:left w:val="single" w:color="auto" w:sz="4" w:space="0"/>
              <w:bottom w:val="single" w:color="auto" w:sz="4" w:space="0"/>
              <w:right w:val="single" w:color="auto" w:sz="4" w:space="0"/>
            </w:tcBorders>
            <w:vAlign w:val="center"/>
          </w:tcPr>
          <w:p w14:paraId="06373B7C">
            <w:pPr>
              <w:snapToGrid w:val="0"/>
              <w:spacing w:line="360" w:lineRule="auto"/>
              <w:jc w:val="center"/>
              <w:rPr>
                <w:rFonts w:ascii="宋体" w:hAnsi="宋体"/>
                <w:sz w:val="24"/>
                <w:szCs w:val="20"/>
              </w:rPr>
            </w:pPr>
            <w:r>
              <w:rPr>
                <w:rFonts w:hint="eastAsia" w:ascii="宋体" w:hAnsi="宋体"/>
                <w:sz w:val="24"/>
                <w:szCs w:val="20"/>
              </w:rPr>
              <w:t>17</w:t>
            </w:r>
          </w:p>
        </w:tc>
        <w:tc>
          <w:tcPr>
            <w:tcW w:w="9056" w:type="dxa"/>
            <w:tcBorders>
              <w:top w:val="single" w:color="auto" w:sz="4" w:space="0"/>
              <w:left w:val="single" w:color="auto" w:sz="4" w:space="0"/>
              <w:bottom w:val="single" w:color="auto" w:sz="4" w:space="0"/>
              <w:right w:val="single" w:color="auto" w:sz="4" w:space="0"/>
            </w:tcBorders>
            <w:vAlign w:val="center"/>
          </w:tcPr>
          <w:p w14:paraId="6FD50A4B">
            <w:pPr>
              <w:snapToGrid w:val="0"/>
              <w:spacing w:line="360" w:lineRule="auto"/>
              <w:rPr>
                <w:rFonts w:ascii="宋体" w:hAnsi="宋体" w:cs="Arial"/>
                <w:sz w:val="24"/>
              </w:rPr>
            </w:pPr>
            <w:r>
              <w:rPr>
                <w:rFonts w:hint="eastAsia" w:ascii="宋体" w:hAnsi="宋体"/>
                <w:color w:val="000000"/>
                <w:sz w:val="24"/>
              </w:rPr>
              <w:t>招标单位：湖州南太湖新区综合行政执法队</w:t>
            </w:r>
            <w:r>
              <w:rPr>
                <w:rFonts w:hint="eastAsia" w:ascii="宋体" w:hAnsi="宋体" w:cs="Arial"/>
                <w:sz w:val="24"/>
              </w:rPr>
              <w:t xml:space="preserve"> </w:t>
            </w:r>
          </w:p>
        </w:tc>
      </w:tr>
      <w:tr w14:paraId="0AB18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14:paraId="54874899">
            <w:pPr>
              <w:snapToGrid w:val="0"/>
              <w:spacing w:line="360" w:lineRule="auto"/>
              <w:jc w:val="center"/>
              <w:rPr>
                <w:rFonts w:ascii="宋体" w:hAnsi="宋体"/>
                <w:sz w:val="24"/>
                <w:szCs w:val="20"/>
              </w:rPr>
            </w:pPr>
            <w:r>
              <w:rPr>
                <w:rFonts w:hint="eastAsia" w:ascii="宋体" w:hAnsi="宋体"/>
                <w:sz w:val="24"/>
                <w:szCs w:val="20"/>
              </w:rPr>
              <w:t>18</w:t>
            </w:r>
          </w:p>
        </w:tc>
        <w:tc>
          <w:tcPr>
            <w:tcW w:w="9056" w:type="dxa"/>
            <w:tcBorders>
              <w:top w:val="single" w:color="auto" w:sz="4" w:space="0"/>
              <w:left w:val="single" w:color="auto" w:sz="4" w:space="0"/>
              <w:bottom w:val="single" w:color="auto" w:sz="4" w:space="0"/>
              <w:right w:val="single" w:color="auto" w:sz="4" w:space="0"/>
            </w:tcBorders>
            <w:vAlign w:val="center"/>
          </w:tcPr>
          <w:p w14:paraId="08F97A79">
            <w:pPr>
              <w:widowControl/>
              <w:jc w:val="left"/>
              <w:rPr>
                <w:rFonts w:ascii="宋体" w:hAnsi="宋体"/>
                <w:color w:val="000000"/>
                <w:sz w:val="24"/>
              </w:rPr>
            </w:pPr>
            <w:r>
              <w:rPr>
                <w:rFonts w:hint="eastAsia" w:ascii="宋体" w:hAnsi="宋体"/>
                <w:color w:val="000000"/>
                <w:sz w:val="24"/>
              </w:rPr>
              <w:t>解释：本招标文件的解释权属于招标采购单位</w:t>
            </w:r>
          </w:p>
        </w:tc>
      </w:tr>
    </w:tbl>
    <w:p w14:paraId="3EE4E388">
      <w:pPr>
        <w:pStyle w:val="19"/>
        <w:snapToGrid w:val="0"/>
        <w:spacing w:beforeLines="0" w:afterLines="0" w:line="360" w:lineRule="auto"/>
        <w:ind w:firstLine="562" w:firstLineChars="200"/>
        <w:rPr>
          <w:rFonts w:hAnsi="宋体"/>
          <w:b/>
          <w:sz w:val="28"/>
          <w:szCs w:val="28"/>
        </w:rPr>
      </w:pPr>
      <w:r>
        <w:rPr>
          <w:rFonts w:hint="eastAsia" w:hAnsi="宋体"/>
          <w:b/>
          <w:sz w:val="28"/>
          <w:szCs w:val="28"/>
        </w:rPr>
        <w:t>一   总  则</w:t>
      </w:r>
    </w:p>
    <w:p w14:paraId="5C00F3DD">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 xml:space="preserve"> 适用范围</w:t>
      </w:r>
    </w:p>
    <w:p w14:paraId="46DAC6EE">
      <w:pPr>
        <w:snapToGrid w:val="0"/>
        <w:spacing w:line="360" w:lineRule="auto"/>
        <w:ind w:firstLine="480" w:firstLineChars="200"/>
        <w:jc w:val="left"/>
        <w:rPr>
          <w:rFonts w:ascii="宋体" w:hAnsi="宋体"/>
          <w:sz w:val="24"/>
        </w:rPr>
      </w:pPr>
      <w:r>
        <w:rPr>
          <w:rFonts w:hint="eastAsia" w:ascii="宋体" w:hAnsi="宋体"/>
          <w:sz w:val="24"/>
        </w:rPr>
        <w:t>本招标文件适用于南太湖新区垃圾分类数据管理平台建设项目的招标、评标、定标、验收、合同履约、付款等（法律、法规另有规定的，从其规定）。</w:t>
      </w:r>
    </w:p>
    <w:p w14:paraId="0E64C2E4">
      <w:pPr>
        <w:snapToGrid w:val="0"/>
        <w:spacing w:line="360" w:lineRule="auto"/>
        <w:ind w:firstLine="354" w:firstLineChars="147"/>
        <w:jc w:val="left"/>
        <w:outlineLvl w:val="1"/>
        <w:rPr>
          <w:rFonts w:ascii="宋体" w:hAnsi="宋体"/>
          <w:b/>
          <w:sz w:val="24"/>
          <w:szCs w:val="20"/>
        </w:rPr>
      </w:pPr>
      <w:r>
        <w:rPr>
          <w:rFonts w:hint="eastAsia" w:ascii="宋体" w:hAnsi="宋体"/>
          <w:b/>
          <w:sz w:val="24"/>
        </w:rPr>
        <w:t>（二）定义</w:t>
      </w:r>
    </w:p>
    <w:p w14:paraId="516227F3">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招标采购单位系指组织本次招标的代理机构和采购单位</w:t>
      </w:r>
      <w:r>
        <w:rPr>
          <w:rFonts w:hint="eastAsia" w:ascii="宋体" w:hAnsi="宋体"/>
          <w:sz w:val="24"/>
        </w:rPr>
        <w:t>（湖州南太湖新区综合行政执法队）</w:t>
      </w:r>
      <w:r>
        <w:rPr>
          <w:rFonts w:ascii="宋体" w:hAnsi="宋体"/>
          <w:sz w:val="24"/>
        </w:rPr>
        <w:t>。</w:t>
      </w:r>
    </w:p>
    <w:p w14:paraId="2F4D2A86">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投标人”系指向招标方提交投标文件的单位或个人。</w:t>
      </w:r>
    </w:p>
    <w:p w14:paraId="77EE8338">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w:t>
      </w:r>
      <w:r>
        <w:rPr>
          <w:rFonts w:hint="eastAsia" w:ascii="宋体" w:hAnsi="宋体"/>
          <w:sz w:val="24"/>
        </w:rPr>
        <w:t>及其他有关</w:t>
      </w:r>
      <w:r>
        <w:rPr>
          <w:rFonts w:ascii="宋体" w:hAnsi="宋体"/>
          <w:sz w:val="24"/>
        </w:rPr>
        <w:t>技术资料和材料。</w:t>
      </w:r>
    </w:p>
    <w:p w14:paraId="1E7ADC56">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14:paraId="35C8235E">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14:paraId="48EB5531">
      <w:pPr>
        <w:snapToGrid w:val="0"/>
        <w:spacing w:line="360" w:lineRule="auto"/>
        <w:ind w:firstLine="480" w:firstLineChars="200"/>
        <w:jc w:val="left"/>
        <w:rPr>
          <w:rFonts w:ascii="宋体" w:hAnsi="宋体"/>
          <w:sz w:val="24"/>
          <w:szCs w:val="20"/>
        </w:rPr>
      </w:pPr>
      <w:r>
        <w:rPr>
          <w:rFonts w:ascii="宋体" w:hAnsi="宋体"/>
          <w:sz w:val="24"/>
        </w:rPr>
        <w:t>6</w:t>
      </w:r>
      <w:r>
        <w:rPr>
          <w:rFonts w:hint="eastAsia" w:ascii="宋体" w:hAnsi="宋体"/>
          <w:sz w:val="24"/>
        </w:rPr>
        <w:t>.</w:t>
      </w:r>
      <w:r>
        <w:rPr>
          <w:rFonts w:ascii="宋体" w:hAnsi="宋体"/>
          <w:sz w:val="24"/>
        </w:rPr>
        <w:t>“书面形式”包括信函、传真、电报等。</w:t>
      </w:r>
    </w:p>
    <w:p w14:paraId="619499B4">
      <w:pPr>
        <w:snapToGrid w:val="0"/>
        <w:spacing w:line="360" w:lineRule="auto"/>
        <w:ind w:firstLine="480" w:firstLineChars="200"/>
        <w:jc w:val="left"/>
        <w:rPr>
          <w:rFonts w:ascii="宋体" w:hAnsi="宋体"/>
          <w:sz w:val="24"/>
          <w:szCs w:val="20"/>
        </w:rPr>
      </w:pPr>
      <w:r>
        <w:rPr>
          <w:rFonts w:ascii="宋体" w:hAnsi="宋体"/>
          <w:sz w:val="24"/>
        </w:rPr>
        <w:t>7</w:t>
      </w:r>
      <w:r>
        <w:rPr>
          <w:rFonts w:hint="eastAsia" w:ascii="宋体" w:hAnsi="宋体"/>
          <w:sz w:val="24"/>
        </w:rPr>
        <w:t>.</w:t>
      </w:r>
      <w:r>
        <w:rPr>
          <w:rFonts w:ascii="宋体" w:hAnsi="宋体"/>
          <w:sz w:val="24"/>
        </w:rPr>
        <w:t>“▲”系指实质性要求条款。</w:t>
      </w:r>
    </w:p>
    <w:p w14:paraId="67084D84">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（三）招标方式</w:t>
      </w:r>
    </w:p>
    <w:p w14:paraId="3FCA16E3">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14:paraId="68A9298A">
      <w:pPr>
        <w:snapToGrid w:val="0"/>
        <w:spacing w:line="360" w:lineRule="auto"/>
        <w:ind w:firstLine="472" w:firstLineChars="196"/>
        <w:jc w:val="left"/>
        <w:outlineLvl w:val="1"/>
        <w:rPr>
          <w:rFonts w:ascii="宋体" w:hAnsi="宋体"/>
          <w:b/>
          <w:sz w:val="24"/>
          <w:szCs w:val="20"/>
        </w:rPr>
      </w:pPr>
      <w:r>
        <w:rPr>
          <w:rFonts w:hint="eastAsia" w:ascii="宋体" w:hAnsi="宋体"/>
          <w:b/>
          <w:sz w:val="24"/>
        </w:rPr>
        <w:t>（四）投标委托</w:t>
      </w:r>
    </w:p>
    <w:p w14:paraId="665CAC74">
      <w:pPr>
        <w:pStyle w:val="15"/>
        <w:snapToGrid w:val="0"/>
        <w:spacing w:line="360" w:lineRule="auto"/>
        <w:ind w:firstLine="580" w:firstLineChars="250"/>
        <w:jc w:val="left"/>
        <w:rPr>
          <w:rFonts w:hAnsi="宋体"/>
          <w:sz w:val="24"/>
          <w:szCs w:val="24"/>
        </w:rPr>
      </w:pPr>
      <w:r>
        <w:rPr>
          <w:rFonts w:hAnsi="宋体"/>
          <w:sz w:val="24"/>
          <w:szCs w:val="24"/>
        </w:rPr>
        <w:t>投标人代表须携带</w:t>
      </w:r>
      <w:r>
        <w:rPr>
          <w:rFonts w:hint="eastAsia" w:hAnsi="宋体"/>
          <w:sz w:val="24"/>
          <w:szCs w:val="24"/>
        </w:rPr>
        <w:t>有效</w:t>
      </w:r>
      <w:r>
        <w:rPr>
          <w:rFonts w:hAnsi="宋体"/>
          <w:sz w:val="24"/>
          <w:szCs w:val="24"/>
        </w:rPr>
        <w:t>身份证</w:t>
      </w:r>
      <w:r>
        <w:rPr>
          <w:rFonts w:hint="eastAsia" w:hAnsi="宋体"/>
          <w:sz w:val="24"/>
          <w:szCs w:val="24"/>
        </w:rPr>
        <w:t>件</w:t>
      </w:r>
      <w:r>
        <w:rPr>
          <w:rFonts w:hAnsi="宋体"/>
          <w:sz w:val="24"/>
          <w:szCs w:val="24"/>
        </w:rPr>
        <w:t>。如投标人代表不是法定代表人，须有法定代表人出具的授权委托书</w:t>
      </w:r>
      <w:r>
        <w:rPr>
          <w:rFonts w:hint="eastAsia" w:hAnsi="宋体"/>
          <w:sz w:val="24"/>
          <w:szCs w:val="24"/>
        </w:rPr>
        <w:t>及近1个月的社保证明复印件加盖公章</w:t>
      </w:r>
      <w:r>
        <w:rPr>
          <w:rFonts w:hAnsi="宋体"/>
          <w:sz w:val="24"/>
          <w:szCs w:val="24"/>
        </w:rPr>
        <w:t>（格式见第四部分）。</w:t>
      </w:r>
    </w:p>
    <w:p w14:paraId="7FDA2858">
      <w:pPr>
        <w:snapToGrid w:val="0"/>
        <w:spacing w:line="360" w:lineRule="auto"/>
        <w:ind w:firstLine="472" w:firstLineChars="196"/>
        <w:jc w:val="left"/>
        <w:outlineLvl w:val="1"/>
        <w:rPr>
          <w:rFonts w:ascii="宋体" w:hAnsi="宋体"/>
          <w:b/>
          <w:sz w:val="24"/>
          <w:szCs w:val="20"/>
        </w:rPr>
      </w:pPr>
      <w:r>
        <w:rPr>
          <w:rFonts w:hint="eastAsia" w:ascii="宋体" w:hAnsi="宋体"/>
          <w:b/>
          <w:sz w:val="24"/>
        </w:rPr>
        <w:t>（五）投标费用</w:t>
      </w:r>
    </w:p>
    <w:p w14:paraId="6FC28EF4">
      <w:pPr>
        <w:snapToGrid w:val="0"/>
        <w:spacing w:line="360" w:lineRule="auto"/>
        <w:ind w:firstLine="600" w:firstLineChars="250"/>
        <w:jc w:val="left"/>
        <w:rPr>
          <w:rFonts w:ascii="宋体" w:hAnsi="宋体"/>
          <w:sz w:val="24"/>
        </w:rPr>
      </w:pPr>
      <w:r>
        <w:rPr>
          <w:rFonts w:hint="eastAsia" w:ascii="宋体" w:hAnsi="宋体"/>
          <w:sz w:val="24"/>
        </w:rPr>
        <w:t>1.不论投标结果如何，投标人均应自行承担所有与投标有关的全部费用（招标文件有相反规定除外）。</w:t>
      </w:r>
    </w:p>
    <w:p w14:paraId="2BD2FF03">
      <w:pPr>
        <w:snapToGrid w:val="0"/>
        <w:spacing w:line="360" w:lineRule="auto"/>
        <w:ind w:firstLine="600" w:firstLineChars="250"/>
        <w:jc w:val="left"/>
        <w:rPr>
          <w:rFonts w:ascii="宋体" w:hAnsi="宋体"/>
          <w:sz w:val="24"/>
        </w:rPr>
      </w:pPr>
      <w:r>
        <w:rPr>
          <w:rFonts w:hint="eastAsia" w:ascii="宋体" w:hAnsi="宋体"/>
          <w:sz w:val="24"/>
        </w:rPr>
        <w:t>2.本项目招标代理服务费收取人民币壹万壹仟</w:t>
      </w:r>
      <w:r>
        <w:rPr>
          <w:rFonts w:hint="eastAsia" w:ascii="宋体" w:hAnsi="宋体" w:cs="宋体"/>
          <w:sz w:val="24"/>
        </w:rPr>
        <w:t>元整（￥11000.00</w:t>
      </w:r>
      <w:r>
        <w:rPr>
          <w:rFonts w:hint="eastAsia" w:ascii="宋体" w:hAnsi="宋体" w:cs="宋体"/>
          <w:sz w:val="24"/>
          <w:lang w:eastAsia="zh-CN"/>
        </w:rPr>
        <w:t>）</w:t>
      </w:r>
      <w:r>
        <w:rPr>
          <w:rFonts w:hint="eastAsia" w:ascii="宋体" w:hAnsi="宋体"/>
          <w:sz w:val="24"/>
        </w:rPr>
        <w:t>，由中标人全额支付。</w:t>
      </w:r>
    </w:p>
    <w:p w14:paraId="51BFC8DE">
      <w:pPr>
        <w:snapToGrid w:val="0"/>
        <w:spacing w:line="360" w:lineRule="auto"/>
        <w:ind w:firstLine="482" w:firstLineChars="200"/>
        <w:jc w:val="left"/>
        <w:rPr>
          <w:rFonts w:ascii="宋体" w:hAnsi="宋体"/>
          <w:b/>
          <w:sz w:val="24"/>
          <w:szCs w:val="20"/>
        </w:rPr>
      </w:pPr>
      <w:r>
        <w:rPr>
          <w:rFonts w:hint="eastAsia" w:ascii="宋体" w:hAnsi="宋体"/>
          <w:b/>
          <w:sz w:val="24"/>
        </w:rPr>
        <w:t>（六）联合体投标</w:t>
      </w:r>
    </w:p>
    <w:p w14:paraId="04A183EA">
      <w:pPr>
        <w:snapToGrid w:val="0"/>
        <w:spacing w:line="360" w:lineRule="auto"/>
        <w:ind w:firstLine="720" w:firstLineChars="300"/>
        <w:jc w:val="left"/>
        <w:rPr>
          <w:rFonts w:ascii="宋体" w:hAnsi="宋体" w:cs="Arial"/>
          <w:sz w:val="24"/>
        </w:rPr>
      </w:pPr>
      <w:r>
        <w:rPr>
          <w:rFonts w:hint="eastAsia" w:ascii="宋体" w:hAnsi="宋体" w:cs="Arial"/>
          <w:sz w:val="24"/>
        </w:rPr>
        <w:t>1.本项目接受联合体投标。</w:t>
      </w:r>
    </w:p>
    <w:p w14:paraId="4F4E89B9">
      <w:pPr>
        <w:snapToGrid w:val="0"/>
        <w:spacing w:line="360" w:lineRule="auto"/>
        <w:ind w:firstLine="720" w:firstLineChars="300"/>
        <w:jc w:val="left"/>
        <w:rPr>
          <w:rFonts w:ascii="宋体" w:hAnsi="宋体"/>
          <w:sz w:val="24"/>
        </w:rPr>
      </w:pPr>
      <w:r>
        <w:rPr>
          <w:rFonts w:hint="eastAsia" w:ascii="宋体" w:hAnsi="宋体"/>
          <w:sz w:val="24"/>
        </w:rPr>
        <w:t>2.由两个以上的投标人组成一个联合体以一个投标人身份共同投标时，应符合下列要求：</w:t>
      </w:r>
    </w:p>
    <w:p w14:paraId="49FB3703">
      <w:pPr>
        <w:snapToGrid w:val="0"/>
        <w:spacing w:line="360" w:lineRule="auto"/>
        <w:ind w:firstLine="470" w:firstLineChars="196"/>
        <w:rPr>
          <w:rFonts w:ascii="宋体" w:hAnsi="宋体"/>
          <w:sz w:val="24"/>
        </w:rPr>
      </w:pPr>
      <w:r>
        <w:rPr>
          <w:rFonts w:hint="eastAsia" w:ascii="宋体" w:hAnsi="宋体"/>
          <w:sz w:val="24"/>
        </w:rPr>
        <w:t>1）投标人的投标文件及中标后签署的合同对联合体各方均具有法律约束力；</w:t>
      </w:r>
    </w:p>
    <w:p w14:paraId="7F5675AA">
      <w:pPr>
        <w:snapToGrid w:val="0"/>
        <w:spacing w:line="360" w:lineRule="auto"/>
        <w:ind w:firstLine="470" w:firstLineChars="196"/>
        <w:rPr>
          <w:rFonts w:ascii="宋体" w:hAnsi="宋体"/>
          <w:sz w:val="24"/>
        </w:rPr>
      </w:pPr>
      <w:r>
        <w:rPr>
          <w:rFonts w:hint="eastAsia" w:ascii="宋体" w:hAnsi="宋体"/>
          <w:sz w:val="24"/>
        </w:rPr>
        <w:t>2）联合体各方应签订共同投标协议，明确约定各方拟承担的工作和责任，并将该共同投标协议随投标文件一并提交采购人；</w:t>
      </w:r>
    </w:p>
    <w:p w14:paraId="7A3E303B">
      <w:pPr>
        <w:snapToGrid w:val="0"/>
        <w:spacing w:line="360" w:lineRule="auto"/>
        <w:ind w:firstLine="470" w:firstLineChars="196"/>
        <w:rPr>
          <w:rFonts w:ascii="宋体" w:hAnsi="宋体"/>
          <w:sz w:val="24"/>
        </w:rPr>
      </w:pPr>
      <w:r>
        <w:rPr>
          <w:rFonts w:hint="eastAsia" w:ascii="宋体" w:hAnsi="宋体"/>
          <w:sz w:val="24"/>
        </w:rPr>
        <w:t>3）联合体中标后，联合体各方应当共同与采购人签订合同，为履行合同向采购人承担连带责任；</w:t>
      </w:r>
    </w:p>
    <w:p w14:paraId="73FEA159">
      <w:pPr>
        <w:snapToGrid w:val="0"/>
        <w:spacing w:line="360" w:lineRule="auto"/>
        <w:ind w:firstLine="470" w:firstLineChars="196"/>
        <w:rPr>
          <w:rFonts w:ascii="宋体" w:hAnsi="宋体"/>
          <w:sz w:val="24"/>
        </w:rPr>
      </w:pPr>
      <w:r>
        <w:rPr>
          <w:rFonts w:hint="eastAsia" w:ascii="宋体" w:hAnsi="宋体"/>
          <w:sz w:val="24"/>
        </w:rPr>
        <w:t>4）联合体的各方应共同推荐一名联合体主办人，由联合体各方各提交一份授权书，证明其主办人资格，该授权书作为投标文件的组成部分一并提交采购人；</w:t>
      </w:r>
    </w:p>
    <w:p w14:paraId="23EC5E46">
      <w:pPr>
        <w:snapToGrid w:val="0"/>
        <w:spacing w:line="360" w:lineRule="auto"/>
        <w:ind w:firstLine="470" w:firstLineChars="196"/>
        <w:rPr>
          <w:rFonts w:ascii="宋体" w:hAnsi="宋体"/>
          <w:sz w:val="24"/>
        </w:rPr>
      </w:pPr>
      <w:r>
        <w:rPr>
          <w:rFonts w:hint="eastAsia" w:ascii="宋体" w:hAnsi="宋体"/>
          <w:sz w:val="24"/>
        </w:rPr>
        <w:t>5）除非另有规定或说明，本须知中“投标人”一词亦指联合体各方。</w:t>
      </w:r>
    </w:p>
    <w:p w14:paraId="5EC4986D">
      <w:pPr>
        <w:snapToGrid w:val="0"/>
        <w:spacing w:line="360" w:lineRule="auto"/>
        <w:ind w:firstLine="472" w:firstLineChars="196"/>
        <w:rPr>
          <w:rFonts w:ascii="宋体" w:hAnsi="宋体" w:cs="宋体"/>
          <w:b/>
          <w:kern w:val="0"/>
          <w:sz w:val="24"/>
          <w:szCs w:val="20"/>
        </w:rPr>
      </w:pPr>
      <w:r>
        <w:rPr>
          <w:rFonts w:hint="eastAsia" w:ascii="宋体" w:hAnsi="宋体"/>
          <w:b/>
          <w:sz w:val="24"/>
        </w:rPr>
        <w:t>（七）</w:t>
      </w:r>
      <w:r>
        <w:rPr>
          <w:rFonts w:hint="eastAsia" w:ascii="宋体" w:hAnsi="宋体" w:cs="宋体"/>
          <w:b/>
          <w:kern w:val="0"/>
          <w:sz w:val="24"/>
        </w:rPr>
        <w:t>转包与分包</w:t>
      </w:r>
    </w:p>
    <w:p w14:paraId="3F42A7A5">
      <w:pPr>
        <w:snapToGrid w:val="0"/>
        <w:spacing w:line="360" w:lineRule="auto"/>
        <w:ind w:firstLine="480" w:firstLineChars="200"/>
        <w:rPr>
          <w:rFonts w:ascii="宋体" w:hAnsi="宋体" w:cs="宋体"/>
          <w:kern w:val="0"/>
          <w:sz w:val="24"/>
          <w:szCs w:val="20"/>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本项目不允许转包。</w:t>
      </w:r>
    </w:p>
    <w:p w14:paraId="2F0FFFCF">
      <w:pPr>
        <w:snapToGrid w:val="0"/>
        <w:spacing w:line="360" w:lineRule="auto"/>
        <w:ind w:firstLine="480" w:firstLineChars="200"/>
        <w:rPr>
          <w:rFonts w:ascii="宋体" w:hAnsi="宋体"/>
          <w:color w:val="FF0000"/>
          <w:sz w:val="24"/>
          <w:szCs w:val="20"/>
        </w:rPr>
      </w:pPr>
      <w:r>
        <w:rPr>
          <w:rFonts w:ascii="宋体" w:hAnsi="宋体" w:cs="宋体"/>
          <w:color w:val="000000" w:themeColor="text1"/>
          <w:kern w:val="0"/>
          <w:sz w:val="24"/>
        </w:rPr>
        <w:t>2</w:t>
      </w:r>
      <w:r>
        <w:rPr>
          <w:rFonts w:hint="eastAsia" w:ascii="宋体" w:hAnsi="宋体" w:cs="宋体"/>
          <w:color w:val="000000" w:themeColor="text1"/>
          <w:kern w:val="0"/>
          <w:sz w:val="24"/>
        </w:rPr>
        <w:t>.</w:t>
      </w:r>
      <w:r>
        <w:rPr>
          <w:rFonts w:ascii="宋体" w:hAnsi="宋体" w:cs="宋体"/>
          <w:color w:val="000000" w:themeColor="text1"/>
          <w:kern w:val="0"/>
          <w:sz w:val="24"/>
        </w:rPr>
        <w:t>本项目可以分包</w:t>
      </w:r>
      <w:r>
        <w:rPr>
          <w:rFonts w:hint="eastAsia" w:ascii="宋体" w:hAnsi="宋体" w:cs="宋体"/>
          <w:color w:val="000000" w:themeColor="text1"/>
          <w:kern w:val="0"/>
          <w:sz w:val="24"/>
        </w:rPr>
        <w:t>。</w:t>
      </w:r>
    </w:p>
    <w:p w14:paraId="064BCE42">
      <w:pPr>
        <w:snapToGrid w:val="0"/>
        <w:spacing w:line="360" w:lineRule="auto"/>
        <w:ind w:firstLine="472" w:firstLineChars="196"/>
        <w:jc w:val="left"/>
        <w:outlineLvl w:val="1"/>
        <w:rPr>
          <w:rFonts w:ascii="宋体" w:hAnsi="宋体"/>
          <w:b/>
          <w:sz w:val="24"/>
        </w:rPr>
      </w:pPr>
      <w:r>
        <w:rPr>
          <w:rFonts w:hint="eastAsia" w:ascii="宋体" w:hAnsi="宋体"/>
          <w:b/>
          <w:sz w:val="24"/>
        </w:rPr>
        <w:t>（八）特别说明：</w:t>
      </w:r>
    </w:p>
    <w:p w14:paraId="2AC70C88">
      <w:pPr>
        <w:widowControl/>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14:paraId="5336CAC3">
      <w:pPr>
        <w:pStyle w:val="19"/>
        <w:snapToGrid w:val="0"/>
        <w:spacing w:beforeLines="0" w:afterLines="0" w:line="360" w:lineRule="auto"/>
        <w:ind w:left="2" w:leftChars="1" w:firstLine="480" w:firstLineChars="200"/>
        <w:rPr>
          <w:rFonts w:hAnsi="宋体"/>
        </w:rPr>
      </w:pPr>
      <w:r>
        <w:rPr>
          <w:rFonts w:hAnsi="宋体"/>
        </w:rPr>
        <w:t>▲</w:t>
      </w:r>
      <w:r>
        <w:rPr>
          <w:rFonts w:hint="eastAsia" w:hAnsi="宋体"/>
        </w:rPr>
        <w:t>2.</w:t>
      </w:r>
      <w:r>
        <w:rPr>
          <w:rFonts w:hAnsi="宋体"/>
        </w:rPr>
        <w:t>投标人投标所使用的资格、信誉、荣誉、业绩与企业认证必须为本法人所拥有。投标人投标所使用的采购项目实施人员必须为本法人员工（或必须为本法人或控股公司正式员工）。</w:t>
      </w:r>
    </w:p>
    <w:p w14:paraId="322D839E">
      <w:pPr>
        <w:pStyle w:val="19"/>
        <w:snapToGrid w:val="0"/>
        <w:spacing w:beforeLines="0" w:afterLines="0" w:line="360" w:lineRule="auto"/>
        <w:ind w:left="2" w:leftChars="1" w:firstLine="480" w:firstLineChars="200"/>
        <w:rPr>
          <w:rFonts w:hAnsi="宋体"/>
        </w:rPr>
      </w:pPr>
      <w:r>
        <w:rPr>
          <w:rFonts w:hAnsi="宋体"/>
        </w:rPr>
        <w:t>▲</w:t>
      </w:r>
      <w:r>
        <w:rPr>
          <w:rFonts w:hint="eastAsia" w:hAnsi="宋体"/>
        </w:rPr>
        <w:t>3.</w:t>
      </w:r>
      <w:r>
        <w:rPr>
          <w:rFonts w:hAnsi="宋体"/>
        </w:rPr>
        <w:t>投标人应仔细阅读招标文件的所有内容，按照招标文件的要求提交投标文件，并对所提供的全部资料的真实性承担法律责任。</w:t>
      </w:r>
    </w:p>
    <w:p w14:paraId="3B979B8E">
      <w:pPr>
        <w:pStyle w:val="19"/>
        <w:snapToGrid w:val="0"/>
        <w:spacing w:beforeLines="0" w:afterLines="0" w:line="360" w:lineRule="auto"/>
        <w:ind w:left="2" w:leftChars="1" w:firstLine="480" w:firstLineChars="200"/>
        <w:rPr>
          <w:rFonts w:hAnsi="宋体"/>
          <w:b/>
        </w:rPr>
      </w:pPr>
      <w:r>
        <w:rPr>
          <w:rFonts w:hAnsi="宋体"/>
        </w:rPr>
        <w:t>▲</w:t>
      </w:r>
      <w:r>
        <w:rPr>
          <w:rFonts w:hint="eastAsia" w:hAnsi="宋体"/>
        </w:rPr>
        <w:t>4.</w:t>
      </w:r>
      <w:r>
        <w:rPr>
          <w:rFonts w:hAnsi="宋体"/>
        </w:rPr>
        <w:t>投标人在投标活动中提供任何虚假材料</w:t>
      </w:r>
      <w:r>
        <w:rPr>
          <w:rFonts w:hint="eastAsia" w:hAnsi="宋体"/>
        </w:rPr>
        <w:t>，</w:t>
      </w:r>
      <w:r>
        <w:rPr>
          <w:rFonts w:hAnsi="宋体"/>
        </w:rPr>
        <w:t>其投标无效，并报监管部门查处；中标后发现的</w:t>
      </w:r>
      <w:r>
        <w:rPr>
          <w:rFonts w:hint="eastAsia" w:hAnsi="宋体"/>
        </w:rPr>
        <w:t>，</w:t>
      </w:r>
      <w:r>
        <w:rPr>
          <w:rFonts w:hAnsi="宋体"/>
        </w:rPr>
        <w:t>中标人须依照《中华人民共和国消费者权益保护法》第49条之规定双倍赔偿采购人</w:t>
      </w:r>
      <w:r>
        <w:rPr>
          <w:rFonts w:hint="eastAsia" w:hAnsi="宋体"/>
        </w:rPr>
        <w:t>，</w:t>
      </w:r>
      <w:r>
        <w:rPr>
          <w:rFonts w:hAnsi="宋体"/>
        </w:rPr>
        <w:t>且民事赔偿并不免除违法投标人的行政与刑事责任。</w:t>
      </w:r>
    </w:p>
    <w:p w14:paraId="1DF0107B">
      <w:pPr>
        <w:pStyle w:val="19"/>
        <w:snapToGrid w:val="0"/>
        <w:spacing w:beforeLines="0" w:afterLines="0" w:line="360" w:lineRule="auto"/>
        <w:ind w:firstLine="472" w:firstLineChars="196"/>
        <w:outlineLvl w:val="1"/>
        <w:rPr>
          <w:rFonts w:hAnsi="宋体"/>
          <w:b/>
          <w:bCs/>
        </w:rPr>
      </w:pPr>
      <w:r>
        <w:rPr>
          <w:rFonts w:hAnsi="宋体"/>
          <w:b/>
          <w:bCs/>
        </w:rPr>
        <w:t>（九）质疑和投诉</w:t>
      </w:r>
    </w:p>
    <w:p w14:paraId="77122C66">
      <w:pPr>
        <w:pStyle w:val="19"/>
        <w:snapToGrid w:val="0"/>
        <w:spacing w:beforeLines="0" w:afterLines="0" w:line="360" w:lineRule="auto"/>
        <w:ind w:left="2" w:leftChars="1" w:firstLine="480" w:firstLineChars="200"/>
        <w:rPr>
          <w:rFonts w:hAnsi="宋体"/>
        </w:rPr>
      </w:pPr>
      <w:r>
        <w:rPr>
          <w:rFonts w:hint="eastAsia" w:hAnsi="宋体"/>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Ansi="宋体"/>
        </w:rPr>
        <w:t>以书面形式向采购人、采购代理机构提出质疑</w:t>
      </w:r>
      <w:r>
        <w:rPr>
          <w:rFonts w:hint="eastAsia" w:hAnsi="宋体"/>
        </w:rPr>
        <w:t>，并电话联系代理公司，由代理公司书面回复“已知悉”，否则代理公司有权不予认可该质疑</w:t>
      </w:r>
      <w:r>
        <w:rPr>
          <w:rFonts w:hAnsi="宋体"/>
        </w:rPr>
        <w:t>。</w:t>
      </w:r>
    </w:p>
    <w:p w14:paraId="57D4FBAD">
      <w:pPr>
        <w:pStyle w:val="19"/>
        <w:snapToGrid w:val="0"/>
        <w:spacing w:beforeLines="0" w:afterLines="0" w:line="360" w:lineRule="auto"/>
        <w:ind w:left="2" w:leftChars="1" w:firstLine="480" w:firstLineChars="200"/>
        <w:rPr>
          <w:rFonts w:hAnsi="宋体"/>
        </w:rPr>
      </w:pPr>
      <w:r>
        <w:rPr>
          <w:rFonts w:hint="eastAsia" w:hAnsi="宋体"/>
        </w:rPr>
        <w:t>供应商在法定质疑期内一次性提出针对同一采购程序环节的质疑。</w:t>
      </w:r>
    </w:p>
    <w:p w14:paraId="5F3D0828">
      <w:pPr>
        <w:pStyle w:val="19"/>
        <w:snapToGrid w:val="0"/>
        <w:spacing w:beforeLines="0" w:afterLines="0" w:line="360" w:lineRule="auto"/>
        <w:ind w:left="2" w:leftChars="1" w:firstLine="480" w:firstLineChars="200"/>
        <w:rPr>
          <w:rFonts w:hAnsi="宋体"/>
        </w:rPr>
      </w:pPr>
      <w:r>
        <w:rPr>
          <w:rFonts w:hint="eastAsia" w:hAnsi="宋体"/>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14:paraId="2E7A3A7F">
      <w:pPr>
        <w:pStyle w:val="19"/>
        <w:snapToGrid w:val="0"/>
        <w:spacing w:beforeLines="0" w:afterLines="0" w:line="360" w:lineRule="auto"/>
        <w:ind w:left="2" w:leftChars="1" w:firstLine="480" w:firstLineChars="200"/>
        <w:rPr>
          <w:rFonts w:hAnsi="宋体"/>
        </w:rPr>
      </w:pPr>
      <w:r>
        <w:rPr>
          <w:rFonts w:hint="eastAsia" w:hAnsi="宋体"/>
        </w:rPr>
        <w:t>2.供应商提出质疑应当提交质疑函和必要的证明材料。质疑函应当包括下列内容：</w:t>
      </w:r>
    </w:p>
    <w:p w14:paraId="5291F620">
      <w:pPr>
        <w:pStyle w:val="19"/>
        <w:snapToGrid w:val="0"/>
        <w:spacing w:beforeLines="0" w:afterLines="0" w:line="360" w:lineRule="auto"/>
        <w:ind w:left="2" w:leftChars="1" w:firstLine="480" w:firstLineChars="200"/>
        <w:rPr>
          <w:rFonts w:hAnsi="宋体"/>
        </w:rPr>
      </w:pPr>
      <w:r>
        <w:rPr>
          <w:rFonts w:hint="eastAsia" w:hAnsi="宋体"/>
        </w:rPr>
        <w:t>1）供应商的姓名或者名称、地址、邮编、联系人及联系电话；</w:t>
      </w:r>
    </w:p>
    <w:p w14:paraId="08366A22">
      <w:pPr>
        <w:pStyle w:val="19"/>
        <w:snapToGrid w:val="0"/>
        <w:spacing w:beforeLines="0" w:afterLines="0" w:line="360" w:lineRule="auto"/>
        <w:ind w:left="2" w:leftChars="1" w:firstLine="480" w:firstLineChars="200"/>
        <w:rPr>
          <w:rFonts w:hAnsi="宋体"/>
        </w:rPr>
      </w:pPr>
      <w:r>
        <w:rPr>
          <w:rFonts w:hint="eastAsia" w:hAnsi="宋体"/>
        </w:rPr>
        <w:t>2）质疑项目的名称、编号；</w:t>
      </w:r>
    </w:p>
    <w:p w14:paraId="2E2931FD">
      <w:pPr>
        <w:pStyle w:val="19"/>
        <w:snapToGrid w:val="0"/>
        <w:spacing w:beforeLines="0" w:afterLines="0" w:line="360" w:lineRule="auto"/>
        <w:ind w:left="2" w:leftChars="1" w:firstLine="480" w:firstLineChars="200"/>
        <w:rPr>
          <w:rFonts w:hAnsi="宋体"/>
        </w:rPr>
      </w:pPr>
      <w:r>
        <w:rPr>
          <w:rFonts w:hint="eastAsia" w:hAnsi="宋体"/>
        </w:rPr>
        <w:t>3）具体、明确的质疑事项和与质疑事项相关的请求；</w:t>
      </w:r>
    </w:p>
    <w:p w14:paraId="73967C41">
      <w:pPr>
        <w:pStyle w:val="19"/>
        <w:snapToGrid w:val="0"/>
        <w:spacing w:beforeLines="0" w:afterLines="0" w:line="360" w:lineRule="auto"/>
        <w:ind w:left="2" w:leftChars="1" w:firstLine="480" w:firstLineChars="200"/>
        <w:rPr>
          <w:rFonts w:hAnsi="宋体"/>
        </w:rPr>
      </w:pPr>
      <w:r>
        <w:rPr>
          <w:rFonts w:hint="eastAsia" w:hAnsi="宋体"/>
        </w:rPr>
        <w:t>4）事实依据；</w:t>
      </w:r>
    </w:p>
    <w:p w14:paraId="10957CFE">
      <w:pPr>
        <w:pStyle w:val="19"/>
        <w:snapToGrid w:val="0"/>
        <w:spacing w:beforeLines="0" w:afterLines="0" w:line="360" w:lineRule="auto"/>
        <w:ind w:left="2" w:leftChars="1" w:firstLine="480" w:firstLineChars="200"/>
        <w:rPr>
          <w:rFonts w:hAnsi="宋体"/>
        </w:rPr>
      </w:pPr>
      <w:r>
        <w:rPr>
          <w:rFonts w:hint="eastAsia" w:hAnsi="宋体"/>
        </w:rPr>
        <w:t>5）必要的法律依据；</w:t>
      </w:r>
    </w:p>
    <w:p w14:paraId="43EC6162">
      <w:pPr>
        <w:pStyle w:val="19"/>
        <w:snapToGrid w:val="0"/>
        <w:spacing w:beforeLines="0" w:afterLines="0" w:line="360" w:lineRule="auto"/>
        <w:ind w:left="2" w:leftChars="1" w:firstLine="480" w:firstLineChars="200"/>
        <w:rPr>
          <w:rFonts w:hAnsi="宋体"/>
        </w:rPr>
      </w:pPr>
      <w:r>
        <w:rPr>
          <w:rFonts w:hint="eastAsia" w:hAnsi="宋体"/>
        </w:rPr>
        <w:t>6）提出质疑的日期。</w:t>
      </w:r>
    </w:p>
    <w:p w14:paraId="223A84FD">
      <w:pPr>
        <w:pStyle w:val="19"/>
        <w:snapToGrid w:val="0"/>
        <w:spacing w:beforeLines="0" w:afterLines="0" w:line="360" w:lineRule="auto"/>
        <w:ind w:left="2" w:leftChars="1" w:firstLine="480" w:firstLineChars="200"/>
        <w:rPr>
          <w:rFonts w:hAnsi="宋体"/>
        </w:rPr>
      </w:pPr>
      <w:r>
        <w:rPr>
          <w:rFonts w:hint="eastAsia" w:hAnsi="宋体"/>
        </w:rPr>
        <w:t>3.投诉人提起投诉应当符合下列条件：</w:t>
      </w:r>
    </w:p>
    <w:p w14:paraId="54790C4B">
      <w:pPr>
        <w:pStyle w:val="19"/>
        <w:snapToGrid w:val="0"/>
        <w:spacing w:beforeLines="0" w:afterLines="0" w:line="360" w:lineRule="auto"/>
        <w:ind w:left="2" w:leftChars="1" w:firstLine="480" w:firstLineChars="200"/>
        <w:rPr>
          <w:rFonts w:hAnsi="宋体"/>
        </w:rPr>
      </w:pPr>
      <w:r>
        <w:rPr>
          <w:rFonts w:hint="eastAsia" w:hAnsi="宋体"/>
        </w:rPr>
        <w:t>1）提起投诉前已依法进行质疑；</w:t>
      </w:r>
    </w:p>
    <w:p w14:paraId="0F30431A">
      <w:pPr>
        <w:pStyle w:val="19"/>
        <w:snapToGrid w:val="0"/>
        <w:spacing w:beforeLines="0" w:afterLines="0" w:line="360" w:lineRule="auto"/>
        <w:ind w:left="2" w:leftChars="1" w:firstLine="480" w:firstLineChars="200"/>
        <w:rPr>
          <w:rFonts w:hAnsi="宋体"/>
        </w:rPr>
      </w:pPr>
      <w:r>
        <w:rPr>
          <w:rFonts w:hint="eastAsia" w:hAnsi="宋体"/>
        </w:rPr>
        <w:t>2）投诉书内容符合本办法的规定；</w:t>
      </w:r>
    </w:p>
    <w:p w14:paraId="206605D7">
      <w:pPr>
        <w:pStyle w:val="19"/>
        <w:snapToGrid w:val="0"/>
        <w:spacing w:beforeLines="0" w:afterLines="0" w:line="360" w:lineRule="auto"/>
        <w:ind w:left="2" w:leftChars="1" w:firstLine="480" w:firstLineChars="200"/>
        <w:rPr>
          <w:rFonts w:hAnsi="宋体"/>
        </w:rPr>
      </w:pPr>
      <w:r>
        <w:rPr>
          <w:rFonts w:hint="eastAsia" w:hAnsi="宋体"/>
        </w:rPr>
        <w:t>3）在投诉有效期限内提起投诉；</w:t>
      </w:r>
    </w:p>
    <w:p w14:paraId="2BEFD781">
      <w:pPr>
        <w:pStyle w:val="19"/>
        <w:snapToGrid w:val="0"/>
        <w:spacing w:beforeLines="0" w:afterLines="0" w:line="360" w:lineRule="auto"/>
        <w:ind w:left="2" w:leftChars="1" w:firstLine="480" w:firstLineChars="200"/>
        <w:rPr>
          <w:rFonts w:hAnsi="宋体"/>
        </w:rPr>
      </w:pPr>
      <w:r>
        <w:rPr>
          <w:rFonts w:hint="eastAsia" w:hAnsi="宋体"/>
        </w:rPr>
        <w:t>4）同一投诉事项未经财政部门投诉处理；</w:t>
      </w:r>
    </w:p>
    <w:p w14:paraId="6017903E">
      <w:pPr>
        <w:pStyle w:val="19"/>
        <w:snapToGrid w:val="0"/>
        <w:spacing w:beforeLines="0" w:afterLines="0" w:line="360" w:lineRule="auto"/>
        <w:ind w:left="2" w:leftChars="1" w:firstLine="480" w:firstLineChars="200"/>
        <w:rPr>
          <w:rFonts w:hAnsi="宋体"/>
        </w:rPr>
      </w:pPr>
      <w:r>
        <w:rPr>
          <w:rFonts w:hint="eastAsia" w:hAnsi="宋体"/>
        </w:rPr>
        <w:t>5）财政部规定的其他条件。</w:t>
      </w:r>
    </w:p>
    <w:p w14:paraId="6B89C657">
      <w:pPr>
        <w:pStyle w:val="19"/>
        <w:snapToGrid w:val="0"/>
        <w:spacing w:beforeLines="0" w:afterLines="0" w:line="360" w:lineRule="auto"/>
        <w:ind w:left="2" w:leftChars="1" w:firstLine="480" w:firstLineChars="200"/>
        <w:rPr>
          <w:rFonts w:hAnsi="宋体"/>
        </w:rPr>
      </w:pPr>
      <w:r>
        <w:rPr>
          <w:rFonts w:hint="eastAsia" w:hAnsi="宋体"/>
        </w:rPr>
        <w:t>4.投诉人投诉时，应当提交投诉书和必要的证明材料，并按照被投诉采购人、采购代理机构和与投诉事项有关的供应商数量提供投诉书的副本。投诉书应当包括下列内容：</w:t>
      </w:r>
    </w:p>
    <w:p w14:paraId="57BA0B2D">
      <w:pPr>
        <w:pStyle w:val="19"/>
        <w:snapToGrid w:val="0"/>
        <w:spacing w:beforeLines="0" w:afterLines="0" w:line="360" w:lineRule="auto"/>
        <w:ind w:left="2" w:leftChars="1" w:firstLine="480" w:firstLineChars="200"/>
        <w:rPr>
          <w:rFonts w:hAnsi="宋体"/>
        </w:rPr>
      </w:pPr>
      <w:r>
        <w:rPr>
          <w:rFonts w:hint="eastAsia" w:hAnsi="宋体"/>
        </w:rPr>
        <w:t>1）投诉人和被投诉人的姓名或者名称、通讯地址、邮编、联系人及联系电话；</w:t>
      </w:r>
    </w:p>
    <w:p w14:paraId="1C6B7D3F">
      <w:pPr>
        <w:pStyle w:val="19"/>
        <w:snapToGrid w:val="0"/>
        <w:spacing w:beforeLines="0" w:afterLines="0" w:line="360" w:lineRule="auto"/>
        <w:ind w:left="2" w:leftChars="1" w:firstLine="480" w:firstLineChars="200"/>
        <w:rPr>
          <w:rFonts w:hAnsi="宋体"/>
        </w:rPr>
      </w:pPr>
      <w:r>
        <w:rPr>
          <w:rFonts w:hint="eastAsia" w:hAnsi="宋体"/>
        </w:rPr>
        <w:t>2）质疑和质疑答复情况说明及相关证明材料；</w:t>
      </w:r>
    </w:p>
    <w:p w14:paraId="3BBA3877">
      <w:pPr>
        <w:pStyle w:val="19"/>
        <w:snapToGrid w:val="0"/>
        <w:spacing w:beforeLines="0" w:afterLines="0" w:line="360" w:lineRule="auto"/>
        <w:ind w:left="2" w:leftChars="1" w:firstLine="480" w:firstLineChars="200"/>
        <w:rPr>
          <w:rFonts w:hAnsi="宋体"/>
        </w:rPr>
      </w:pPr>
      <w:r>
        <w:rPr>
          <w:rFonts w:hint="eastAsia" w:hAnsi="宋体"/>
        </w:rPr>
        <w:t>3）具体、明确的投诉事项和与投诉事项相关的投诉请求；</w:t>
      </w:r>
    </w:p>
    <w:p w14:paraId="657A6BB4">
      <w:pPr>
        <w:pStyle w:val="19"/>
        <w:snapToGrid w:val="0"/>
        <w:spacing w:beforeLines="0" w:afterLines="0" w:line="360" w:lineRule="auto"/>
        <w:ind w:left="2" w:leftChars="1" w:firstLine="480" w:firstLineChars="200"/>
        <w:rPr>
          <w:rFonts w:hAnsi="宋体"/>
        </w:rPr>
      </w:pPr>
      <w:r>
        <w:rPr>
          <w:rFonts w:hint="eastAsia" w:hAnsi="宋体"/>
        </w:rPr>
        <w:t>4）事实依据；</w:t>
      </w:r>
    </w:p>
    <w:p w14:paraId="3B93890D">
      <w:pPr>
        <w:pStyle w:val="19"/>
        <w:snapToGrid w:val="0"/>
        <w:spacing w:beforeLines="0" w:afterLines="0" w:line="360" w:lineRule="auto"/>
        <w:ind w:left="2" w:leftChars="1" w:firstLine="480" w:firstLineChars="200"/>
        <w:rPr>
          <w:rFonts w:hAnsi="宋体"/>
        </w:rPr>
      </w:pPr>
      <w:r>
        <w:rPr>
          <w:rFonts w:hint="eastAsia" w:hAnsi="宋体"/>
        </w:rPr>
        <w:t>5）法律依据；</w:t>
      </w:r>
    </w:p>
    <w:p w14:paraId="580E73CF">
      <w:pPr>
        <w:pStyle w:val="19"/>
        <w:snapToGrid w:val="0"/>
        <w:spacing w:beforeLines="0" w:afterLines="0" w:line="360" w:lineRule="auto"/>
        <w:ind w:left="2" w:leftChars="1" w:firstLine="480" w:firstLineChars="200"/>
        <w:rPr>
          <w:rFonts w:hAnsi="宋体"/>
        </w:rPr>
      </w:pPr>
      <w:r>
        <w:rPr>
          <w:rFonts w:hint="eastAsia" w:hAnsi="宋体"/>
        </w:rPr>
        <w:t>6）提起投诉的日期。</w:t>
      </w:r>
    </w:p>
    <w:p w14:paraId="53507EBF">
      <w:pPr>
        <w:pStyle w:val="19"/>
        <w:snapToGrid w:val="0"/>
        <w:spacing w:beforeLines="0" w:afterLines="0" w:line="360" w:lineRule="auto"/>
        <w:ind w:left="2" w:leftChars="1" w:firstLine="480" w:firstLineChars="200"/>
        <w:rPr>
          <w:rFonts w:hAnsi="宋体"/>
        </w:rPr>
      </w:pPr>
      <w:r>
        <w:rPr>
          <w:rFonts w:hAnsi="宋体"/>
        </w:rPr>
        <w:t>质疑供应商对采购人、采购代理机构的答复不满意，或者采购人、采购代理机构未在规定时间内作出答复的，可以在答复期满后15个工作日内向本办法第六条规定的财政部门提起投诉。</w:t>
      </w:r>
    </w:p>
    <w:p w14:paraId="0F3256C5">
      <w:pPr>
        <w:pStyle w:val="19"/>
        <w:snapToGrid w:val="0"/>
        <w:spacing w:beforeLines="0" w:afterLines="0" w:line="360" w:lineRule="auto"/>
        <w:ind w:left="2" w:leftChars="1" w:firstLine="480" w:firstLineChars="200"/>
        <w:rPr>
          <w:rFonts w:hAnsi="宋体"/>
        </w:rPr>
      </w:pPr>
      <w:r>
        <w:rPr>
          <w:rFonts w:hint="eastAsia" w:hAnsi="宋体"/>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23AF2FD2">
      <w:pPr>
        <w:pStyle w:val="19"/>
        <w:snapToGrid w:val="0"/>
        <w:spacing w:beforeLines="0" w:afterLines="0" w:line="360" w:lineRule="auto"/>
        <w:ind w:left="2" w:leftChars="1" w:firstLine="480" w:firstLineChars="200"/>
        <w:rPr>
          <w:rFonts w:hAnsi="宋体"/>
        </w:rPr>
      </w:pPr>
      <w:r>
        <w:rPr>
          <w:rFonts w:hint="eastAsia" w:hAnsi="宋体"/>
        </w:rPr>
        <w:t>5.质疑函须采用财政部发布的政府采购供应商质疑函范本（参考样式可从</w:t>
      </w:r>
      <w:r>
        <w:rPr>
          <w:rFonts w:hAnsi="宋体"/>
        </w:rPr>
        <w:t>浙江政府采购网下载专区下载</w:t>
      </w:r>
      <w:r>
        <w:rPr>
          <w:rFonts w:hint="eastAsia" w:hAnsi="宋体"/>
        </w:rPr>
        <w:t>），否则采购代理机构有权要求质疑供应商改正后重新提出。</w:t>
      </w:r>
    </w:p>
    <w:p w14:paraId="21BDF087">
      <w:pPr>
        <w:pStyle w:val="19"/>
        <w:snapToGrid w:val="0"/>
        <w:spacing w:beforeLines="0" w:afterLines="0" w:line="360" w:lineRule="auto"/>
        <w:ind w:firstLine="551" w:firstLineChars="196"/>
        <w:outlineLvl w:val="0"/>
        <w:rPr>
          <w:rFonts w:hAnsi="宋体"/>
          <w:b/>
          <w:sz w:val="28"/>
          <w:szCs w:val="28"/>
        </w:rPr>
      </w:pPr>
      <w:r>
        <w:rPr>
          <w:rFonts w:hAnsi="宋体"/>
          <w:b/>
          <w:sz w:val="28"/>
          <w:szCs w:val="28"/>
        </w:rPr>
        <w:t>二  招标文件</w:t>
      </w:r>
    </w:p>
    <w:p w14:paraId="1B6A9DC5">
      <w:pPr>
        <w:snapToGrid w:val="0"/>
        <w:spacing w:line="360" w:lineRule="auto"/>
        <w:ind w:firstLine="472" w:firstLineChars="196"/>
        <w:jc w:val="left"/>
        <w:rPr>
          <w:rFonts w:ascii="宋体" w:hAnsi="宋体"/>
          <w:b/>
          <w:sz w:val="24"/>
          <w:szCs w:val="20"/>
        </w:rPr>
      </w:pPr>
      <w:r>
        <w:rPr>
          <w:rFonts w:hint="eastAsia" w:ascii="宋体" w:hAnsi="宋体"/>
          <w:b/>
          <w:sz w:val="24"/>
        </w:rPr>
        <w:t>（一）招标文件的构成。本招标文件由以下部分组成：</w:t>
      </w:r>
    </w:p>
    <w:p w14:paraId="6AA2BDF2">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招标公告</w:t>
      </w:r>
    </w:p>
    <w:p w14:paraId="4A7111CE">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招标需求</w:t>
      </w:r>
    </w:p>
    <w:p w14:paraId="1BCFBB18">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投标人须知</w:t>
      </w:r>
    </w:p>
    <w:p w14:paraId="084CA97F">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评标办法及标准</w:t>
      </w:r>
    </w:p>
    <w:p w14:paraId="636A9F4A">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合同主要条款</w:t>
      </w:r>
    </w:p>
    <w:p w14:paraId="6A7164B8">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14:paraId="2F19F872">
      <w:pPr>
        <w:snapToGrid w:val="0"/>
        <w:spacing w:line="360" w:lineRule="auto"/>
        <w:ind w:firstLine="480" w:firstLineChars="200"/>
        <w:jc w:val="left"/>
        <w:rPr>
          <w:rFonts w:ascii="宋体" w:hAnsi="宋体"/>
          <w:sz w:val="24"/>
          <w:szCs w:val="20"/>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14:paraId="664545F4">
      <w:pPr>
        <w:snapToGrid w:val="0"/>
        <w:spacing w:line="360" w:lineRule="auto"/>
        <w:ind w:firstLine="472" w:firstLineChars="196"/>
        <w:jc w:val="left"/>
        <w:rPr>
          <w:rFonts w:ascii="宋体" w:hAnsi="宋体"/>
          <w:b/>
          <w:sz w:val="24"/>
          <w:szCs w:val="20"/>
        </w:rPr>
      </w:pPr>
      <w:r>
        <w:rPr>
          <w:rFonts w:hint="eastAsia" w:ascii="宋体" w:hAnsi="宋体"/>
          <w:b/>
          <w:sz w:val="24"/>
        </w:rPr>
        <w:t>（二）投标人的风险</w:t>
      </w:r>
    </w:p>
    <w:p w14:paraId="53C52114">
      <w:pPr>
        <w:pStyle w:val="28"/>
        <w:spacing w:line="360" w:lineRule="auto"/>
        <w:rPr>
          <w:rFonts w:ascii="宋体" w:eastAsia="宋体"/>
          <w:color w:val="auto"/>
          <w:szCs w:val="20"/>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14:paraId="18DFD61D">
      <w:pPr>
        <w:pStyle w:val="9"/>
        <w:widowControl w:val="0"/>
        <w:tabs>
          <w:tab w:val="clear" w:pos="454"/>
        </w:tabs>
        <w:snapToGrid w:val="0"/>
        <w:spacing w:afterLines="0" w:line="360" w:lineRule="auto"/>
        <w:ind w:left="0" w:firstLine="472" w:firstLineChars="196"/>
        <w:rPr>
          <w:rFonts w:ascii="宋体" w:hAnsi="宋体"/>
          <w:b/>
          <w:szCs w:val="24"/>
        </w:rPr>
      </w:pPr>
      <w:r>
        <w:rPr>
          <w:rFonts w:hint="eastAsia" w:ascii="宋体" w:hAnsi="宋体"/>
          <w:b/>
          <w:szCs w:val="24"/>
        </w:rPr>
        <w:t>（三）招标文件的澄清与修改</w:t>
      </w:r>
    </w:p>
    <w:p w14:paraId="50CE2385">
      <w:pPr>
        <w:pStyle w:val="19"/>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bCs/>
        </w:rPr>
        <w:t>投标人应认真阅读本招标文件，发现其中有误或有不合理要求的，投标人必须在</w:t>
      </w:r>
      <w:r>
        <w:rPr>
          <w:rFonts w:hint="eastAsia" w:hAnsi="宋体"/>
          <w:u w:val="single"/>
        </w:rPr>
        <w:t>2024  年10月8日</w:t>
      </w:r>
      <w:r>
        <w:rPr>
          <w:rFonts w:hint="eastAsia" w:hAnsi="宋体"/>
          <w:bCs/>
        </w:rPr>
        <w:t>17：00</w:t>
      </w:r>
      <w:r>
        <w:rPr>
          <w:rFonts w:hAnsi="宋体"/>
          <w:bCs/>
        </w:rPr>
        <w:t>前以书面形式要求招标采购单位澄清</w:t>
      </w:r>
      <w:r>
        <w:rPr>
          <w:rFonts w:hAnsi="宋体"/>
        </w:rPr>
        <w:t>。采购代理机构对已发出的招标文件进行必要澄清、答复、修改或补充的，应当在招标文件要求提交投标文件截止时间五日前，在财政部门指定的政府采购信息发布媒体上发布更正公告，并以书面形式通知所有招标文件收受人。</w:t>
      </w:r>
    </w:p>
    <w:p w14:paraId="09DC52CB">
      <w:pPr>
        <w:pStyle w:val="19"/>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采购代理机构必须以书面形式答复投标人要求澄清的问题，并将不包含问题来源的答复书面通知所有购买招标文件的投标人；除书面答复以外的其他澄清方式及澄清内容均无效。</w:t>
      </w:r>
    </w:p>
    <w:p w14:paraId="50CFAABB">
      <w:pPr>
        <w:pStyle w:val="19"/>
        <w:snapToGrid w:val="0"/>
        <w:spacing w:beforeLines="0" w:afterLines="0" w:line="360" w:lineRule="auto"/>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14:paraId="68E0EDFF">
      <w:pPr>
        <w:pStyle w:val="19"/>
        <w:snapToGrid w:val="0"/>
        <w:spacing w:beforeLines="0" w:afterLines="0" w:line="360" w:lineRule="auto"/>
        <w:ind w:firstLine="480" w:firstLineChars="200"/>
        <w:rPr>
          <w:rFonts w:hAnsi="宋体"/>
        </w:rPr>
      </w:pPr>
      <w:r>
        <w:rPr>
          <w:rFonts w:hint="eastAsia" w:hAnsi="宋体"/>
        </w:rPr>
        <w:t>4.</w:t>
      </w:r>
      <w:r>
        <w:rPr>
          <w:rFonts w:hAnsi="宋体"/>
        </w:rPr>
        <w:t>招标文件的澄清、答复、修改或补充都应该通过本代理机构以法定形式发布，采购人非通过本机构，不得擅自澄清、答复、修改或补充招标文件。</w:t>
      </w:r>
    </w:p>
    <w:p w14:paraId="13748ABC">
      <w:pPr>
        <w:pStyle w:val="19"/>
        <w:snapToGrid w:val="0"/>
        <w:spacing w:beforeLines="0" w:afterLines="0" w:line="360" w:lineRule="auto"/>
        <w:ind w:firstLine="551" w:firstLineChars="196"/>
        <w:outlineLvl w:val="1"/>
        <w:rPr>
          <w:rFonts w:hAnsi="宋体"/>
          <w:b/>
          <w:sz w:val="28"/>
          <w:szCs w:val="28"/>
        </w:rPr>
      </w:pPr>
      <w:r>
        <w:rPr>
          <w:rFonts w:hAnsi="宋体"/>
          <w:b/>
          <w:sz w:val="28"/>
          <w:szCs w:val="28"/>
        </w:rPr>
        <w:t>三、投标文件的编制</w:t>
      </w:r>
    </w:p>
    <w:p w14:paraId="381DACA3">
      <w:pPr>
        <w:snapToGrid w:val="0"/>
        <w:spacing w:line="360" w:lineRule="auto"/>
        <w:ind w:firstLine="472" w:firstLineChars="196"/>
        <w:jc w:val="left"/>
        <w:outlineLvl w:val="0"/>
        <w:rPr>
          <w:rFonts w:ascii="宋体" w:hAnsi="宋体"/>
          <w:b/>
          <w:sz w:val="24"/>
        </w:rPr>
      </w:pPr>
      <w:r>
        <w:rPr>
          <w:rFonts w:hint="eastAsia" w:ascii="宋体" w:hAnsi="宋体"/>
          <w:b/>
          <w:sz w:val="24"/>
        </w:rPr>
        <w:t>（一）投标文件的组成</w:t>
      </w:r>
    </w:p>
    <w:p w14:paraId="7F0F82C9">
      <w:pPr>
        <w:snapToGrid w:val="0"/>
        <w:spacing w:line="360" w:lineRule="auto"/>
        <w:ind w:firstLine="480" w:firstLineChars="200"/>
        <w:jc w:val="left"/>
        <w:outlineLvl w:val="0"/>
        <w:rPr>
          <w:rFonts w:ascii="宋体" w:hAnsi="宋体"/>
          <w:sz w:val="24"/>
        </w:rPr>
      </w:pPr>
      <w:r>
        <w:rPr>
          <w:rFonts w:hint="eastAsia" w:ascii="宋体" w:hAnsi="宋体"/>
          <w:sz w:val="24"/>
        </w:rPr>
        <w:t>投标文件由</w:t>
      </w:r>
      <w:r>
        <w:rPr>
          <w:rFonts w:hint="eastAsia" w:ascii="宋体" w:hAnsi="宋体" w:cs="宋体"/>
          <w:sz w:val="22"/>
          <w:szCs w:val="22"/>
        </w:rPr>
        <w:t>《</w:t>
      </w:r>
      <w:r>
        <w:rPr>
          <w:rFonts w:hint="eastAsia" w:ascii="宋体" w:hAnsi="宋体"/>
          <w:sz w:val="24"/>
        </w:rPr>
        <w:t>资格文件</w:t>
      </w:r>
      <w:r>
        <w:rPr>
          <w:rFonts w:hint="eastAsia" w:ascii="宋体" w:hAnsi="宋体" w:cs="宋体"/>
          <w:sz w:val="22"/>
          <w:szCs w:val="22"/>
        </w:rPr>
        <w:t>》</w:t>
      </w:r>
      <w:r>
        <w:rPr>
          <w:rFonts w:hint="eastAsia" w:ascii="宋体" w:hAnsi="宋体"/>
          <w:sz w:val="24"/>
        </w:rPr>
        <w:t>、</w:t>
      </w:r>
      <w:r>
        <w:rPr>
          <w:rFonts w:hint="eastAsia" w:ascii="宋体" w:hAnsi="宋体" w:cs="宋体"/>
          <w:sz w:val="22"/>
          <w:szCs w:val="22"/>
        </w:rPr>
        <w:t>《</w:t>
      </w:r>
      <w:r>
        <w:rPr>
          <w:rFonts w:hint="eastAsia" w:ascii="宋体" w:hAnsi="宋体"/>
          <w:sz w:val="24"/>
        </w:rPr>
        <w:t>技术/资信/商务文件</w:t>
      </w:r>
      <w:r>
        <w:rPr>
          <w:rFonts w:hint="eastAsia" w:ascii="宋体" w:hAnsi="宋体" w:cs="宋体"/>
          <w:sz w:val="22"/>
          <w:szCs w:val="22"/>
        </w:rPr>
        <w:t>》</w:t>
      </w:r>
      <w:r>
        <w:rPr>
          <w:rFonts w:hint="eastAsia" w:ascii="宋体" w:hAnsi="宋体"/>
          <w:sz w:val="24"/>
        </w:rPr>
        <w:t>、</w:t>
      </w:r>
      <w:r>
        <w:rPr>
          <w:rFonts w:hint="eastAsia" w:ascii="宋体" w:hAnsi="宋体" w:cs="宋体"/>
          <w:sz w:val="22"/>
          <w:szCs w:val="22"/>
        </w:rPr>
        <w:t>《</w:t>
      </w:r>
      <w:r>
        <w:rPr>
          <w:rFonts w:hint="eastAsia" w:ascii="宋体" w:hAnsi="宋体"/>
          <w:sz w:val="24"/>
        </w:rPr>
        <w:t>投标报价</w:t>
      </w:r>
      <w:r>
        <w:rPr>
          <w:rFonts w:hint="eastAsia" w:ascii="宋体" w:hAnsi="宋体" w:cs="宋体"/>
          <w:sz w:val="22"/>
          <w:szCs w:val="22"/>
        </w:rPr>
        <w:t>》</w:t>
      </w:r>
      <w:r>
        <w:rPr>
          <w:rFonts w:hint="eastAsia" w:ascii="宋体" w:hAnsi="宋体"/>
          <w:sz w:val="24"/>
        </w:rPr>
        <w:t>文件三部分组成。（电子投标文件中所盖公章均采用CA签章）。</w:t>
      </w:r>
    </w:p>
    <w:p w14:paraId="3AC0F406">
      <w:pPr>
        <w:snapToGrid w:val="0"/>
        <w:spacing w:line="360" w:lineRule="auto"/>
        <w:ind w:firstLine="482" w:firstLineChars="200"/>
        <w:jc w:val="left"/>
        <w:rPr>
          <w:rFonts w:ascii="宋体" w:hAnsi="宋体" w:cs="宋体"/>
          <w:b/>
          <w:bCs/>
          <w:sz w:val="24"/>
        </w:rPr>
      </w:pPr>
      <w:r>
        <w:rPr>
          <w:rFonts w:hint="eastAsia" w:ascii="宋体" w:hAnsi="宋体" w:cs="宋体"/>
          <w:b/>
          <w:bCs/>
          <w:sz w:val="24"/>
        </w:rPr>
        <w:t>1.资格文件（</w:t>
      </w:r>
      <w:r>
        <w:rPr>
          <w:rFonts w:hint="eastAsia" w:ascii="宋体" w:hAnsi="宋体"/>
          <w:b/>
          <w:sz w:val="24"/>
        </w:rPr>
        <w:t>如</w:t>
      </w:r>
      <w:r>
        <w:rPr>
          <w:rFonts w:ascii="宋体" w:hAnsi="宋体"/>
          <w:b/>
          <w:sz w:val="24"/>
        </w:rPr>
        <w:t>组成联合体</w:t>
      </w:r>
      <w:r>
        <w:rPr>
          <w:rFonts w:hint="eastAsia" w:ascii="宋体" w:hAnsi="宋体"/>
          <w:b/>
          <w:sz w:val="24"/>
        </w:rPr>
        <w:t>投标</w:t>
      </w:r>
      <w:r>
        <w:rPr>
          <w:rFonts w:ascii="宋体" w:hAnsi="宋体"/>
          <w:b/>
          <w:sz w:val="24"/>
        </w:rPr>
        <w:t>的，</w:t>
      </w:r>
      <w:r>
        <w:rPr>
          <w:rFonts w:hint="eastAsia" w:ascii="宋体" w:hAnsi="宋体"/>
          <w:b/>
          <w:sz w:val="24"/>
        </w:rPr>
        <w:t>需提供</w:t>
      </w:r>
      <w:r>
        <w:rPr>
          <w:rFonts w:ascii="宋体" w:hAnsi="宋体"/>
          <w:b/>
          <w:sz w:val="24"/>
        </w:rPr>
        <w:t>联合体各方</w:t>
      </w:r>
      <w:r>
        <w:rPr>
          <w:rFonts w:hint="eastAsia" w:ascii="宋体" w:hAnsi="宋体"/>
          <w:b/>
          <w:sz w:val="24"/>
        </w:rPr>
        <w:t>资料）</w:t>
      </w:r>
    </w:p>
    <w:p w14:paraId="64628AAB">
      <w:pPr>
        <w:spacing w:line="360" w:lineRule="auto"/>
        <w:ind w:firstLine="470" w:firstLineChars="196"/>
        <w:jc w:val="left"/>
        <w:rPr>
          <w:rFonts w:ascii="宋体" w:hAnsi="宋体"/>
          <w:sz w:val="24"/>
        </w:rPr>
      </w:pPr>
      <w:r>
        <w:rPr>
          <w:rFonts w:hint="eastAsia" w:ascii="宋体" w:hAnsi="宋体"/>
          <w:sz w:val="24"/>
        </w:rPr>
        <w:t>（1）投标声明书（</w:t>
      </w:r>
      <w:r>
        <w:rPr>
          <w:rFonts w:ascii="宋体" w:hAnsi="宋体"/>
          <w:sz w:val="24"/>
        </w:rPr>
        <w:t>格式见附件</w:t>
      </w:r>
      <w:r>
        <w:rPr>
          <w:rFonts w:hint="eastAsia" w:ascii="宋体" w:hAnsi="宋体"/>
          <w:sz w:val="24"/>
        </w:rPr>
        <w:t>）</w:t>
      </w:r>
      <w:r>
        <w:rPr>
          <w:rFonts w:ascii="宋体" w:hAnsi="宋体"/>
          <w:sz w:val="24"/>
        </w:rPr>
        <w:t>；</w:t>
      </w:r>
    </w:p>
    <w:p w14:paraId="0DCEC3CC">
      <w:pPr>
        <w:spacing w:line="360" w:lineRule="auto"/>
        <w:ind w:firstLine="470" w:firstLineChars="196"/>
        <w:jc w:val="left"/>
        <w:rPr>
          <w:rFonts w:ascii="宋体" w:hAnsi="宋体"/>
          <w:sz w:val="24"/>
        </w:rPr>
      </w:pPr>
      <w:r>
        <w:rPr>
          <w:rFonts w:hint="eastAsia" w:ascii="宋体" w:hAnsi="宋体"/>
          <w:sz w:val="24"/>
        </w:rPr>
        <w:t>（2）投标人基本情况介绍；</w:t>
      </w:r>
    </w:p>
    <w:p w14:paraId="35141321">
      <w:pPr>
        <w:spacing w:line="360" w:lineRule="auto"/>
        <w:ind w:firstLine="470" w:firstLineChars="196"/>
        <w:jc w:val="left"/>
      </w:pPr>
      <w:r>
        <w:rPr>
          <w:rFonts w:hint="eastAsia" w:ascii="宋体" w:hAnsi="宋体"/>
          <w:sz w:val="24"/>
        </w:rPr>
        <w:t>（3）</w:t>
      </w:r>
      <w:r>
        <w:rPr>
          <w:rFonts w:ascii="宋体" w:hAnsi="宋体"/>
          <w:sz w:val="24"/>
        </w:rPr>
        <w:t>法定代表人授权委托书</w:t>
      </w:r>
      <w:r>
        <w:rPr>
          <w:rFonts w:hint="eastAsia" w:ascii="宋体" w:hAnsi="宋体"/>
          <w:sz w:val="24"/>
        </w:rPr>
        <w:t>（</w:t>
      </w:r>
      <w:r>
        <w:rPr>
          <w:rFonts w:ascii="宋体" w:hAnsi="宋体"/>
          <w:sz w:val="24"/>
        </w:rPr>
        <w:t>格式见附件</w:t>
      </w:r>
      <w:r>
        <w:rPr>
          <w:rFonts w:hint="eastAsia" w:ascii="宋体" w:hAnsi="宋体"/>
          <w:sz w:val="24"/>
        </w:rPr>
        <w:t>）</w:t>
      </w:r>
      <w:r>
        <w:rPr>
          <w:rFonts w:ascii="宋体" w:hAnsi="宋体"/>
          <w:sz w:val="24"/>
        </w:rPr>
        <w:t>及授权代理人社保证明复印件（社保机构出具的由本单位或分公司为其缴纳的</w:t>
      </w:r>
      <w:r>
        <w:rPr>
          <w:rFonts w:hint="eastAsia" w:ascii="宋体" w:hAnsi="宋体" w:cs="宋体"/>
          <w:kern w:val="0"/>
          <w:sz w:val="24"/>
        </w:rPr>
        <w:t>最近一个月</w:t>
      </w:r>
      <w:r>
        <w:rPr>
          <w:rFonts w:ascii="宋体" w:hAnsi="宋体"/>
          <w:sz w:val="24"/>
        </w:rPr>
        <w:t>的社保证明）</w:t>
      </w:r>
      <w:r>
        <w:rPr>
          <w:rFonts w:hint="eastAsia" w:ascii="宋体" w:hAnsi="宋体"/>
          <w:sz w:val="24"/>
        </w:rPr>
        <w:t>（如</w:t>
      </w:r>
      <w:r>
        <w:rPr>
          <w:rFonts w:ascii="Calibri" w:hAnsi="Calibri"/>
          <w:snapToGrid w:val="0"/>
          <w:sz w:val="24"/>
        </w:rPr>
        <w:t>组成联合体</w:t>
      </w:r>
      <w:r>
        <w:rPr>
          <w:rFonts w:hint="eastAsia"/>
          <w:snapToGrid w:val="0"/>
          <w:sz w:val="24"/>
        </w:rPr>
        <w:t>投标</w:t>
      </w:r>
      <w:r>
        <w:rPr>
          <w:rFonts w:ascii="Calibri" w:hAnsi="Calibri"/>
          <w:snapToGrid w:val="0"/>
          <w:sz w:val="24"/>
        </w:rPr>
        <w:t>的，</w:t>
      </w:r>
      <w:r>
        <w:rPr>
          <w:rFonts w:hint="eastAsia" w:ascii="宋体" w:hAnsi="宋体"/>
          <w:sz w:val="24"/>
        </w:rPr>
        <w:t>联合体各方各提交一份联合体主办人授权书）；</w:t>
      </w:r>
    </w:p>
    <w:p w14:paraId="7C1B422F">
      <w:pPr>
        <w:snapToGrid w:val="0"/>
        <w:spacing w:line="360" w:lineRule="auto"/>
        <w:ind w:firstLine="480" w:firstLineChars="200"/>
        <w:jc w:val="left"/>
        <w:rPr>
          <w:rFonts w:ascii="宋体" w:hAnsi="宋体"/>
          <w:sz w:val="24"/>
        </w:rPr>
      </w:pPr>
      <w:r>
        <w:rPr>
          <w:rFonts w:hint="eastAsia" w:ascii="宋体" w:hAnsi="宋体"/>
          <w:sz w:val="24"/>
        </w:rPr>
        <w:t>（4）近三个月依法缴纳税收和社保费的证明【税费凭证，或者依法缴纳税费或依法免缴税费的证明】（</w:t>
      </w:r>
      <w:r>
        <w:rPr>
          <w:rFonts w:hint="eastAsia" w:ascii="宋体" w:hAnsi="宋体"/>
          <w:bCs/>
          <w:sz w:val="24"/>
        </w:rPr>
        <w:t>复印件各一份</w:t>
      </w:r>
      <w:r>
        <w:rPr>
          <w:rFonts w:hint="eastAsia" w:ascii="宋体" w:hAnsi="宋体"/>
          <w:sz w:val="24"/>
        </w:rPr>
        <w:t>）；</w:t>
      </w:r>
    </w:p>
    <w:p w14:paraId="41000584">
      <w:pPr>
        <w:spacing w:line="360" w:lineRule="auto"/>
        <w:ind w:firstLine="480" w:firstLineChars="200"/>
        <w:jc w:val="left"/>
        <w:rPr>
          <w:rFonts w:ascii="宋体" w:hAnsi="宋体"/>
          <w:sz w:val="24"/>
        </w:rPr>
      </w:pPr>
      <w:r>
        <w:rPr>
          <w:rFonts w:hint="eastAsia" w:ascii="宋体" w:hAnsi="宋体"/>
          <w:sz w:val="24"/>
        </w:rPr>
        <w:t>（5）有效的营业执照副本（复印件各一份）；</w:t>
      </w:r>
    </w:p>
    <w:p w14:paraId="6244C4BF">
      <w:pPr>
        <w:widowControl/>
        <w:spacing w:line="360" w:lineRule="auto"/>
        <w:ind w:right="60" w:firstLine="480" w:firstLineChars="200"/>
        <w:rPr>
          <w:rFonts w:ascii="宋体" w:hAnsi="宋体" w:cs="宋体"/>
          <w:sz w:val="24"/>
        </w:rPr>
      </w:pPr>
      <w:r>
        <w:rPr>
          <w:rFonts w:hint="eastAsia" w:ascii="宋体" w:hAnsi="宋体" w:cs="宋体"/>
          <w:sz w:val="24"/>
        </w:rPr>
        <w:t>（6）近二年度（2022和2023年）企业的财务报表或银行资信证明（复印件一份）；</w:t>
      </w:r>
    </w:p>
    <w:p w14:paraId="06E476F4">
      <w:pPr>
        <w:spacing w:line="360" w:lineRule="auto"/>
        <w:ind w:firstLine="470" w:firstLineChars="196"/>
        <w:jc w:val="left"/>
        <w:rPr>
          <w:rFonts w:ascii="宋体" w:hAnsi="宋体"/>
          <w:sz w:val="24"/>
        </w:rPr>
      </w:pPr>
      <w:r>
        <w:rPr>
          <w:rFonts w:hint="eastAsia" w:ascii="宋体" w:hAnsi="宋体" w:cs="Arial"/>
          <w:kern w:val="0"/>
          <w:sz w:val="24"/>
        </w:rPr>
        <w:t>（7）</w:t>
      </w:r>
      <w:r>
        <w:rPr>
          <w:rFonts w:hint="eastAsia" w:ascii="宋体" w:hAnsi="宋体"/>
          <w:sz w:val="24"/>
        </w:rPr>
        <w:t>提供自招标公告发布之日起至投标截止日内任意时间的“信用中国”网站（www.creditchina.gov.cn）、中国政府采购网（www.ccgp.gov.cn）投标人信用查询网页截图（以开标当日采购人或由采购代理机构核实的查询结果为准）；</w:t>
      </w:r>
    </w:p>
    <w:p w14:paraId="4872700C">
      <w:pPr>
        <w:spacing w:line="360" w:lineRule="auto"/>
        <w:ind w:firstLine="470" w:firstLineChars="196"/>
        <w:jc w:val="left"/>
        <w:rPr>
          <w:rFonts w:ascii="宋体" w:hAnsi="宋体"/>
          <w:sz w:val="24"/>
        </w:rPr>
      </w:pPr>
      <w:r>
        <w:rPr>
          <w:rFonts w:hint="eastAsia" w:ascii="宋体" w:hAnsi="宋体"/>
          <w:sz w:val="24"/>
        </w:rPr>
        <w:t>（8）联合体各方共同投标协议（如有，格式自拟）。</w:t>
      </w:r>
    </w:p>
    <w:p w14:paraId="390FD509">
      <w:pPr>
        <w:spacing w:line="360" w:lineRule="auto"/>
        <w:ind w:firstLine="472" w:firstLineChars="196"/>
        <w:jc w:val="left"/>
        <w:rPr>
          <w:rFonts w:ascii="宋体" w:hAnsi="宋体"/>
          <w:b/>
          <w:bCs/>
          <w:sz w:val="24"/>
        </w:rPr>
      </w:pPr>
      <w:r>
        <w:rPr>
          <w:rFonts w:hint="eastAsia" w:ascii="宋体" w:hAnsi="宋体"/>
          <w:b/>
          <w:sz w:val="24"/>
        </w:rPr>
        <w:t>2.</w:t>
      </w:r>
      <w:r>
        <w:rPr>
          <w:rFonts w:ascii="宋体" w:hAnsi="宋体"/>
          <w:b/>
          <w:bCs/>
          <w:sz w:val="24"/>
        </w:rPr>
        <w:t xml:space="preserve"> 技术文件</w:t>
      </w:r>
    </w:p>
    <w:p w14:paraId="3523606A">
      <w:pPr>
        <w:snapToGri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对本项目的理解</w:t>
      </w:r>
      <w:r>
        <w:rPr>
          <w:rFonts w:hint="eastAsia" w:ascii="宋体" w:hAnsi="宋体" w:cs="宋体"/>
          <w:kern w:val="0"/>
          <w:sz w:val="24"/>
        </w:rPr>
        <w:t>；</w:t>
      </w:r>
    </w:p>
    <w:p w14:paraId="54688A4E">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2）</w:t>
      </w:r>
      <w:r>
        <w:rPr>
          <w:rFonts w:hint="eastAsia" w:ascii="宋体" w:hAnsi="宋体"/>
          <w:sz w:val="24"/>
        </w:rPr>
        <w:t>项目实施方案</w:t>
      </w:r>
      <w:r>
        <w:rPr>
          <w:rFonts w:ascii="宋体" w:hAnsi="宋体"/>
          <w:sz w:val="24"/>
        </w:rPr>
        <w:t>；</w:t>
      </w:r>
    </w:p>
    <w:p w14:paraId="30A026E6">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3）</w:t>
      </w:r>
      <w:r>
        <w:rPr>
          <w:rFonts w:hint="eastAsia" w:ascii="宋体" w:hAnsi="宋体" w:cs="宋体"/>
          <w:sz w:val="24"/>
        </w:rPr>
        <w:t>保证工期的方案和措施；</w:t>
      </w:r>
    </w:p>
    <w:p w14:paraId="65F733BC">
      <w:pPr>
        <w:snapToGrid w:val="0"/>
        <w:spacing w:line="360" w:lineRule="auto"/>
        <w:ind w:firstLine="480" w:firstLineChars="200"/>
        <w:jc w:val="left"/>
        <w:rPr>
          <w:rFonts w:ascii="宋体" w:hAnsi="宋体" w:cs="宋体"/>
          <w:sz w:val="24"/>
        </w:rPr>
      </w:pPr>
      <w:r>
        <w:rPr>
          <w:rFonts w:hint="eastAsia" w:ascii="宋体" w:hAnsi="宋体"/>
          <w:sz w:val="24"/>
        </w:rPr>
        <w:t>（</w:t>
      </w:r>
      <w:r>
        <w:rPr>
          <w:rFonts w:ascii="宋体" w:hAnsi="宋体"/>
          <w:sz w:val="24"/>
        </w:rPr>
        <w:t>4）</w:t>
      </w:r>
      <w:r>
        <w:rPr>
          <w:rFonts w:hint="eastAsia" w:ascii="宋体" w:hAnsi="宋体" w:cs="宋体"/>
          <w:sz w:val="24"/>
        </w:rPr>
        <w:t>项目质量保障方案；</w:t>
      </w:r>
    </w:p>
    <w:p w14:paraId="604C2D5A">
      <w:pPr>
        <w:snapToGrid w:val="0"/>
        <w:spacing w:line="360" w:lineRule="auto"/>
        <w:ind w:firstLine="480" w:firstLineChars="200"/>
        <w:jc w:val="left"/>
        <w:rPr>
          <w:rFonts w:hAnsi="宋体" w:cs="宋体"/>
          <w:sz w:val="24"/>
        </w:rPr>
      </w:pPr>
      <w:r>
        <w:rPr>
          <w:rFonts w:hint="eastAsia" w:ascii="宋体" w:hAnsi="宋体"/>
          <w:sz w:val="24"/>
        </w:rPr>
        <w:t>（5</w:t>
      </w:r>
      <w:r>
        <w:rPr>
          <w:rFonts w:ascii="宋体" w:hAnsi="宋体"/>
          <w:sz w:val="24"/>
        </w:rPr>
        <w:t>）</w:t>
      </w:r>
      <w:r>
        <w:rPr>
          <w:rFonts w:hAnsi="宋体" w:cs="宋体"/>
          <w:sz w:val="24"/>
        </w:rPr>
        <w:t>上线运行、调试、验收方案和措施</w:t>
      </w:r>
      <w:r>
        <w:rPr>
          <w:rFonts w:hint="eastAsia" w:hAnsi="宋体" w:cs="宋体"/>
          <w:sz w:val="24"/>
        </w:rPr>
        <w:t>；</w:t>
      </w:r>
    </w:p>
    <w:p w14:paraId="2CB341C5">
      <w:pPr>
        <w:snapToGrid w:val="0"/>
        <w:spacing w:line="360" w:lineRule="auto"/>
        <w:ind w:firstLine="480" w:firstLineChars="200"/>
        <w:jc w:val="left"/>
        <w:rPr>
          <w:rFonts w:hAnsi="宋体" w:cs="宋体"/>
          <w:sz w:val="24"/>
        </w:rPr>
      </w:pPr>
      <w:r>
        <w:rPr>
          <w:rFonts w:hint="eastAsia" w:hAnsi="宋体" w:cs="宋体"/>
          <w:sz w:val="24"/>
        </w:rPr>
        <w:t>（6</w:t>
      </w:r>
      <w:r>
        <w:rPr>
          <w:rFonts w:hAnsi="宋体" w:cs="宋体"/>
          <w:sz w:val="24"/>
        </w:rPr>
        <w:t>）</w:t>
      </w:r>
      <w:r>
        <w:rPr>
          <w:rFonts w:hint="eastAsia" w:hAnsi="宋体" w:cs="宋体"/>
          <w:sz w:val="24"/>
        </w:rPr>
        <w:t>应急处理预案；</w:t>
      </w:r>
    </w:p>
    <w:p w14:paraId="5C97F180">
      <w:pPr>
        <w:snapToGrid w:val="0"/>
        <w:spacing w:line="360" w:lineRule="auto"/>
        <w:ind w:firstLine="480" w:firstLineChars="200"/>
        <w:jc w:val="left"/>
        <w:rPr>
          <w:rFonts w:hAnsi="宋体" w:cs="宋体"/>
          <w:sz w:val="24"/>
        </w:rPr>
      </w:pPr>
      <w:r>
        <w:rPr>
          <w:rFonts w:hint="eastAsia" w:hAnsi="宋体" w:cs="宋体"/>
          <w:sz w:val="24"/>
        </w:rPr>
        <w:t>（7</w:t>
      </w:r>
      <w:r>
        <w:rPr>
          <w:rFonts w:hAnsi="宋体" w:cs="宋体"/>
          <w:sz w:val="24"/>
        </w:rPr>
        <w:t>）</w:t>
      </w:r>
      <w:r>
        <w:rPr>
          <w:rFonts w:hint="eastAsia" w:hAnsi="宋体" w:cs="宋体"/>
          <w:sz w:val="24"/>
        </w:rPr>
        <w:t>技术响应表；</w:t>
      </w:r>
    </w:p>
    <w:p w14:paraId="7F440188">
      <w:pPr>
        <w:snapToGrid w:val="0"/>
        <w:spacing w:line="360" w:lineRule="auto"/>
        <w:ind w:firstLine="480" w:firstLineChars="200"/>
        <w:jc w:val="left"/>
        <w:rPr>
          <w:rFonts w:hAnsi="宋体" w:cs="宋体"/>
          <w:sz w:val="24"/>
        </w:rPr>
      </w:pPr>
      <w:r>
        <w:rPr>
          <w:rFonts w:hint="eastAsia" w:ascii="宋体" w:hAnsi="宋体"/>
          <w:sz w:val="24"/>
        </w:rPr>
        <w:t>（8）</w:t>
      </w:r>
      <w:r>
        <w:rPr>
          <w:rFonts w:hAnsi="宋体" w:cs="宋体"/>
          <w:sz w:val="24"/>
        </w:rPr>
        <w:t>项目实施人员一览表</w:t>
      </w:r>
      <w:r>
        <w:rPr>
          <w:rFonts w:hint="eastAsia" w:hAnsi="宋体" w:cs="宋体"/>
          <w:sz w:val="24"/>
        </w:rPr>
        <w:t>；</w:t>
      </w:r>
    </w:p>
    <w:p w14:paraId="3A9B1EE7">
      <w:pPr>
        <w:snapToGrid w:val="0"/>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9</w:t>
      </w:r>
      <w:r>
        <w:rPr>
          <w:rFonts w:ascii="宋体" w:hAnsi="宋体"/>
          <w:sz w:val="24"/>
        </w:rPr>
        <w:t>）投标人对本项目的合理化建议和改进措施</w:t>
      </w:r>
      <w:r>
        <w:rPr>
          <w:rFonts w:hint="eastAsia" w:ascii="宋体" w:hAnsi="宋体"/>
          <w:sz w:val="24"/>
        </w:rPr>
        <w:t>；</w:t>
      </w:r>
    </w:p>
    <w:p w14:paraId="7AB050DA">
      <w:pPr>
        <w:snapToGrid w:val="0"/>
        <w:spacing w:line="360" w:lineRule="auto"/>
        <w:ind w:firstLine="480" w:firstLineChars="200"/>
        <w:jc w:val="left"/>
        <w:rPr>
          <w:rFonts w:ascii="宋体" w:hAnsi="宋体"/>
          <w:sz w:val="24"/>
        </w:rPr>
      </w:pPr>
      <w:r>
        <w:rPr>
          <w:rFonts w:hint="eastAsia" w:ascii="宋体" w:hAnsi="宋体"/>
          <w:sz w:val="24"/>
        </w:rPr>
        <w:t>（10</w:t>
      </w:r>
      <w:r>
        <w:rPr>
          <w:rFonts w:ascii="宋体" w:hAnsi="宋体"/>
          <w:sz w:val="24"/>
        </w:rPr>
        <w:t>）投标人需要说明的其他文件和说明（格式略）</w:t>
      </w:r>
      <w:r>
        <w:rPr>
          <w:rFonts w:hint="eastAsia" w:ascii="宋体" w:hAnsi="宋体"/>
          <w:sz w:val="24"/>
        </w:rPr>
        <w:t>；</w:t>
      </w:r>
    </w:p>
    <w:p w14:paraId="49F41B44">
      <w:pPr>
        <w:spacing w:line="360" w:lineRule="auto"/>
        <w:ind w:firstLine="472" w:firstLineChars="196"/>
        <w:jc w:val="left"/>
        <w:rPr>
          <w:rFonts w:ascii="宋体" w:hAnsi="宋体"/>
          <w:b/>
          <w:sz w:val="24"/>
        </w:rPr>
      </w:pPr>
      <w:r>
        <w:rPr>
          <w:rFonts w:ascii="宋体" w:hAnsi="宋体"/>
          <w:b/>
          <w:sz w:val="24"/>
        </w:rPr>
        <w:t>资信文件：</w:t>
      </w:r>
    </w:p>
    <w:p w14:paraId="1C98C791">
      <w:pPr>
        <w:snapToGrid w:val="0"/>
        <w:spacing w:line="360" w:lineRule="auto"/>
        <w:ind w:firstLine="480" w:firstLineChars="200"/>
        <w:jc w:val="left"/>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类似案例成功的业绩（投标人同类项目实施情况一览表、合同复印件）；</w:t>
      </w:r>
    </w:p>
    <w:p w14:paraId="388B8839">
      <w:pPr>
        <w:snapToGrid w:val="0"/>
        <w:spacing w:line="360" w:lineRule="auto"/>
        <w:ind w:firstLine="480" w:firstLineChars="200"/>
        <w:jc w:val="left"/>
        <w:rPr>
          <w:rFonts w:ascii="宋体" w:hAnsi="宋体"/>
          <w:sz w:val="24"/>
        </w:rPr>
      </w:pPr>
      <w:r>
        <w:rPr>
          <w:rFonts w:hint="eastAsia" w:ascii="宋体" w:hAnsi="宋体"/>
          <w:sz w:val="24"/>
        </w:rPr>
        <w:t>（12</w:t>
      </w:r>
      <w:r>
        <w:rPr>
          <w:rFonts w:ascii="宋体" w:hAnsi="宋体"/>
          <w:sz w:val="24"/>
        </w:rPr>
        <w:t>）权威认证证书；</w:t>
      </w:r>
    </w:p>
    <w:p w14:paraId="04665469">
      <w:pPr>
        <w:snapToGrid w:val="0"/>
        <w:spacing w:line="360" w:lineRule="auto"/>
        <w:ind w:firstLine="480" w:firstLineChars="200"/>
        <w:jc w:val="left"/>
        <w:rPr>
          <w:rFonts w:ascii="宋体" w:hAnsi="宋体"/>
          <w:sz w:val="24"/>
        </w:rPr>
      </w:pPr>
      <w:r>
        <w:rPr>
          <w:rFonts w:hint="eastAsia" w:ascii="宋体" w:hAnsi="宋体"/>
          <w:sz w:val="24"/>
        </w:rPr>
        <w:t>（13）其他特殊资质证书</w:t>
      </w:r>
      <w:r>
        <w:rPr>
          <w:rFonts w:ascii="宋体" w:hAnsi="宋体"/>
          <w:sz w:val="24"/>
        </w:rPr>
        <w:t>（如</w:t>
      </w:r>
      <w:r>
        <w:rPr>
          <w:rFonts w:hint="eastAsia" w:ascii="宋体" w:hAnsi="宋体"/>
          <w:sz w:val="24"/>
        </w:rPr>
        <w:t>本地化服务能力等）；</w:t>
      </w:r>
    </w:p>
    <w:p w14:paraId="10F30790">
      <w:pPr>
        <w:snapToGrid w:val="0"/>
        <w:spacing w:line="360" w:lineRule="auto"/>
        <w:ind w:firstLine="480" w:firstLineChars="200"/>
        <w:jc w:val="left"/>
        <w:rPr>
          <w:rFonts w:ascii="宋体" w:hAnsi="宋体"/>
          <w:sz w:val="24"/>
        </w:rPr>
      </w:pPr>
      <w:r>
        <w:rPr>
          <w:rFonts w:hint="eastAsia" w:ascii="宋体" w:hAnsi="宋体"/>
          <w:sz w:val="24"/>
        </w:rPr>
        <w:t>（14）投标人认为可以证明其能力或业绩的其他材料；</w:t>
      </w:r>
    </w:p>
    <w:p w14:paraId="63CE04A4">
      <w:pPr>
        <w:spacing w:line="360" w:lineRule="auto"/>
        <w:ind w:firstLine="472" w:firstLineChars="196"/>
        <w:jc w:val="left"/>
        <w:rPr>
          <w:rFonts w:ascii="宋体" w:hAnsi="宋体"/>
          <w:b/>
          <w:sz w:val="24"/>
        </w:rPr>
      </w:pPr>
      <w:r>
        <w:rPr>
          <w:rFonts w:ascii="宋体" w:hAnsi="宋体"/>
          <w:b/>
          <w:sz w:val="24"/>
        </w:rPr>
        <w:t>商务文件</w:t>
      </w:r>
    </w:p>
    <w:p w14:paraId="483D0DA6">
      <w:pPr>
        <w:snapToGrid w:val="0"/>
        <w:spacing w:line="360" w:lineRule="auto"/>
        <w:ind w:firstLine="480" w:firstLineChars="200"/>
        <w:jc w:val="left"/>
        <w:rPr>
          <w:rFonts w:ascii="宋体" w:hAnsi="宋体"/>
          <w:sz w:val="24"/>
        </w:rPr>
      </w:pPr>
      <w:r>
        <w:rPr>
          <w:rFonts w:hint="eastAsia" w:ascii="宋体" w:hAnsi="宋体"/>
          <w:sz w:val="24"/>
        </w:rPr>
        <w:t>（15）商务响应表（格式见附件）；</w:t>
      </w:r>
    </w:p>
    <w:p w14:paraId="3B07685C">
      <w:pPr>
        <w:snapToGrid w:val="0"/>
        <w:spacing w:line="360" w:lineRule="auto"/>
        <w:ind w:firstLine="480" w:firstLineChars="200"/>
        <w:jc w:val="left"/>
        <w:rPr>
          <w:rFonts w:ascii="宋体" w:hAnsi="宋体"/>
          <w:sz w:val="24"/>
        </w:rPr>
      </w:pPr>
      <w:r>
        <w:rPr>
          <w:rFonts w:hint="eastAsia" w:ascii="宋体" w:hAnsi="宋体"/>
          <w:sz w:val="24"/>
        </w:rPr>
        <w:t>（16</w:t>
      </w:r>
      <w:r>
        <w:rPr>
          <w:rFonts w:ascii="宋体" w:hAnsi="宋体"/>
          <w:sz w:val="24"/>
        </w:rPr>
        <w:t>）服务承诺；</w:t>
      </w:r>
    </w:p>
    <w:p w14:paraId="1AFD0ACD">
      <w:pPr>
        <w:snapToGrid w:val="0"/>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17</w:t>
      </w:r>
      <w:r>
        <w:rPr>
          <w:rFonts w:ascii="宋体" w:hAnsi="宋体"/>
          <w:sz w:val="24"/>
        </w:rPr>
        <w:t>）</w:t>
      </w:r>
      <w:r>
        <w:rPr>
          <w:rFonts w:hint="eastAsia" w:ascii="宋体" w:hAnsi="宋体"/>
          <w:sz w:val="24"/>
        </w:rPr>
        <w:t>培训方案</w:t>
      </w:r>
      <w:r>
        <w:rPr>
          <w:rFonts w:ascii="宋体" w:hAnsi="宋体"/>
          <w:sz w:val="24"/>
        </w:rPr>
        <w:t>；</w:t>
      </w:r>
    </w:p>
    <w:p w14:paraId="45715D36">
      <w:pPr>
        <w:snapToGrid w:val="0"/>
        <w:spacing w:line="360" w:lineRule="auto"/>
        <w:ind w:firstLine="480" w:firstLineChars="200"/>
        <w:jc w:val="left"/>
        <w:rPr>
          <w:rFonts w:ascii="宋体" w:hAnsi="宋体"/>
          <w:sz w:val="24"/>
        </w:rPr>
      </w:pPr>
      <w:r>
        <w:rPr>
          <w:rFonts w:hint="eastAsia" w:ascii="宋体" w:hAnsi="宋体"/>
          <w:sz w:val="24"/>
        </w:rPr>
        <w:t>（18</w:t>
      </w:r>
      <w:r>
        <w:rPr>
          <w:rFonts w:ascii="宋体" w:hAnsi="宋体"/>
          <w:sz w:val="24"/>
        </w:rPr>
        <w:t>）响应时间；</w:t>
      </w:r>
    </w:p>
    <w:p w14:paraId="42C14697">
      <w:pPr>
        <w:snapToGrid w:val="0"/>
        <w:spacing w:line="360" w:lineRule="auto"/>
        <w:ind w:firstLine="480" w:firstLineChars="200"/>
        <w:jc w:val="left"/>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信用承诺书；</w:t>
      </w:r>
    </w:p>
    <w:p w14:paraId="285641C3">
      <w:pPr>
        <w:snapToGrid w:val="0"/>
        <w:spacing w:line="360" w:lineRule="auto"/>
        <w:ind w:firstLine="480" w:firstLineChars="200"/>
        <w:jc w:val="left"/>
        <w:rPr>
          <w:rFonts w:ascii="宋体" w:hAnsi="宋体"/>
          <w:sz w:val="24"/>
        </w:rPr>
      </w:pPr>
      <w:r>
        <w:rPr>
          <w:rFonts w:hint="eastAsia" w:ascii="宋体" w:hAnsi="宋体"/>
          <w:sz w:val="24"/>
        </w:rPr>
        <w:t>（20</w:t>
      </w:r>
      <w:r>
        <w:rPr>
          <w:rFonts w:ascii="宋体" w:hAnsi="宋体"/>
          <w:sz w:val="24"/>
        </w:rPr>
        <w:t>）</w:t>
      </w:r>
      <w:r>
        <w:rPr>
          <w:rFonts w:hint="eastAsia" w:ascii="宋体" w:hAnsi="宋体"/>
          <w:sz w:val="24"/>
        </w:rPr>
        <w:t>技术、商务、资信及其他分自评表。</w:t>
      </w:r>
    </w:p>
    <w:p w14:paraId="387D3397">
      <w:pPr>
        <w:spacing w:line="360" w:lineRule="auto"/>
        <w:ind w:firstLine="472" w:firstLineChars="196"/>
        <w:jc w:val="left"/>
        <w:rPr>
          <w:rFonts w:ascii="宋体" w:hAnsi="宋体"/>
          <w:b/>
          <w:sz w:val="24"/>
        </w:rPr>
      </w:pPr>
      <w:r>
        <w:rPr>
          <w:rFonts w:hint="eastAsia" w:ascii="宋体" w:hAnsi="宋体"/>
          <w:b/>
          <w:sz w:val="24"/>
        </w:rPr>
        <w:t>3.</w:t>
      </w:r>
      <w:r>
        <w:rPr>
          <w:rFonts w:ascii="宋体" w:hAnsi="宋体"/>
          <w:b/>
          <w:sz w:val="24"/>
        </w:rPr>
        <w:t>报价文件：</w:t>
      </w:r>
    </w:p>
    <w:p w14:paraId="69872D74">
      <w:pPr>
        <w:spacing w:line="360" w:lineRule="auto"/>
        <w:ind w:firstLine="470" w:firstLineChars="196"/>
        <w:jc w:val="left"/>
        <w:rPr>
          <w:rFonts w:ascii="宋体" w:hAnsi="宋体"/>
          <w:sz w:val="24"/>
        </w:rPr>
      </w:pPr>
      <w:r>
        <w:rPr>
          <w:rFonts w:hint="eastAsia" w:ascii="宋体" w:hAnsi="宋体"/>
          <w:sz w:val="24"/>
        </w:rPr>
        <w:t xml:space="preserve">（1）投标函（格式见附件）； </w:t>
      </w:r>
    </w:p>
    <w:p w14:paraId="1D5AB38B">
      <w:pPr>
        <w:spacing w:line="360" w:lineRule="auto"/>
        <w:ind w:firstLine="470" w:firstLineChars="196"/>
        <w:jc w:val="left"/>
        <w:rPr>
          <w:rFonts w:ascii="宋体" w:hAnsi="宋体" w:cs="仿宋"/>
          <w:sz w:val="24"/>
        </w:rPr>
      </w:pPr>
      <w:r>
        <w:rPr>
          <w:rFonts w:hint="eastAsia" w:ascii="宋体" w:hAnsi="宋体"/>
          <w:sz w:val="24"/>
        </w:rPr>
        <w:t>（2</w:t>
      </w:r>
      <w:r>
        <w:rPr>
          <w:rFonts w:ascii="宋体" w:hAnsi="宋体"/>
          <w:sz w:val="24"/>
        </w:rPr>
        <w:t>）</w:t>
      </w:r>
      <w:r>
        <w:rPr>
          <w:rFonts w:hint="eastAsia" w:ascii="宋体" w:hAnsi="宋体" w:cs="仿宋"/>
          <w:sz w:val="24"/>
        </w:rPr>
        <w:t>中小企业声明函（如有，格式见附件）；</w:t>
      </w:r>
    </w:p>
    <w:p w14:paraId="3DE0CD46">
      <w:pPr>
        <w:spacing w:line="360" w:lineRule="auto"/>
        <w:ind w:firstLine="470" w:firstLineChars="196"/>
        <w:jc w:val="left"/>
        <w:rPr>
          <w:rFonts w:ascii="宋体" w:hAnsi="宋体" w:cs="仿宋"/>
          <w:sz w:val="24"/>
        </w:rPr>
      </w:pPr>
      <w:r>
        <w:rPr>
          <w:rFonts w:hint="eastAsia" w:ascii="宋体" w:hAnsi="宋体" w:cs="仿宋"/>
          <w:sz w:val="24"/>
        </w:rPr>
        <w:t xml:space="preserve">（3）残疾人福利企业声明函（如有，格式见附件）； </w:t>
      </w:r>
    </w:p>
    <w:p w14:paraId="142DD2A0">
      <w:pPr>
        <w:spacing w:line="360" w:lineRule="auto"/>
        <w:ind w:firstLine="470" w:firstLineChars="196"/>
        <w:jc w:val="left"/>
        <w:rPr>
          <w:rFonts w:ascii="宋体" w:hAnsi="宋体" w:cs="仿宋"/>
          <w:sz w:val="24"/>
        </w:rPr>
      </w:pPr>
      <w:r>
        <w:rPr>
          <w:rFonts w:hint="eastAsia" w:ascii="宋体" w:hAnsi="宋体" w:cs="仿宋"/>
          <w:sz w:val="24"/>
        </w:rPr>
        <w:t>（4）属于监狱企业的证明文件（如有）；</w:t>
      </w:r>
    </w:p>
    <w:p w14:paraId="63FA9218">
      <w:pPr>
        <w:spacing w:line="360" w:lineRule="auto"/>
        <w:ind w:firstLine="470" w:firstLineChars="196"/>
        <w:jc w:val="left"/>
        <w:rPr>
          <w:rFonts w:ascii="宋体" w:hAnsi="宋体" w:cs="仿宋"/>
          <w:sz w:val="24"/>
        </w:rPr>
      </w:pPr>
      <w:r>
        <w:rPr>
          <w:rFonts w:hint="eastAsia" w:ascii="宋体" w:hAnsi="宋体"/>
          <w:sz w:val="24"/>
        </w:rPr>
        <w:t>（5</w:t>
      </w:r>
      <w:r>
        <w:rPr>
          <w:rFonts w:ascii="宋体" w:hAnsi="宋体"/>
          <w:sz w:val="24"/>
        </w:rPr>
        <w:t>）</w:t>
      </w:r>
      <w:r>
        <w:rPr>
          <w:rFonts w:hint="eastAsia" w:ascii="宋体" w:hAnsi="宋体" w:cs="仿宋"/>
          <w:sz w:val="24"/>
        </w:rPr>
        <w:t>联合体各方共同投标协议或分包意向协议（如有，格式自拟）</w:t>
      </w:r>
    </w:p>
    <w:p w14:paraId="71FD2CBF">
      <w:pPr>
        <w:spacing w:line="360" w:lineRule="auto"/>
        <w:ind w:firstLine="470" w:firstLineChars="196"/>
        <w:jc w:val="left"/>
        <w:rPr>
          <w:rFonts w:ascii="宋体" w:hAnsi="宋体"/>
          <w:sz w:val="24"/>
        </w:rPr>
      </w:pPr>
      <w:r>
        <w:rPr>
          <w:rFonts w:hint="eastAsia" w:ascii="宋体" w:hAnsi="宋体"/>
          <w:sz w:val="24"/>
        </w:rPr>
        <w:t>（6</w:t>
      </w:r>
      <w:r>
        <w:rPr>
          <w:rFonts w:ascii="宋体" w:hAnsi="宋体"/>
          <w:sz w:val="24"/>
        </w:rPr>
        <w:t>）投标人</w:t>
      </w:r>
      <w:r>
        <w:rPr>
          <w:rFonts w:hint="eastAsia" w:ascii="宋体" w:hAnsi="宋体"/>
          <w:sz w:val="24"/>
        </w:rPr>
        <w:t>针对报价</w:t>
      </w:r>
      <w:r>
        <w:rPr>
          <w:rFonts w:ascii="宋体" w:hAnsi="宋体"/>
          <w:sz w:val="24"/>
        </w:rPr>
        <w:t>需要说明的其他文件和说明（格式</w:t>
      </w:r>
      <w:r>
        <w:rPr>
          <w:rFonts w:hint="eastAsia" w:ascii="宋体" w:hAnsi="宋体"/>
          <w:sz w:val="24"/>
        </w:rPr>
        <w:t>自拟</w:t>
      </w:r>
      <w:r>
        <w:rPr>
          <w:rFonts w:ascii="宋体" w:hAnsi="宋体"/>
          <w:sz w:val="24"/>
        </w:rPr>
        <w:t>）</w:t>
      </w:r>
      <w:r>
        <w:rPr>
          <w:rFonts w:hint="eastAsia" w:ascii="宋体" w:hAnsi="宋体"/>
          <w:sz w:val="24"/>
        </w:rPr>
        <w:t>；</w:t>
      </w:r>
    </w:p>
    <w:p w14:paraId="3CAC006D">
      <w:pPr>
        <w:spacing w:line="360" w:lineRule="auto"/>
        <w:ind w:firstLine="470" w:firstLineChars="196"/>
        <w:jc w:val="left"/>
        <w:rPr>
          <w:rFonts w:ascii="宋体" w:hAnsi="宋体"/>
          <w:sz w:val="24"/>
        </w:rPr>
      </w:pPr>
      <w:r>
        <w:rPr>
          <w:rFonts w:hint="eastAsia" w:ascii="宋体" w:hAnsi="宋体"/>
          <w:sz w:val="24"/>
        </w:rPr>
        <w:t>（7）招标代理费承诺函；</w:t>
      </w:r>
    </w:p>
    <w:p w14:paraId="60F533D5">
      <w:pPr>
        <w:spacing w:line="360" w:lineRule="auto"/>
        <w:ind w:firstLine="470" w:firstLineChars="196"/>
        <w:jc w:val="left"/>
        <w:rPr>
          <w:rFonts w:ascii="宋体" w:hAnsi="宋体"/>
          <w:sz w:val="24"/>
        </w:rPr>
      </w:pPr>
      <w:r>
        <w:rPr>
          <w:rFonts w:hint="eastAsia" w:ascii="宋体" w:hAnsi="宋体"/>
          <w:sz w:val="24"/>
        </w:rPr>
        <w:t>（8）</w:t>
      </w:r>
      <w:r>
        <w:rPr>
          <w:rFonts w:ascii="宋体" w:hAnsi="宋体"/>
          <w:sz w:val="24"/>
        </w:rPr>
        <w:t>开标一览表（格式见附件）</w:t>
      </w:r>
      <w:r>
        <w:rPr>
          <w:rFonts w:hint="eastAsia" w:ascii="宋体" w:hAnsi="宋体"/>
          <w:sz w:val="24"/>
        </w:rPr>
        <w:t>。</w:t>
      </w:r>
    </w:p>
    <w:p w14:paraId="5BE91CF4">
      <w:pPr>
        <w:pStyle w:val="30"/>
        <w:widowControl w:val="0"/>
        <w:spacing w:before="0" w:afterLines="0" w:line="360" w:lineRule="auto"/>
        <w:ind w:firstLine="482" w:firstLineChars="200"/>
        <w:rPr>
          <w:b/>
          <w:bCs/>
          <w:color w:val="auto"/>
        </w:rPr>
      </w:pPr>
      <w:r>
        <w:rPr>
          <w:b/>
          <w:color w:val="auto"/>
        </w:rPr>
        <w:t>▲</w:t>
      </w:r>
      <w:r>
        <w:rPr>
          <w:b/>
          <w:bCs/>
          <w:color w:val="auto"/>
        </w:rPr>
        <w:t>注：法定代表人授权委托书、投标声明书、投标函、开标一览表必须由法定代表人签名并加盖单位公章。</w:t>
      </w:r>
    </w:p>
    <w:p w14:paraId="7A15E06E">
      <w:pPr>
        <w:snapToGrid w:val="0"/>
        <w:spacing w:line="360" w:lineRule="auto"/>
        <w:ind w:firstLine="472" w:firstLineChars="196"/>
        <w:jc w:val="left"/>
        <w:outlineLvl w:val="0"/>
        <w:rPr>
          <w:rFonts w:ascii="宋体" w:hAnsi="宋体"/>
          <w:b/>
          <w:sz w:val="24"/>
          <w:szCs w:val="20"/>
        </w:rPr>
      </w:pPr>
      <w:r>
        <w:rPr>
          <w:rFonts w:hint="eastAsia" w:ascii="宋体" w:hAnsi="宋体"/>
          <w:b/>
          <w:sz w:val="24"/>
        </w:rPr>
        <w:t>（二）投标文件的语言及计量</w:t>
      </w:r>
    </w:p>
    <w:p w14:paraId="063B8A0B">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14:paraId="0F71D2D2">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14:paraId="482D571A">
      <w:pPr>
        <w:snapToGrid w:val="0"/>
        <w:spacing w:line="360" w:lineRule="auto"/>
        <w:ind w:firstLine="472" w:firstLineChars="196"/>
        <w:jc w:val="left"/>
        <w:outlineLvl w:val="0"/>
        <w:rPr>
          <w:rFonts w:ascii="宋体" w:hAnsi="宋体"/>
          <w:b/>
          <w:sz w:val="24"/>
          <w:szCs w:val="20"/>
        </w:rPr>
      </w:pPr>
      <w:r>
        <w:rPr>
          <w:rFonts w:hint="eastAsia" w:ascii="宋体" w:hAnsi="宋体"/>
          <w:b/>
          <w:sz w:val="24"/>
        </w:rPr>
        <w:t>（三）投标报价</w:t>
      </w:r>
    </w:p>
    <w:p w14:paraId="06D45A2C">
      <w:pPr>
        <w:snapToGrid w:val="0"/>
        <w:spacing w:line="360" w:lineRule="auto"/>
        <w:ind w:firstLine="411" w:firstLineChars="196"/>
        <w:jc w:val="left"/>
        <w:outlineLvl w:val="0"/>
        <w:rPr>
          <w:rFonts w:ascii="宋体" w:hAnsi="宋体"/>
          <w:b/>
          <w:sz w:val="24"/>
        </w:rPr>
      </w:pPr>
      <w:r>
        <w:rPr>
          <w:rFonts w:hAnsi="宋体"/>
        </w:rPr>
        <w:t>▲</w:t>
      </w:r>
      <w:r>
        <w:rPr>
          <w:rFonts w:ascii="宋体" w:hAnsi="宋体"/>
          <w:sz w:val="24"/>
        </w:rPr>
        <w:t>1</w:t>
      </w:r>
      <w:r>
        <w:rPr>
          <w:rFonts w:hint="eastAsia" w:ascii="宋体" w:hAnsi="宋体"/>
          <w:sz w:val="24"/>
        </w:rPr>
        <w:t>.</w:t>
      </w:r>
      <w:r>
        <w:rPr>
          <w:rFonts w:ascii="宋体" w:hAnsi="宋体"/>
          <w:sz w:val="24"/>
        </w:rPr>
        <w:t>投标报价应按招标文件中相关附表格式填写。</w:t>
      </w:r>
      <w:r>
        <w:rPr>
          <w:rFonts w:hint="eastAsia" w:ascii="宋体" w:hAnsi="宋体"/>
          <w:sz w:val="24"/>
        </w:rPr>
        <w:t>投标人在填报投标项目报价明细表时必须按照采购需求货物清单内容逐项报价，不得随意更改序号、货物名称、单位、数量。否则作无效标处理。</w:t>
      </w:r>
    </w:p>
    <w:p w14:paraId="6A254DD1">
      <w:pPr>
        <w:pStyle w:val="19"/>
        <w:snapToGrid w:val="0"/>
        <w:spacing w:beforeLines="0" w:afterLines="0" w:line="360" w:lineRule="auto"/>
        <w:ind w:firstLine="480" w:firstLineChars="200"/>
        <w:jc w:val="left"/>
        <w:rPr>
          <w:rFonts w:hAnsi="宋体"/>
        </w:rPr>
      </w:pPr>
      <w:r>
        <w:rPr>
          <w:rFonts w:hAnsi="宋体"/>
        </w:rPr>
        <w:t>▲2</w:t>
      </w:r>
      <w:r>
        <w:rPr>
          <w:rFonts w:hint="eastAsia" w:hAnsi="宋体"/>
        </w:rPr>
        <w:t>.</w:t>
      </w:r>
      <w:r>
        <w:rPr>
          <w:rFonts w:hint="eastAsia" w:hAnsi="宋体" w:cs="宋体"/>
        </w:rPr>
        <w:t xml:space="preserve"> 投标报价是履行合同的最终价格，完成项目的各种费用及必要的保险费用和各项税金等所有费用的总和，其市场风险由投标人承担</w:t>
      </w:r>
      <w:r>
        <w:rPr>
          <w:rFonts w:hAnsi="宋体"/>
        </w:rPr>
        <w:t>。</w:t>
      </w:r>
    </w:p>
    <w:p w14:paraId="11814916">
      <w:pPr>
        <w:tabs>
          <w:tab w:val="left" w:pos="525"/>
        </w:tabs>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投标文件只允许有一个报价，有选择的</w:t>
      </w:r>
      <w:r>
        <w:rPr>
          <w:rFonts w:hint="eastAsia" w:ascii="宋体" w:hAnsi="宋体"/>
          <w:sz w:val="24"/>
        </w:rPr>
        <w:t>或有条件的</w:t>
      </w:r>
      <w:r>
        <w:rPr>
          <w:rFonts w:ascii="宋体" w:hAnsi="宋体"/>
          <w:sz w:val="24"/>
        </w:rPr>
        <w:t>报价将不予接受。</w:t>
      </w:r>
    </w:p>
    <w:p w14:paraId="1CEAE0B4">
      <w:pPr>
        <w:pStyle w:val="9"/>
        <w:widowControl w:val="0"/>
        <w:tabs>
          <w:tab w:val="clear" w:pos="454"/>
        </w:tabs>
        <w:snapToGrid w:val="0"/>
        <w:spacing w:afterLines="0" w:line="360" w:lineRule="auto"/>
        <w:ind w:left="0" w:firstLine="472" w:firstLineChars="196"/>
        <w:rPr>
          <w:rFonts w:ascii="宋体" w:hAnsi="宋体"/>
          <w:b/>
          <w:szCs w:val="24"/>
        </w:rPr>
      </w:pPr>
      <w:r>
        <w:rPr>
          <w:rFonts w:hint="eastAsia" w:ascii="宋体" w:hAnsi="宋体"/>
          <w:b/>
          <w:szCs w:val="24"/>
        </w:rPr>
        <w:t>（四）投标文件的有效期</w:t>
      </w:r>
    </w:p>
    <w:p w14:paraId="66A4EB85">
      <w:pPr>
        <w:pStyle w:val="9"/>
        <w:widowControl w:val="0"/>
        <w:tabs>
          <w:tab w:val="clear" w:pos="454"/>
        </w:tabs>
        <w:snapToGrid w:val="0"/>
        <w:spacing w:afterLines="0" w:line="360" w:lineRule="auto"/>
        <w:ind w:left="0" w:firstLine="480" w:firstLineChars="200"/>
        <w:rPr>
          <w:rFonts w:ascii="宋体" w:hAnsi="宋体"/>
          <w:szCs w:val="24"/>
        </w:rPr>
      </w:pPr>
      <w:r>
        <w:rPr>
          <w:rFonts w:hint="eastAsia" w:ascii="宋体" w:hAnsi="宋体"/>
          <w:szCs w:val="24"/>
        </w:rPr>
        <w:t>▲</w:t>
      </w:r>
      <w:r>
        <w:rPr>
          <w:rFonts w:ascii="宋体" w:hAnsi="宋体"/>
          <w:szCs w:val="24"/>
        </w:rPr>
        <w:t>1</w:t>
      </w:r>
      <w:r>
        <w:rPr>
          <w:rFonts w:hint="eastAsia" w:ascii="宋体" w:hAnsi="宋体"/>
          <w:szCs w:val="24"/>
        </w:rPr>
        <w:t>.</w:t>
      </w:r>
      <w:r>
        <w:rPr>
          <w:rFonts w:ascii="宋体" w:hAnsi="宋体"/>
          <w:szCs w:val="24"/>
        </w:rPr>
        <w:t>自投标截止日起</w:t>
      </w:r>
      <w:r>
        <w:rPr>
          <w:rFonts w:hint="eastAsia" w:ascii="宋体" w:hAnsi="宋体"/>
          <w:szCs w:val="24"/>
          <w:u w:val="single"/>
        </w:rPr>
        <w:t>120</w:t>
      </w:r>
      <w:r>
        <w:rPr>
          <w:rFonts w:ascii="宋体" w:hAnsi="宋体"/>
          <w:szCs w:val="24"/>
        </w:rPr>
        <w:t>天投标</w:t>
      </w:r>
      <w:r>
        <w:rPr>
          <w:rFonts w:hint="eastAsia" w:ascii="宋体" w:hAnsi="宋体"/>
          <w:szCs w:val="24"/>
        </w:rPr>
        <w:t>文件</w:t>
      </w:r>
      <w:r>
        <w:rPr>
          <w:rFonts w:ascii="宋体" w:hAnsi="宋体"/>
          <w:szCs w:val="24"/>
        </w:rPr>
        <w:t>应保持有效。有效期</w:t>
      </w:r>
      <w:r>
        <w:rPr>
          <w:rFonts w:hint="eastAsia" w:ascii="宋体" w:hAnsi="宋体"/>
          <w:szCs w:val="24"/>
        </w:rPr>
        <w:t>不足</w:t>
      </w:r>
      <w:r>
        <w:rPr>
          <w:rFonts w:ascii="宋体" w:hAnsi="宋体"/>
          <w:szCs w:val="24"/>
        </w:rPr>
        <w:t>的投标</w:t>
      </w:r>
      <w:r>
        <w:rPr>
          <w:rFonts w:hint="eastAsia" w:ascii="宋体" w:hAnsi="宋体"/>
          <w:szCs w:val="24"/>
        </w:rPr>
        <w:t>文件</w:t>
      </w:r>
      <w:r>
        <w:rPr>
          <w:rFonts w:ascii="宋体" w:hAnsi="宋体"/>
          <w:szCs w:val="24"/>
        </w:rPr>
        <w:t>将被拒绝。</w:t>
      </w:r>
    </w:p>
    <w:p w14:paraId="2D2717BF">
      <w:pPr>
        <w:pStyle w:val="9"/>
        <w:widowControl w:val="0"/>
        <w:tabs>
          <w:tab w:val="clear" w:pos="454"/>
        </w:tabs>
        <w:snapToGrid w:val="0"/>
        <w:spacing w:afterLines="0" w:line="360" w:lineRule="auto"/>
        <w:ind w:left="0"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在特殊情况下，招标人可与投标人协商延长投标书的有效期，这种要求和答复均以书面形式进行。</w:t>
      </w:r>
    </w:p>
    <w:p w14:paraId="6BC8E261">
      <w:pPr>
        <w:snapToGrid w:val="0"/>
        <w:spacing w:line="360" w:lineRule="auto"/>
        <w:ind w:firstLine="480" w:firstLineChars="200"/>
        <w:jc w:val="left"/>
        <w:outlineLvl w:val="0"/>
        <w:rPr>
          <w:rFonts w:ascii="宋体" w:hAnsi="宋体"/>
          <w:b/>
          <w:sz w:val="24"/>
          <w:szCs w:val="20"/>
        </w:rPr>
      </w:pPr>
      <w:r>
        <w:rPr>
          <w:rFonts w:ascii="宋体" w:hAnsi="宋体"/>
          <w:sz w:val="24"/>
        </w:rPr>
        <w:t>3</w:t>
      </w:r>
      <w:r>
        <w:rPr>
          <w:rFonts w:hint="eastAsia" w:ascii="宋体" w:hAnsi="宋体"/>
          <w:sz w:val="24"/>
        </w:rPr>
        <w:t>.</w:t>
      </w:r>
      <w:r>
        <w:rPr>
          <w:rFonts w:ascii="宋体" w:hAnsi="宋体"/>
          <w:sz w:val="24"/>
        </w:rPr>
        <w:t>投标人可拒绝接受延期要求。同意延长有效期的投标人不能修改投标文件。</w:t>
      </w:r>
    </w:p>
    <w:p w14:paraId="2DCFDE99">
      <w:pPr>
        <w:snapToGrid w:val="0"/>
        <w:spacing w:line="360" w:lineRule="auto"/>
        <w:ind w:firstLine="480" w:firstLineChars="200"/>
        <w:jc w:val="left"/>
        <w:outlineLvl w:val="0"/>
        <w:rPr>
          <w:rFonts w:ascii="宋体" w:hAnsi="宋体"/>
          <w:b/>
          <w:sz w:val="24"/>
        </w:rPr>
      </w:pPr>
      <w:r>
        <w:rPr>
          <w:rFonts w:ascii="宋体" w:hAnsi="宋体"/>
          <w:sz w:val="24"/>
        </w:rPr>
        <w:t>4</w:t>
      </w:r>
      <w:r>
        <w:rPr>
          <w:rFonts w:hint="eastAsia" w:ascii="宋体" w:hAnsi="宋体"/>
          <w:sz w:val="24"/>
        </w:rPr>
        <w:t>.</w:t>
      </w:r>
      <w:r>
        <w:rPr>
          <w:rFonts w:ascii="宋体" w:hAnsi="宋体"/>
          <w:sz w:val="24"/>
        </w:rPr>
        <w:t>中标人的投标文件自开标之日起至合同履行完毕止均应保持有效。</w:t>
      </w:r>
    </w:p>
    <w:p w14:paraId="1D46AD33">
      <w:pPr>
        <w:snapToGrid w:val="0"/>
        <w:spacing w:line="360" w:lineRule="auto"/>
        <w:ind w:firstLine="482" w:firstLineChars="200"/>
        <w:jc w:val="left"/>
        <w:outlineLvl w:val="0"/>
        <w:rPr>
          <w:rFonts w:ascii="宋体" w:hAnsi="宋体"/>
          <w:b/>
          <w:sz w:val="24"/>
        </w:rPr>
      </w:pPr>
      <w:r>
        <w:rPr>
          <w:rFonts w:hint="eastAsia" w:ascii="宋体" w:hAnsi="宋体"/>
          <w:b/>
          <w:sz w:val="24"/>
        </w:rPr>
        <w:t>（五）投标文件的签署和份数</w:t>
      </w:r>
    </w:p>
    <w:p w14:paraId="47A809B0">
      <w:pPr>
        <w:snapToGrid w:val="0"/>
        <w:spacing w:line="360" w:lineRule="auto"/>
        <w:ind w:firstLine="480" w:firstLineChars="200"/>
        <w:jc w:val="left"/>
        <w:outlineLvl w:val="0"/>
        <w:rPr>
          <w:rFonts w:ascii="宋体" w:hAnsi="宋体"/>
          <w:sz w:val="24"/>
        </w:rPr>
      </w:pPr>
      <w:r>
        <w:rPr>
          <w:rFonts w:hint="eastAsia" w:ascii="宋体" w:hAnsi="宋体"/>
          <w:sz w:val="24"/>
        </w:rPr>
        <w:t>本项目通过“政府采购云平台（www.zcygov.cn）”实行在线投标响应（电子投标）。供应商应通过“政采云电子交易客户端”，并按照本招标文件和“政府采购云平台”的要求编制并加密投标文件。</w:t>
      </w:r>
    </w:p>
    <w:p w14:paraId="12064FF3">
      <w:pPr>
        <w:snapToGrid w:val="0"/>
        <w:spacing w:line="360" w:lineRule="auto"/>
        <w:ind w:firstLine="480" w:firstLineChars="200"/>
        <w:jc w:val="left"/>
        <w:outlineLvl w:val="0"/>
        <w:rPr>
          <w:rFonts w:ascii="宋体" w:hAnsi="宋体"/>
          <w:sz w:val="24"/>
        </w:rPr>
      </w:pPr>
      <w:r>
        <w:rPr>
          <w:rFonts w:hint="eastAsia" w:ascii="宋体" w:hAnsi="宋体"/>
          <w:sz w:val="24"/>
        </w:rPr>
        <w:t>1.投标供应商应当按照本章节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14:paraId="18ABA9C7">
      <w:pPr>
        <w:snapToGrid w:val="0"/>
        <w:spacing w:line="360" w:lineRule="auto"/>
        <w:ind w:firstLine="480" w:firstLineChars="200"/>
        <w:jc w:val="left"/>
        <w:outlineLvl w:val="0"/>
        <w:rPr>
          <w:rFonts w:ascii="宋体" w:hAnsi="宋体"/>
          <w:sz w:val="24"/>
        </w:rPr>
      </w:pPr>
      <w:r>
        <w:rPr>
          <w:rFonts w:hint="eastAsia" w:ascii="宋体" w:hAnsi="宋体"/>
          <w:sz w:val="24"/>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14:paraId="095AFD99">
      <w:pPr>
        <w:snapToGrid w:val="0"/>
        <w:spacing w:line="360" w:lineRule="auto"/>
        <w:ind w:firstLine="480" w:firstLineChars="200"/>
        <w:jc w:val="left"/>
        <w:outlineLvl w:val="0"/>
        <w:rPr>
          <w:rFonts w:ascii="宋体" w:hAnsi="宋体"/>
          <w:sz w:val="24"/>
        </w:rPr>
      </w:pPr>
      <w:r>
        <w:rPr>
          <w:rFonts w:hint="eastAsia" w:ascii="宋体" w:hAnsi="宋体"/>
          <w:sz w:val="24"/>
        </w:rPr>
        <w:t>3.投标文件内容不完整、编排混乱导致投标文件被误读、漏读或者查找不到相关内容的，是投标供应商的责任。</w:t>
      </w:r>
    </w:p>
    <w:p w14:paraId="6CFFDD2B">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4.投标文件因字迹潦草或表达不清所引起的后果由投标供应商负责。</w:t>
      </w:r>
      <w:r>
        <w:rPr>
          <w:rFonts w:ascii="宋体" w:hAnsi="宋体"/>
          <w:sz w:val="24"/>
        </w:rPr>
        <w:tab/>
      </w:r>
    </w:p>
    <w:p w14:paraId="46642BAA">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2FB9FA22">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（六）投标文件的签署</w:t>
      </w:r>
    </w:p>
    <w:p w14:paraId="31253738">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《投标文件》应由投标供应商法定代表人或其授权代表签字（或盖章），并加盖投标供应商公章。</w:t>
      </w:r>
    </w:p>
    <w:p w14:paraId="1E1A74A9">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（七）投标文件的形式</w:t>
      </w:r>
    </w:p>
    <w:p w14:paraId="27561422">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1.投标文件的形式：见《前附表》；</w:t>
      </w:r>
    </w:p>
    <w:p w14:paraId="52D69387">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2.“电子加密投标文件”：“电子加密投标文件”是指通过“政采云电子交易客户端”完成投标文件编制后生成并加密的数据电文形式的投标文件。</w:t>
      </w:r>
    </w:p>
    <w:p w14:paraId="5F281F09">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3.“备份投标文件”：“备份投标文件”是指与“电子加密投标文件”同时生成的数据电文形式的电子文件（备份标书），其他方式编制的“备份投标文件”视为无效的“备份投标文件”。</w:t>
      </w:r>
    </w:p>
    <w:p w14:paraId="661F6BAD">
      <w:pPr>
        <w:snapToGrid w:val="0"/>
        <w:spacing w:line="360" w:lineRule="auto"/>
        <w:ind w:firstLine="482" w:firstLineChars="200"/>
        <w:jc w:val="left"/>
        <w:outlineLvl w:val="0"/>
        <w:rPr>
          <w:rFonts w:ascii="宋体" w:hAnsi="宋体"/>
          <w:b/>
          <w:sz w:val="24"/>
        </w:rPr>
      </w:pPr>
      <w:r>
        <w:rPr>
          <w:rFonts w:hint="eastAsia" w:ascii="宋体" w:hAnsi="宋体"/>
          <w:b/>
          <w:sz w:val="24"/>
        </w:rPr>
        <w:t>（八）投标文件的份数：见《前附表》。</w:t>
      </w:r>
    </w:p>
    <w:p w14:paraId="2CB79C9D">
      <w:pPr>
        <w:snapToGrid w:val="0"/>
        <w:spacing w:line="360" w:lineRule="auto"/>
        <w:ind w:firstLine="482" w:firstLineChars="200"/>
        <w:jc w:val="left"/>
        <w:outlineLvl w:val="0"/>
        <w:rPr>
          <w:rFonts w:ascii="宋体" w:hAnsi="宋体"/>
          <w:b/>
          <w:sz w:val="24"/>
        </w:rPr>
      </w:pPr>
      <w:r>
        <w:rPr>
          <w:rFonts w:hint="eastAsia" w:ascii="宋体" w:hAnsi="宋体"/>
          <w:b/>
          <w:sz w:val="24"/>
        </w:rPr>
        <w:t>（九）投标文件的上传和递交：见《前附表》。</w:t>
      </w:r>
    </w:p>
    <w:p w14:paraId="6F6656D0">
      <w:pPr>
        <w:snapToGrid w:val="0"/>
        <w:spacing w:line="360" w:lineRule="auto"/>
        <w:ind w:firstLine="482" w:firstLineChars="200"/>
        <w:jc w:val="left"/>
        <w:outlineLvl w:val="0"/>
        <w:rPr>
          <w:rFonts w:ascii="宋体" w:hAnsi="宋体"/>
          <w:b/>
          <w:sz w:val="24"/>
        </w:rPr>
      </w:pPr>
      <w:r>
        <w:rPr>
          <w:rFonts w:hint="eastAsia" w:ascii="宋体" w:hAnsi="宋体"/>
          <w:b/>
          <w:sz w:val="24"/>
        </w:rPr>
        <w:t>（十）“电子加密投标文件”解密和异常情况处理：见《前附表》。</w:t>
      </w:r>
    </w:p>
    <w:p w14:paraId="4962BA84">
      <w:pPr>
        <w:snapToGrid w:val="0"/>
        <w:spacing w:line="360" w:lineRule="auto"/>
        <w:ind w:firstLine="482" w:firstLineChars="200"/>
        <w:jc w:val="left"/>
        <w:outlineLvl w:val="0"/>
        <w:rPr>
          <w:rFonts w:ascii="宋体" w:hAnsi="宋体"/>
          <w:b/>
          <w:sz w:val="24"/>
        </w:rPr>
      </w:pPr>
      <w:r>
        <w:rPr>
          <w:rFonts w:hint="eastAsia" w:ascii="宋体" w:hAnsi="宋体"/>
          <w:b/>
          <w:sz w:val="24"/>
        </w:rPr>
        <w:t>（十一）投标文件的补充、修改或撤回</w:t>
      </w:r>
    </w:p>
    <w:p w14:paraId="7B3908CF">
      <w:pPr>
        <w:snapToGrid w:val="0"/>
        <w:spacing w:line="360" w:lineRule="auto"/>
        <w:ind w:firstLine="480" w:firstLineChars="200"/>
        <w:jc w:val="left"/>
        <w:outlineLvl w:val="0"/>
        <w:rPr>
          <w:rFonts w:ascii="宋体" w:hAnsi="宋体"/>
          <w:sz w:val="24"/>
        </w:rPr>
      </w:pPr>
      <w:r>
        <w:rPr>
          <w:rFonts w:hint="eastAsia" w:ascii="宋体" w:hAnsi="宋体"/>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63D0620">
      <w:pPr>
        <w:snapToGrid w:val="0"/>
        <w:spacing w:line="360" w:lineRule="auto"/>
        <w:ind w:firstLine="480" w:firstLineChars="200"/>
        <w:jc w:val="left"/>
        <w:outlineLvl w:val="0"/>
        <w:rPr>
          <w:rFonts w:ascii="宋体" w:hAnsi="宋体"/>
          <w:sz w:val="24"/>
        </w:rPr>
      </w:pPr>
      <w:r>
        <w:rPr>
          <w:rFonts w:hint="eastAsia" w:ascii="宋体" w:hAnsi="宋体"/>
          <w:sz w:val="24"/>
        </w:rPr>
        <w:t>2.投标截止时间后，投标供应商不得撤回、修改投标文件。</w:t>
      </w:r>
    </w:p>
    <w:p w14:paraId="6EB3CD30">
      <w:pPr>
        <w:snapToGrid w:val="0"/>
        <w:spacing w:line="360" w:lineRule="auto"/>
        <w:ind w:firstLine="482" w:firstLineChars="200"/>
        <w:jc w:val="left"/>
        <w:outlineLvl w:val="0"/>
        <w:rPr>
          <w:rFonts w:ascii="宋体" w:hAnsi="宋体"/>
          <w:b/>
          <w:sz w:val="24"/>
        </w:rPr>
      </w:pPr>
      <w:r>
        <w:rPr>
          <w:rFonts w:hint="eastAsia" w:ascii="宋体" w:hAnsi="宋体"/>
          <w:b/>
          <w:sz w:val="24"/>
        </w:rPr>
        <w:t>（十二）投标文件的备选方案</w:t>
      </w:r>
    </w:p>
    <w:p w14:paraId="5F9B1B19">
      <w:pPr>
        <w:snapToGrid w:val="0"/>
        <w:spacing w:line="360" w:lineRule="auto"/>
        <w:ind w:firstLine="480" w:firstLineChars="200"/>
        <w:jc w:val="left"/>
        <w:outlineLvl w:val="0"/>
        <w:rPr>
          <w:rFonts w:ascii="宋体" w:hAnsi="宋体"/>
          <w:sz w:val="24"/>
        </w:rPr>
      </w:pPr>
      <w:r>
        <w:rPr>
          <w:rFonts w:hint="eastAsia" w:ascii="宋体" w:hAnsi="宋体"/>
          <w:sz w:val="24"/>
        </w:rPr>
        <w:t>投标供应商不得递交任何的投标备选（替代）方案，否则其投标文件将作无效标处理。与“电子加密投标文件”同时生成的“备份投标文件”不是投标备选（替代）方案。</w:t>
      </w:r>
    </w:p>
    <w:p w14:paraId="5DF9BBE9">
      <w:pPr>
        <w:snapToGrid w:val="0"/>
        <w:spacing w:before="120" w:beforeLines="50" w:line="360" w:lineRule="auto"/>
        <w:ind w:firstLine="472" w:firstLineChars="196"/>
        <w:outlineLvl w:val="2"/>
        <w:rPr>
          <w:rFonts w:ascii="宋体" w:hAnsi="宋体"/>
          <w:b/>
          <w:sz w:val="24"/>
        </w:rPr>
      </w:pPr>
      <w:r>
        <w:rPr>
          <w:rFonts w:hint="eastAsia" w:ascii="宋体" w:hAnsi="宋体"/>
          <w:b/>
          <w:sz w:val="24"/>
        </w:rPr>
        <w:t>（十三）投标无效的情形</w:t>
      </w:r>
    </w:p>
    <w:p w14:paraId="117CC34F">
      <w:pPr>
        <w:snapToGrid w:val="0"/>
        <w:spacing w:line="360" w:lineRule="auto"/>
        <w:ind w:firstLine="480" w:firstLineChars="200"/>
        <w:rPr>
          <w:rFonts w:ascii="宋体" w:hAnsi="宋体"/>
          <w:bCs/>
          <w:sz w:val="24"/>
        </w:rPr>
      </w:pPr>
      <w:r>
        <w:rPr>
          <w:rFonts w:hint="eastAsia" w:ascii="宋体" w:hAnsi="宋体"/>
          <w:bCs/>
          <w:sz w:val="24"/>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3BDB5522">
      <w:pPr>
        <w:snapToGrid w:val="0"/>
        <w:spacing w:line="360" w:lineRule="auto"/>
        <w:ind w:firstLine="472" w:firstLineChars="196"/>
        <w:rPr>
          <w:rFonts w:ascii="宋体" w:hAnsi="宋体"/>
          <w:b/>
          <w:bCs/>
          <w:sz w:val="24"/>
        </w:rPr>
      </w:pPr>
      <w:r>
        <w:rPr>
          <w:rFonts w:ascii="宋体" w:hAnsi="宋体"/>
          <w:b/>
          <w:bCs/>
          <w:sz w:val="24"/>
        </w:rPr>
        <w:t>1</w:t>
      </w:r>
      <w:r>
        <w:rPr>
          <w:rFonts w:hint="eastAsia" w:ascii="宋体" w:hAnsi="宋体"/>
          <w:b/>
          <w:bCs/>
          <w:sz w:val="24"/>
        </w:rPr>
        <w:t>.</w:t>
      </w:r>
      <w:r>
        <w:rPr>
          <w:rFonts w:ascii="宋体" w:hAnsi="宋体"/>
          <w:b/>
          <w:bCs/>
          <w:sz w:val="24"/>
        </w:rPr>
        <w:t>在资格审查、符合性审查和商务评审时，如发现下列情形之一的，投标文件将被视为无效：</w:t>
      </w:r>
    </w:p>
    <w:p w14:paraId="0F686AB0">
      <w:pPr>
        <w:snapToGrid w:val="0"/>
        <w:spacing w:line="360" w:lineRule="auto"/>
        <w:ind w:firstLine="470" w:firstLineChars="196"/>
        <w:rPr>
          <w:rFonts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资质条件不符合招标文件要求的；</w:t>
      </w:r>
    </w:p>
    <w:p w14:paraId="38722EDC">
      <w:pPr>
        <w:snapToGrid w:val="0"/>
        <w:spacing w:line="360" w:lineRule="auto"/>
        <w:ind w:firstLine="470" w:firstLineChars="196"/>
        <w:rPr>
          <w:rFonts w:ascii="宋体" w:hAnsi="宋体"/>
          <w:bCs/>
          <w:sz w:val="24"/>
        </w:rPr>
      </w:pPr>
      <w:r>
        <w:rPr>
          <w:rFonts w:hint="eastAsia" w:ascii="宋体" w:hAnsi="宋体"/>
          <w:bCs/>
          <w:sz w:val="24"/>
        </w:rPr>
        <w:t>（2</w:t>
      </w:r>
      <w:r>
        <w:rPr>
          <w:rFonts w:ascii="宋体" w:hAnsi="宋体"/>
          <w:bCs/>
          <w:sz w:val="24"/>
        </w:rPr>
        <w:t>）投标文件无法定代表人签字</w:t>
      </w:r>
      <w:r>
        <w:rPr>
          <w:rFonts w:hint="eastAsia" w:ascii="宋体" w:hAnsi="宋体"/>
          <w:bCs/>
          <w:sz w:val="24"/>
        </w:rPr>
        <w:t>，</w:t>
      </w:r>
      <w:r>
        <w:rPr>
          <w:rFonts w:ascii="宋体" w:hAnsi="宋体"/>
          <w:bCs/>
          <w:sz w:val="24"/>
        </w:rPr>
        <w:t>或未</w:t>
      </w:r>
      <w:r>
        <w:rPr>
          <w:rFonts w:hint="eastAsia" w:ascii="宋体" w:hAnsi="宋体"/>
          <w:bCs/>
          <w:sz w:val="24"/>
        </w:rPr>
        <w:t>提供法定代表人授权委托书、投标声明书或者填写项目不齐全的；</w:t>
      </w:r>
    </w:p>
    <w:p w14:paraId="20562A50">
      <w:pPr>
        <w:snapToGrid w:val="0"/>
        <w:spacing w:line="360" w:lineRule="auto"/>
        <w:ind w:firstLine="470" w:firstLineChars="196"/>
        <w:rPr>
          <w:rFonts w:ascii="宋体" w:hAnsi="宋体"/>
          <w:bCs/>
          <w:sz w:val="24"/>
        </w:rPr>
      </w:pPr>
      <w:r>
        <w:rPr>
          <w:rFonts w:hint="eastAsia" w:ascii="宋体" w:hAnsi="宋体"/>
          <w:bCs/>
          <w:sz w:val="24"/>
        </w:rPr>
        <w:t>（3</w:t>
      </w:r>
      <w:r>
        <w:rPr>
          <w:rFonts w:ascii="宋体" w:hAnsi="宋体"/>
          <w:bCs/>
          <w:sz w:val="24"/>
        </w:rPr>
        <w:t>）</w:t>
      </w:r>
      <w:r>
        <w:rPr>
          <w:rFonts w:hint="eastAsia" w:ascii="宋体" w:hAnsi="宋体"/>
          <w:bCs/>
          <w:sz w:val="24"/>
        </w:rPr>
        <w:t>投标代表人未能出具身份证明或与法定代表人授权委托人身份不符的；</w:t>
      </w:r>
    </w:p>
    <w:p w14:paraId="7C939E71">
      <w:pPr>
        <w:pStyle w:val="15"/>
        <w:snapToGrid w:val="0"/>
        <w:spacing w:line="360" w:lineRule="auto"/>
        <w:ind w:firstLine="470" w:firstLineChars="196"/>
        <w:rPr>
          <w:rFonts w:hAnsi="宋体"/>
          <w:bCs/>
          <w:spacing w:val="0"/>
          <w:sz w:val="24"/>
          <w:szCs w:val="24"/>
        </w:rPr>
      </w:pPr>
      <w:r>
        <w:rPr>
          <w:rFonts w:hAnsi="宋体"/>
          <w:bCs/>
          <w:spacing w:val="0"/>
          <w:sz w:val="24"/>
          <w:szCs w:val="24"/>
        </w:rPr>
        <w:t>（</w:t>
      </w:r>
      <w:r>
        <w:rPr>
          <w:rFonts w:hint="eastAsia" w:hAnsi="宋体"/>
          <w:bCs/>
          <w:spacing w:val="0"/>
          <w:sz w:val="24"/>
          <w:szCs w:val="24"/>
        </w:rPr>
        <w:t>4</w:t>
      </w:r>
      <w:r>
        <w:rPr>
          <w:rFonts w:hAnsi="宋体"/>
          <w:bCs/>
          <w:spacing w:val="0"/>
          <w:sz w:val="24"/>
          <w:szCs w:val="24"/>
        </w:rPr>
        <w:t>）投标文件格式不规范、项目不齐全或者内容虚假的；</w:t>
      </w:r>
    </w:p>
    <w:p w14:paraId="67767D71">
      <w:pPr>
        <w:pStyle w:val="15"/>
        <w:snapToGrid w:val="0"/>
        <w:spacing w:line="360" w:lineRule="auto"/>
        <w:ind w:firstLine="470" w:firstLineChars="196"/>
        <w:rPr>
          <w:rFonts w:hAnsi="宋体"/>
          <w:bCs/>
          <w:spacing w:val="0"/>
          <w:sz w:val="24"/>
          <w:szCs w:val="24"/>
        </w:rPr>
      </w:pPr>
      <w:r>
        <w:rPr>
          <w:rFonts w:hAnsi="宋体"/>
          <w:bCs/>
          <w:spacing w:val="0"/>
          <w:sz w:val="24"/>
          <w:szCs w:val="24"/>
        </w:rPr>
        <w:t>（</w:t>
      </w:r>
      <w:r>
        <w:rPr>
          <w:rFonts w:hint="eastAsia" w:hAnsi="宋体"/>
          <w:bCs/>
          <w:spacing w:val="0"/>
          <w:sz w:val="24"/>
          <w:szCs w:val="24"/>
        </w:rPr>
        <w:t>5</w:t>
      </w:r>
      <w:r>
        <w:rPr>
          <w:rFonts w:hAnsi="宋体"/>
          <w:bCs/>
          <w:spacing w:val="0"/>
          <w:sz w:val="24"/>
          <w:szCs w:val="24"/>
        </w:rPr>
        <w:t>）投标文件的实质性内容未使用中文表述、意思表述不明确、前后矛盾或者使用计量单位不符合招标文件要求的（经评标委员会认定</w:t>
      </w:r>
      <w:r>
        <w:rPr>
          <w:rFonts w:hint="eastAsia" w:hAnsi="宋体"/>
          <w:bCs/>
          <w:spacing w:val="0"/>
          <w:sz w:val="24"/>
          <w:szCs w:val="24"/>
        </w:rPr>
        <w:t>并</w:t>
      </w:r>
      <w:r>
        <w:rPr>
          <w:rFonts w:hAnsi="宋体"/>
          <w:bCs/>
          <w:spacing w:val="0"/>
          <w:sz w:val="24"/>
          <w:szCs w:val="24"/>
        </w:rPr>
        <w:t>允许其当场更正的笔误除外）</w:t>
      </w:r>
      <w:r>
        <w:rPr>
          <w:rFonts w:hint="eastAsia" w:hAnsi="宋体"/>
          <w:bCs/>
          <w:spacing w:val="0"/>
          <w:sz w:val="24"/>
          <w:szCs w:val="24"/>
        </w:rPr>
        <w:t>；</w:t>
      </w:r>
    </w:p>
    <w:p w14:paraId="023E5483">
      <w:pPr>
        <w:pStyle w:val="15"/>
        <w:snapToGrid w:val="0"/>
        <w:spacing w:line="360" w:lineRule="auto"/>
        <w:ind w:firstLine="470" w:firstLineChars="196"/>
        <w:rPr>
          <w:rFonts w:hAnsi="宋体"/>
          <w:bCs/>
          <w:spacing w:val="0"/>
          <w:sz w:val="24"/>
          <w:szCs w:val="24"/>
        </w:rPr>
      </w:pPr>
      <w:r>
        <w:rPr>
          <w:rFonts w:hAnsi="宋体"/>
          <w:bCs/>
          <w:spacing w:val="0"/>
          <w:sz w:val="24"/>
          <w:szCs w:val="24"/>
        </w:rPr>
        <w:t>（</w:t>
      </w:r>
      <w:r>
        <w:rPr>
          <w:rFonts w:hint="eastAsia" w:hAnsi="宋体"/>
          <w:bCs/>
          <w:spacing w:val="0"/>
          <w:sz w:val="24"/>
          <w:szCs w:val="24"/>
        </w:rPr>
        <w:t>6</w:t>
      </w:r>
      <w:r>
        <w:rPr>
          <w:rFonts w:hAnsi="宋体"/>
          <w:bCs/>
          <w:spacing w:val="0"/>
          <w:sz w:val="24"/>
          <w:szCs w:val="24"/>
        </w:rPr>
        <w:t>）投标有效期、工期、质保期、</w:t>
      </w:r>
      <w:r>
        <w:rPr>
          <w:rFonts w:hint="eastAsia" w:hAnsi="宋体"/>
          <w:bCs/>
          <w:spacing w:val="0"/>
          <w:sz w:val="24"/>
          <w:szCs w:val="24"/>
        </w:rPr>
        <w:t>服务期</w:t>
      </w:r>
      <w:r>
        <w:rPr>
          <w:rFonts w:hAnsi="宋体"/>
          <w:bCs/>
          <w:spacing w:val="0"/>
          <w:sz w:val="24"/>
          <w:szCs w:val="24"/>
        </w:rPr>
        <w:t>等商务条款不能满足招标文件要求的；</w:t>
      </w:r>
    </w:p>
    <w:p w14:paraId="04FE42B7">
      <w:pPr>
        <w:pStyle w:val="15"/>
        <w:snapToGrid w:val="0"/>
        <w:spacing w:line="360" w:lineRule="auto"/>
        <w:ind w:firstLine="470" w:firstLineChars="196"/>
        <w:rPr>
          <w:sz w:val="24"/>
          <w:szCs w:val="24"/>
        </w:rPr>
      </w:pPr>
      <w:r>
        <w:rPr>
          <w:rFonts w:hAnsi="宋体"/>
          <w:bCs/>
          <w:spacing w:val="0"/>
          <w:sz w:val="24"/>
          <w:szCs w:val="24"/>
        </w:rPr>
        <w:t>（</w:t>
      </w:r>
      <w:r>
        <w:rPr>
          <w:rFonts w:hint="eastAsia" w:hAnsi="宋体"/>
          <w:bCs/>
          <w:spacing w:val="0"/>
          <w:sz w:val="24"/>
          <w:szCs w:val="24"/>
        </w:rPr>
        <w:t>7</w:t>
      </w:r>
      <w:r>
        <w:rPr>
          <w:rFonts w:hAnsi="宋体"/>
          <w:bCs/>
          <w:spacing w:val="0"/>
          <w:sz w:val="24"/>
          <w:szCs w:val="24"/>
        </w:rPr>
        <w:t>）</w:t>
      </w:r>
      <w:r>
        <w:rPr>
          <w:rFonts w:hint="eastAsia" w:hAnsi="宋体"/>
          <w:bCs/>
          <w:spacing w:val="0"/>
          <w:sz w:val="24"/>
          <w:szCs w:val="24"/>
        </w:rPr>
        <w:t>未实质性</w:t>
      </w:r>
      <w:r>
        <w:rPr>
          <w:rFonts w:hAnsi="宋体"/>
          <w:bCs/>
          <w:spacing w:val="0"/>
          <w:sz w:val="24"/>
          <w:szCs w:val="24"/>
        </w:rPr>
        <w:t>响应招标文件要求或者投标文件有招标方不能接受</w:t>
      </w:r>
      <w:r>
        <w:rPr>
          <w:sz w:val="24"/>
          <w:szCs w:val="24"/>
        </w:rPr>
        <w:t>的附加条件的；</w:t>
      </w:r>
    </w:p>
    <w:p w14:paraId="48C28F1A">
      <w:pPr>
        <w:pStyle w:val="15"/>
        <w:snapToGrid w:val="0"/>
        <w:spacing w:line="360" w:lineRule="auto"/>
        <w:ind w:firstLine="457" w:firstLineChars="196"/>
        <w:rPr>
          <w:rFonts w:hAnsi="宋体"/>
          <w:b/>
          <w:bCs/>
          <w:sz w:val="24"/>
          <w:szCs w:val="24"/>
        </w:rPr>
      </w:pPr>
      <w:r>
        <w:rPr>
          <w:rFonts w:hAnsi="宋体"/>
          <w:b/>
          <w:bCs/>
          <w:sz w:val="24"/>
          <w:szCs w:val="24"/>
        </w:rPr>
        <w:t>2</w:t>
      </w:r>
      <w:r>
        <w:rPr>
          <w:rFonts w:hint="eastAsia" w:hAnsi="宋体"/>
          <w:b/>
          <w:bCs/>
          <w:sz w:val="24"/>
          <w:szCs w:val="24"/>
        </w:rPr>
        <w:t>.</w:t>
      </w:r>
      <w:r>
        <w:rPr>
          <w:rFonts w:hAnsi="宋体"/>
          <w:b/>
          <w:bCs/>
          <w:sz w:val="24"/>
          <w:szCs w:val="24"/>
        </w:rPr>
        <w:t>在技术评审时，如发现下列情形之一的，投标文件将被视为无效：</w:t>
      </w:r>
    </w:p>
    <w:p w14:paraId="03653D30">
      <w:pPr>
        <w:pStyle w:val="15"/>
        <w:snapToGrid w:val="0"/>
        <w:spacing w:line="360" w:lineRule="auto"/>
        <w:ind w:firstLine="457" w:firstLineChars="196"/>
        <w:rPr>
          <w:rFonts w:hAnsi="宋体"/>
          <w:sz w:val="24"/>
          <w:szCs w:val="24"/>
        </w:rPr>
      </w:pPr>
      <w:r>
        <w:rPr>
          <w:rFonts w:hAnsi="宋体"/>
          <w:b/>
          <w:sz w:val="24"/>
          <w:szCs w:val="24"/>
        </w:rPr>
        <w:t>（</w:t>
      </w:r>
      <w:r>
        <w:rPr>
          <w:rFonts w:hAnsi="宋体"/>
          <w:sz w:val="24"/>
          <w:szCs w:val="24"/>
        </w:rPr>
        <w:t>1）未提供或未如实提供投标货物的技术参数，或者投标文件标明的响应或偏离与事实不符或虚假投标的；</w:t>
      </w:r>
    </w:p>
    <w:p w14:paraId="6AA5AF2E">
      <w:pPr>
        <w:pStyle w:val="15"/>
        <w:snapToGrid w:val="0"/>
        <w:spacing w:line="360" w:lineRule="auto"/>
        <w:ind w:firstLine="470" w:firstLineChars="196"/>
        <w:rPr>
          <w:rFonts w:hAnsi="Times New Roman"/>
          <w:spacing w:val="0"/>
          <w:sz w:val="24"/>
          <w:szCs w:val="24"/>
        </w:rPr>
      </w:pPr>
      <w:r>
        <w:rPr>
          <w:rFonts w:hAnsi="Times New Roman"/>
          <w:spacing w:val="0"/>
          <w:sz w:val="24"/>
          <w:szCs w:val="24"/>
        </w:rPr>
        <w:t>（2）明显不符合招标文件</w:t>
      </w:r>
      <w:r>
        <w:rPr>
          <w:rFonts w:hint="eastAsia" w:hAnsi="Times New Roman"/>
          <w:spacing w:val="0"/>
          <w:sz w:val="24"/>
          <w:szCs w:val="24"/>
        </w:rPr>
        <w:t>要求</w:t>
      </w:r>
      <w:r>
        <w:rPr>
          <w:rFonts w:hAnsi="Times New Roman"/>
          <w:spacing w:val="0"/>
          <w:sz w:val="24"/>
          <w:szCs w:val="24"/>
        </w:rPr>
        <w:t>的规格型号、质量标准，或者</w:t>
      </w:r>
      <w:r>
        <w:rPr>
          <w:rFonts w:hint="eastAsia" w:hAnsi="Times New Roman"/>
          <w:spacing w:val="0"/>
          <w:sz w:val="24"/>
          <w:szCs w:val="24"/>
        </w:rPr>
        <w:t>与</w:t>
      </w:r>
      <w:r>
        <w:rPr>
          <w:rFonts w:hAnsi="Times New Roman"/>
          <w:spacing w:val="0"/>
          <w:sz w:val="24"/>
          <w:szCs w:val="24"/>
        </w:rPr>
        <w:t>招标文件中标“▲”的技术指标、主要功能项目发生实质性偏离的；</w:t>
      </w:r>
    </w:p>
    <w:p w14:paraId="41CB772B">
      <w:pPr>
        <w:pStyle w:val="15"/>
        <w:snapToGrid w:val="0"/>
        <w:spacing w:line="360" w:lineRule="auto"/>
        <w:ind w:firstLine="470" w:firstLineChars="196"/>
        <w:rPr>
          <w:rFonts w:hAnsi="Times New Roman"/>
          <w:spacing w:val="0"/>
          <w:sz w:val="24"/>
          <w:szCs w:val="24"/>
        </w:rPr>
      </w:pPr>
      <w:r>
        <w:rPr>
          <w:rFonts w:hAnsi="Times New Roman"/>
          <w:spacing w:val="0"/>
          <w:sz w:val="24"/>
          <w:szCs w:val="24"/>
        </w:rPr>
        <w:t>（3）投标技术方案不明确，存在一个或一个以上备选（替代）投标方案的；</w:t>
      </w:r>
    </w:p>
    <w:p w14:paraId="20A51CA7">
      <w:pPr>
        <w:pStyle w:val="15"/>
        <w:snapToGrid w:val="0"/>
        <w:spacing w:line="360" w:lineRule="auto"/>
        <w:ind w:firstLine="470" w:firstLineChars="196"/>
        <w:rPr>
          <w:rFonts w:hAnsi="Times New Roman"/>
          <w:spacing w:val="0"/>
          <w:sz w:val="24"/>
          <w:szCs w:val="24"/>
        </w:rPr>
      </w:pPr>
      <w:r>
        <w:rPr>
          <w:rFonts w:hAnsi="Times New Roman"/>
          <w:spacing w:val="0"/>
          <w:sz w:val="24"/>
          <w:szCs w:val="24"/>
        </w:rPr>
        <w:t>（4）</w:t>
      </w:r>
      <w:r>
        <w:rPr>
          <w:rFonts w:hint="eastAsia" w:hAnsi="Times New Roman"/>
          <w:spacing w:val="0"/>
          <w:sz w:val="24"/>
          <w:szCs w:val="24"/>
        </w:rPr>
        <w:t>与其他参加本次投标供应商的投标文件（技术文件）的文字表述内容相同连续20行以上或者差错相同2处以上的；</w:t>
      </w:r>
    </w:p>
    <w:p w14:paraId="639B4E17">
      <w:pPr>
        <w:pStyle w:val="15"/>
        <w:snapToGrid w:val="0"/>
        <w:spacing w:line="360" w:lineRule="auto"/>
        <w:ind w:firstLine="457" w:firstLineChars="196"/>
        <w:rPr>
          <w:rFonts w:hAnsi="宋体"/>
          <w:b/>
          <w:bCs/>
          <w:sz w:val="24"/>
          <w:szCs w:val="24"/>
        </w:rPr>
      </w:pPr>
      <w:r>
        <w:rPr>
          <w:rFonts w:hAnsi="宋体"/>
          <w:b/>
          <w:bCs/>
          <w:sz w:val="24"/>
          <w:szCs w:val="24"/>
        </w:rPr>
        <w:t>3</w:t>
      </w:r>
      <w:r>
        <w:rPr>
          <w:rFonts w:hint="eastAsia" w:hAnsi="宋体"/>
          <w:b/>
          <w:bCs/>
          <w:sz w:val="24"/>
          <w:szCs w:val="24"/>
        </w:rPr>
        <w:t>.</w:t>
      </w:r>
      <w:r>
        <w:rPr>
          <w:rFonts w:hAnsi="宋体"/>
          <w:b/>
          <w:bCs/>
          <w:sz w:val="24"/>
          <w:szCs w:val="24"/>
        </w:rPr>
        <w:t>在报价评审时，如发现下列情形之一的，投标文件将被视为无效：</w:t>
      </w:r>
    </w:p>
    <w:p w14:paraId="46FF08DA">
      <w:pPr>
        <w:pStyle w:val="15"/>
        <w:snapToGrid w:val="0"/>
        <w:spacing w:line="360" w:lineRule="auto"/>
        <w:ind w:firstLine="457" w:firstLineChars="196"/>
        <w:rPr>
          <w:rFonts w:hAnsi="宋体"/>
          <w:sz w:val="24"/>
          <w:szCs w:val="24"/>
        </w:rPr>
      </w:pPr>
      <w:r>
        <w:rPr>
          <w:rFonts w:hAnsi="宋体"/>
          <w:b/>
          <w:sz w:val="24"/>
          <w:szCs w:val="24"/>
        </w:rPr>
        <w:t>（</w:t>
      </w:r>
      <w:r>
        <w:rPr>
          <w:rFonts w:hAnsi="宋体"/>
          <w:sz w:val="24"/>
          <w:szCs w:val="24"/>
        </w:rPr>
        <w:t>1）未采用人民币报价或者未按照招标文件标明的币种报价的；</w:t>
      </w:r>
    </w:p>
    <w:p w14:paraId="3613CD92">
      <w:pPr>
        <w:pStyle w:val="15"/>
        <w:snapToGrid w:val="0"/>
        <w:spacing w:line="360" w:lineRule="auto"/>
        <w:ind w:firstLine="457" w:firstLineChars="196"/>
        <w:rPr>
          <w:rFonts w:hAnsi="宋体"/>
          <w:sz w:val="24"/>
          <w:szCs w:val="24"/>
        </w:rPr>
      </w:pPr>
      <w:r>
        <w:rPr>
          <w:rFonts w:hAnsi="宋体"/>
          <w:b/>
          <w:sz w:val="24"/>
          <w:szCs w:val="24"/>
        </w:rPr>
        <w:t>（</w:t>
      </w:r>
      <w:r>
        <w:rPr>
          <w:rFonts w:hAnsi="宋体"/>
          <w:sz w:val="24"/>
          <w:szCs w:val="24"/>
        </w:rPr>
        <w:t>2）报价超出最高限价的</w:t>
      </w:r>
      <w:r>
        <w:rPr>
          <w:rFonts w:hint="eastAsia" w:hAnsi="宋体"/>
          <w:sz w:val="24"/>
          <w:szCs w:val="24"/>
        </w:rPr>
        <w:t>；</w:t>
      </w:r>
    </w:p>
    <w:p w14:paraId="10703416">
      <w:pPr>
        <w:pStyle w:val="15"/>
        <w:snapToGrid w:val="0"/>
        <w:spacing w:line="360" w:lineRule="auto"/>
        <w:ind w:firstLine="464" w:firstLineChars="200"/>
        <w:rPr>
          <w:rFonts w:hAnsi="宋体"/>
          <w:sz w:val="24"/>
          <w:szCs w:val="24"/>
        </w:rPr>
      </w:pPr>
      <w:r>
        <w:rPr>
          <w:rFonts w:hint="eastAsia" w:hAnsi="宋体"/>
          <w:sz w:val="24"/>
          <w:szCs w:val="24"/>
        </w:rPr>
        <w:t>（3） 投标报价具有选择性，或者开标价格与投标文件承诺的优惠（折扣）价格不一致的；</w:t>
      </w:r>
    </w:p>
    <w:p w14:paraId="7E13EECC">
      <w:pPr>
        <w:pStyle w:val="15"/>
        <w:snapToGrid w:val="0"/>
        <w:spacing w:line="360" w:lineRule="auto"/>
        <w:ind w:firstLine="457" w:firstLineChars="196"/>
        <w:rPr>
          <w:rFonts w:hAnsi="宋体"/>
          <w:b/>
          <w:sz w:val="24"/>
          <w:szCs w:val="24"/>
        </w:rPr>
      </w:pPr>
      <w:r>
        <w:rPr>
          <w:rFonts w:hAnsi="宋体"/>
          <w:b/>
          <w:sz w:val="24"/>
          <w:szCs w:val="24"/>
        </w:rPr>
        <w:t>4</w:t>
      </w:r>
      <w:r>
        <w:rPr>
          <w:rFonts w:hint="eastAsia" w:hAnsi="宋体"/>
          <w:b/>
          <w:sz w:val="24"/>
          <w:szCs w:val="24"/>
        </w:rPr>
        <w:t>.</w:t>
      </w:r>
      <w:r>
        <w:rPr>
          <w:rFonts w:hAnsi="宋体"/>
          <w:b/>
          <w:sz w:val="24"/>
          <w:szCs w:val="24"/>
        </w:rPr>
        <w:t>被拒绝的投标文件为无效。</w:t>
      </w:r>
    </w:p>
    <w:p w14:paraId="1054024C">
      <w:pPr>
        <w:pStyle w:val="15"/>
        <w:snapToGrid w:val="0"/>
        <w:spacing w:line="360" w:lineRule="auto"/>
        <w:ind w:firstLine="457" w:firstLineChars="196"/>
        <w:rPr>
          <w:rFonts w:hAnsi="宋体"/>
          <w:b/>
          <w:sz w:val="24"/>
          <w:szCs w:val="24"/>
        </w:rPr>
      </w:pPr>
      <w:r>
        <w:rPr>
          <w:rFonts w:hint="eastAsia" w:hAnsi="宋体"/>
          <w:b/>
          <w:sz w:val="24"/>
          <w:szCs w:val="24"/>
        </w:rPr>
        <w:t>5.仅提供备份投标文件的无效。</w:t>
      </w:r>
    </w:p>
    <w:p w14:paraId="665D14B8">
      <w:pPr>
        <w:pStyle w:val="15"/>
        <w:snapToGrid w:val="0"/>
        <w:spacing w:line="360" w:lineRule="auto"/>
        <w:ind w:firstLine="457" w:firstLineChars="196"/>
        <w:outlineLvl w:val="1"/>
        <w:rPr>
          <w:rFonts w:hAnsi="宋体"/>
          <w:b/>
          <w:snapToGrid w:val="0"/>
          <w:sz w:val="24"/>
          <w:szCs w:val="24"/>
        </w:rPr>
      </w:pPr>
      <w:r>
        <w:rPr>
          <w:rFonts w:hint="eastAsia" w:hAnsi="宋体"/>
          <w:b/>
          <w:sz w:val="24"/>
          <w:szCs w:val="24"/>
        </w:rPr>
        <w:t>四、开标</w:t>
      </w:r>
    </w:p>
    <w:p w14:paraId="2ABE54BA">
      <w:pPr>
        <w:pStyle w:val="15"/>
        <w:snapToGrid w:val="0"/>
        <w:spacing w:line="360" w:lineRule="auto"/>
        <w:ind w:firstLine="457" w:firstLineChars="196"/>
        <w:rPr>
          <w:rFonts w:hAnsi="宋体"/>
          <w:b/>
          <w:sz w:val="24"/>
          <w:szCs w:val="24"/>
        </w:rPr>
      </w:pPr>
      <w:r>
        <w:rPr>
          <w:rFonts w:hAnsi="宋体"/>
          <w:b/>
          <w:sz w:val="24"/>
          <w:szCs w:val="24"/>
        </w:rPr>
        <w:t>（一）开标准备</w:t>
      </w:r>
    </w:p>
    <w:p w14:paraId="019BE817">
      <w:pPr>
        <w:pStyle w:val="15"/>
        <w:snapToGrid w:val="0"/>
        <w:spacing w:line="360" w:lineRule="auto"/>
        <w:ind w:firstLine="454" w:firstLineChars="196"/>
        <w:rPr>
          <w:rFonts w:hAnsi="宋体"/>
          <w:sz w:val="24"/>
          <w:szCs w:val="24"/>
        </w:rPr>
      </w:pPr>
      <w:r>
        <w:rPr>
          <w:rFonts w:hint="eastAsia" w:hAnsi="宋体"/>
          <w:sz w:val="24"/>
          <w:szCs w:val="24"/>
        </w:rPr>
        <w:t>1.组织机构将按照招标文件规定的时间通过“政府采购云平台”组织开标、开启投标文件，所有供应商均应当准时在线参加。</w:t>
      </w:r>
    </w:p>
    <w:p w14:paraId="30B1736E">
      <w:pPr>
        <w:pStyle w:val="15"/>
        <w:snapToGrid w:val="0"/>
        <w:spacing w:line="360" w:lineRule="auto"/>
        <w:ind w:firstLine="454" w:firstLineChars="196"/>
        <w:rPr>
          <w:rFonts w:hAnsi="宋体"/>
          <w:sz w:val="24"/>
          <w:szCs w:val="24"/>
        </w:rPr>
      </w:pPr>
      <w:r>
        <w:rPr>
          <w:rFonts w:hint="eastAsia" w:hAnsi="宋体"/>
          <w:sz w:val="24"/>
          <w:szCs w:val="24"/>
        </w:rPr>
        <w:t>2. 按照“不见面、少接触”的原则，本项目原则上采取“不见面”形式进行开评标活动，法定代表人或其授权代表无须到场，在线响应即可（通过指定的电子邮箱、传真等）。</w:t>
      </w:r>
    </w:p>
    <w:p w14:paraId="09683BA6">
      <w:pPr>
        <w:pStyle w:val="15"/>
        <w:snapToGrid w:val="0"/>
        <w:spacing w:line="360" w:lineRule="auto"/>
        <w:ind w:firstLine="457" w:firstLineChars="196"/>
        <w:rPr>
          <w:rFonts w:hAnsi="宋体"/>
          <w:b/>
          <w:sz w:val="24"/>
          <w:szCs w:val="24"/>
        </w:rPr>
      </w:pPr>
      <w:r>
        <w:rPr>
          <w:rFonts w:hAnsi="宋体"/>
          <w:b/>
          <w:sz w:val="24"/>
          <w:szCs w:val="24"/>
        </w:rPr>
        <w:t>（二） 开标程序：</w:t>
      </w:r>
    </w:p>
    <w:p w14:paraId="251A6BA8">
      <w:pPr>
        <w:pStyle w:val="15"/>
        <w:snapToGrid w:val="0"/>
        <w:spacing w:line="360" w:lineRule="auto"/>
        <w:ind w:firstLine="454" w:firstLineChars="196"/>
        <w:rPr>
          <w:rFonts w:hAnsi="宋体"/>
          <w:sz w:val="24"/>
          <w:szCs w:val="24"/>
        </w:rPr>
      </w:pPr>
      <w:r>
        <w:rPr>
          <w:rFonts w:hint="eastAsia" w:hAnsi="宋体"/>
          <w:sz w:val="24"/>
          <w:szCs w:val="24"/>
        </w:rPr>
        <w:t>1.开标的准备工作由采购组织机构负责落实；</w:t>
      </w:r>
    </w:p>
    <w:p w14:paraId="08205FA9">
      <w:pPr>
        <w:pStyle w:val="15"/>
        <w:snapToGrid w:val="0"/>
        <w:spacing w:line="360" w:lineRule="auto"/>
        <w:ind w:firstLine="454" w:firstLineChars="196"/>
        <w:rPr>
          <w:rFonts w:hAnsi="宋体"/>
          <w:sz w:val="24"/>
          <w:szCs w:val="24"/>
        </w:rPr>
      </w:pPr>
      <w:r>
        <w:rPr>
          <w:rFonts w:hint="eastAsia" w:hAnsi="宋体"/>
          <w:sz w:val="24"/>
          <w:szCs w:val="24"/>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737DABBE">
      <w:pPr>
        <w:pStyle w:val="15"/>
        <w:snapToGrid w:val="0"/>
        <w:spacing w:line="360" w:lineRule="auto"/>
        <w:ind w:firstLine="457" w:firstLineChars="196"/>
        <w:rPr>
          <w:rFonts w:hAnsi="宋体"/>
          <w:b/>
          <w:sz w:val="24"/>
          <w:szCs w:val="24"/>
        </w:rPr>
      </w:pPr>
      <w:r>
        <w:rPr>
          <w:rFonts w:hint="eastAsia" w:hAnsi="宋体"/>
          <w:b/>
          <w:sz w:val="24"/>
          <w:szCs w:val="24"/>
        </w:rPr>
        <w:t>（三）开标流程</w:t>
      </w:r>
    </w:p>
    <w:p w14:paraId="560F3F71">
      <w:pPr>
        <w:pStyle w:val="15"/>
        <w:snapToGrid w:val="0"/>
        <w:spacing w:line="360" w:lineRule="auto"/>
        <w:ind w:firstLine="454" w:firstLineChars="196"/>
        <w:rPr>
          <w:rFonts w:hAnsi="宋体"/>
          <w:sz w:val="24"/>
          <w:szCs w:val="24"/>
        </w:rPr>
      </w:pPr>
      <w:r>
        <w:rPr>
          <w:rFonts w:hint="eastAsia" w:hAnsi="宋体"/>
          <w:sz w:val="24"/>
          <w:szCs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6A3F7A86">
      <w:pPr>
        <w:pStyle w:val="15"/>
        <w:snapToGrid w:val="0"/>
        <w:spacing w:line="360" w:lineRule="auto"/>
        <w:ind w:firstLine="454" w:firstLineChars="196"/>
        <w:rPr>
          <w:rFonts w:hAnsi="宋体"/>
          <w:sz w:val="24"/>
          <w:szCs w:val="24"/>
        </w:rPr>
      </w:pPr>
      <w:r>
        <w:rPr>
          <w:rFonts w:hint="eastAsia" w:hAnsi="宋体"/>
          <w:sz w:val="24"/>
          <w:szCs w:val="24"/>
        </w:rPr>
        <w:t>2.投标文件解密结束；</w:t>
      </w:r>
    </w:p>
    <w:p w14:paraId="2C24B5E3">
      <w:pPr>
        <w:pStyle w:val="15"/>
        <w:snapToGrid w:val="0"/>
        <w:spacing w:line="360" w:lineRule="auto"/>
        <w:ind w:firstLine="454" w:firstLineChars="196"/>
        <w:rPr>
          <w:rFonts w:hAnsi="宋体"/>
          <w:sz w:val="24"/>
          <w:szCs w:val="24"/>
        </w:rPr>
      </w:pPr>
      <w:r>
        <w:rPr>
          <w:rFonts w:hint="eastAsia" w:hAnsi="宋体"/>
          <w:sz w:val="24"/>
          <w:szCs w:val="24"/>
        </w:rPr>
        <w:t>3.开启投标文件，进入资格审查；</w:t>
      </w:r>
    </w:p>
    <w:p w14:paraId="1EFE128F">
      <w:pPr>
        <w:pStyle w:val="15"/>
        <w:snapToGrid w:val="0"/>
        <w:spacing w:line="360" w:lineRule="auto"/>
        <w:ind w:firstLine="454" w:firstLineChars="196"/>
        <w:rPr>
          <w:rFonts w:hAnsi="宋体"/>
          <w:sz w:val="24"/>
          <w:szCs w:val="24"/>
        </w:rPr>
      </w:pPr>
      <w:r>
        <w:rPr>
          <w:rFonts w:hint="eastAsia" w:hAnsi="宋体"/>
          <w:sz w:val="24"/>
          <w:szCs w:val="24"/>
        </w:rPr>
        <w:t>4.开启资格审查通过的投标供应商的商务技术文件进入符合性审查、商务技术评审；</w:t>
      </w:r>
    </w:p>
    <w:p w14:paraId="77BD672F">
      <w:pPr>
        <w:pStyle w:val="15"/>
        <w:snapToGrid w:val="0"/>
        <w:spacing w:line="360" w:lineRule="auto"/>
        <w:ind w:firstLine="454" w:firstLineChars="196"/>
        <w:rPr>
          <w:rFonts w:hAnsi="宋体"/>
          <w:sz w:val="24"/>
          <w:szCs w:val="24"/>
        </w:rPr>
      </w:pPr>
      <w:r>
        <w:rPr>
          <w:rFonts w:hint="eastAsia" w:hAnsi="宋体"/>
          <w:sz w:val="24"/>
          <w:szCs w:val="24"/>
        </w:rPr>
        <w:t>1）符合性审查、商务技术评审结束后，公布符合性审查、商务技术评审无效供应商名称及理由；公布经商务技术评审后有效投标供应商的名单，同时公布其商务技术部分得分情况。</w:t>
      </w:r>
    </w:p>
    <w:p w14:paraId="26115693">
      <w:pPr>
        <w:pStyle w:val="15"/>
        <w:snapToGrid w:val="0"/>
        <w:spacing w:line="360" w:lineRule="auto"/>
        <w:ind w:firstLine="454" w:firstLineChars="196"/>
        <w:rPr>
          <w:rFonts w:hAnsi="宋体"/>
          <w:sz w:val="24"/>
          <w:szCs w:val="24"/>
        </w:rPr>
      </w:pPr>
      <w:r>
        <w:rPr>
          <w:rFonts w:hint="eastAsia" w:hAnsi="宋体"/>
          <w:sz w:val="24"/>
          <w:szCs w:val="24"/>
        </w:rPr>
        <w:t>2）开启符合性审查、商务技术评审有效投标供应商的《报价文件》，公布开标一览表有关内容，同时当场制作开标记录表，唱标结束后，由评标委员会对报价的合理性、准确性等进行审查核实。</w:t>
      </w:r>
    </w:p>
    <w:p w14:paraId="40597F40">
      <w:pPr>
        <w:pStyle w:val="15"/>
        <w:snapToGrid w:val="0"/>
        <w:spacing w:line="360" w:lineRule="auto"/>
        <w:ind w:firstLine="454" w:firstLineChars="196"/>
        <w:rPr>
          <w:rFonts w:hAnsi="宋体"/>
          <w:sz w:val="24"/>
          <w:szCs w:val="24"/>
        </w:rPr>
      </w:pPr>
      <w:r>
        <w:rPr>
          <w:rFonts w:hint="eastAsia" w:hAnsi="宋体"/>
          <w:sz w:val="24"/>
          <w:szCs w:val="24"/>
        </w:rPr>
        <w:t>3）公布报价部分得分情况；</w:t>
      </w:r>
    </w:p>
    <w:p w14:paraId="3373D9FE">
      <w:pPr>
        <w:pStyle w:val="15"/>
        <w:snapToGrid w:val="0"/>
        <w:spacing w:line="360" w:lineRule="auto"/>
        <w:ind w:firstLine="454" w:firstLineChars="196"/>
        <w:rPr>
          <w:rFonts w:hAnsi="宋体"/>
          <w:sz w:val="24"/>
          <w:szCs w:val="24"/>
        </w:rPr>
      </w:pPr>
      <w:r>
        <w:rPr>
          <w:rFonts w:hint="eastAsia" w:hAnsi="宋体"/>
          <w:sz w:val="24"/>
          <w:szCs w:val="24"/>
        </w:rPr>
        <w:t>4）评审结束后，公布中标（成交）候选供应商名单等。</w:t>
      </w:r>
    </w:p>
    <w:p w14:paraId="354B7ADA">
      <w:pPr>
        <w:pStyle w:val="15"/>
        <w:snapToGrid w:val="0"/>
        <w:spacing w:line="360" w:lineRule="auto"/>
        <w:ind w:firstLine="454" w:firstLineChars="196"/>
        <w:rPr>
          <w:rFonts w:hAnsi="宋体"/>
          <w:sz w:val="24"/>
          <w:szCs w:val="24"/>
        </w:rPr>
      </w:pPr>
      <w:r>
        <w:rPr>
          <w:rFonts w:hint="eastAsia" w:hAnsi="宋体"/>
          <w:sz w:val="24"/>
          <w:szCs w:val="24"/>
        </w:rPr>
        <w:t>5）开标结束。</w:t>
      </w:r>
    </w:p>
    <w:p w14:paraId="145E532B">
      <w:pPr>
        <w:pStyle w:val="15"/>
        <w:snapToGrid w:val="0"/>
        <w:spacing w:line="360" w:lineRule="auto"/>
        <w:ind w:firstLine="454" w:firstLineChars="196"/>
        <w:rPr>
          <w:rFonts w:hAnsi="宋体"/>
          <w:sz w:val="24"/>
          <w:szCs w:val="24"/>
        </w:rPr>
      </w:pPr>
      <w:r>
        <w:rPr>
          <w:rFonts w:hint="eastAsia" w:hAnsi="宋体"/>
          <w:sz w:val="24"/>
          <w:szCs w:val="24"/>
        </w:rPr>
        <w:t>特别说明：如遇“政府采购云平台”电子化开标或评审程序调整的，按调整后程序执行。</w:t>
      </w:r>
      <w:bookmarkStart w:id="11" w:name="_Toc33194393"/>
      <w:bookmarkStart w:id="12" w:name="_Toc24550037"/>
    </w:p>
    <w:p w14:paraId="2F8C2FC5">
      <w:pPr>
        <w:pStyle w:val="15"/>
        <w:snapToGrid w:val="0"/>
        <w:spacing w:line="360" w:lineRule="auto"/>
        <w:ind w:firstLine="457" w:firstLineChars="196"/>
        <w:rPr>
          <w:rFonts w:hAnsi="宋体"/>
          <w:b/>
          <w:sz w:val="24"/>
          <w:szCs w:val="24"/>
        </w:rPr>
      </w:pPr>
      <w:r>
        <w:rPr>
          <w:rFonts w:hint="eastAsia" w:hAnsi="宋体"/>
          <w:b/>
          <w:sz w:val="24"/>
          <w:szCs w:val="24"/>
        </w:rPr>
        <w:t>（四）投标供应商资格审查</w:t>
      </w:r>
      <w:bookmarkEnd w:id="11"/>
      <w:bookmarkEnd w:id="12"/>
    </w:p>
    <w:p w14:paraId="0CAA26E1">
      <w:pPr>
        <w:pStyle w:val="15"/>
        <w:snapToGrid w:val="0"/>
        <w:spacing w:line="360" w:lineRule="auto"/>
        <w:ind w:firstLine="454" w:firstLineChars="196"/>
        <w:rPr>
          <w:rFonts w:hAnsi="宋体"/>
          <w:sz w:val="24"/>
          <w:szCs w:val="24"/>
        </w:rPr>
      </w:pPr>
      <w:r>
        <w:rPr>
          <w:rFonts w:hint="eastAsia" w:hAnsi="宋体"/>
          <w:sz w:val="24"/>
          <w:szCs w:val="24"/>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ECCEA18">
      <w:pPr>
        <w:pStyle w:val="19"/>
        <w:snapToGrid w:val="0"/>
        <w:spacing w:beforeLines="0" w:afterLines="0" w:line="360" w:lineRule="auto"/>
        <w:ind w:firstLine="480" w:firstLineChars="200"/>
        <w:rPr>
          <w:rFonts w:hAnsi="宋体"/>
        </w:rPr>
      </w:pPr>
      <w:r>
        <w:rPr>
          <w:rFonts w:hint="eastAsia" w:hAnsi="宋体"/>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7A9C3517">
      <w:pPr>
        <w:pStyle w:val="19"/>
        <w:snapToGrid w:val="0"/>
        <w:spacing w:beforeLines="0" w:afterLines="0" w:line="360" w:lineRule="auto"/>
        <w:ind w:firstLine="480" w:firstLineChars="200"/>
        <w:rPr>
          <w:rFonts w:hAnsi="宋体"/>
          <w:bCs/>
        </w:rPr>
      </w:pPr>
      <w:r>
        <w:rPr>
          <w:rFonts w:hint="eastAsia" w:hAnsi="宋体"/>
        </w:rPr>
        <w:t>3.单位负责人为同一人或者存在直接控股、管理关系的不同供应商参加同一合同项下的政府采购活动的，相关投标供应商均作资格无效处理。</w:t>
      </w:r>
    </w:p>
    <w:p w14:paraId="1B98FD0C">
      <w:pPr>
        <w:pStyle w:val="19"/>
        <w:snapToGrid w:val="0"/>
        <w:spacing w:beforeLines="0" w:afterLines="0" w:line="360" w:lineRule="auto"/>
        <w:ind w:left="842" w:leftChars="267" w:hanging="281" w:hangingChars="100"/>
        <w:outlineLvl w:val="1"/>
        <w:rPr>
          <w:rFonts w:hAnsi="宋体"/>
          <w:b/>
          <w:sz w:val="28"/>
          <w:szCs w:val="28"/>
        </w:rPr>
      </w:pPr>
      <w:r>
        <w:rPr>
          <w:rFonts w:hint="eastAsia" w:hAnsi="宋体"/>
          <w:b/>
          <w:sz w:val="28"/>
          <w:szCs w:val="28"/>
        </w:rPr>
        <w:t>五、评标</w:t>
      </w:r>
    </w:p>
    <w:p w14:paraId="48865AD5">
      <w:pPr>
        <w:pStyle w:val="19"/>
        <w:snapToGrid w:val="0"/>
        <w:spacing w:beforeLines="0" w:afterLines="0" w:line="360" w:lineRule="auto"/>
        <w:ind w:left="720" w:leftChars="228" w:hanging="241" w:hangingChars="100"/>
        <w:rPr>
          <w:rFonts w:hAnsi="宋体"/>
          <w:b/>
        </w:rPr>
      </w:pPr>
      <w:r>
        <w:rPr>
          <w:rFonts w:hAnsi="宋体"/>
          <w:b/>
        </w:rPr>
        <w:t>（一）组建评标委员会</w:t>
      </w:r>
    </w:p>
    <w:p w14:paraId="4BC6DC81">
      <w:pPr>
        <w:pStyle w:val="19"/>
        <w:snapToGrid w:val="0"/>
        <w:spacing w:beforeLines="0" w:afterLines="0" w:line="360" w:lineRule="auto"/>
        <w:ind w:firstLine="480" w:firstLineChars="200"/>
        <w:rPr>
          <w:rFonts w:hAnsi="宋体"/>
        </w:rPr>
      </w:pPr>
      <w:r>
        <w:rPr>
          <w:rFonts w:hAnsi="宋体"/>
        </w:rPr>
        <w:t>本项目评标委员会由政府</w:t>
      </w:r>
      <w:r>
        <w:rPr>
          <w:rFonts w:hint="eastAsia" w:hAnsi="宋体"/>
        </w:rPr>
        <w:t>采购评审专家</w:t>
      </w:r>
      <w:r>
        <w:rPr>
          <w:rFonts w:hAnsi="宋体"/>
          <w:u w:val="single"/>
        </w:rPr>
        <w:t xml:space="preserve"> 4 </w:t>
      </w:r>
      <w:r>
        <w:rPr>
          <w:rFonts w:hint="eastAsia" w:hAnsi="宋体"/>
        </w:rPr>
        <w:t>人和采购人代表</w:t>
      </w:r>
      <w:r>
        <w:rPr>
          <w:rFonts w:hAnsi="宋体"/>
          <w:u w:val="single"/>
        </w:rPr>
        <w:t xml:space="preserve"> 1</w:t>
      </w:r>
      <w:r>
        <w:rPr>
          <w:rFonts w:hint="eastAsia" w:hAnsi="宋体"/>
        </w:rPr>
        <w:t>人，共</w:t>
      </w:r>
      <w:r>
        <w:rPr>
          <w:rFonts w:hAnsi="宋体"/>
          <w:u w:val="single"/>
        </w:rPr>
        <w:t xml:space="preserve"> 5</w:t>
      </w:r>
      <w:r>
        <w:rPr>
          <w:rFonts w:hint="eastAsia" w:hAnsi="宋体"/>
        </w:rPr>
        <w:t>人组成。</w:t>
      </w:r>
    </w:p>
    <w:p w14:paraId="787E9197">
      <w:pPr>
        <w:pStyle w:val="19"/>
        <w:snapToGrid w:val="0"/>
        <w:spacing w:beforeLines="0" w:afterLines="0" w:line="360" w:lineRule="auto"/>
        <w:ind w:firstLine="482" w:firstLineChars="200"/>
        <w:rPr>
          <w:rFonts w:hAnsi="宋体"/>
          <w:b/>
        </w:rPr>
      </w:pPr>
      <w:r>
        <w:rPr>
          <w:rFonts w:hAnsi="宋体"/>
          <w:b/>
        </w:rPr>
        <w:t>（二）评标的方式</w:t>
      </w:r>
    </w:p>
    <w:p w14:paraId="1C06EC02">
      <w:pPr>
        <w:pStyle w:val="19"/>
        <w:snapToGrid w:val="0"/>
        <w:spacing w:beforeLines="0" w:afterLines="0" w:line="360" w:lineRule="auto"/>
        <w:ind w:left="719" w:leftChars="228" w:hanging="240" w:hangingChars="100"/>
        <w:rPr>
          <w:rFonts w:hAnsi="宋体"/>
        </w:rPr>
      </w:pPr>
      <w:r>
        <w:rPr>
          <w:rFonts w:hAnsi="宋体"/>
        </w:rPr>
        <w:t>本项目采用不公开方式评标，评标的依据为招标文件和投标文件。</w:t>
      </w:r>
    </w:p>
    <w:p w14:paraId="36BEC8A7">
      <w:pPr>
        <w:pStyle w:val="19"/>
        <w:snapToGrid w:val="0"/>
        <w:spacing w:beforeLines="0" w:afterLines="0" w:line="360" w:lineRule="auto"/>
        <w:ind w:left="720" w:leftChars="228" w:hanging="241" w:hangingChars="100"/>
        <w:rPr>
          <w:rFonts w:hAnsi="宋体"/>
          <w:b/>
          <w:bCs/>
        </w:rPr>
      </w:pPr>
      <w:r>
        <w:rPr>
          <w:rFonts w:hAnsi="宋体"/>
          <w:b/>
        </w:rPr>
        <w:t>（三）</w:t>
      </w:r>
      <w:r>
        <w:rPr>
          <w:rFonts w:hAnsi="宋体"/>
          <w:b/>
          <w:bCs/>
        </w:rPr>
        <w:t>评标程序</w:t>
      </w:r>
    </w:p>
    <w:p w14:paraId="4D50A7F2">
      <w:pPr>
        <w:pStyle w:val="19"/>
        <w:snapToGrid w:val="0"/>
        <w:spacing w:beforeLines="0" w:afterLines="0" w:line="360" w:lineRule="auto"/>
        <w:ind w:firstLine="470" w:firstLineChars="196"/>
        <w:rPr>
          <w:rFonts w:hAnsi="宋体"/>
        </w:rPr>
      </w:pPr>
      <w:r>
        <w:rPr>
          <w:rFonts w:hint="eastAsia" w:hAnsi="宋体"/>
        </w:rPr>
        <w:t>1.对所有通过资格审查的投标供应商的投标文件进行初步审查，审查、评价投标文件是否符合招标文件的商务、技术、服务等实质性要求。</w:t>
      </w:r>
    </w:p>
    <w:p w14:paraId="629BEF99">
      <w:pPr>
        <w:pStyle w:val="19"/>
        <w:snapToGrid w:val="0"/>
        <w:spacing w:beforeLines="0" w:afterLines="0" w:line="360" w:lineRule="auto"/>
        <w:ind w:firstLine="470" w:firstLineChars="196"/>
        <w:rPr>
          <w:rFonts w:hAnsi="宋体"/>
        </w:rPr>
      </w:pPr>
      <w:r>
        <w:rPr>
          <w:rFonts w:hint="eastAsia" w:hAnsi="宋体"/>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2C18A088">
      <w:pPr>
        <w:pStyle w:val="19"/>
        <w:snapToGrid w:val="0"/>
        <w:spacing w:beforeLines="0" w:afterLines="0" w:line="360" w:lineRule="auto"/>
        <w:ind w:firstLine="470" w:firstLineChars="196"/>
        <w:rPr>
          <w:rFonts w:hAnsi="宋体"/>
        </w:rPr>
      </w:pPr>
      <w:r>
        <w:rPr>
          <w:rFonts w:hint="eastAsia" w:hAnsi="宋体"/>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110AD4FE">
      <w:pPr>
        <w:snapToGrid w:val="0"/>
        <w:spacing w:line="360" w:lineRule="auto"/>
        <w:ind w:firstLine="482" w:firstLineChars="200"/>
        <w:rPr>
          <w:rFonts w:ascii="宋体" w:hAnsi="宋体"/>
          <w:b/>
          <w:sz w:val="24"/>
        </w:rPr>
      </w:pPr>
      <w:r>
        <w:rPr>
          <w:rFonts w:hint="eastAsia" w:ascii="宋体" w:hAnsi="宋体"/>
          <w:b/>
          <w:sz w:val="24"/>
        </w:rPr>
        <w:t>（四）澄清问题的形式</w:t>
      </w:r>
    </w:p>
    <w:p w14:paraId="7835F6D1">
      <w:pPr>
        <w:snapToGrid w:val="0"/>
        <w:spacing w:line="360" w:lineRule="auto"/>
        <w:ind w:firstLine="480" w:firstLineChars="200"/>
        <w:rPr>
          <w:rFonts w:ascii="宋体" w:hAnsi="宋体"/>
          <w:sz w:val="24"/>
        </w:rPr>
      </w:pPr>
      <w:r>
        <w:rPr>
          <w:rFonts w:hint="eastAsia" w:ascii="宋体" w:hAnsi="宋体"/>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63AFE627">
      <w:pPr>
        <w:snapToGrid w:val="0"/>
        <w:spacing w:line="360" w:lineRule="auto"/>
        <w:ind w:firstLine="480" w:firstLineChars="200"/>
        <w:rPr>
          <w:rFonts w:ascii="宋体" w:hAnsi="宋体"/>
          <w:sz w:val="24"/>
        </w:rPr>
      </w:pPr>
      <w:r>
        <w:rPr>
          <w:rFonts w:hint="eastAsia" w:ascii="宋体" w:hAnsi="宋体"/>
          <w:sz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2DADBDF2">
      <w:pPr>
        <w:snapToGrid w:val="0"/>
        <w:spacing w:line="360" w:lineRule="auto"/>
        <w:ind w:firstLine="482" w:firstLineChars="200"/>
        <w:rPr>
          <w:b/>
          <w:sz w:val="24"/>
        </w:rPr>
      </w:pPr>
      <w:r>
        <w:rPr>
          <w:b/>
          <w:sz w:val="24"/>
        </w:rPr>
        <w:t>（五）错误修正</w:t>
      </w:r>
    </w:p>
    <w:p w14:paraId="56CA31D3">
      <w:pPr>
        <w:pStyle w:val="19"/>
        <w:snapToGrid w:val="0"/>
        <w:spacing w:beforeLines="0" w:afterLines="0" w:line="360" w:lineRule="auto"/>
        <w:ind w:firstLine="470" w:firstLineChars="196"/>
      </w:pPr>
      <w:r>
        <w:t>投标文件如果出现计算或表达上的错误，修正错误的原则如下：</w:t>
      </w:r>
    </w:p>
    <w:p w14:paraId="12C4D199">
      <w:pPr>
        <w:pStyle w:val="19"/>
        <w:snapToGrid w:val="0"/>
        <w:spacing w:beforeLines="0" w:afterLines="0" w:line="360" w:lineRule="auto"/>
        <w:ind w:firstLine="470" w:firstLineChars="196"/>
      </w:pPr>
      <w:r>
        <w:t>1</w:t>
      </w:r>
      <w:r>
        <w:rPr>
          <w:rFonts w:hint="eastAsia"/>
        </w:rPr>
        <w:t>.开标一览表总价与投标报价明细表汇总数不一致的，以开标一览表为准；</w:t>
      </w:r>
    </w:p>
    <w:p w14:paraId="6F5C9E33">
      <w:pPr>
        <w:pStyle w:val="19"/>
        <w:snapToGrid w:val="0"/>
        <w:spacing w:beforeLines="0" w:afterLines="0" w:line="360" w:lineRule="auto"/>
        <w:ind w:firstLine="470" w:firstLineChars="196"/>
      </w:pPr>
      <w:r>
        <w:t>2</w:t>
      </w:r>
      <w:r>
        <w:rPr>
          <w:rFonts w:hint="eastAsia"/>
        </w:rPr>
        <w:t>.</w:t>
      </w:r>
      <w:r>
        <w:t>投标文件的大写金额和小写金额不一致的，以大写金额为准；</w:t>
      </w:r>
    </w:p>
    <w:p w14:paraId="0F6D927E">
      <w:pPr>
        <w:pStyle w:val="19"/>
        <w:snapToGrid w:val="0"/>
        <w:spacing w:beforeLines="0" w:afterLines="0" w:line="360" w:lineRule="auto"/>
        <w:ind w:firstLine="470" w:firstLineChars="196"/>
      </w:pPr>
      <w:r>
        <w:t>3</w:t>
      </w:r>
      <w:r>
        <w:rPr>
          <w:rFonts w:hint="eastAsia"/>
        </w:rPr>
        <w:t>.</w:t>
      </w:r>
      <w:r>
        <w:t>总价金额与按单价汇总金额不一致的，以单价金额计算结果为准；</w:t>
      </w:r>
    </w:p>
    <w:p w14:paraId="2B4B36C0">
      <w:pPr>
        <w:pStyle w:val="19"/>
        <w:snapToGrid w:val="0"/>
        <w:spacing w:beforeLines="0" w:afterLines="0" w:line="360" w:lineRule="auto"/>
        <w:ind w:firstLine="470" w:firstLineChars="196"/>
      </w:pPr>
      <w:r>
        <w:t>4</w:t>
      </w:r>
      <w:r>
        <w:rPr>
          <w:rFonts w:hint="eastAsia"/>
        </w:rPr>
        <w:t>.</w:t>
      </w:r>
      <w:r>
        <w:t>对不同文字文本投标文件的解释发生异议的，以中文文本为准。</w:t>
      </w:r>
    </w:p>
    <w:p w14:paraId="6C753F0B">
      <w:pPr>
        <w:pStyle w:val="19"/>
        <w:snapToGrid w:val="0"/>
        <w:spacing w:beforeLines="0" w:afterLines="0" w:line="360" w:lineRule="auto"/>
        <w:ind w:firstLine="482" w:firstLineChars="200"/>
        <w:rPr>
          <w:rFonts w:hAnsi="宋体"/>
          <w:b/>
          <w:bCs/>
        </w:rPr>
      </w:pPr>
      <w:r>
        <w:rPr>
          <w:rFonts w:hAnsi="宋体"/>
          <w:b/>
          <w:bCs/>
        </w:rPr>
        <w:t>按上述修正错误的原则及方法调整或修正投标文件的投标报价，投标人同意</w:t>
      </w:r>
      <w:r>
        <w:rPr>
          <w:rFonts w:hint="eastAsia" w:hAnsi="宋体"/>
          <w:b/>
          <w:bCs/>
        </w:rPr>
        <w:t>并签字确认</w:t>
      </w:r>
      <w:r>
        <w:rPr>
          <w:rFonts w:hAnsi="宋体"/>
          <w:b/>
          <w:bCs/>
        </w:rPr>
        <w:t>后，调整后的投标报价对投标人具有约束作用。如果投标人不接受修正后的报价，则其投标将</w:t>
      </w:r>
      <w:r>
        <w:rPr>
          <w:rFonts w:hint="eastAsia" w:hAnsi="宋体"/>
          <w:b/>
          <w:bCs/>
        </w:rPr>
        <w:t>作为无效投标处理</w:t>
      </w:r>
      <w:r>
        <w:rPr>
          <w:rFonts w:hAnsi="宋体"/>
          <w:b/>
          <w:bCs/>
        </w:rPr>
        <w:t>。</w:t>
      </w:r>
    </w:p>
    <w:p w14:paraId="450AD171">
      <w:pPr>
        <w:pStyle w:val="19"/>
        <w:tabs>
          <w:tab w:val="left" w:pos="630"/>
        </w:tabs>
        <w:snapToGrid w:val="0"/>
        <w:spacing w:beforeLines="0" w:afterLines="0" w:line="360" w:lineRule="auto"/>
        <w:ind w:firstLine="472" w:firstLineChars="196"/>
        <w:rPr>
          <w:rFonts w:hAnsi="宋体"/>
          <w:b/>
        </w:rPr>
      </w:pPr>
      <w:r>
        <w:rPr>
          <w:rFonts w:hAnsi="宋体"/>
          <w:b/>
        </w:rPr>
        <w:t>（六）评标原则和评标办法</w:t>
      </w:r>
    </w:p>
    <w:p w14:paraId="06A54E46">
      <w:pPr>
        <w:pStyle w:val="19"/>
        <w:snapToGrid w:val="0"/>
        <w:spacing w:beforeLines="0" w:afterLines="0" w:line="360" w:lineRule="auto"/>
        <w:ind w:firstLine="470" w:firstLineChars="196"/>
      </w:pPr>
      <w:r>
        <w:t>1</w:t>
      </w:r>
      <w:r>
        <w:rPr>
          <w:rFonts w:hint="eastAsia"/>
        </w:rPr>
        <w:t>.</w:t>
      </w:r>
      <w: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70170D4">
      <w:pPr>
        <w:pStyle w:val="19"/>
        <w:snapToGrid w:val="0"/>
        <w:spacing w:beforeLines="0" w:afterLines="0" w:line="360" w:lineRule="auto"/>
        <w:ind w:firstLine="470" w:firstLineChars="196"/>
      </w:pPr>
      <w:r>
        <w:t>2</w:t>
      </w:r>
      <w:r>
        <w:rPr>
          <w:rFonts w:hint="eastAsia"/>
        </w:rPr>
        <w:t>.</w:t>
      </w:r>
      <w:r>
        <w:t>评标办法。本项目评标办法是本项目采取综合评分法，具体评标内容及评分标准等详见《第四章：评标办法及评分标准》。</w:t>
      </w:r>
    </w:p>
    <w:p w14:paraId="458A5513">
      <w:pPr>
        <w:pStyle w:val="19"/>
        <w:snapToGrid w:val="0"/>
        <w:spacing w:beforeLines="0" w:afterLines="0" w:line="360" w:lineRule="auto"/>
        <w:ind w:firstLine="482" w:firstLineChars="200"/>
        <w:rPr>
          <w:rFonts w:hAnsi="宋体"/>
          <w:b/>
        </w:rPr>
      </w:pPr>
      <w:r>
        <w:rPr>
          <w:rFonts w:hint="eastAsia" w:hAnsi="宋体"/>
          <w:b/>
        </w:rPr>
        <w:t>（七）废标</w:t>
      </w:r>
    </w:p>
    <w:p w14:paraId="743EE8E2">
      <w:pPr>
        <w:pStyle w:val="19"/>
        <w:snapToGrid w:val="0"/>
        <w:spacing w:beforeLines="0" w:afterLines="0" w:line="360" w:lineRule="auto"/>
        <w:ind w:firstLine="470" w:firstLineChars="196"/>
      </w:pPr>
      <w:r>
        <w:rPr>
          <w:rFonts w:hint="eastAsia"/>
        </w:rPr>
        <w:t>在采购中，出现下列情形之一的，应予废标：</w:t>
      </w:r>
    </w:p>
    <w:p w14:paraId="30409EB7">
      <w:pPr>
        <w:pStyle w:val="19"/>
        <w:snapToGrid w:val="0"/>
        <w:spacing w:beforeLines="0" w:afterLines="0" w:line="360" w:lineRule="auto"/>
        <w:ind w:firstLine="470" w:firstLineChars="196"/>
      </w:pPr>
      <w:r>
        <w:rPr>
          <w:rFonts w:hint="eastAsia"/>
        </w:rPr>
        <w:t>1.符合专业条件的供应商或者对招标文件作实质响应的供应商不足3家的；</w:t>
      </w:r>
    </w:p>
    <w:p w14:paraId="56BE2FE4">
      <w:pPr>
        <w:pStyle w:val="19"/>
        <w:snapToGrid w:val="0"/>
        <w:spacing w:beforeLines="0" w:afterLines="0" w:line="360" w:lineRule="auto"/>
        <w:ind w:firstLine="470" w:firstLineChars="196"/>
      </w:pPr>
      <w:r>
        <w:rPr>
          <w:rFonts w:hint="eastAsia"/>
        </w:rPr>
        <w:t>2.出现影响采购公正的违法、违规行为的；</w:t>
      </w:r>
    </w:p>
    <w:p w14:paraId="57171840">
      <w:pPr>
        <w:pStyle w:val="19"/>
        <w:snapToGrid w:val="0"/>
        <w:spacing w:beforeLines="0" w:afterLines="0" w:line="360" w:lineRule="auto"/>
        <w:ind w:firstLine="470" w:firstLineChars="196"/>
      </w:pPr>
      <w:r>
        <w:rPr>
          <w:rFonts w:hint="eastAsia"/>
        </w:rPr>
        <w:t>3.报价均超过预算，不能支付的；</w:t>
      </w:r>
    </w:p>
    <w:p w14:paraId="0C513E66">
      <w:pPr>
        <w:pStyle w:val="19"/>
        <w:snapToGrid w:val="0"/>
        <w:spacing w:beforeLines="0" w:afterLines="0" w:line="360" w:lineRule="auto"/>
        <w:ind w:firstLine="470" w:firstLineChars="196"/>
      </w:pPr>
      <w:r>
        <w:rPr>
          <w:rFonts w:hint="eastAsia"/>
        </w:rPr>
        <w:t>4.因重大变故，采购任务取消的。</w:t>
      </w:r>
    </w:p>
    <w:p w14:paraId="7032C858">
      <w:pPr>
        <w:pStyle w:val="19"/>
        <w:snapToGrid w:val="0"/>
        <w:spacing w:beforeLines="0" w:afterLines="0" w:line="360" w:lineRule="auto"/>
        <w:ind w:firstLine="482" w:firstLineChars="200"/>
        <w:rPr>
          <w:rFonts w:hAnsi="宋体"/>
          <w:b/>
        </w:rPr>
      </w:pPr>
      <w:r>
        <w:rPr>
          <w:rFonts w:hint="eastAsia" w:hAnsi="宋体"/>
          <w:b/>
        </w:rPr>
        <w:t>（八）可中止电子交易活动的情形</w:t>
      </w:r>
    </w:p>
    <w:p w14:paraId="7F433FF5">
      <w:pPr>
        <w:pStyle w:val="19"/>
        <w:snapToGrid w:val="0"/>
        <w:spacing w:beforeLines="0" w:afterLines="0" w:line="360" w:lineRule="auto"/>
        <w:ind w:firstLine="470" w:firstLineChars="196"/>
      </w:pPr>
      <w:r>
        <w:rPr>
          <w:rFonts w:hint="eastAsia"/>
        </w:rPr>
        <w:t>采购过程中出现以下情形，导致电子交易平台无法正常运行，或者无法保证电子交易的公平、公正和安全时，采购组织机构可中止电子交易活动：</w:t>
      </w:r>
    </w:p>
    <w:p w14:paraId="49FA4C31">
      <w:pPr>
        <w:pStyle w:val="19"/>
        <w:snapToGrid w:val="0"/>
        <w:spacing w:beforeLines="0" w:afterLines="0" w:line="360" w:lineRule="auto"/>
        <w:ind w:firstLine="470" w:firstLineChars="196"/>
      </w:pPr>
      <w:r>
        <w:rPr>
          <w:rFonts w:hint="eastAsia"/>
        </w:rPr>
        <w:t>1、电子交易平台发生故障而无法登录访问的；</w:t>
      </w:r>
    </w:p>
    <w:p w14:paraId="73DD20BD">
      <w:pPr>
        <w:pStyle w:val="19"/>
        <w:snapToGrid w:val="0"/>
        <w:spacing w:beforeLines="0" w:afterLines="0" w:line="360" w:lineRule="auto"/>
        <w:ind w:firstLine="470" w:firstLineChars="196"/>
      </w:pPr>
      <w:r>
        <w:rPr>
          <w:rFonts w:hint="eastAsia"/>
        </w:rPr>
        <w:t>2、电子交易平台应用或数据库出现错误，不能进行正常操作的；</w:t>
      </w:r>
    </w:p>
    <w:p w14:paraId="632B7FE4">
      <w:pPr>
        <w:pStyle w:val="19"/>
        <w:snapToGrid w:val="0"/>
        <w:spacing w:beforeLines="0" w:afterLines="0" w:line="360" w:lineRule="auto"/>
        <w:ind w:firstLine="470" w:firstLineChars="196"/>
      </w:pPr>
      <w:r>
        <w:rPr>
          <w:rFonts w:hint="eastAsia"/>
        </w:rPr>
        <w:t>3、电子交易平台发现严重安全漏洞，有潜在泄密危险的；</w:t>
      </w:r>
    </w:p>
    <w:p w14:paraId="5390357F">
      <w:pPr>
        <w:pStyle w:val="19"/>
        <w:snapToGrid w:val="0"/>
        <w:spacing w:beforeLines="0" w:afterLines="0" w:line="360" w:lineRule="auto"/>
        <w:ind w:firstLine="470" w:firstLineChars="196"/>
      </w:pPr>
      <w:r>
        <w:rPr>
          <w:rFonts w:hint="eastAsia"/>
        </w:rPr>
        <w:t>4、病毒发作导致不能进行正常操作的；</w:t>
      </w:r>
    </w:p>
    <w:p w14:paraId="26A84E76">
      <w:pPr>
        <w:pStyle w:val="19"/>
        <w:snapToGrid w:val="0"/>
        <w:spacing w:beforeLines="0" w:afterLines="0" w:line="360" w:lineRule="auto"/>
        <w:ind w:firstLine="470" w:firstLineChars="196"/>
      </w:pPr>
      <w:r>
        <w:rPr>
          <w:rFonts w:hint="eastAsia"/>
        </w:rPr>
        <w:t>5、其他无法保证电子交易的公平、公正和安全的情况。</w:t>
      </w:r>
    </w:p>
    <w:p w14:paraId="6C18FCB1">
      <w:pPr>
        <w:pStyle w:val="19"/>
        <w:snapToGrid w:val="0"/>
        <w:spacing w:beforeLines="0" w:afterLines="0" w:line="360" w:lineRule="auto"/>
        <w:ind w:firstLine="470" w:firstLineChars="196"/>
      </w:pPr>
      <w:r>
        <w:rPr>
          <w:rFonts w:hint="eastAsia"/>
        </w:rPr>
        <w:t>出现前款规定情形，不影响采购公平、公正性的，采购组织机构可以待上述情形消除后继续组织电子交易活动；影响或可能影响采购公平、公正性的，应当重新采购。</w:t>
      </w:r>
    </w:p>
    <w:p w14:paraId="23F4B086">
      <w:pPr>
        <w:pStyle w:val="19"/>
        <w:snapToGrid w:val="0"/>
        <w:spacing w:beforeLines="0" w:afterLines="0" w:line="360" w:lineRule="auto"/>
        <w:ind w:firstLine="551" w:firstLineChars="196"/>
        <w:outlineLvl w:val="1"/>
        <w:rPr>
          <w:rFonts w:hAnsi="宋体"/>
          <w:b/>
          <w:sz w:val="28"/>
          <w:szCs w:val="28"/>
        </w:rPr>
      </w:pPr>
      <w:r>
        <w:rPr>
          <w:rFonts w:hint="eastAsia" w:hAnsi="宋体"/>
          <w:b/>
          <w:sz w:val="28"/>
          <w:szCs w:val="28"/>
        </w:rPr>
        <w:t>六、定标</w:t>
      </w:r>
    </w:p>
    <w:p w14:paraId="2688B2BC">
      <w:pPr>
        <w:pStyle w:val="19"/>
        <w:snapToGrid w:val="0"/>
        <w:spacing w:beforeLines="0" w:afterLines="0" w:line="360" w:lineRule="auto"/>
        <w:ind w:firstLine="472" w:firstLineChars="196"/>
        <w:rPr>
          <w:b/>
          <w:bCs/>
        </w:rPr>
      </w:pPr>
      <w:r>
        <w:rPr>
          <w:rFonts w:hint="eastAsia"/>
          <w:b/>
          <w:bCs/>
        </w:rPr>
        <w:t>（一）确定中标人。</w:t>
      </w:r>
      <w:r>
        <w:rPr>
          <w:rFonts w:hint="eastAsia" w:hAnsi="宋体"/>
          <w:b/>
        </w:rPr>
        <w:t>本项目由采购人授权评标委员会确定中标人。</w:t>
      </w:r>
    </w:p>
    <w:p w14:paraId="7EE19F68">
      <w:pPr>
        <w:pStyle w:val="19"/>
        <w:snapToGrid w:val="0"/>
        <w:spacing w:beforeLines="0" w:afterLines="0" w:line="360" w:lineRule="auto"/>
        <w:ind w:firstLine="470" w:firstLineChars="196"/>
      </w:pPr>
      <w:r>
        <w:rPr>
          <w:rFonts w:hint="eastAsia"/>
        </w:rPr>
        <w:t>1.采购人在收到评标报告后五个工作日内，依法确认中标供应商。</w:t>
      </w:r>
    </w:p>
    <w:p w14:paraId="68DEF7F5">
      <w:pPr>
        <w:pStyle w:val="19"/>
        <w:snapToGrid w:val="0"/>
        <w:spacing w:beforeLines="0" w:afterLines="0" w:line="360" w:lineRule="auto"/>
        <w:ind w:firstLine="470" w:firstLineChars="196"/>
      </w:pPr>
      <w:r>
        <w:rPr>
          <w:rFonts w:hint="eastAsia"/>
        </w:rPr>
        <w:t>2.中标供应商确定后，中标结果在财政部门指定的政府采购信息发布媒体上公告。</w:t>
      </w:r>
    </w:p>
    <w:p w14:paraId="326D79D6">
      <w:pPr>
        <w:pStyle w:val="19"/>
        <w:snapToGrid w:val="0"/>
        <w:spacing w:beforeLines="0" w:afterLines="0" w:line="360" w:lineRule="auto"/>
        <w:ind w:firstLine="470" w:firstLineChars="196"/>
      </w:pPr>
      <w:r>
        <w:rPr>
          <w:rFonts w:hint="eastAsia"/>
        </w:rPr>
        <w:t>3.在发布公告的同时，招标采购单位向中标供应商发出中标通知书，中标通知书对采购人和中标供应商具有同等法律效力。</w:t>
      </w:r>
    </w:p>
    <w:p w14:paraId="4654CF7A">
      <w:pPr>
        <w:pStyle w:val="19"/>
        <w:snapToGrid w:val="0"/>
        <w:spacing w:beforeLines="0" w:afterLines="0" w:line="360" w:lineRule="auto"/>
        <w:ind w:firstLine="472" w:firstLineChars="196"/>
        <w:rPr>
          <w:b/>
        </w:rPr>
      </w:pPr>
      <w:r>
        <w:rPr>
          <w:rFonts w:hint="eastAsia"/>
          <w:b/>
        </w:rPr>
        <w:t>4根据浙江省财政厅《</w:t>
      </w:r>
      <w:r>
        <w:rPr>
          <w:b/>
        </w:rPr>
        <w:t>关于印发浙江省政府采购供应商注册及诚信管理暂行办法的通知</w:t>
      </w:r>
      <w:r>
        <w:rPr>
          <w:rFonts w:hint="eastAsia"/>
          <w:b/>
        </w:rPr>
        <w:t>》[</w:t>
      </w:r>
      <w:r>
        <w:rPr>
          <w:b/>
        </w:rPr>
        <w:t>浙财采监字〔2009〕28号</w:t>
      </w:r>
      <w:r>
        <w:rPr>
          <w:rFonts w:hint="eastAsia"/>
          <w:b/>
        </w:rPr>
        <w:t>]精神，中标供应商在领取中标通知书前，必须在《浙江政府采购网》上完成供应商的注册工作，经初审、终审及公示后方可正式领取中标通知书。</w:t>
      </w:r>
    </w:p>
    <w:p w14:paraId="2B6BA9AF">
      <w:pPr>
        <w:pStyle w:val="19"/>
        <w:snapToGrid w:val="0"/>
        <w:spacing w:beforeLines="0" w:afterLines="0" w:line="360" w:lineRule="auto"/>
        <w:ind w:firstLine="470" w:firstLineChars="196"/>
      </w:pPr>
      <w:r>
        <w:rPr>
          <w:rFonts w:hint="eastAsia"/>
        </w:rPr>
        <w:t>5.中标通知书发出后，采购人改变中标结果，或者中标供应商放弃中标，应当承担相应的法律责任。</w:t>
      </w:r>
    </w:p>
    <w:p w14:paraId="7968C4EC">
      <w:pPr>
        <w:pStyle w:val="19"/>
        <w:snapToGrid w:val="0"/>
        <w:spacing w:beforeLines="0" w:afterLines="0" w:line="360" w:lineRule="auto"/>
        <w:ind w:firstLine="470" w:firstLineChars="196"/>
      </w:pPr>
      <w:r>
        <w:rPr>
          <w:rFonts w:hint="eastAsia"/>
        </w:rPr>
        <w:t>6.替补说明：根据《中华人民共和国政府采购法实施条例》第四十九项规定，中标或者成交供应商拒绝（包含放弃成交结果的）与采购人签订合同的，采购人可以按照评审报告推荐的中标或者成交候选人名单排序，确定下一候选人为中标或者成交供应商，也可以重新开展政府采购活动。</w:t>
      </w:r>
    </w:p>
    <w:p w14:paraId="50978773">
      <w:pPr>
        <w:pStyle w:val="19"/>
        <w:snapToGrid w:val="0"/>
        <w:spacing w:beforeLines="0" w:afterLines="0" w:line="360" w:lineRule="auto"/>
        <w:ind w:firstLine="472" w:firstLineChars="196"/>
        <w:rPr>
          <w:rFonts w:hAnsi="宋体"/>
          <w:b/>
        </w:rPr>
      </w:pPr>
      <w:r>
        <w:rPr>
          <w:rFonts w:hint="eastAsia" w:hAnsi="宋体"/>
          <w:b/>
        </w:rPr>
        <w:t>（二）中标通知书</w:t>
      </w:r>
    </w:p>
    <w:p w14:paraId="221B1835">
      <w:pPr>
        <w:pStyle w:val="19"/>
        <w:snapToGrid w:val="0"/>
        <w:spacing w:beforeLines="0" w:afterLines="0" w:line="360" w:lineRule="auto"/>
        <w:ind w:firstLine="470" w:firstLineChars="196"/>
      </w:pPr>
      <w:r>
        <w:rPr>
          <w:rFonts w:hint="eastAsia"/>
        </w:rPr>
        <w:t>1.确定中标供应商后，招标采购单位将以书面形式发出中标通知书，通知中标的投标人其投标被接受。</w:t>
      </w:r>
    </w:p>
    <w:p w14:paraId="1E7B7905">
      <w:pPr>
        <w:pStyle w:val="19"/>
        <w:snapToGrid w:val="0"/>
        <w:spacing w:beforeLines="0" w:afterLines="0" w:line="360" w:lineRule="auto"/>
        <w:ind w:firstLine="470" w:firstLineChars="196"/>
      </w:pPr>
      <w:r>
        <w:rPr>
          <w:rFonts w:hint="eastAsia"/>
        </w:rPr>
        <w:t>2.中标通知书为双方签订合同的依据。</w:t>
      </w:r>
    </w:p>
    <w:p w14:paraId="4C58CBD1">
      <w:pPr>
        <w:pStyle w:val="19"/>
        <w:snapToGrid w:val="0"/>
        <w:spacing w:beforeLines="0" w:afterLines="0" w:line="360" w:lineRule="auto"/>
        <w:ind w:firstLine="470" w:firstLineChars="196"/>
      </w:pPr>
      <w:r>
        <w:rPr>
          <w:rFonts w:hint="eastAsia"/>
        </w:rPr>
        <w:t>3.中标供应商应根据中标通知书中规定的时间内，由法定代表人或其授权代理人与采购人签订合同。</w:t>
      </w:r>
    </w:p>
    <w:p w14:paraId="6AD33F8A">
      <w:pPr>
        <w:pStyle w:val="19"/>
        <w:snapToGrid w:val="0"/>
        <w:spacing w:beforeLines="0" w:afterLines="0" w:line="360" w:lineRule="auto"/>
        <w:ind w:firstLine="551" w:firstLineChars="196"/>
        <w:outlineLvl w:val="1"/>
        <w:rPr>
          <w:rFonts w:hAnsi="宋体"/>
          <w:b/>
          <w:sz w:val="28"/>
          <w:szCs w:val="28"/>
        </w:rPr>
      </w:pPr>
      <w:r>
        <w:rPr>
          <w:rFonts w:hint="eastAsia" w:hAnsi="宋体"/>
          <w:b/>
          <w:sz w:val="28"/>
          <w:szCs w:val="28"/>
        </w:rPr>
        <w:t>七、合同授予</w:t>
      </w:r>
    </w:p>
    <w:p w14:paraId="5205FD9B">
      <w:pPr>
        <w:snapToGrid w:val="0"/>
        <w:spacing w:line="360" w:lineRule="auto"/>
        <w:ind w:firstLine="472" w:firstLineChars="196"/>
        <w:rPr>
          <w:rFonts w:ascii="宋体" w:hAnsi="宋体"/>
          <w:b/>
          <w:bCs/>
          <w:sz w:val="24"/>
          <w:szCs w:val="20"/>
        </w:rPr>
      </w:pPr>
      <w:r>
        <w:rPr>
          <w:rFonts w:hint="eastAsia" w:ascii="宋体" w:hAnsi="宋体"/>
          <w:b/>
          <w:bCs/>
          <w:sz w:val="24"/>
        </w:rPr>
        <w:t>（一）签订合同</w:t>
      </w:r>
    </w:p>
    <w:p w14:paraId="003339B2">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.采购人与</w:t>
      </w:r>
      <w:r>
        <w:rPr>
          <w:rFonts w:ascii="宋体" w:hAnsi="宋体"/>
          <w:sz w:val="24"/>
        </w:rPr>
        <w:t>中标人应</w:t>
      </w:r>
      <w:r>
        <w:rPr>
          <w:rFonts w:hint="eastAsia" w:ascii="宋体" w:hAnsi="宋体"/>
          <w:sz w:val="24"/>
        </w:rPr>
        <w:t>当在《</w:t>
      </w:r>
      <w:r>
        <w:rPr>
          <w:rFonts w:ascii="宋体" w:hAnsi="宋体"/>
          <w:sz w:val="24"/>
        </w:rPr>
        <w:t>中标通知书</w:t>
      </w:r>
      <w:r>
        <w:rPr>
          <w:rFonts w:hint="eastAsia" w:ascii="宋体" w:hAnsi="宋体"/>
          <w:sz w:val="24"/>
        </w:rPr>
        <w:t>》发出之日起30日内签订政府采购合同。同时，采购代理机构对合同内容进行审查，如发现与采购结果和投标承诺内容不一致的，应予以纠正。</w:t>
      </w:r>
    </w:p>
    <w:p w14:paraId="6C8C523E">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中标人拖延、拒签合同的</w:t>
      </w:r>
      <w:r>
        <w:rPr>
          <w:rFonts w:hint="eastAsia" w:ascii="宋体" w:hAnsi="宋体"/>
          <w:sz w:val="24"/>
        </w:rPr>
        <w:t>，</w:t>
      </w:r>
      <w:r>
        <w:rPr>
          <w:rFonts w:ascii="宋体" w:hAnsi="宋体"/>
          <w:sz w:val="24"/>
        </w:rPr>
        <w:t>将被取消中标资格。</w:t>
      </w:r>
    </w:p>
    <w:p w14:paraId="48D544F3">
      <w:pPr>
        <w:pStyle w:val="19"/>
        <w:snapToGrid w:val="0"/>
        <w:spacing w:beforeLines="0" w:afterLines="0" w:line="360" w:lineRule="auto"/>
        <w:ind w:firstLine="472" w:firstLineChars="196"/>
        <w:rPr>
          <w:rFonts w:hAnsi="宋体"/>
          <w:b/>
        </w:rPr>
      </w:pPr>
      <w:r>
        <w:rPr>
          <w:rFonts w:hAnsi="宋体"/>
          <w:b/>
        </w:rPr>
        <w:t>（二）履约保证金</w:t>
      </w:r>
    </w:p>
    <w:p w14:paraId="4BD43D86">
      <w:pPr>
        <w:pStyle w:val="19"/>
        <w:snapToGrid w:val="0"/>
        <w:spacing w:beforeLines="0" w:afterLines="0" w:line="360" w:lineRule="auto"/>
        <w:ind w:firstLine="470" w:firstLineChars="196"/>
        <w:outlineLvl w:val="1"/>
        <w:rPr>
          <w:rFonts w:hAnsi="宋体"/>
        </w:rPr>
      </w:pPr>
      <w:r>
        <w:rPr>
          <w:rFonts w:hint="eastAsia" w:hAnsi="宋体"/>
        </w:rPr>
        <w:t>无</w:t>
      </w:r>
    </w:p>
    <w:p w14:paraId="07E29643">
      <w:pPr>
        <w:pStyle w:val="19"/>
        <w:snapToGrid w:val="0"/>
        <w:spacing w:beforeLines="0" w:afterLines="0" w:line="360" w:lineRule="auto"/>
        <w:ind w:firstLine="551" w:firstLineChars="196"/>
        <w:outlineLvl w:val="1"/>
        <w:rPr>
          <w:rFonts w:hAnsi="宋体"/>
          <w:b/>
          <w:sz w:val="28"/>
          <w:szCs w:val="28"/>
        </w:rPr>
      </w:pPr>
      <w:r>
        <w:rPr>
          <w:rFonts w:hint="eastAsia" w:hAnsi="宋体"/>
          <w:b/>
          <w:sz w:val="28"/>
          <w:szCs w:val="28"/>
        </w:rPr>
        <w:t>（三）其他</w:t>
      </w:r>
    </w:p>
    <w:p w14:paraId="7E4104E5">
      <w:pPr>
        <w:snapToGrid w:val="0"/>
        <w:spacing w:line="360" w:lineRule="auto"/>
        <w:ind w:firstLine="470" w:firstLineChars="196"/>
        <w:jc w:val="left"/>
        <w:rPr>
          <w:rFonts w:ascii="宋体" w:hAnsi="宋体"/>
          <w:sz w:val="24"/>
        </w:rPr>
      </w:pPr>
      <w:r>
        <w:rPr>
          <w:rFonts w:hint="eastAsia" w:ascii="宋体" w:hAnsi="宋体"/>
          <w:sz w:val="24"/>
        </w:rPr>
        <w:t>供应商有下列情形之一的，自愿接受取消投标资格；如已中标的，自动放弃中标资格，并承担全部法律责任；给采购人造成损失的，依法承担赔偿责任：</w:t>
      </w:r>
    </w:p>
    <w:p w14:paraId="337745C6">
      <w:pPr>
        <w:snapToGrid w:val="0"/>
        <w:spacing w:line="360" w:lineRule="auto"/>
        <w:ind w:firstLine="470" w:firstLineChars="196"/>
        <w:rPr>
          <w:rFonts w:ascii="宋体" w:hAnsi="宋体"/>
          <w:sz w:val="24"/>
        </w:rPr>
      </w:pPr>
      <w:r>
        <w:rPr>
          <w:rFonts w:hint="eastAsia" w:ascii="宋体" w:hAnsi="宋体"/>
          <w:sz w:val="24"/>
        </w:rPr>
        <w:t>（1）供应商在投标有效期内撤回投标文件的；</w:t>
      </w:r>
    </w:p>
    <w:p w14:paraId="28F944E2">
      <w:pPr>
        <w:snapToGrid w:val="0"/>
        <w:spacing w:line="360" w:lineRule="auto"/>
        <w:ind w:firstLine="470" w:firstLineChars="196"/>
        <w:rPr>
          <w:rFonts w:ascii="宋体" w:hAnsi="宋体"/>
          <w:sz w:val="24"/>
        </w:rPr>
      </w:pPr>
      <w:r>
        <w:rPr>
          <w:rFonts w:hint="eastAsia" w:ascii="宋体" w:hAnsi="宋体"/>
          <w:sz w:val="24"/>
        </w:rPr>
        <w:t>（2）供应商在投标过程中弄虚作假，提供虚假材料的；</w:t>
      </w:r>
    </w:p>
    <w:p w14:paraId="189BA713">
      <w:pPr>
        <w:snapToGrid w:val="0"/>
        <w:spacing w:line="360" w:lineRule="auto"/>
        <w:ind w:firstLine="470" w:firstLineChars="196"/>
        <w:rPr>
          <w:rFonts w:ascii="宋体" w:hAnsi="宋体"/>
          <w:sz w:val="24"/>
        </w:rPr>
      </w:pPr>
      <w:r>
        <w:rPr>
          <w:rFonts w:hint="eastAsia" w:ascii="宋体" w:hAnsi="宋体"/>
          <w:sz w:val="24"/>
        </w:rPr>
        <w:t>（3）中标供应商无正当理由不与采购人签订合同的；</w:t>
      </w:r>
    </w:p>
    <w:p w14:paraId="7F73BD65">
      <w:pPr>
        <w:snapToGrid w:val="0"/>
        <w:spacing w:line="360" w:lineRule="auto"/>
        <w:ind w:firstLine="470" w:firstLineChars="196"/>
        <w:rPr>
          <w:rFonts w:ascii="宋体" w:hAnsi="宋体"/>
          <w:sz w:val="24"/>
        </w:rPr>
      </w:pPr>
      <w:r>
        <w:rPr>
          <w:rFonts w:hint="eastAsia" w:ascii="宋体" w:hAnsi="宋体"/>
          <w:sz w:val="24"/>
        </w:rPr>
        <w:t>（4）将中标项目转让给他人或者在投标文件中未说明且未经招标采购人同意，将中标项目分包给他人的；</w:t>
      </w:r>
    </w:p>
    <w:p w14:paraId="1A908FE2">
      <w:pPr>
        <w:snapToGrid w:val="0"/>
        <w:spacing w:line="360" w:lineRule="auto"/>
        <w:ind w:firstLine="470" w:firstLineChars="196"/>
        <w:rPr>
          <w:rFonts w:ascii="宋体" w:hAnsi="宋体"/>
          <w:sz w:val="24"/>
        </w:rPr>
      </w:pPr>
      <w:r>
        <w:rPr>
          <w:rFonts w:hint="eastAsia" w:ascii="宋体" w:hAnsi="宋体"/>
          <w:sz w:val="24"/>
        </w:rPr>
        <w:t>（5）拒绝履行合同义务的；</w:t>
      </w:r>
    </w:p>
    <w:p w14:paraId="26014293">
      <w:pPr>
        <w:snapToGrid w:val="0"/>
        <w:spacing w:line="360" w:lineRule="auto"/>
        <w:ind w:firstLine="470" w:firstLineChars="196"/>
        <w:rPr>
          <w:rFonts w:ascii="宋体" w:hAnsi="宋体"/>
          <w:sz w:val="24"/>
        </w:rPr>
      </w:pPr>
      <w:r>
        <w:rPr>
          <w:rFonts w:hint="eastAsia" w:ascii="宋体" w:hAnsi="宋体"/>
          <w:sz w:val="24"/>
        </w:rPr>
        <w:t>（6）其他严重扰乱招投标程序的。</w:t>
      </w:r>
    </w:p>
    <w:p w14:paraId="1DF3E71F">
      <w:pPr>
        <w:pStyle w:val="19"/>
        <w:snapToGrid w:val="0"/>
        <w:spacing w:beforeLines="0" w:afterLines="0" w:line="360" w:lineRule="auto"/>
        <w:ind w:firstLine="470" w:firstLineChars="196"/>
        <w:outlineLvl w:val="1"/>
        <w:rPr>
          <w:rFonts w:hAnsi="宋体"/>
        </w:rPr>
      </w:pPr>
    </w:p>
    <w:p w14:paraId="1EF0B557">
      <w:pPr>
        <w:pStyle w:val="19"/>
        <w:snapToGrid w:val="0"/>
        <w:spacing w:beforeLines="0" w:afterLines="0" w:line="360" w:lineRule="auto"/>
        <w:ind w:firstLine="470" w:firstLineChars="196"/>
        <w:outlineLvl w:val="1"/>
        <w:rPr>
          <w:rFonts w:hAnsi="宋体"/>
        </w:rPr>
      </w:pPr>
    </w:p>
    <w:p w14:paraId="165F8FB2">
      <w:pPr>
        <w:pStyle w:val="19"/>
        <w:snapToGrid w:val="0"/>
        <w:spacing w:beforeLines="0" w:afterLines="0" w:line="360" w:lineRule="auto"/>
        <w:ind w:firstLine="470" w:firstLineChars="196"/>
        <w:outlineLvl w:val="1"/>
        <w:rPr>
          <w:rFonts w:hAnsi="宋体"/>
        </w:rPr>
      </w:pPr>
    </w:p>
    <w:p w14:paraId="18DD598F">
      <w:pPr>
        <w:pStyle w:val="19"/>
        <w:snapToGrid w:val="0"/>
        <w:spacing w:beforeLines="0" w:afterLines="0" w:line="360" w:lineRule="auto"/>
        <w:ind w:firstLine="470" w:firstLineChars="196"/>
        <w:outlineLvl w:val="1"/>
        <w:rPr>
          <w:rFonts w:hAnsi="宋体"/>
        </w:rPr>
      </w:pPr>
    </w:p>
    <w:p w14:paraId="64B16286">
      <w:pPr>
        <w:pStyle w:val="19"/>
        <w:snapToGrid w:val="0"/>
        <w:spacing w:beforeLines="0" w:afterLines="0" w:line="360" w:lineRule="auto"/>
        <w:ind w:firstLine="470" w:firstLineChars="196"/>
        <w:outlineLvl w:val="1"/>
        <w:rPr>
          <w:rFonts w:hAnsi="宋体"/>
        </w:rPr>
      </w:pPr>
    </w:p>
    <w:p w14:paraId="696A0B38">
      <w:pPr>
        <w:pStyle w:val="19"/>
        <w:snapToGrid w:val="0"/>
        <w:spacing w:beforeLines="0" w:afterLines="0" w:line="360" w:lineRule="auto"/>
        <w:ind w:firstLine="470" w:firstLineChars="196"/>
        <w:outlineLvl w:val="1"/>
        <w:rPr>
          <w:rFonts w:hAnsi="宋体"/>
        </w:rPr>
      </w:pPr>
    </w:p>
    <w:p w14:paraId="7538088F">
      <w:pPr>
        <w:pStyle w:val="19"/>
        <w:snapToGrid w:val="0"/>
        <w:spacing w:beforeLines="0" w:afterLines="0" w:line="360" w:lineRule="auto"/>
        <w:ind w:firstLine="470" w:firstLineChars="196"/>
        <w:outlineLvl w:val="1"/>
        <w:rPr>
          <w:rFonts w:hAnsi="宋体"/>
        </w:rPr>
      </w:pPr>
    </w:p>
    <w:p w14:paraId="5A4E847D">
      <w:pPr>
        <w:pStyle w:val="19"/>
        <w:snapToGrid w:val="0"/>
        <w:spacing w:beforeLines="0" w:afterLines="0" w:line="360" w:lineRule="auto"/>
        <w:ind w:firstLine="470" w:firstLineChars="196"/>
        <w:outlineLvl w:val="1"/>
        <w:rPr>
          <w:rFonts w:hAnsi="宋体"/>
        </w:rPr>
      </w:pPr>
    </w:p>
    <w:p w14:paraId="7ED8BF0A">
      <w:pPr>
        <w:pStyle w:val="19"/>
        <w:snapToGrid w:val="0"/>
        <w:spacing w:beforeLines="0" w:afterLines="0" w:line="360" w:lineRule="auto"/>
        <w:jc w:val="center"/>
        <w:rPr>
          <w:rFonts w:ascii="黑体" w:hAnsi="宋体" w:eastAsia="黑体"/>
          <w:sz w:val="30"/>
          <w:szCs w:val="30"/>
        </w:rPr>
      </w:pPr>
      <w:r>
        <w:rPr>
          <w:rFonts w:hint="eastAsia" w:ascii="黑体" w:hAnsi="宋体" w:eastAsia="黑体"/>
          <w:sz w:val="30"/>
          <w:szCs w:val="30"/>
        </w:rPr>
        <w:t>第四章  评标办法及评分标准</w:t>
      </w:r>
    </w:p>
    <w:p w14:paraId="7EEF4EDB">
      <w:pPr>
        <w:spacing w:line="360" w:lineRule="auto"/>
        <w:ind w:firstLine="420"/>
        <w:rPr>
          <w:rFonts w:ascii="宋体" w:hAnsi="宋体"/>
          <w:sz w:val="24"/>
        </w:rPr>
      </w:pPr>
      <w:r>
        <w:rPr>
          <w:rFonts w:hint="eastAsia" w:ascii="宋体" w:hAnsi="宋体"/>
          <w:sz w:val="24"/>
        </w:rPr>
        <w:t>为公正、公平、科学地选择中标人，根据《中华人民共和国政府采购法》等有关法律法规的规定和《</w:t>
      </w:r>
      <w:r>
        <w:rPr>
          <w:rFonts w:hint="eastAsia"/>
          <w:sz w:val="24"/>
        </w:rPr>
        <w:t>南太湖新区垃圾分类数据管理平台建设项目</w:t>
      </w:r>
      <w:r>
        <w:rPr>
          <w:rFonts w:hint="eastAsia" w:ascii="宋体" w:hAnsi="宋体"/>
          <w:sz w:val="24"/>
        </w:rPr>
        <w:t>》</w:t>
      </w:r>
      <w:r>
        <w:rPr>
          <w:rFonts w:hint="eastAsia"/>
          <w:sz w:val="24"/>
        </w:rPr>
        <w:t>采购文件</w:t>
      </w:r>
      <w:r>
        <w:rPr>
          <w:rFonts w:hint="eastAsia" w:ascii="宋体" w:hAnsi="宋体"/>
          <w:sz w:val="24"/>
        </w:rPr>
        <w:t>规定，并结合本项目的实际，制定本办法。</w:t>
      </w:r>
    </w:p>
    <w:p w14:paraId="17997389">
      <w:pPr>
        <w:spacing w:line="360" w:lineRule="auto"/>
        <w:ind w:firstLine="420"/>
        <w:rPr>
          <w:rFonts w:ascii="宋体" w:hAnsi="宋体"/>
          <w:bCs/>
          <w:sz w:val="24"/>
          <w:szCs w:val="48"/>
        </w:rPr>
      </w:pPr>
      <w:r>
        <w:rPr>
          <w:rFonts w:hint="eastAsia" w:ascii="宋体" w:hAnsi="宋体"/>
          <w:sz w:val="24"/>
        </w:rPr>
        <w:t>本办法适用于</w:t>
      </w:r>
      <w:r>
        <w:rPr>
          <w:rFonts w:hint="eastAsia"/>
          <w:b/>
          <w:sz w:val="24"/>
        </w:rPr>
        <w:t>南太湖新区垃圾分类数据管理平台建设项目</w:t>
      </w:r>
      <w:r>
        <w:rPr>
          <w:rFonts w:hint="eastAsia" w:ascii="宋体" w:hAnsi="宋体"/>
          <w:bCs/>
          <w:sz w:val="24"/>
          <w:szCs w:val="48"/>
        </w:rPr>
        <w:t>的评标。</w:t>
      </w:r>
    </w:p>
    <w:p w14:paraId="200726FE">
      <w:pPr>
        <w:spacing w:line="360" w:lineRule="auto"/>
        <w:ind w:firstLine="551" w:firstLineChars="196"/>
        <w:rPr>
          <w:rFonts w:ascii="宋体" w:hAnsi="宋体"/>
          <w:b/>
          <w:sz w:val="28"/>
          <w:szCs w:val="28"/>
        </w:rPr>
      </w:pPr>
      <w:r>
        <w:rPr>
          <w:rFonts w:hint="eastAsia" w:ascii="宋体" w:hAnsi="宋体"/>
          <w:b/>
          <w:sz w:val="28"/>
          <w:szCs w:val="28"/>
        </w:rPr>
        <w:t>一、总则</w:t>
      </w:r>
    </w:p>
    <w:p w14:paraId="5EB82FAD">
      <w:pPr>
        <w:spacing w:before="120" w:beforeLines="50" w:after="120" w:afterLines="50" w:line="360" w:lineRule="auto"/>
        <w:ind w:firstLine="480" w:firstLineChars="200"/>
        <w:rPr>
          <w:rFonts w:ascii="宋体" w:hAnsi="宋体"/>
          <w:sz w:val="24"/>
        </w:rPr>
      </w:pPr>
      <w:r>
        <w:rPr>
          <w:rFonts w:hint="eastAsia" w:ascii="宋体" w:hAnsi="宋体"/>
          <w:sz w:val="24"/>
        </w:rPr>
        <w:t>本次评标采用综合评分法，</w:t>
      </w:r>
      <w:r>
        <w:rPr>
          <w:rFonts w:hint="eastAsia" w:ascii="宋体" w:hAnsi="宋体"/>
          <w:b/>
          <w:sz w:val="24"/>
        </w:rPr>
        <w:t>总分为100分，包含：价格分（10分）、</w:t>
      </w:r>
      <w:r>
        <w:rPr>
          <w:rFonts w:hint="eastAsia" w:ascii="宋体" w:hAnsi="宋体"/>
          <w:b/>
          <w:bCs/>
          <w:sz w:val="24"/>
        </w:rPr>
        <w:t>技术、商务、资信及其他分（</w:t>
      </w:r>
      <w:r>
        <w:rPr>
          <w:rFonts w:hint="eastAsia" w:ascii="宋体" w:hAnsi="宋体"/>
          <w:b/>
          <w:sz w:val="24"/>
        </w:rPr>
        <w:t>90分）</w:t>
      </w:r>
      <w:r>
        <w:rPr>
          <w:rFonts w:hint="eastAsia" w:ascii="宋体" w:hAnsi="宋体"/>
          <w:sz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w:t>
      </w:r>
      <w:r>
        <w:rPr>
          <w:rFonts w:hint="eastAsia" w:ascii="宋体" w:hAnsi="宋体"/>
          <w:bCs/>
          <w:sz w:val="24"/>
        </w:rPr>
        <w:t>评分过程中采用四舍五入法，并保留小数2位。</w:t>
      </w:r>
    </w:p>
    <w:p w14:paraId="4431D2EF">
      <w:pPr>
        <w:spacing w:line="360" w:lineRule="auto"/>
        <w:ind w:firstLine="480" w:firstLineChars="200"/>
        <w:rPr>
          <w:rFonts w:ascii="宋体" w:hAnsi="宋体"/>
          <w:sz w:val="24"/>
        </w:rPr>
      </w:pPr>
      <w:r>
        <w:rPr>
          <w:rFonts w:hint="eastAsia" w:ascii="宋体" w:hAnsi="宋体"/>
          <w:sz w:val="24"/>
        </w:rPr>
        <w:t>投标人评标</w:t>
      </w:r>
      <w:r>
        <w:rPr>
          <w:rFonts w:hint="eastAsia" w:ascii="宋体" w:hAnsi="宋体"/>
          <w:bCs/>
          <w:sz w:val="24"/>
        </w:rPr>
        <w:t>综合得分=价格分+(技术分+商务、资信及其他分)</w:t>
      </w:r>
    </w:p>
    <w:p w14:paraId="06A461ED">
      <w:pPr>
        <w:spacing w:line="360" w:lineRule="auto"/>
        <w:ind w:firstLine="562" w:firstLineChars="200"/>
        <w:rPr>
          <w:rFonts w:ascii="宋体" w:hAnsi="宋体"/>
          <w:b/>
          <w:sz w:val="28"/>
          <w:szCs w:val="28"/>
        </w:rPr>
      </w:pPr>
      <w:r>
        <w:rPr>
          <w:rFonts w:hint="eastAsia" w:ascii="宋体" w:hAnsi="宋体"/>
          <w:b/>
          <w:sz w:val="28"/>
          <w:szCs w:val="28"/>
        </w:rPr>
        <w:t>二、评标内容及标准</w:t>
      </w:r>
    </w:p>
    <w:p w14:paraId="16626A09">
      <w:pPr>
        <w:pStyle w:val="15"/>
        <w:spacing w:line="360" w:lineRule="auto"/>
        <w:ind w:firstLine="466" w:firstLineChars="200"/>
        <w:rPr>
          <w:rFonts w:hAnsi="宋体"/>
          <w:b/>
          <w:bCs/>
          <w:sz w:val="24"/>
        </w:rPr>
      </w:pPr>
      <w:r>
        <w:rPr>
          <w:rFonts w:hint="eastAsia" w:hAnsi="宋体"/>
          <w:b/>
          <w:sz w:val="24"/>
        </w:rPr>
        <w:t>（一）</w:t>
      </w:r>
      <w:r>
        <w:rPr>
          <w:rFonts w:hint="eastAsia" w:hAnsi="宋体"/>
          <w:b/>
          <w:bCs/>
          <w:sz w:val="24"/>
        </w:rPr>
        <w:t>价格分（10分）</w:t>
      </w:r>
    </w:p>
    <w:p w14:paraId="69010DE0">
      <w:pPr>
        <w:pStyle w:val="15"/>
        <w:spacing w:line="360" w:lineRule="auto"/>
        <w:ind w:firstLine="464" w:firstLineChars="200"/>
        <w:rPr>
          <w:rFonts w:hAnsi="宋体"/>
          <w:bCs/>
          <w:sz w:val="24"/>
          <w:szCs w:val="24"/>
        </w:rPr>
      </w:pPr>
      <w:r>
        <w:rPr>
          <w:rFonts w:hint="eastAsia" w:hAnsi="宋体"/>
          <w:bCs/>
          <w:sz w:val="24"/>
        </w:rPr>
        <w:t>价格分</w:t>
      </w:r>
      <w:r>
        <w:rPr>
          <w:rFonts w:hint="eastAsia" w:hAnsi="宋体"/>
          <w:bCs/>
          <w:sz w:val="24"/>
          <w:szCs w:val="24"/>
        </w:rPr>
        <w:t>采用低价优先法计算，即满足招标文件要求且投标价格最低的投标报价为评标基准价，其他投标人的价格分按照下列公式计算：</w:t>
      </w:r>
    </w:p>
    <w:p w14:paraId="5A684F22">
      <w:pPr>
        <w:spacing w:line="360" w:lineRule="auto"/>
        <w:ind w:firstLine="480" w:firstLineChars="200"/>
        <w:rPr>
          <w:rFonts w:ascii="宋体" w:hAnsi="宋体"/>
          <w:sz w:val="24"/>
        </w:rPr>
      </w:pPr>
      <w:r>
        <w:rPr>
          <w:rFonts w:hint="eastAsia" w:ascii="宋体" w:hAnsi="宋体"/>
          <w:sz w:val="24"/>
        </w:rPr>
        <w:t>价格分=（评标基准价/投标报价）×10%×100</w:t>
      </w:r>
    </w:p>
    <w:p w14:paraId="65F80BB6">
      <w:pPr>
        <w:spacing w:line="360" w:lineRule="auto"/>
        <w:ind w:firstLine="457" w:firstLineChars="196"/>
        <w:jc w:val="left"/>
        <w:rPr>
          <w:rFonts w:ascii="宋体" w:hAnsi="宋体"/>
          <w:b/>
          <w:bCs/>
          <w:color w:val="000000" w:themeColor="text1"/>
          <w:spacing w:val="-4"/>
          <w:sz w:val="24"/>
        </w:rPr>
      </w:pPr>
      <w:r>
        <w:rPr>
          <w:rFonts w:hint="eastAsia" w:ascii="宋体" w:hAnsi="宋体"/>
          <w:b/>
          <w:bCs/>
          <w:color w:val="000000" w:themeColor="text1"/>
          <w:spacing w:val="-4"/>
          <w:sz w:val="24"/>
        </w:rPr>
        <w:t>1.符合财政部、工业和信息化部制定的《政府采购促进中小企业发展管理办法》（财库【2020】46号）第二条、第四条规定的供应商，根据《浙江省财政厅关于进一步发挥政府采购政策功能全力推动经济稳进提质的通知》（浙财采监[2022]3号）</w:t>
      </w:r>
      <w:r>
        <w:rPr>
          <w:rFonts w:hint="eastAsia" w:ascii="宋体" w:hAnsi="宋体"/>
          <w:b/>
          <w:bCs/>
          <w:spacing w:val="-4"/>
          <w:sz w:val="24"/>
        </w:rPr>
        <w:t>和《浙江省财政厅关于进一步加大政府采购 支持中小企业力度 助力扎实稳住经济 的通知》（浙财采监[2022]8号）</w:t>
      </w:r>
      <w:r>
        <w:rPr>
          <w:rFonts w:hint="eastAsia" w:ascii="宋体" w:hAnsi="宋体"/>
          <w:b/>
          <w:bCs/>
          <w:color w:val="000000" w:themeColor="text1"/>
          <w:spacing w:val="-4"/>
          <w:sz w:val="24"/>
        </w:rPr>
        <w:t>，对小微企业报价给予20%的扣除，用扣除后的价格参加评审。符合《浙江省财政厅关于进一步发挥政府采购政策功能全力推动经济稳进提质的通知》（浙财采监[2022]3号）第四条规定的供应商，对于联合协议或者分包意向协议约定小微企业的合同份额占到合同总金额30%以上的，对联合体或者大中型企业的报价按6%给予扣除，用扣除后的价格参加评审（提供联合体各方共同投标协议或分包意向协议）。</w:t>
      </w:r>
    </w:p>
    <w:p w14:paraId="39E78742">
      <w:pPr>
        <w:spacing w:line="360" w:lineRule="auto"/>
        <w:ind w:firstLine="466" w:firstLineChars="200"/>
        <w:rPr>
          <w:rFonts w:ascii="宋体" w:hAnsi="宋体"/>
          <w:bCs/>
          <w:spacing w:val="-4"/>
          <w:sz w:val="24"/>
        </w:rPr>
      </w:pPr>
      <w:r>
        <w:rPr>
          <w:rFonts w:hint="eastAsia" w:ascii="宋体" w:hAnsi="宋体"/>
          <w:b/>
          <w:bCs/>
          <w:color w:val="000000" w:themeColor="text1"/>
          <w:spacing w:val="-4"/>
          <w:sz w:val="24"/>
        </w:rPr>
        <w:t>2.本项目划分的行业为其他未列明行业</w:t>
      </w:r>
      <w:r>
        <w:rPr>
          <w:rFonts w:hint="eastAsia" w:ascii="宋体" w:hAnsi="宋体"/>
          <w:bCs/>
          <w:spacing w:val="-4"/>
          <w:sz w:val="24"/>
        </w:rPr>
        <w:t>。投标人应自行根据《关于印发中小企业划型标准规定的通知》（工信部联企业〔2011〕300 号），确定：服务采购项目的</w:t>
      </w:r>
      <w:r>
        <w:rPr>
          <w:rFonts w:ascii="宋体" w:hAnsi="宋体"/>
          <w:bCs/>
          <w:spacing w:val="-4"/>
          <w:sz w:val="24"/>
        </w:rPr>
        <w:t>服务</w:t>
      </w:r>
      <w:r>
        <w:rPr>
          <w:rFonts w:hint="eastAsia" w:ascii="宋体" w:hAnsi="宋体"/>
          <w:bCs/>
          <w:spacing w:val="-4"/>
          <w:sz w:val="24"/>
        </w:rPr>
        <w:t>是否</w:t>
      </w:r>
      <w:r>
        <w:rPr>
          <w:rFonts w:ascii="宋体" w:hAnsi="宋体"/>
          <w:bCs/>
          <w:spacing w:val="-4"/>
          <w:sz w:val="24"/>
        </w:rPr>
        <w:t>全部由符合政策要求的中小企业承接。</w:t>
      </w:r>
      <w:r>
        <w:rPr>
          <w:rFonts w:hint="eastAsia" w:ascii="宋体" w:hAnsi="宋体"/>
          <w:bCs/>
          <w:spacing w:val="-4"/>
          <w:sz w:val="24"/>
        </w:rPr>
        <w:t>投标人根据实际情况填写《中小企业声明函》（格式见附件），作为供应商是否享受本项目价格扣除政策的依据。</w:t>
      </w:r>
    </w:p>
    <w:p w14:paraId="35EA1F2E">
      <w:pPr>
        <w:spacing w:line="360" w:lineRule="auto"/>
        <w:ind w:firstLine="464" w:firstLineChars="200"/>
        <w:rPr>
          <w:rFonts w:ascii="宋体" w:hAnsi="宋体"/>
          <w:bCs/>
          <w:spacing w:val="-4"/>
          <w:sz w:val="24"/>
        </w:rPr>
      </w:pPr>
      <w:r>
        <w:rPr>
          <w:rFonts w:ascii="宋体" w:hAnsi="宋体"/>
          <w:bCs/>
          <w:spacing w:val="-4"/>
          <w:sz w:val="24"/>
        </w:rPr>
        <w:t>3</w:t>
      </w:r>
      <w:r>
        <w:rPr>
          <w:rFonts w:hint="eastAsia" w:ascii="宋体" w:hAnsi="宋体"/>
          <w:bCs/>
          <w:spacing w:val="-4"/>
          <w:sz w:val="24"/>
        </w:rPr>
        <w:t>.根据《政府采购促进中小企业发展管理办法》（财库【2020】46号）第二十条规定，投标人</w:t>
      </w:r>
      <w:r>
        <w:rPr>
          <w:rFonts w:ascii="宋体" w:hAnsi="宋体"/>
          <w:bCs/>
          <w:spacing w:val="-4"/>
          <w:sz w:val="24"/>
        </w:rPr>
        <w:t>按照</w:t>
      </w:r>
      <w:r>
        <w:rPr>
          <w:rFonts w:hint="eastAsia" w:ascii="宋体" w:hAnsi="宋体"/>
          <w:bCs/>
          <w:spacing w:val="-4"/>
          <w:sz w:val="24"/>
        </w:rPr>
        <w:t>该</w:t>
      </w:r>
      <w:r>
        <w:rPr>
          <w:rFonts w:ascii="宋体" w:hAnsi="宋体"/>
          <w:bCs/>
          <w:spacing w:val="-4"/>
          <w:sz w:val="24"/>
        </w:rPr>
        <w:t>办法规定提供声明函内容不实的，属于提供虚假材料谋取中标、成交，依照《中华人民共和国政府采购法》等国家有关规定追究相应责任。适用招标投标法的政府采购工程建设项目，投标人按照</w:t>
      </w:r>
      <w:r>
        <w:rPr>
          <w:rFonts w:hint="eastAsia" w:ascii="宋体" w:hAnsi="宋体"/>
          <w:bCs/>
          <w:spacing w:val="-4"/>
          <w:sz w:val="24"/>
        </w:rPr>
        <w:t>该</w:t>
      </w:r>
      <w:r>
        <w:rPr>
          <w:rFonts w:ascii="宋体" w:hAnsi="宋体"/>
          <w:bCs/>
          <w:spacing w:val="-4"/>
          <w:sz w:val="24"/>
        </w:rPr>
        <w:t>办法规定提供声明函内容不实的，属于弄虚作假骗取中标，依照《中华人民共和国招标投标法》等国家有关规定追究相应责任。</w:t>
      </w:r>
    </w:p>
    <w:p w14:paraId="67635338">
      <w:pPr>
        <w:spacing w:line="360" w:lineRule="auto"/>
        <w:ind w:firstLine="464" w:firstLineChars="200"/>
        <w:rPr>
          <w:rFonts w:ascii="宋体" w:hAnsi="宋体"/>
          <w:bCs/>
          <w:spacing w:val="-4"/>
          <w:sz w:val="24"/>
        </w:rPr>
      </w:pPr>
      <w:r>
        <w:rPr>
          <w:rFonts w:hint="eastAsia" w:ascii="宋体" w:hAnsi="宋体"/>
          <w:bCs/>
          <w:spacing w:val="-4"/>
          <w:sz w:val="24"/>
        </w:rPr>
        <w:t>4.监狱企业参加政府采购提供《监狱企业声明函》</w:t>
      </w:r>
      <w:r>
        <w:rPr>
          <w:rFonts w:ascii="宋体" w:hAnsi="宋体"/>
          <w:bCs/>
          <w:spacing w:val="-4"/>
          <w:sz w:val="24"/>
        </w:rPr>
        <w:t>（</w:t>
      </w:r>
      <w:r>
        <w:rPr>
          <w:rFonts w:hint="eastAsia" w:ascii="宋体" w:hAnsi="宋体"/>
          <w:bCs/>
          <w:spacing w:val="-4"/>
          <w:sz w:val="24"/>
        </w:rPr>
        <w:t>格式自拟</w:t>
      </w:r>
      <w:r>
        <w:rPr>
          <w:rFonts w:ascii="宋体" w:hAnsi="宋体"/>
          <w:bCs/>
          <w:spacing w:val="-4"/>
          <w:sz w:val="24"/>
        </w:rPr>
        <w:t>）</w:t>
      </w:r>
      <w:r>
        <w:rPr>
          <w:rFonts w:hint="eastAsia" w:ascii="宋体" w:hAnsi="宋体"/>
          <w:bCs/>
          <w:spacing w:val="-4"/>
          <w:sz w:val="24"/>
        </w:rPr>
        <w:t>及其相关的充分的证明材料的，视为小型、微型企业，享受小微企业政策扶持；监狱企业属于小型、微型企业的，不重复享受政策。</w:t>
      </w:r>
    </w:p>
    <w:p w14:paraId="480A8BA7">
      <w:pPr>
        <w:spacing w:line="360" w:lineRule="auto"/>
        <w:ind w:firstLine="464" w:firstLineChars="200"/>
        <w:rPr>
          <w:rFonts w:ascii="宋体" w:hAnsi="宋体"/>
          <w:bCs/>
          <w:spacing w:val="-4"/>
          <w:sz w:val="24"/>
        </w:rPr>
      </w:pPr>
      <w:r>
        <w:rPr>
          <w:rFonts w:hint="eastAsia" w:ascii="宋体" w:hAnsi="宋体"/>
          <w:bCs/>
          <w:spacing w:val="-4"/>
          <w:sz w:val="24"/>
        </w:rPr>
        <w:t>5.残疾人福利性单位参加政府采购提供《残疾人福利性单位声明函》</w:t>
      </w:r>
      <w:r>
        <w:rPr>
          <w:rFonts w:ascii="宋体" w:hAnsi="宋体"/>
          <w:bCs/>
          <w:spacing w:val="-4"/>
          <w:sz w:val="24"/>
        </w:rPr>
        <w:t>（</w:t>
      </w:r>
      <w:r>
        <w:rPr>
          <w:rFonts w:hint="eastAsia" w:ascii="宋体" w:hAnsi="宋体"/>
          <w:bCs/>
          <w:spacing w:val="-4"/>
          <w:sz w:val="24"/>
        </w:rPr>
        <w:t>格式自拟</w:t>
      </w:r>
      <w:r>
        <w:rPr>
          <w:rFonts w:ascii="宋体" w:hAnsi="宋体"/>
          <w:bCs/>
          <w:spacing w:val="-4"/>
          <w:sz w:val="24"/>
        </w:rPr>
        <w:t>）</w:t>
      </w:r>
      <w:r>
        <w:rPr>
          <w:rFonts w:hint="eastAsia" w:ascii="宋体" w:hAnsi="宋体"/>
          <w:bCs/>
          <w:spacing w:val="-4"/>
          <w:sz w:val="24"/>
        </w:rPr>
        <w:t>，视为小型、微型企业，享受小微企业政策扶持；残疾人福利性单位属于小型、微型企业的，不重复享受政策。</w:t>
      </w:r>
    </w:p>
    <w:p w14:paraId="04ACE56D">
      <w:pPr>
        <w:spacing w:line="360" w:lineRule="auto"/>
        <w:ind w:firstLine="466" w:firstLineChars="200"/>
        <w:rPr>
          <w:rFonts w:ascii="宋体" w:hAnsi="宋体"/>
          <w:sz w:val="24"/>
        </w:rPr>
      </w:pPr>
      <w:r>
        <w:rPr>
          <w:rFonts w:hint="eastAsia" w:ascii="宋体" w:hAnsi="宋体"/>
          <w:b/>
          <w:bCs/>
          <w:spacing w:val="-4"/>
          <w:sz w:val="24"/>
        </w:rPr>
        <w:t>上述计算扣除不累计计算，最高扣除20%</w:t>
      </w:r>
      <w:r>
        <w:rPr>
          <w:rFonts w:hint="eastAsia" w:ascii="宋体" w:hAnsi="宋体"/>
          <w:bCs/>
          <w:sz w:val="24"/>
        </w:rPr>
        <w:t>；未提供以上相关材料的，均不给予价格计算扣除。</w:t>
      </w:r>
    </w:p>
    <w:p w14:paraId="7E70D3BE">
      <w:pPr>
        <w:spacing w:line="360" w:lineRule="auto"/>
        <w:ind w:left="9094" w:leftChars="200" w:hanging="8674" w:hangingChars="3600"/>
        <w:jc w:val="left"/>
        <w:rPr>
          <w:rFonts w:ascii="宋体" w:hAnsi="宋体" w:cs="宋体"/>
          <w:b/>
          <w:bCs/>
          <w:sz w:val="24"/>
        </w:rPr>
      </w:pPr>
      <w:r>
        <w:rPr>
          <w:rFonts w:hint="eastAsia" w:ascii="宋体" w:hAnsi="宋体"/>
          <w:b/>
          <w:bCs/>
          <w:sz w:val="24"/>
        </w:rPr>
        <w:t>（二）技术、商务、资信及其他分（90分）</w:t>
      </w:r>
    </w:p>
    <w:tbl>
      <w:tblPr>
        <w:tblStyle w:val="34"/>
        <w:tblW w:w="1049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7"/>
        <w:gridCol w:w="142"/>
        <w:gridCol w:w="6946"/>
        <w:gridCol w:w="1276"/>
      </w:tblGrid>
      <w:tr w14:paraId="642C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0" w:type="dxa"/>
            <w:vAlign w:val="center"/>
          </w:tcPr>
          <w:p w14:paraId="56519858">
            <w:pPr>
              <w:pStyle w:val="15"/>
              <w:spacing w:before="120" w:beforeLines="50" w:after="120" w:afterLines="50" w:line="360" w:lineRule="auto"/>
              <w:ind w:firstLine="0"/>
              <w:rPr>
                <w:rFonts w:hAnsi="宋体"/>
                <w:sz w:val="24"/>
              </w:rPr>
            </w:pPr>
            <w:r>
              <w:rPr>
                <w:rFonts w:hAnsi="宋体"/>
                <w:sz w:val="24"/>
              </w:rPr>
              <w:t>序号</w:t>
            </w:r>
          </w:p>
        </w:tc>
        <w:tc>
          <w:tcPr>
            <w:tcW w:w="8505" w:type="dxa"/>
            <w:gridSpan w:val="3"/>
            <w:vAlign w:val="center"/>
          </w:tcPr>
          <w:p w14:paraId="3A84C68A">
            <w:pPr>
              <w:pStyle w:val="15"/>
              <w:spacing w:before="120" w:beforeLines="50" w:after="120" w:afterLines="50" w:line="360" w:lineRule="auto"/>
              <w:jc w:val="center"/>
              <w:rPr>
                <w:rFonts w:hAnsi="宋体"/>
                <w:sz w:val="24"/>
              </w:rPr>
            </w:pPr>
            <w:r>
              <w:rPr>
                <w:rFonts w:hint="eastAsia" w:hAnsi="宋体"/>
                <w:sz w:val="24"/>
              </w:rPr>
              <w:t>评分内容</w:t>
            </w:r>
          </w:p>
        </w:tc>
        <w:tc>
          <w:tcPr>
            <w:tcW w:w="1276" w:type="dxa"/>
            <w:vAlign w:val="center"/>
          </w:tcPr>
          <w:p w14:paraId="5E89D265">
            <w:pPr>
              <w:pStyle w:val="15"/>
              <w:spacing w:before="120" w:beforeLines="50" w:after="120" w:afterLines="50" w:line="360" w:lineRule="auto"/>
              <w:ind w:firstLine="0"/>
              <w:rPr>
                <w:rFonts w:hAnsi="宋体"/>
                <w:sz w:val="24"/>
              </w:rPr>
            </w:pPr>
            <w:r>
              <w:rPr>
                <w:rFonts w:hint="eastAsia" w:hAnsi="宋体"/>
                <w:sz w:val="24"/>
              </w:rPr>
              <w:t>分值范围</w:t>
            </w:r>
          </w:p>
        </w:tc>
      </w:tr>
      <w:tr w14:paraId="0E15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15" w:type="dxa"/>
            <w:gridSpan w:val="4"/>
            <w:vAlign w:val="center"/>
          </w:tcPr>
          <w:p w14:paraId="79D319A3">
            <w:pPr>
              <w:pStyle w:val="15"/>
              <w:spacing w:before="120" w:beforeLines="50" w:after="120" w:afterLines="50" w:line="360" w:lineRule="auto"/>
              <w:ind w:left="126" w:leftChars="60"/>
              <w:jc w:val="center"/>
              <w:rPr>
                <w:rFonts w:hAnsi="宋体"/>
                <w:sz w:val="24"/>
              </w:rPr>
            </w:pPr>
            <w:r>
              <w:rPr>
                <w:rFonts w:hint="eastAsia" w:hAnsi="宋体"/>
                <w:sz w:val="24"/>
              </w:rPr>
              <w:t>技术部分</w:t>
            </w:r>
          </w:p>
        </w:tc>
        <w:tc>
          <w:tcPr>
            <w:tcW w:w="1276" w:type="dxa"/>
            <w:vAlign w:val="center"/>
          </w:tcPr>
          <w:p w14:paraId="326BD0CF">
            <w:pPr>
              <w:pStyle w:val="15"/>
              <w:spacing w:before="120" w:beforeLines="50" w:after="120" w:afterLines="50" w:line="360" w:lineRule="auto"/>
              <w:ind w:firstLine="348" w:firstLineChars="150"/>
              <w:rPr>
                <w:rFonts w:hAnsi="宋体"/>
                <w:sz w:val="24"/>
              </w:rPr>
            </w:pPr>
            <w:r>
              <w:rPr>
                <w:rFonts w:hint="eastAsia" w:hAnsi="宋体"/>
                <w:sz w:val="24"/>
              </w:rPr>
              <w:t>69分</w:t>
            </w:r>
          </w:p>
        </w:tc>
      </w:tr>
      <w:tr w14:paraId="7215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Align w:val="center"/>
          </w:tcPr>
          <w:p w14:paraId="27B698AA">
            <w:pPr>
              <w:spacing w:line="360" w:lineRule="auto"/>
              <w:rPr>
                <w:rFonts w:ascii="宋体" w:cs="宋体"/>
                <w:sz w:val="24"/>
              </w:rPr>
            </w:pPr>
            <w:r>
              <w:rPr>
                <w:rFonts w:ascii="宋体" w:cs="宋体"/>
                <w:sz w:val="24"/>
              </w:rPr>
              <w:t>1</w:t>
            </w:r>
          </w:p>
        </w:tc>
        <w:tc>
          <w:tcPr>
            <w:tcW w:w="1417" w:type="dxa"/>
            <w:vAlign w:val="center"/>
          </w:tcPr>
          <w:p w14:paraId="0B764D1C">
            <w:pPr>
              <w:widowControl/>
              <w:spacing w:line="360" w:lineRule="auto"/>
              <w:rPr>
                <w:rFonts w:ascii="宋体"/>
                <w:sz w:val="24"/>
              </w:rPr>
            </w:pPr>
            <w:r>
              <w:rPr>
                <w:rFonts w:hint="eastAsia" w:ascii="宋体"/>
                <w:sz w:val="24"/>
              </w:rPr>
              <w:t>对本项目的理解</w:t>
            </w:r>
          </w:p>
        </w:tc>
        <w:tc>
          <w:tcPr>
            <w:tcW w:w="7088" w:type="dxa"/>
            <w:gridSpan w:val="2"/>
          </w:tcPr>
          <w:p w14:paraId="0BD78966">
            <w:pPr>
              <w:widowControl/>
              <w:spacing w:line="360" w:lineRule="auto"/>
              <w:rPr>
                <w:rFonts w:ascii="宋体"/>
                <w:sz w:val="24"/>
              </w:rPr>
            </w:pPr>
            <w:r>
              <w:rPr>
                <w:rFonts w:hint="eastAsia" w:ascii="宋体"/>
                <w:sz w:val="24"/>
              </w:rPr>
              <w:t>投标人针对本项目的理解，包括项目建设内容、项目建设必要性、需求分析与建设目标等。投标人描述详尽、准确，满足招标文件要求</w:t>
            </w:r>
            <w:r>
              <w:rPr>
                <w:rFonts w:ascii="宋体"/>
                <w:sz w:val="24"/>
              </w:rPr>
              <w:t>，不漏项且有针对性解释说明得</w:t>
            </w:r>
            <w:r>
              <w:rPr>
                <w:rFonts w:hint="eastAsia" w:ascii="宋体"/>
                <w:sz w:val="24"/>
              </w:rPr>
              <w:t>6</w:t>
            </w:r>
            <w:r>
              <w:rPr>
                <w:rFonts w:ascii="宋体"/>
                <w:sz w:val="24"/>
              </w:rPr>
              <w:t>分；提供的方案漏缺1项或2项，有针对性解释说明得</w:t>
            </w:r>
            <w:r>
              <w:rPr>
                <w:rFonts w:hint="eastAsia" w:ascii="宋体"/>
                <w:sz w:val="24"/>
              </w:rPr>
              <w:t>5</w:t>
            </w:r>
            <w:r>
              <w:rPr>
                <w:rFonts w:ascii="宋体"/>
                <w:sz w:val="24"/>
              </w:rPr>
              <w:t>分；提供的方案基本全面，有针对性解释说明得</w:t>
            </w:r>
            <w:r>
              <w:rPr>
                <w:rFonts w:hint="eastAsia" w:ascii="宋体"/>
                <w:sz w:val="24"/>
              </w:rPr>
              <w:t>4</w:t>
            </w:r>
            <w:r>
              <w:rPr>
                <w:rFonts w:ascii="宋体"/>
                <w:sz w:val="24"/>
              </w:rPr>
              <w:t>分；提供的方案不全面，有针对性解释说明得3分；提供的方案不全面，没有解释说明得1分；未提供不得分。</w:t>
            </w:r>
          </w:p>
        </w:tc>
        <w:tc>
          <w:tcPr>
            <w:tcW w:w="1276" w:type="dxa"/>
            <w:vAlign w:val="center"/>
          </w:tcPr>
          <w:p w14:paraId="6ADEEE96">
            <w:pPr>
              <w:adjustRightInd w:val="0"/>
              <w:snapToGrid w:val="0"/>
              <w:spacing w:line="360" w:lineRule="auto"/>
              <w:jc w:val="center"/>
              <w:textAlignment w:val="center"/>
              <w:rPr>
                <w:rFonts w:ascii="宋体"/>
                <w:sz w:val="24"/>
              </w:rPr>
            </w:pPr>
            <w:r>
              <w:rPr>
                <w:rFonts w:hint="eastAsia" w:ascii="宋体"/>
                <w:sz w:val="24"/>
              </w:rPr>
              <w:t>6分</w:t>
            </w:r>
          </w:p>
        </w:tc>
      </w:tr>
      <w:tr w14:paraId="12D4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Align w:val="center"/>
          </w:tcPr>
          <w:p w14:paraId="76DAFBA1">
            <w:pPr>
              <w:spacing w:line="360" w:lineRule="auto"/>
              <w:rPr>
                <w:rFonts w:ascii="宋体" w:cs="宋体"/>
                <w:sz w:val="24"/>
              </w:rPr>
            </w:pPr>
            <w:r>
              <w:rPr>
                <w:rFonts w:hint="eastAsia" w:ascii="宋体" w:cs="宋体"/>
                <w:sz w:val="24"/>
              </w:rPr>
              <w:t>2</w:t>
            </w:r>
          </w:p>
        </w:tc>
        <w:tc>
          <w:tcPr>
            <w:tcW w:w="1417" w:type="dxa"/>
            <w:vAlign w:val="center"/>
          </w:tcPr>
          <w:p w14:paraId="0EA7A0D5">
            <w:pPr>
              <w:widowControl/>
              <w:spacing w:line="360" w:lineRule="auto"/>
              <w:rPr>
                <w:rFonts w:ascii="宋体"/>
                <w:sz w:val="24"/>
              </w:rPr>
            </w:pPr>
            <w:r>
              <w:rPr>
                <w:rFonts w:hint="eastAsia" w:ascii="宋体"/>
                <w:sz w:val="24"/>
              </w:rPr>
              <w:t>项目实施方案</w:t>
            </w:r>
          </w:p>
        </w:tc>
        <w:tc>
          <w:tcPr>
            <w:tcW w:w="7088" w:type="dxa"/>
            <w:gridSpan w:val="2"/>
          </w:tcPr>
          <w:p w14:paraId="0D22A4D9">
            <w:pPr>
              <w:widowControl/>
              <w:spacing w:line="360" w:lineRule="auto"/>
              <w:rPr>
                <w:rFonts w:ascii="宋体"/>
                <w:sz w:val="24"/>
              </w:rPr>
            </w:pPr>
            <w:r>
              <w:rPr>
                <w:rFonts w:hint="eastAsia" w:ascii="宋体"/>
                <w:sz w:val="24"/>
              </w:rPr>
              <w:t>投标人针对本项目的实施方案，要求包括总体思路、架构设计、应用系统设计、基础资源需求设计、数据资源需求设计等设计方案及本项目各个功能模块的详细建设方案等切合本项目实际情况，方案科学、合理、实用可靠，满足招标文件要求</w:t>
            </w:r>
            <w:r>
              <w:rPr>
                <w:rFonts w:ascii="宋体"/>
                <w:sz w:val="24"/>
              </w:rPr>
              <w:t>，不漏项且有针对性解释说明得</w:t>
            </w:r>
            <w:r>
              <w:rPr>
                <w:rFonts w:hint="eastAsia" w:ascii="宋体"/>
                <w:sz w:val="24"/>
              </w:rPr>
              <w:t>6</w:t>
            </w:r>
            <w:r>
              <w:rPr>
                <w:rFonts w:ascii="宋体"/>
                <w:sz w:val="24"/>
              </w:rPr>
              <w:t>分；提供的方案漏缺1项或2项，有针对性解释说明得</w:t>
            </w:r>
            <w:r>
              <w:rPr>
                <w:rFonts w:hint="eastAsia" w:ascii="宋体"/>
                <w:sz w:val="24"/>
              </w:rPr>
              <w:t>5</w:t>
            </w:r>
            <w:r>
              <w:rPr>
                <w:rFonts w:ascii="宋体"/>
                <w:sz w:val="24"/>
              </w:rPr>
              <w:t>分；提供的方案基本全面，有针对性解释说明得</w:t>
            </w:r>
            <w:r>
              <w:rPr>
                <w:rFonts w:hint="eastAsia" w:ascii="宋体"/>
                <w:sz w:val="24"/>
              </w:rPr>
              <w:t>4</w:t>
            </w:r>
            <w:r>
              <w:rPr>
                <w:rFonts w:ascii="宋体"/>
                <w:sz w:val="24"/>
              </w:rPr>
              <w:t>分；提供的方案不全面，有针对性解释说明得3分；提供的方案不全面，没有解释说明得1分；未提供不得分。</w:t>
            </w:r>
          </w:p>
        </w:tc>
        <w:tc>
          <w:tcPr>
            <w:tcW w:w="1276" w:type="dxa"/>
            <w:vAlign w:val="center"/>
          </w:tcPr>
          <w:p w14:paraId="7E7D6212">
            <w:pPr>
              <w:adjustRightInd w:val="0"/>
              <w:snapToGrid w:val="0"/>
              <w:spacing w:line="360" w:lineRule="auto"/>
              <w:jc w:val="center"/>
              <w:textAlignment w:val="center"/>
              <w:rPr>
                <w:rFonts w:ascii="宋体"/>
                <w:sz w:val="24"/>
              </w:rPr>
            </w:pPr>
            <w:r>
              <w:rPr>
                <w:rFonts w:hint="eastAsia" w:ascii="宋体"/>
                <w:sz w:val="24"/>
              </w:rPr>
              <w:t>6分</w:t>
            </w:r>
          </w:p>
        </w:tc>
      </w:tr>
      <w:tr w14:paraId="2B5B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Align w:val="center"/>
          </w:tcPr>
          <w:p w14:paraId="6B84B9B3">
            <w:pPr>
              <w:spacing w:line="360" w:lineRule="auto"/>
              <w:rPr>
                <w:rFonts w:ascii="宋体" w:cs="宋体"/>
                <w:sz w:val="24"/>
              </w:rPr>
            </w:pPr>
            <w:r>
              <w:rPr>
                <w:rFonts w:hint="eastAsia" w:ascii="宋体" w:cs="宋体"/>
                <w:sz w:val="24"/>
              </w:rPr>
              <w:t>3</w:t>
            </w:r>
          </w:p>
        </w:tc>
        <w:tc>
          <w:tcPr>
            <w:tcW w:w="1417" w:type="dxa"/>
            <w:vAlign w:val="center"/>
          </w:tcPr>
          <w:p w14:paraId="0C98A5AA">
            <w:pPr>
              <w:widowControl/>
              <w:spacing w:line="360" w:lineRule="auto"/>
              <w:rPr>
                <w:rFonts w:ascii="宋体"/>
                <w:sz w:val="24"/>
              </w:rPr>
            </w:pPr>
            <w:r>
              <w:rPr>
                <w:rFonts w:hint="eastAsia" w:ascii="宋体"/>
                <w:sz w:val="24"/>
              </w:rPr>
              <w:t>保证工期的方案和措施</w:t>
            </w:r>
          </w:p>
        </w:tc>
        <w:tc>
          <w:tcPr>
            <w:tcW w:w="7088" w:type="dxa"/>
            <w:gridSpan w:val="2"/>
          </w:tcPr>
          <w:p w14:paraId="324D7EFC">
            <w:pPr>
              <w:widowControl/>
              <w:spacing w:line="360" w:lineRule="auto"/>
              <w:rPr>
                <w:rFonts w:ascii="宋体"/>
                <w:sz w:val="24"/>
              </w:rPr>
            </w:pPr>
            <w:r>
              <w:rPr>
                <w:rFonts w:hint="eastAsia" w:ascii="宋体"/>
                <w:sz w:val="24"/>
              </w:rPr>
              <w:t>实施进度控制合理、关键时间节点把握科学准确。方案科学合理、针对性强且对本项目实施有推进作用的，</w:t>
            </w:r>
            <w:r>
              <w:rPr>
                <w:rFonts w:ascii="宋体"/>
                <w:sz w:val="24"/>
              </w:rPr>
              <w:t>不漏项且有针对性解释说明得</w:t>
            </w:r>
            <w:r>
              <w:rPr>
                <w:rFonts w:hint="eastAsia" w:ascii="宋体"/>
                <w:sz w:val="24"/>
              </w:rPr>
              <w:t>6</w:t>
            </w:r>
            <w:r>
              <w:rPr>
                <w:rFonts w:ascii="宋体"/>
                <w:sz w:val="24"/>
              </w:rPr>
              <w:t>分；提供的方案漏缺1项或2项，有针对性解释说明得</w:t>
            </w:r>
            <w:r>
              <w:rPr>
                <w:rFonts w:hint="eastAsia" w:ascii="宋体"/>
                <w:sz w:val="24"/>
              </w:rPr>
              <w:t>5</w:t>
            </w:r>
            <w:r>
              <w:rPr>
                <w:rFonts w:ascii="宋体"/>
                <w:sz w:val="24"/>
              </w:rPr>
              <w:t>分；提供的方案基本全面，有针对性解释说明得</w:t>
            </w:r>
            <w:r>
              <w:rPr>
                <w:rFonts w:hint="eastAsia" w:ascii="宋体"/>
                <w:sz w:val="24"/>
              </w:rPr>
              <w:t>4</w:t>
            </w:r>
            <w:r>
              <w:rPr>
                <w:rFonts w:ascii="宋体"/>
                <w:sz w:val="24"/>
              </w:rPr>
              <w:t>分；提供的方案不全面，有针对性解释说明得3分；提供的方案不全面，没有解释说明得1分；未提供不得分。</w:t>
            </w:r>
          </w:p>
        </w:tc>
        <w:tc>
          <w:tcPr>
            <w:tcW w:w="1276" w:type="dxa"/>
            <w:vAlign w:val="center"/>
          </w:tcPr>
          <w:p w14:paraId="1F1D24CC">
            <w:pPr>
              <w:adjustRightInd w:val="0"/>
              <w:snapToGrid w:val="0"/>
              <w:spacing w:line="360" w:lineRule="auto"/>
              <w:jc w:val="center"/>
              <w:textAlignment w:val="center"/>
              <w:rPr>
                <w:rFonts w:ascii="宋体"/>
                <w:sz w:val="24"/>
              </w:rPr>
            </w:pPr>
            <w:r>
              <w:rPr>
                <w:rFonts w:hint="eastAsia" w:ascii="宋体"/>
                <w:sz w:val="24"/>
              </w:rPr>
              <w:t>6分</w:t>
            </w:r>
          </w:p>
        </w:tc>
      </w:tr>
      <w:tr w14:paraId="0444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Align w:val="center"/>
          </w:tcPr>
          <w:p w14:paraId="595FCCA2">
            <w:pPr>
              <w:spacing w:line="360" w:lineRule="auto"/>
              <w:rPr>
                <w:rFonts w:ascii="宋体" w:cs="宋体"/>
                <w:sz w:val="24"/>
              </w:rPr>
            </w:pPr>
            <w:r>
              <w:rPr>
                <w:rFonts w:hint="eastAsia" w:ascii="宋体" w:cs="宋体"/>
                <w:sz w:val="24"/>
              </w:rPr>
              <w:t>4</w:t>
            </w:r>
          </w:p>
        </w:tc>
        <w:tc>
          <w:tcPr>
            <w:tcW w:w="1417" w:type="dxa"/>
            <w:vAlign w:val="center"/>
          </w:tcPr>
          <w:p w14:paraId="2CE639E3">
            <w:pPr>
              <w:widowControl/>
              <w:spacing w:line="360" w:lineRule="auto"/>
              <w:rPr>
                <w:rFonts w:ascii="宋体"/>
                <w:sz w:val="24"/>
              </w:rPr>
            </w:pPr>
            <w:r>
              <w:rPr>
                <w:rFonts w:hint="eastAsia" w:ascii="宋体"/>
                <w:sz w:val="24"/>
              </w:rPr>
              <w:t>项目质量保障方案</w:t>
            </w:r>
          </w:p>
        </w:tc>
        <w:tc>
          <w:tcPr>
            <w:tcW w:w="7088" w:type="dxa"/>
            <w:gridSpan w:val="2"/>
          </w:tcPr>
          <w:p w14:paraId="1E847E76">
            <w:pPr>
              <w:widowControl/>
              <w:spacing w:line="360" w:lineRule="auto"/>
              <w:rPr>
                <w:rFonts w:ascii="宋体"/>
                <w:sz w:val="24"/>
              </w:rPr>
            </w:pPr>
            <w:r>
              <w:rPr>
                <w:rFonts w:hint="eastAsia" w:ascii="宋体"/>
                <w:sz w:val="24"/>
              </w:rPr>
              <w:t>组织保障包括项目领导、实施和运维机构、组织管理方式；实施进度计划，提供项目预计工期与分阶段实施计划方案科学合理、针对性强，</w:t>
            </w:r>
            <w:r>
              <w:rPr>
                <w:rFonts w:ascii="宋体"/>
                <w:sz w:val="24"/>
              </w:rPr>
              <w:t>不漏项且有针对性解释说明</w:t>
            </w:r>
            <w:r>
              <w:rPr>
                <w:rFonts w:hint="eastAsia" w:ascii="宋体"/>
                <w:sz w:val="24"/>
              </w:rPr>
              <w:t>：6</w:t>
            </w:r>
            <w:r>
              <w:rPr>
                <w:rFonts w:ascii="宋体"/>
                <w:sz w:val="24"/>
              </w:rPr>
              <w:t>分</w:t>
            </w:r>
            <w:r>
              <w:rPr>
                <w:rFonts w:hint="eastAsia" w:ascii="宋体"/>
                <w:sz w:val="24"/>
              </w:rPr>
              <w:t>；</w:t>
            </w:r>
            <w:r>
              <w:rPr>
                <w:rFonts w:ascii="宋体"/>
                <w:sz w:val="24"/>
              </w:rPr>
              <w:t>提供的</w:t>
            </w:r>
            <w:r>
              <w:rPr>
                <w:rFonts w:hint="eastAsia" w:ascii="宋体"/>
                <w:sz w:val="24"/>
              </w:rPr>
              <w:t>方案</w:t>
            </w:r>
            <w:r>
              <w:rPr>
                <w:rFonts w:ascii="宋体"/>
                <w:sz w:val="24"/>
              </w:rPr>
              <w:t>漏缺1项或2项，有针对性解释说明</w:t>
            </w:r>
            <w:r>
              <w:rPr>
                <w:rFonts w:hint="eastAsia" w:ascii="宋体"/>
                <w:sz w:val="24"/>
              </w:rPr>
              <w:t>：5</w:t>
            </w:r>
            <w:r>
              <w:rPr>
                <w:rFonts w:ascii="宋体"/>
                <w:sz w:val="24"/>
              </w:rPr>
              <w:t>分</w:t>
            </w:r>
            <w:r>
              <w:rPr>
                <w:rFonts w:hint="eastAsia" w:ascii="宋体"/>
                <w:sz w:val="24"/>
              </w:rPr>
              <w:t>；</w:t>
            </w:r>
            <w:r>
              <w:rPr>
                <w:rFonts w:ascii="宋体"/>
                <w:sz w:val="24"/>
              </w:rPr>
              <w:t>提供的</w:t>
            </w:r>
            <w:r>
              <w:rPr>
                <w:rFonts w:hint="eastAsia" w:ascii="宋体"/>
                <w:sz w:val="24"/>
              </w:rPr>
              <w:t>方案</w:t>
            </w:r>
            <w:r>
              <w:rPr>
                <w:rFonts w:ascii="宋体"/>
                <w:sz w:val="24"/>
              </w:rPr>
              <w:t>基本全面，有针对性解释说明</w:t>
            </w:r>
            <w:r>
              <w:rPr>
                <w:rFonts w:hint="eastAsia" w:ascii="宋体"/>
                <w:sz w:val="24"/>
              </w:rPr>
              <w:t>：4</w:t>
            </w:r>
            <w:r>
              <w:rPr>
                <w:rFonts w:ascii="宋体"/>
                <w:sz w:val="24"/>
              </w:rPr>
              <w:t>分</w:t>
            </w:r>
            <w:r>
              <w:rPr>
                <w:rFonts w:hint="eastAsia" w:ascii="宋体"/>
                <w:sz w:val="24"/>
              </w:rPr>
              <w:t>；</w:t>
            </w:r>
            <w:r>
              <w:rPr>
                <w:rFonts w:ascii="宋体"/>
                <w:sz w:val="24"/>
              </w:rPr>
              <w:t>提供的</w:t>
            </w:r>
            <w:r>
              <w:rPr>
                <w:rFonts w:hint="eastAsia" w:ascii="宋体"/>
                <w:sz w:val="24"/>
              </w:rPr>
              <w:t>方案</w:t>
            </w:r>
            <w:r>
              <w:rPr>
                <w:rFonts w:ascii="宋体"/>
                <w:sz w:val="24"/>
              </w:rPr>
              <w:t>不全面，有针对性解释说明</w:t>
            </w:r>
            <w:r>
              <w:rPr>
                <w:rFonts w:hint="eastAsia" w:ascii="宋体"/>
                <w:sz w:val="24"/>
              </w:rPr>
              <w:t>：3</w:t>
            </w:r>
            <w:r>
              <w:rPr>
                <w:rFonts w:ascii="宋体"/>
                <w:sz w:val="24"/>
              </w:rPr>
              <w:t>分</w:t>
            </w:r>
            <w:r>
              <w:rPr>
                <w:rFonts w:hint="eastAsia" w:ascii="宋体"/>
                <w:sz w:val="24"/>
              </w:rPr>
              <w:t>；</w:t>
            </w:r>
            <w:r>
              <w:rPr>
                <w:rFonts w:ascii="宋体"/>
                <w:sz w:val="24"/>
              </w:rPr>
              <w:t>提供的</w:t>
            </w:r>
            <w:r>
              <w:rPr>
                <w:rFonts w:hint="eastAsia" w:ascii="宋体"/>
                <w:sz w:val="24"/>
              </w:rPr>
              <w:t>方案</w:t>
            </w:r>
            <w:r>
              <w:rPr>
                <w:rFonts w:ascii="宋体"/>
                <w:sz w:val="24"/>
              </w:rPr>
              <w:t>不全面，没有解释说明</w:t>
            </w:r>
            <w:r>
              <w:rPr>
                <w:rFonts w:hint="eastAsia" w:ascii="宋体"/>
                <w:sz w:val="24"/>
              </w:rPr>
              <w:t>：1</w:t>
            </w:r>
            <w:r>
              <w:rPr>
                <w:rFonts w:ascii="宋体"/>
                <w:sz w:val="24"/>
              </w:rPr>
              <w:t>分</w:t>
            </w:r>
            <w:r>
              <w:rPr>
                <w:rFonts w:hint="eastAsia" w:ascii="宋体"/>
                <w:sz w:val="24"/>
              </w:rPr>
              <w:t>；</w:t>
            </w:r>
            <w:r>
              <w:rPr>
                <w:rFonts w:ascii="宋体"/>
                <w:sz w:val="24"/>
              </w:rPr>
              <w:t>未提供不得分。</w:t>
            </w:r>
          </w:p>
        </w:tc>
        <w:tc>
          <w:tcPr>
            <w:tcW w:w="1276" w:type="dxa"/>
            <w:vAlign w:val="center"/>
          </w:tcPr>
          <w:p w14:paraId="5FB0723F">
            <w:pPr>
              <w:widowControl/>
              <w:spacing w:line="360" w:lineRule="auto"/>
              <w:ind w:firstLine="240" w:firstLineChars="100"/>
              <w:rPr>
                <w:rFonts w:ascii="宋体"/>
                <w:sz w:val="24"/>
              </w:rPr>
            </w:pPr>
            <w:r>
              <w:rPr>
                <w:rFonts w:hint="eastAsia" w:ascii="宋体"/>
                <w:sz w:val="24"/>
              </w:rPr>
              <w:t>6分</w:t>
            </w:r>
          </w:p>
        </w:tc>
      </w:tr>
      <w:tr w14:paraId="6579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Align w:val="center"/>
          </w:tcPr>
          <w:p w14:paraId="4E577435">
            <w:pPr>
              <w:spacing w:line="360" w:lineRule="auto"/>
              <w:rPr>
                <w:rFonts w:ascii="宋体" w:cs="宋体"/>
                <w:sz w:val="24"/>
              </w:rPr>
            </w:pPr>
            <w:r>
              <w:rPr>
                <w:rFonts w:hint="eastAsia" w:ascii="宋体" w:cs="宋体"/>
                <w:sz w:val="24"/>
              </w:rPr>
              <w:t>5</w:t>
            </w:r>
          </w:p>
        </w:tc>
        <w:tc>
          <w:tcPr>
            <w:tcW w:w="1417" w:type="dxa"/>
            <w:vAlign w:val="center"/>
          </w:tcPr>
          <w:p w14:paraId="59FC482F">
            <w:pPr>
              <w:widowControl/>
              <w:spacing w:line="360" w:lineRule="auto"/>
              <w:rPr>
                <w:rFonts w:ascii="宋体"/>
                <w:sz w:val="24"/>
              </w:rPr>
            </w:pPr>
            <w:r>
              <w:rPr>
                <w:rFonts w:hint="eastAsia" w:ascii="宋体"/>
                <w:sz w:val="24"/>
              </w:rPr>
              <w:t>上线运行、调试、验收方案和措施</w:t>
            </w:r>
          </w:p>
        </w:tc>
        <w:tc>
          <w:tcPr>
            <w:tcW w:w="7088" w:type="dxa"/>
            <w:gridSpan w:val="2"/>
          </w:tcPr>
          <w:p w14:paraId="31E02C1C">
            <w:pPr>
              <w:widowControl/>
              <w:spacing w:line="360" w:lineRule="auto"/>
              <w:rPr>
                <w:rFonts w:ascii="宋体"/>
                <w:sz w:val="24"/>
              </w:rPr>
            </w:pPr>
            <w:r>
              <w:rPr>
                <w:rFonts w:hint="eastAsia" w:ascii="宋体"/>
                <w:sz w:val="24"/>
              </w:rPr>
              <w:t>上线运行、调试、验收的各阶段的方案和措施能结合本项目特点、方案详细合理，切实可行且对本项目实施有推进作用，</w:t>
            </w:r>
            <w:r>
              <w:rPr>
                <w:rFonts w:ascii="宋体"/>
                <w:sz w:val="24"/>
              </w:rPr>
              <w:t>不漏项且有针对性解释说明得</w:t>
            </w:r>
            <w:r>
              <w:rPr>
                <w:rFonts w:hint="eastAsia" w:ascii="宋体"/>
                <w:sz w:val="24"/>
              </w:rPr>
              <w:t>6</w:t>
            </w:r>
            <w:r>
              <w:rPr>
                <w:rFonts w:ascii="宋体"/>
                <w:sz w:val="24"/>
              </w:rPr>
              <w:t>分；提供的方案漏缺1项或2项，有针对性解释说明得</w:t>
            </w:r>
            <w:r>
              <w:rPr>
                <w:rFonts w:hint="eastAsia" w:ascii="宋体"/>
                <w:sz w:val="24"/>
              </w:rPr>
              <w:t>5</w:t>
            </w:r>
            <w:r>
              <w:rPr>
                <w:rFonts w:ascii="宋体"/>
                <w:sz w:val="24"/>
              </w:rPr>
              <w:t>分；提供的方案基本全面，有针对性解释说明得</w:t>
            </w:r>
            <w:r>
              <w:rPr>
                <w:rFonts w:hint="eastAsia" w:ascii="宋体"/>
                <w:sz w:val="24"/>
              </w:rPr>
              <w:t>4</w:t>
            </w:r>
            <w:r>
              <w:rPr>
                <w:rFonts w:ascii="宋体"/>
                <w:sz w:val="24"/>
              </w:rPr>
              <w:t>分；提供的方案不全面，有针对性解释说明得3分；提供的方案不全面，没有解释说明得1分；未提供不得分。</w:t>
            </w:r>
          </w:p>
        </w:tc>
        <w:tc>
          <w:tcPr>
            <w:tcW w:w="1276" w:type="dxa"/>
            <w:vAlign w:val="center"/>
          </w:tcPr>
          <w:p w14:paraId="63175AF0">
            <w:pPr>
              <w:widowControl/>
              <w:spacing w:line="360" w:lineRule="auto"/>
              <w:ind w:firstLine="240" w:firstLineChars="100"/>
              <w:rPr>
                <w:rFonts w:ascii="宋体"/>
                <w:sz w:val="24"/>
              </w:rPr>
            </w:pPr>
            <w:r>
              <w:rPr>
                <w:rFonts w:hint="eastAsia" w:ascii="宋体"/>
                <w:sz w:val="24"/>
              </w:rPr>
              <w:t>6分</w:t>
            </w:r>
          </w:p>
        </w:tc>
      </w:tr>
      <w:tr w14:paraId="595A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vAlign w:val="center"/>
          </w:tcPr>
          <w:p w14:paraId="78008365">
            <w:pPr>
              <w:spacing w:line="360" w:lineRule="auto"/>
              <w:rPr>
                <w:rFonts w:ascii="宋体" w:cs="宋体"/>
                <w:sz w:val="24"/>
              </w:rPr>
            </w:pPr>
            <w:r>
              <w:rPr>
                <w:rFonts w:hint="eastAsia" w:ascii="宋体" w:cs="宋体"/>
                <w:sz w:val="24"/>
              </w:rPr>
              <w:t>6</w:t>
            </w:r>
          </w:p>
        </w:tc>
        <w:tc>
          <w:tcPr>
            <w:tcW w:w="1417" w:type="dxa"/>
            <w:vAlign w:val="center"/>
          </w:tcPr>
          <w:p w14:paraId="026DAD3C">
            <w:pPr>
              <w:widowControl/>
              <w:spacing w:line="360" w:lineRule="auto"/>
              <w:rPr>
                <w:rFonts w:ascii="宋体"/>
                <w:sz w:val="24"/>
              </w:rPr>
            </w:pPr>
            <w:r>
              <w:rPr>
                <w:rFonts w:hint="eastAsia" w:ascii="宋体"/>
                <w:sz w:val="24"/>
              </w:rPr>
              <w:t>应急处理预案</w:t>
            </w:r>
          </w:p>
        </w:tc>
        <w:tc>
          <w:tcPr>
            <w:tcW w:w="7088" w:type="dxa"/>
            <w:gridSpan w:val="2"/>
            <w:vAlign w:val="center"/>
          </w:tcPr>
          <w:p w14:paraId="7FF966A9">
            <w:pPr>
              <w:widowControl/>
              <w:spacing w:line="360" w:lineRule="auto"/>
              <w:rPr>
                <w:rFonts w:ascii="宋体"/>
                <w:sz w:val="24"/>
              </w:rPr>
            </w:pPr>
            <w:r>
              <w:rPr>
                <w:rFonts w:hint="eastAsia" w:ascii="宋体"/>
                <w:sz w:val="24"/>
              </w:rPr>
              <w:t>根据供应商提供的实施本项目期间出现的突发事件（如系统数据错误、实施人员调整、信息服务出错或不及时等）的应急预案科学有效、务实、具有完善的风控方案，</w:t>
            </w:r>
            <w:r>
              <w:rPr>
                <w:rFonts w:ascii="宋体"/>
                <w:sz w:val="24"/>
              </w:rPr>
              <w:t>不漏项且有针对性解释说明</w:t>
            </w:r>
            <w:r>
              <w:rPr>
                <w:rFonts w:hint="eastAsia" w:ascii="宋体"/>
                <w:sz w:val="24"/>
              </w:rPr>
              <w:t>：6</w:t>
            </w:r>
            <w:r>
              <w:rPr>
                <w:rFonts w:ascii="宋体"/>
                <w:sz w:val="24"/>
              </w:rPr>
              <w:t>分</w:t>
            </w:r>
            <w:r>
              <w:rPr>
                <w:rFonts w:hint="eastAsia" w:ascii="宋体"/>
                <w:sz w:val="24"/>
              </w:rPr>
              <w:t>；</w:t>
            </w:r>
            <w:r>
              <w:rPr>
                <w:rFonts w:ascii="宋体"/>
                <w:sz w:val="24"/>
              </w:rPr>
              <w:t>提供的</w:t>
            </w:r>
            <w:r>
              <w:rPr>
                <w:rFonts w:hint="eastAsia" w:ascii="宋体"/>
                <w:sz w:val="24"/>
              </w:rPr>
              <w:t>方案</w:t>
            </w:r>
            <w:r>
              <w:rPr>
                <w:rFonts w:ascii="宋体"/>
                <w:sz w:val="24"/>
              </w:rPr>
              <w:t>漏缺1项或2项，有针对性解释说明</w:t>
            </w:r>
            <w:r>
              <w:rPr>
                <w:rFonts w:hint="eastAsia" w:ascii="宋体"/>
                <w:sz w:val="24"/>
              </w:rPr>
              <w:t>：5</w:t>
            </w:r>
            <w:r>
              <w:rPr>
                <w:rFonts w:ascii="宋体"/>
                <w:sz w:val="24"/>
              </w:rPr>
              <w:t>分</w:t>
            </w:r>
            <w:r>
              <w:rPr>
                <w:rFonts w:hint="eastAsia" w:ascii="宋体"/>
                <w:sz w:val="24"/>
              </w:rPr>
              <w:t>；</w:t>
            </w:r>
            <w:r>
              <w:rPr>
                <w:rFonts w:ascii="宋体"/>
                <w:sz w:val="24"/>
              </w:rPr>
              <w:t>提供的</w:t>
            </w:r>
            <w:r>
              <w:rPr>
                <w:rFonts w:hint="eastAsia" w:ascii="宋体"/>
                <w:sz w:val="24"/>
              </w:rPr>
              <w:t>方案</w:t>
            </w:r>
            <w:r>
              <w:rPr>
                <w:rFonts w:ascii="宋体"/>
                <w:sz w:val="24"/>
              </w:rPr>
              <w:t>基本全面，有针对性解释说明</w:t>
            </w:r>
            <w:r>
              <w:rPr>
                <w:rFonts w:hint="eastAsia" w:ascii="宋体"/>
                <w:sz w:val="24"/>
              </w:rPr>
              <w:t>：4</w:t>
            </w:r>
            <w:r>
              <w:rPr>
                <w:rFonts w:ascii="宋体"/>
                <w:sz w:val="24"/>
              </w:rPr>
              <w:t>分</w:t>
            </w:r>
            <w:r>
              <w:rPr>
                <w:rFonts w:hint="eastAsia" w:ascii="宋体"/>
                <w:sz w:val="24"/>
              </w:rPr>
              <w:t>；</w:t>
            </w:r>
            <w:r>
              <w:rPr>
                <w:rFonts w:ascii="宋体"/>
                <w:sz w:val="24"/>
              </w:rPr>
              <w:t>提供的</w:t>
            </w:r>
            <w:r>
              <w:rPr>
                <w:rFonts w:hint="eastAsia" w:ascii="宋体"/>
                <w:sz w:val="24"/>
              </w:rPr>
              <w:t>方案</w:t>
            </w:r>
            <w:r>
              <w:rPr>
                <w:rFonts w:ascii="宋体"/>
                <w:sz w:val="24"/>
              </w:rPr>
              <w:t>不全面，有针对性解释说明</w:t>
            </w:r>
            <w:r>
              <w:rPr>
                <w:rFonts w:hint="eastAsia" w:ascii="宋体"/>
                <w:sz w:val="24"/>
              </w:rPr>
              <w:t>：3</w:t>
            </w:r>
            <w:r>
              <w:rPr>
                <w:rFonts w:ascii="宋体"/>
                <w:sz w:val="24"/>
              </w:rPr>
              <w:t>分</w:t>
            </w:r>
            <w:r>
              <w:rPr>
                <w:rFonts w:hint="eastAsia" w:ascii="宋体"/>
                <w:sz w:val="24"/>
              </w:rPr>
              <w:t>；</w:t>
            </w:r>
            <w:r>
              <w:rPr>
                <w:rFonts w:ascii="宋体"/>
                <w:sz w:val="24"/>
              </w:rPr>
              <w:t>提供的</w:t>
            </w:r>
            <w:r>
              <w:rPr>
                <w:rFonts w:hint="eastAsia" w:ascii="宋体"/>
                <w:sz w:val="24"/>
              </w:rPr>
              <w:t>方案</w:t>
            </w:r>
            <w:r>
              <w:rPr>
                <w:rFonts w:ascii="宋体"/>
                <w:sz w:val="24"/>
              </w:rPr>
              <w:t>不全面，没有解释说明</w:t>
            </w:r>
            <w:r>
              <w:rPr>
                <w:rFonts w:hint="eastAsia" w:ascii="宋体"/>
                <w:sz w:val="24"/>
              </w:rPr>
              <w:t>：1</w:t>
            </w:r>
            <w:r>
              <w:rPr>
                <w:rFonts w:ascii="宋体"/>
                <w:sz w:val="24"/>
              </w:rPr>
              <w:t>分</w:t>
            </w:r>
            <w:r>
              <w:rPr>
                <w:rFonts w:hint="eastAsia" w:ascii="宋体"/>
                <w:sz w:val="24"/>
              </w:rPr>
              <w:t>；</w:t>
            </w:r>
            <w:r>
              <w:rPr>
                <w:rFonts w:ascii="宋体"/>
                <w:sz w:val="24"/>
              </w:rPr>
              <w:t>未提供不得分。</w:t>
            </w:r>
          </w:p>
        </w:tc>
        <w:tc>
          <w:tcPr>
            <w:tcW w:w="1276" w:type="dxa"/>
            <w:vAlign w:val="center"/>
          </w:tcPr>
          <w:p w14:paraId="262FB50B">
            <w:pPr>
              <w:widowControl/>
              <w:spacing w:line="360" w:lineRule="auto"/>
              <w:ind w:firstLine="240" w:firstLineChars="100"/>
              <w:rPr>
                <w:rFonts w:ascii="宋体"/>
                <w:sz w:val="24"/>
              </w:rPr>
            </w:pPr>
            <w:r>
              <w:rPr>
                <w:rFonts w:hint="eastAsia" w:ascii="宋体"/>
                <w:sz w:val="24"/>
              </w:rPr>
              <w:t>6</w:t>
            </w:r>
            <w:r>
              <w:rPr>
                <w:rFonts w:ascii="宋体"/>
                <w:sz w:val="24"/>
              </w:rPr>
              <w:t>分</w:t>
            </w:r>
          </w:p>
        </w:tc>
      </w:tr>
      <w:tr w14:paraId="6DE7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Align w:val="center"/>
          </w:tcPr>
          <w:p w14:paraId="4AF41DFB">
            <w:pPr>
              <w:widowControl/>
              <w:rPr>
                <w:rFonts w:ascii="宋体" w:hAnsi="宋体" w:cs="宋体"/>
                <w:sz w:val="24"/>
              </w:rPr>
            </w:pPr>
            <w:r>
              <w:rPr>
                <w:rFonts w:hint="eastAsia" w:ascii="宋体" w:hAnsi="宋体" w:cs="宋体"/>
                <w:sz w:val="24"/>
              </w:rPr>
              <w:t>7</w:t>
            </w:r>
          </w:p>
        </w:tc>
        <w:tc>
          <w:tcPr>
            <w:tcW w:w="1417" w:type="dxa"/>
            <w:vAlign w:val="center"/>
          </w:tcPr>
          <w:p w14:paraId="41001EF9">
            <w:pPr>
              <w:widowControl/>
              <w:spacing w:line="360" w:lineRule="auto"/>
              <w:rPr>
                <w:rFonts w:ascii="宋体"/>
                <w:sz w:val="24"/>
              </w:rPr>
            </w:pPr>
            <w:r>
              <w:rPr>
                <w:rFonts w:hint="eastAsia" w:ascii="宋体"/>
                <w:sz w:val="24"/>
              </w:rPr>
              <w:t>拟投入本项目人员</w:t>
            </w:r>
          </w:p>
        </w:tc>
        <w:tc>
          <w:tcPr>
            <w:tcW w:w="7088" w:type="dxa"/>
            <w:gridSpan w:val="2"/>
            <w:vAlign w:val="center"/>
          </w:tcPr>
          <w:p w14:paraId="2773E563">
            <w:pPr>
              <w:widowControl/>
              <w:spacing w:line="360" w:lineRule="auto"/>
              <w:rPr>
                <w:rFonts w:ascii="宋体"/>
                <w:sz w:val="24"/>
              </w:rPr>
            </w:pPr>
            <w:r>
              <w:rPr>
                <w:rFonts w:hint="eastAsia" w:ascii="宋体"/>
                <w:sz w:val="24"/>
              </w:rPr>
              <w:t>1.项目负责人</w:t>
            </w:r>
          </w:p>
          <w:p w14:paraId="5424B61D">
            <w:pPr>
              <w:widowControl/>
              <w:spacing w:line="360" w:lineRule="auto"/>
              <w:rPr>
                <w:rFonts w:ascii="宋体"/>
                <w:sz w:val="24"/>
              </w:rPr>
            </w:pPr>
            <w:r>
              <w:rPr>
                <w:rFonts w:hint="eastAsia" w:ascii="宋体"/>
                <w:sz w:val="24"/>
              </w:rPr>
              <w:t>1）本项目拟派项目负责人具有计算机技术与软件相关专业的高级工程师职称得3分，中级工程师职称得2分，初级工程师职称得1分。</w:t>
            </w:r>
          </w:p>
          <w:p w14:paraId="27E58BC6">
            <w:pPr>
              <w:widowControl/>
              <w:spacing w:line="360" w:lineRule="auto"/>
              <w:rPr>
                <w:rFonts w:ascii="宋体"/>
                <w:sz w:val="24"/>
              </w:rPr>
            </w:pPr>
            <w:r>
              <w:rPr>
                <w:rFonts w:hint="eastAsia" w:ascii="宋体"/>
                <w:sz w:val="24"/>
              </w:rPr>
              <w:t>2）本项目拟派项目负责人具有智能化系统集成项目经理、国家信息安全水平证书的，每提供1个得2分，最高得4分。</w:t>
            </w:r>
          </w:p>
          <w:p w14:paraId="5E8F7DCE">
            <w:pPr>
              <w:widowControl/>
              <w:spacing w:line="360" w:lineRule="auto"/>
              <w:rPr>
                <w:rFonts w:ascii="宋体"/>
                <w:sz w:val="24"/>
              </w:rPr>
            </w:pPr>
            <w:r>
              <w:rPr>
                <w:rFonts w:hint="eastAsia" w:ascii="宋体"/>
                <w:sz w:val="24"/>
              </w:rPr>
              <w:t>2. 项目组成员（除项目负责人外）</w:t>
            </w:r>
          </w:p>
          <w:p w14:paraId="5BA2FB02">
            <w:pPr>
              <w:widowControl/>
              <w:spacing w:line="360" w:lineRule="auto"/>
              <w:rPr>
                <w:rFonts w:ascii="宋体"/>
                <w:sz w:val="24"/>
              </w:rPr>
            </w:pPr>
            <w:r>
              <w:rPr>
                <w:rFonts w:hint="eastAsia" w:ascii="宋体"/>
                <w:sz w:val="24"/>
              </w:rPr>
              <w:t>1）项目技术负责人：具有高级软件技术开发工程师、信息系统项目管理师证书的，每提供1个得2分，最高得4分。</w:t>
            </w:r>
          </w:p>
          <w:p w14:paraId="4CB72A9D">
            <w:pPr>
              <w:widowControl/>
              <w:spacing w:line="360" w:lineRule="auto"/>
              <w:rPr>
                <w:rFonts w:ascii="宋体"/>
                <w:sz w:val="24"/>
              </w:rPr>
            </w:pPr>
            <w:r>
              <w:rPr>
                <w:rFonts w:hint="eastAsia" w:ascii="宋体"/>
                <w:sz w:val="24"/>
              </w:rPr>
              <w:t>2）项目团队成员：具有智能化系统工程师、高级网络与信息安全工程师、信息系统运维管理工程师、大数据分析认证、OCP数据库管理认证证书的，每提供1个得1分，最高得5分。</w:t>
            </w:r>
            <w:r>
              <w:rPr>
                <w:rFonts w:hint="eastAsia" w:ascii="宋体"/>
                <w:sz w:val="24"/>
              </w:rPr>
              <w:br w:type="textWrapping"/>
            </w:r>
            <w:r>
              <w:rPr>
                <w:rFonts w:hint="eastAsia" w:ascii="宋体"/>
                <w:sz w:val="24"/>
              </w:rPr>
              <w:t>注：以上人员均需提供相关证书复印件（或扫描件）及本单位或分公司为其缴纳的近3个月中任意1个月社保证明，未提供不得分。</w:t>
            </w:r>
          </w:p>
        </w:tc>
        <w:tc>
          <w:tcPr>
            <w:tcW w:w="1276" w:type="dxa"/>
            <w:vAlign w:val="center"/>
          </w:tcPr>
          <w:p w14:paraId="4791183B">
            <w:pPr>
              <w:widowControl/>
              <w:spacing w:line="360" w:lineRule="auto"/>
              <w:ind w:firstLine="240" w:firstLineChars="100"/>
              <w:rPr>
                <w:rFonts w:ascii="宋体"/>
                <w:sz w:val="24"/>
              </w:rPr>
            </w:pPr>
            <w:r>
              <w:rPr>
                <w:rFonts w:hint="eastAsia" w:ascii="宋体"/>
                <w:sz w:val="24"/>
              </w:rPr>
              <w:t>16分</w:t>
            </w:r>
          </w:p>
        </w:tc>
      </w:tr>
      <w:tr w14:paraId="3190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Align w:val="center"/>
          </w:tcPr>
          <w:p w14:paraId="773F233F">
            <w:pPr>
              <w:widowControl/>
              <w:rPr>
                <w:rFonts w:ascii="宋体" w:hAnsi="宋体" w:cs="宋体"/>
                <w:sz w:val="24"/>
              </w:rPr>
            </w:pPr>
            <w:r>
              <w:rPr>
                <w:rFonts w:hint="eastAsia" w:ascii="宋体" w:hAnsi="宋体" w:cs="宋体"/>
                <w:sz w:val="24"/>
              </w:rPr>
              <w:t>8</w:t>
            </w:r>
          </w:p>
        </w:tc>
        <w:tc>
          <w:tcPr>
            <w:tcW w:w="1417" w:type="dxa"/>
            <w:vAlign w:val="center"/>
          </w:tcPr>
          <w:p w14:paraId="72842BA3">
            <w:pPr>
              <w:pStyle w:val="22"/>
              <w:spacing w:line="440" w:lineRule="exact"/>
              <w:ind w:firstLine="0" w:firstLineChars="0"/>
              <w:rPr>
                <w:rFonts w:ascii="宋体" w:cs="宋体"/>
                <w:b w:val="0"/>
              </w:rPr>
            </w:pPr>
            <w:r>
              <w:rPr>
                <w:rFonts w:hint="eastAsia" w:ascii="宋体" w:cs="宋体"/>
                <w:b w:val="0"/>
              </w:rPr>
              <w:t>本项目有效的改进措施和合理化建议</w:t>
            </w:r>
          </w:p>
        </w:tc>
        <w:tc>
          <w:tcPr>
            <w:tcW w:w="7088" w:type="dxa"/>
            <w:gridSpan w:val="2"/>
            <w:vAlign w:val="center"/>
          </w:tcPr>
          <w:p w14:paraId="743DD73D">
            <w:pPr>
              <w:spacing w:before="120" w:beforeLines="50" w:after="120" w:afterLines="50" w:line="400" w:lineRule="exact"/>
              <w:rPr>
                <w:rFonts w:ascii="宋体" w:cs="宋体"/>
                <w:sz w:val="24"/>
              </w:rPr>
            </w:pPr>
            <w:r>
              <w:rPr>
                <w:rFonts w:hint="eastAsia" w:ascii="宋体" w:hAnsi="宋体" w:cs="宋体"/>
                <w:sz w:val="24"/>
              </w:rPr>
              <w:t>针对本项目特点提出有效建议或措施的每项得1分，最高得5分。</w:t>
            </w:r>
          </w:p>
        </w:tc>
        <w:tc>
          <w:tcPr>
            <w:tcW w:w="1276" w:type="dxa"/>
            <w:vAlign w:val="center"/>
          </w:tcPr>
          <w:p w14:paraId="378D4BD4">
            <w:pPr>
              <w:adjustRightInd w:val="0"/>
              <w:snapToGrid w:val="0"/>
              <w:spacing w:line="360" w:lineRule="auto"/>
              <w:ind w:firstLine="240" w:firstLineChars="100"/>
              <w:textAlignment w:val="center"/>
              <w:rPr>
                <w:rFonts w:asciiTheme="majorEastAsia" w:hAnsiTheme="majorEastAsia" w:eastAsiaTheme="majorEastAsia"/>
                <w:sz w:val="24"/>
              </w:rPr>
            </w:pPr>
            <w:r>
              <w:rPr>
                <w:rFonts w:hint="eastAsia" w:asciiTheme="majorEastAsia" w:hAnsiTheme="majorEastAsia" w:eastAsiaTheme="majorEastAsia"/>
                <w:sz w:val="24"/>
              </w:rPr>
              <w:t>5分</w:t>
            </w:r>
          </w:p>
        </w:tc>
      </w:tr>
      <w:tr w14:paraId="561A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Align w:val="center"/>
          </w:tcPr>
          <w:p w14:paraId="4C2E3EB7">
            <w:pPr>
              <w:widowControl/>
              <w:rPr>
                <w:rFonts w:ascii="宋体" w:hAnsi="宋体" w:cs="宋体"/>
                <w:sz w:val="24"/>
              </w:rPr>
            </w:pPr>
            <w:r>
              <w:rPr>
                <w:rFonts w:hint="eastAsia" w:ascii="宋体" w:hAnsi="宋体" w:cs="宋体"/>
                <w:sz w:val="24"/>
              </w:rPr>
              <w:t>9</w:t>
            </w:r>
          </w:p>
        </w:tc>
        <w:tc>
          <w:tcPr>
            <w:tcW w:w="1417" w:type="dxa"/>
            <w:vAlign w:val="center"/>
          </w:tcPr>
          <w:p w14:paraId="789A6C7B">
            <w:pPr>
              <w:widowControl/>
              <w:spacing w:line="360" w:lineRule="auto"/>
              <w:rPr>
                <w:rFonts w:ascii="宋体"/>
                <w:sz w:val="24"/>
              </w:rPr>
            </w:pPr>
            <w:r>
              <w:rPr>
                <w:rFonts w:hint="eastAsia" w:ascii="宋体"/>
                <w:sz w:val="24"/>
              </w:rPr>
              <w:t>系统演示</w:t>
            </w:r>
          </w:p>
        </w:tc>
        <w:tc>
          <w:tcPr>
            <w:tcW w:w="7088" w:type="dxa"/>
            <w:gridSpan w:val="2"/>
            <w:vAlign w:val="center"/>
          </w:tcPr>
          <w:p w14:paraId="3C485E65">
            <w:pPr>
              <w:widowControl/>
              <w:spacing w:line="360" w:lineRule="auto"/>
              <w:rPr>
                <w:rFonts w:ascii="宋体"/>
                <w:sz w:val="24"/>
              </w:rPr>
            </w:pPr>
            <w:r>
              <w:rPr>
                <w:rFonts w:hint="eastAsia" w:ascii="宋体"/>
                <w:sz w:val="24"/>
              </w:rPr>
              <w:t>1.投标人提供基础信息管理模块演示：</w:t>
            </w:r>
          </w:p>
          <w:p w14:paraId="33D88BF0">
            <w:pPr>
              <w:widowControl/>
              <w:spacing w:line="360" w:lineRule="auto"/>
              <w:rPr>
                <w:rFonts w:ascii="宋体"/>
                <w:sz w:val="24"/>
              </w:rPr>
            </w:pPr>
            <w:r>
              <w:rPr>
                <w:rFonts w:hint="eastAsia" w:ascii="宋体"/>
                <w:sz w:val="24"/>
              </w:rPr>
              <w:t>（1）从区/县、街/镇、社区三级进行行政区划管理，包含区划名称，行政代码，GIS信息等；0.5分</w:t>
            </w:r>
          </w:p>
          <w:p w14:paraId="1A3B19CF">
            <w:pPr>
              <w:widowControl/>
              <w:spacing w:line="360" w:lineRule="auto"/>
              <w:rPr>
                <w:rFonts w:ascii="宋体"/>
                <w:sz w:val="24"/>
              </w:rPr>
            </w:pPr>
            <w:r>
              <w:rPr>
                <w:rFonts w:hint="eastAsia" w:ascii="宋体"/>
                <w:sz w:val="24"/>
              </w:rPr>
              <w:t>（2）对投放点信息进行台账管理，包括投放点名称、位置、类型、状态等，可在地图上展示投放点位置；0.5分</w:t>
            </w:r>
          </w:p>
          <w:p w14:paraId="0F290A0C">
            <w:pPr>
              <w:widowControl/>
              <w:spacing w:line="360" w:lineRule="auto"/>
              <w:rPr>
                <w:rFonts w:ascii="宋体"/>
                <w:sz w:val="24"/>
              </w:rPr>
            </w:pPr>
            <w:r>
              <w:rPr>
                <w:rFonts w:hint="eastAsia" w:ascii="宋体"/>
                <w:sz w:val="24"/>
              </w:rPr>
              <w:t>（3）对分类小区基础信息进行台账管理，包括行政区划、名称、幢数、户数、物业等信息，可在地图上展示小区位置；0.5分</w:t>
            </w:r>
          </w:p>
          <w:p w14:paraId="581BC33A">
            <w:pPr>
              <w:widowControl/>
              <w:spacing w:line="360" w:lineRule="auto"/>
              <w:rPr>
                <w:rFonts w:ascii="宋体"/>
                <w:sz w:val="24"/>
              </w:rPr>
            </w:pPr>
            <w:r>
              <w:rPr>
                <w:rFonts w:hint="eastAsia" w:ascii="宋体"/>
                <w:sz w:val="24"/>
              </w:rPr>
              <w:t>（4）对分类居民信息进行台账管理，包括小区、户号、姓名、联系方式、卡号等；0.5分</w:t>
            </w:r>
          </w:p>
          <w:p w14:paraId="4FDFA8F7">
            <w:pPr>
              <w:widowControl/>
              <w:spacing w:line="360" w:lineRule="auto"/>
              <w:rPr>
                <w:rFonts w:ascii="宋体"/>
                <w:sz w:val="24"/>
              </w:rPr>
            </w:pPr>
            <w:r>
              <w:rPr>
                <w:rFonts w:hint="eastAsia" w:ascii="宋体"/>
                <w:sz w:val="24"/>
              </w:rPr>
              <w:t>（5）对各类型设施设备进行台账管理，包括设备编码、名称、类型、供应商等信息；0.5分</w:t>
            </w:r>
          </w:p>
          <w:p w14:paraId="777A9BF1">
            <w:pPr>
              <w:widowControl/>
              <w:spacing w:line="360" w:lineRule="auto"/>
              <w:rPr>
                <w:rFonts w:ascii="宋体"/>
                <w:sz w:val="24"/>
              </w:rPr>
            </w:pPr>
            <w:r>
              <w:rPr>
                <w:rFonts w:hint="eastAsia" w:ascii="宋体"/>
                <w:sz w:val="24"/>
              </w:rPr>
              <w:t>（6）对人员信息进行台账管理，包括政府单元人员、企业单位人员，人员信息包括姓名、性别、联系方式、职位类型等；0.5分</w:t>
            </w:r>
          </w:p>
          <w:p w14:paraId="44E0CC0B">
            <w:pPr>
              <w:widowControl/>
              <w:spacing w:line="360" w:lineRule="auto"/>
              <w:rPr>
                <w:rFonts w:ascii="宋体"/>
                <w:sz w:val="24"/>
              </w:rPr>
            </w:pPr>
            <w:r>
              <w:rPr>
                <w:rFonts w:hint="eastAsia" w:ascii="宋体"/>
                <w:sz w:val="24"/>
              </w:rPr>
              <w:t>2.投标人提供分类投放溯源模块演示：</w:t>
            </w:r>
          </w:p>
          <w:p w14:paraId="09E8CCA0">
            <w:pPr>
              <w:widowControl/>
              <w:spacing w:line="360" w:lineRule="auto"/>
              <w:rPr>
                <w:rFonts w:ascii="宋体"/>
                <w:sz w:val="24"/>
              </w:rPr>
            </w:pPr>
            <w:r>
              <w:rPr>
                <w:rFonts w:hint="eastAsia" w:ascii="宋体"/>
                <w:sz w:val="24"/>
              </w:rPr>
              <w:t>（1）接入智能投放设备，对设备状态实时感知，包括在线状态、满溢状态等；1分</w:t>
            </w:r>
          </w:p>
          <w:p w14:paraId="5303440B">
            <w:pPr>
              <w:widowControl/>
              <w:spacing w:line="360" w:lineRule="auto"/>
              <w:rPr>
                <w:rFonts w:ascii="宋体"/>
                <w:sz w:val="24"/>
              </w:rPr>
            </w:pPr>
            <w:r>
              <w:rPr>
                <w:rFonts w:hint="eastAsia" w:ascii="宋体"/>
                <w:sz w:val="24"/>
              </w:rPr>
              <w:t>（2）采集智能投放设备的投放记录数据，主要包括行政区划、投放点位、投放居民、垃圾类型、分类质量、投放时间、投放重量等。可按分类时间、垃圾类型、姓名等维度，对投放记录进行筛选；1分</w:t>
            </w:r>
          </w:p>
          <w:p w14:paraId="11457ADB">
            <w:pPr>
              <w:widowControl/>
              <w:spacing w:line="360" w:lineRule="auto"/>
              <w:rPr>
                <w:rFonts w:ascii="宋体"/>
                <w:sz w:val="24"/>
              </w:rPr>
            </w:pPr>
            <w:r>
              <w:rPr>
                <w:rFonts w:hint="eastAsia" w:ascii="宋体"/>
                <w:sz w:val="24"/>
              </w:rPr>
              <w:t>3.投标人提供投放行为AI监管模块演示：</w:t>
            </w:r>
          </w:p>
          <w:p w14:paraId="230060BD">
            <w:pPr>
              <w:widowControl/>
              <w:spacing w:line="360" w:lineRule="auto"/>
              <w:rPr>
                <w:rFonts w:ascii="宋体"/>
                <w:sz w:val="24"/>
              </w:rPr>
            </w:pPr>
            <w:r>
              <w:rPr>
                <w:rFonts w:hint="eastAsia" w:ascii="宋体"/>
                <w:sz w:val="24"/>
              </w:rPr>
              <w:t>（1）可对投放点位视频监控进行查看，可查看实时视频，也可调取一定时间内的历史视频；1分</w:t>
            </w:r>
          </w:p>
          <w:p w14:paraId="61B6B50B">
            <w:pPr>
              <w:widowControl/>
              <w:spacing w:line="360" w:lineRule="auto"/>
              <w:rPr>
                <w:rFonts w:ascii="宋体"/>
                <w:sz w:val="24"/>
              </w:rPr>
            </w:pPr>
            <w:r>
              <w:rPr>
                <w:rFonts w:hint="eastAsia" w:ascii="宋体"/>
                <w:sz w:val="24"/>
              </w:rPr>
              <w:t>（2）基于投放点位智能AI设备对落地包等违规投放行为进行识别，形成违规记录，可点选违规记录查看，包括时间、地点、违规类型、照片；1分</w:t>
            </w:r>
          </w:p>
          <w:p w14:paraId="1EEA33AA">
            <w:pPr>
              <w:widowControl/>
              <w:spacing w:line="360" w:lineRule="auto"/>
              <w:rPr>
                <w:rFonts w:ascii="宋体"/>
                <w:sz w:val="24"/>
              </w:rPr>
            </w:pPr>
            <w:r>
              <w:rPr>
                <w:rFonts w:hint="eastAsia" w:ascii="宋体"/>
                <w:sz w:val="24"/>
              </w:rPr>
              <w:t>（3）可对记录进行工单派发处理，可对处理进度进行查看，形成闭环管理；1分</w:t>
            </w:r>
          </w:p>
          <w:p w14:paraId="7333414B">
            <w:pPr>
              <w:widowControl/>
              <w:spacing w:line="360" w:lineRule="auto"/>
              <w:rPr>
                <w:rFonts w:ascii="宋体"/>
                <w:sz w:val="24"/>
              </w:rPr>
            </w:pPr>
            <w:r>
              <w:rPr>
                <w:rFonts w:hint="eastAsia" w:ascii="宋体"/>
                <w:sz w:val="24"/>
              </w:rPr>
              <w:t>4.投标人提供分类积分管理模块演示：</w:t>
            </w:r>
          </w:p>
          <w:p w14:paraId="014164AE">
            <w:pPr>
              <w:widowControl/>
              <w:spacing w:line="360" w:lineRule="auto"/>
              <w:rPr>
                <w:rFonts w:ascii="宋体"/>
                <w:sz w:val="24"/>
              </w:rPr>
            </w:pPr>
            <w:r>
              <w:rPr>
                <w:rFonts w:hint="eastAsia" w:ascii="宋体"/>
                <w:sz w:val="24"/>
              </w:rPr>
              <w:t>（1）对居民分类积分进行台账管理，可按行政区划、小区、门牌号等维度进行筛选；1分</w:t>
            </w:r>
          </w:p>
          <w:p w14:paraId="7556E8D6">
            <w:pPr>
              <w:widowControl/>
              <w:spacing w:line="360" w:lineRule="auto"/>
              <w:rPr>
                <w:rFonts w:ascii="宋体"/>
                <w:sz w:val="24"/>
              </w:rPr>
            </w:pPr>
            <w:r>
              <w:rPr>
                <w:rFonts w:hint="eastAsia" w:ascii="宋体"/>
                <w:sz w:val="24"/>
              </w:rPr>
              <w:t>（2）点击可查看对应积分变换情况，包括积分产生、兑换数和对应时间；1分</w:t>
            </w:r>
          </w:p>
          <w:p w14:paraId="7989E17B">
            <w:pPr>
              <w:widowControl/>
              <w:spacing w:line="360" w:lineRule="auto"/>
              <w:rPr>
                <w:rFonts w:ascii="宋体"/>
                <w:sz w:val="24"/>
              </w:rPr>
            </w:pPr>
            <w:r>
              <w:rPr>
                <w:rFonts w:hint="eastAsia" w:ascii="宋体"/>
                <w:sz w:val="24"/>
              </w:rPr>
              <w:t>5.投标人提供分类数据统计分析模块演示：</w:t>
            </w:r>
          </w:p>
          <w:p w14:paraId="55B949B3">
            <w:pPr>
              <w:widowControl/>
              <w:spacing w:line="360" w:lineRule="auto"/>
              <w:rPr>
                <w:rFonts w:ascii="宋体"/>
                <w:sz w:val="24"/>
              </w:rPr>
            </w:pPr>
            <w:r>
              <w:rPr>
                <w:rFonts w:hint="eastAsia" w:ascii="宋体"/>
                <w:sz w:val="24"/>
              </w:rPr>
              <w:t>对居民的垃圾投放数据进行多维度统计分析。</w:t>
            </w:r>
          </w:p>
          <w:p w14:paraId="22AADFAC">
            <w:pPr>
              <w:widowControl/>
              <w:spacing w:line="360" w:lineRule="auto"/>
              <w:rPr>
                <w:rFonts w:ascii="宋体"/>
                <w:sz w:val="24"/>
              </w:rPr>
            </w:pPr>
            <w:r>
              <w:rPr>
                <w:rFonts w:hint="eastAsia" w:ascii="宋体"/>
                <w:sz w:val="24"/>
              </w:rPr>
              <w:t>（1）多维度对积分产生、兑换数据进行统计分析，采用图表等不同方式进行分析展示；1分</w:t>
            </w:r>
          </w:p>
          <w:p w14:paraId="01818254">
            <w:pPr>
              <w:widowControl/>
              <w:spacing w:line="360" w:lineRule="auto"/>
              <w:rPr>
                <w:rFonts w:ascii="宋体"/>
                <w:sz w:val="24"/>
              </w:rPr>
            </w:pPr>
            <w:r>
              <w:rPr>
                <w:rFonts w:hint="eastAsia" w:ascii="宋体"/>
                <w:sz w:val="24"/>
              </w:rPr>
              <w:t>（2）基于采集的垃圾分类记录，对居民参与情况进行统计分析，智能得出参与率；1分</w:t>
            </w:r>
          </w:p>
          <w:p w14:paraId="27CA8C0D">
            <w:pPr>
              <w:widowControl/>
              <w:spacing w:line="360" w:lineRule="auto"/>
              <w:rPr>
                <w:rFonts w:ascii="宋体"/>
                <w:sz w:val="24"/>
              </w:rPr>
            </w:pPr>
            <w:r>
              <w:rPr>
                <w:rFonts w:hint="eastAsia" w:ascii="宋体"/>
                <w:sz w:val="24"/>
              </w:rPr>
              <w:t>（3）对垃圾量进行汇总统计，支持根据垃圾类型、时间、区域维度进行统计分析，可用图表等形式展现垃圾量趋势变化；1分</w:t>
            </w:r>
          </w:p>
          <w:p w14:paraId="2637956F">
            <w:pPr>
              <w:widowControl/>
              <w:spacing w:line="360" w:lineRule="auto"/>
              <w:rPr>
                <w:rFonts w:ascii="宋体"/>
                <w:sz w:val="24"/>
              </w:rPr>
            </w:pPr>
            <w:r>
              <w:rPr>
                <w:rFonts w:hint="eastAsia" w:ascii="宋体"/>
                <w:sz w:val="24"/>
              </w:rPr>
              <w:t>（4）对违规投放行为进行统计分析，包括从违规来源、违规类型、违规时段、违规趋势等不同角度，采用图表等形式直观展示分析结果；1分</w:t>
            </w:r>
          </w:p>
          <w:p w14:paraId="3AC995A8">
            <w:pPr>
              <w:widowControl/>
              <w:spacing w:line="360" w:lineRule="auto"/>
            </w:pPr>
            <w:r>
              <w:rPr>
                <w:rFonts w:hint="eastAsia" w:ascii="宋体"/>
                <w:b/>
                <w:sz w:val="24"/>
              </w:rPr>
              <w:t>注：</w:t>
            </w:r>
            <w:r>
              <w:rPr>
                <w:rFonts w:ascii="宋体"/>
                <w:b/>
                <w:sz w:val="24"/>
              </w:rPr>
              <w:t>供应商无需派专人参加现场演示，根据演示分评分标准要求录制演示视频（mp4格式；时间控制在</w:t>
            </w:r>
            <w:r>
              <w:rPr>
                <w:rFonts w:hint="eastAsia" w:ascii="宋体"/>
                <w:b/>
                <w:sz w:val="24"/>
              </w:rPr>
              <w:t>15</w:t>
            </w:r>
            <w:r>
              <w:rPr>
                <w:rFonts w:ascii="宋体"/>
                <w:b/>
                <w:sz w:val="24"/>
              </w:rPr>
              <w:t>分钟以内），演示视频电子文件用U盘拷贝，与备份投标文件一起邮寄。供应商必须</w:t>
            </w:r>
            <w:r>
              <w:rPr>
                <w:rFonts w:hint="eastAsia" w:ascii="宋体"/>
                <w:b/>
                <w:sz w:val="24"/>
              </w:rPr>
              <w:t>全部采用真实平台录屏视频演示且有实时数据，采用模拟数据或功能演示不全的、</w:t>
            </w:r>
            <w:r>
              <w:rPr>
                <w:rFonts w:ascii="宋体"/>
                <w:b/>
                <w:sz w:val="24"/>
              </w:rPr>
              <w:t>采用</w:t>
            </w:r>
            <w:r>
              <w:rPr>
                <w:rFonts w:hint="eastAsia" w:ascii="宋体"/>
                <w:b/>
                <w:sz w:val="24"/>
              </w:rPr>
              <w:t>PPT、Word等演示</w:t>
            </w:r>
            <w:r>
              <w:rPr>
                <w:rFonts w:ascii="宋体"/>
                <w:b/>
                <w:sz w:val="24"/>
              </w:rPr>
              <w:t>或未提供演示视频不得分。</w:t>
            </w:r>
          </w:p>
        </w:tc>
        <w:tc>
          <w:tcPr>
            <w:tcW w:w="1276" w:type="dxa"/>
            <w:vAlign w:val="center"/>
          </w:tcPr>
          <w:p w14:paraId="625A9640">
            <w:pPr>
              <w:adjustRightInd w:val="0"/>
              <w:snapToGrid w:val="0"/>
              <w:spacing w:line="360" w:lineRule="auto"/>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12分</w:t>
            </w:r>
          </w:p>
        </w:tc>
      </w:tr>
      <w:tr w14:paraId="1208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215" w:type="dxa"/>
            <w:gridSpan w:val="4"/>
            <w:vAlign w:val="center"/>
          </w:tcPr>
          <w:p w14:paraId="393D5DD9">
            <w:pPr>
              <w:pStyle w:val="15"/>
              <w:spacing w:before="120" w:beforeLines="50" w:after="120" w:afterLines="50" w:line="360" w:lineRule="auto"/>
              <w:jc w:val="left"/>
              <w:rPr>
                <w:bCs/>
                <w:sz w:val="24"/>
              </w:rPr>
            </w:pPr>
            <w:r>
              <w:rPr>
                <w:rFonts w:hint="eastAsia" w:hAnsi="宋体" w:cs="宋体"/>
                <w:sz w:val="24"/>
                <w:szCs w:val="24"/>
              </w:rPr>
              <w:t>资信</w:t>
            </w:r>
            <w:r>
              <w:rPr>
                <w:rFonts w:hint="eastAsia"/>
                <w:bCs/>
                <w:sz w:val="24"/>
              </w:rPr>
              <w:t>、商务</w:t>
            </w:r>
            <w:r>
              <w:rPr>
                <w:rFonts w:hint="eastAsia" w:hAnsi="宋体" w:cs="宋体"/>
                <w:sz w:val="24"/>
                <w:szCs w:val="24"/>
              </w:rPr>
              <w:t>及其他部分</w:t>
            </w:r>
          </w:p>
        </w:tc>
        <w:tc>
          <w:tcPr>
            <w:tcW w:w="1276" w:type="dxa"/>
            <w:vAlign w:val="center"/>
          </w:tcPr>
          <w:p w14:paraId="0D7049C6">
            <w:pPr>
              <w:pStyle w:val="15"/>
              <w:spacing w:before="120" w:beforeLines="50" w:after="120" w:afterLines="50" w:line="360" w:lineRule="auto"/>
              <w:ind w:firstLine="232" w:firstLineChars="100"/>
              <w:jc w:val="left"/>
              <w:rPr>
                <w:rFonts w:hAnsi="宋体" w:cs="宋体"/>
                <w:sz w:val="24"/>
                <w:szCs w:val="24"/>
              </w:rPr>
            </w:pPr>
            <w:r>
              <w:rPr>
                <w:rFonts w:hint="eastAsia" w:hAnsi="宋体" w:cs="宋体"/>
                <w:sz w:val="24"/>
                <w:szCs w:val="24"/>
              </w:rPr>
              <w:t>21分</w:t>
            </w:r>
          </w:p>
        </w:tc>
      </w:tr>
      <w:tr w14:paraId="2225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vAlign w:val="center"/>
          </w:tcPr>
          <w:p w14:paraId="405B50F8">
            <w:pPr>
              <w:pStyle w:val="22"/>
              <w:spacing w:line="440" w:lineRule="exact"/>
              <w:ind w:firstLine="0" w:firstLineChars="0"/>
              <w:rPr>
                <w:rFonts w:ascii="宋体" w:cs="宋体"/>
                <w:b w:val="0"/>
              </w:rPr>
            </w:pPr>
            <w:r>
              <w:rPr>
                <w:rFonts w:hint="eastAsia" w:ascii="宋体" w:cs="宋体"/>
                <w:b w:val="0"/>
              </w:rPr>
              <w:t>10</w:t>
            </w:r>
          </w:p>
        </w:tc>
        <w:tc>
          <w:tcPr>
            <w:tcW w:w="1559" w:type="dxa"/>
            <w:gridSpan w:val="2"/>
            <w:vAlign w:val="center"/>
          </w:tcPr>
          <w:p w14:paraId="19605C48">
            <w:pPr>
              <w:spacing w:line="400" w:lineRule="exact"/>
              <w:jc w:val="left"/>
              <w:rPr>
                <w:rFonts w:ascii="宋体" w:hAnsi="宋体" w:cs="宋体"/>
                <w:sz w:val="24"/>
              </w:rPr>
            </w:pPr>
            <w:r>
              <w:rPr>
                <w:rFonts w:hint="eastAsia" w:ascii="宋体" w:hAnsi="宋体" w:cs="宋体"/>
                <w:sz w:val="24"/>
              </w:rPr>
              <w:t>企业业绩</w:t>
            </w:r>
          </w:p>
        </w:tc>
        <w:tc>
          <w:tcPr>
            <w:tcW w:w="6946" w:type="dxa"/>
          </w:tcPr>
          <w:p w14:paraId="3A873E80">
            <w:pPr>
              <w:spacing w:before="120" w:beforeLines="50" w:after="120" w:afterLines="50" w:line="360" w:lineRule="auto"/>
              <w:rPr>
                <w:rFonts w:ascii="宋体" w:hAnsi="宋体" w:cs="仿宋"/>
                <w:kern w:val="0"/>
                <w:sz w:val="24"/>
              </w:rPr>
            </w:pPr>
            <w:r>
              <w:rPr>
                <w:rFonts w:hint="eastAsia" w:ascii="宋体" w:hAnsi="宋体" w:cs="仿宋"/>
                <w:kern w:val="0"/>
                <w:sz w:val="24"/>
              </w:rPr>
              <w:t>2020年1月1日至今（以合同时间为准），投标人提供同类项目业绩或案例证明，每提供一个项目得0.5分，最高得1分，提供合同复印件，未提供不得分。</w:t>
            </w:r>
          </w:p>
        </w:tc>
        <w:tc>
          <w:tcPr>
            <w:tcW w:w="1276" w:type="dxa"/>
            <w:vAlign w:val="center"/>
          </w:tcPr>
          <w:p w14:paraId="1A64E2AD">
            <w:pPr>
              <w:spacing w:line="320" w:lineRule="exact"/>
              <w:jc w:val="center"/>
              <w:rPr>
                <w:rFonts w:ascii="宋体" w:hAnsi="宋体"/>
                <w:bCs/>
                <w:sz w:val="24"/>
              </w:rPr>
            </w:pPr>
            <w:r>
              <w:rPr>
                <w:rFonts w:hint="eastAsia" w:ascii="宋体" w:hAnsi="宋体" w:cs="宋体"/>
                <w:sz w:val="24"/>
              </w:rPr>
              <w:t>1分</w:t>
            </w:r>
          </w:p>
        </w:tc>
      </w:tr>
      <w:tr w14:paraId="7030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vAlign w:val="center"/>
          </w:tcPr>
          <w:p w14:paraId="79338CD9">
            <w:pPr>
              <w:pStyle w:val="22"/>
              <w:spacing w:line="440" w:lineRule="exact"/>
              <w:ind w:firstLine="0" w:firstLineChars="0"/>
              <w:rPr>
                <w:rFonts w:ascii="宋体" w:cs="宋体"/>
                <w:b w:val="0"/>
              </w:rPr>
            </w:pPr>
            <w:r>
              <w:rPr>
                <w:rFonts w:hint="eastAsia" w:ascii="宋体" w:cs="宋体"/>
                <w:b w:val="0"/>
              </w:rPr>
              <w:t>11</w:t>
            </w:r>
          </w:p>
        </w:tc>
        <w:tc>
          <w:tcPr>
            <w:tcW w:w="1559" w:type="dxa"/>
            <w:gridSpan w:val="2"/>
            <w:vAlign w:val="center"/>
          </w:tcPr>
          <w:p w14:paraId="66A8D27B">
            <w:pPr>
              <w:spacing w:line="400" w:lineRule="exact"/>
              <w:jc w:val="left"/>
              <w:rPr>
                <w:rFonts w:ascii="宋体" w:hAnsi="宋体" w:cs="宋体"/>
                <w:sz w:val="24"/>
              </w:rPr>
            </w:pPr>
            <w:r>
              <w:rPr>
                <w:rFonts w:ascii="宋体" w:hAnsi="宋体" w:cs="宋体"/>
                <w:sz w:val="24"/>
              </w:rPr>
              <w:t>权威认证</w:t>
            </w:r>
          </w:p>
        </w:tc>
        <w:tc>
          <w:tcPr>
            <w:tcW w:w="6946" w:type="dxa"/>
          </w:tcPr>
          <w:p w14:paraId="50BF7DD9">
            <w:pPr>
              <w:spacing w:before="120" w:beforeLines="50" w:after="120" w:afterLines="50" w:line="360" w:lineRule="auto"/>
              <w:rPr>
                <w:rFonts w:ascii="宋体" w:hAnsi="宋体" w:cs="宋体"/>
                <w:sz w:val="24"/>
              </w:rPr>
            </w:pPr>
            <w:r>
              <w:rPr>
                <w:rFonts w:hint="eastAsia" w:ascii="宋体" w:hAnsi="宋体" w:cs="宋体"/>
                <w:sz w:val="24"/>
              </w:rPr>
              <w:t>投标人具有有效的质量管理体系认证证书、环境管理体系认证证书、ISO3850数据治理认证证书、网络安全管理体系认证证书、售后服务评价认证证书、ITSS信息技术服务标准认证证书，每提供1个得1分，最高得6分。</w:t>
            </w:r>
          </w:p>
          <w:p w14:paraId="6E181BF8">
            <w:pPr>
              <w:pStyle w:val="2"/>
            </w:pPr>
            <w:r>
              <w:rPr>
                <w:rFonts w:hint="eastAsia" w:ascii="宋体" w:hAnsi="宋体" w:cs="宋体"/>
                <w:sz w:val="24"/>
              </w:rPr>
              <w:t>注：提供全国认证认可信息公共服务平台（</w:t>
            </w:r>
            <w:r>
              <w:rPr>
                <w:rFonts w:ascii="宋体" w:hAnsi="宋体" w:cs="宋体"/>
                <w:sz w:val="24"/>
              </w:rPr>
              <w:t>http://cx.cnca.cn/CertECloud/index/index/page</w:t>
            </w:r>
            <w:r>
              <w:rPr>
                <w:rFonts w:hint="eastAsia" w:ascii="宋体" w:hAnsi="宋体" w:cs="宋体"/>
                <w:sz w:val="24"/>
              </w:rPr>
              <w:t>）查询结果及认证证书复印件，未提供不得分。</w:t>
            </w:r>
          </w:p>
        </w:tc>
        <w:tc>
          <w:tcPr>
            <w:tcW w:w="1276" w:type="dxa"/>
            <w:vAlign w:val="center"/>
          </w:tcPr>
          <w:p w14:paraId="3A5FCED8">
            <w:pPr>
              <w:spacing w:line="320" w:lineRule="exact"/>
              <w:jc w:val="center"/>
              <w:rPr>
                <w:rFonts w:ascii="宋体" w:hAnsi="宋体" w:cs="宋体"/>
                <w:sz w:val="24"/>
              </w:rPr>
            </w:pPr>
            <w:r>
              <w:rPr>
                <w:rFonts w:hint="eastAsia" w:ascii="宋体" w:hAnsi="宋体" w:cs="宋体"/>
                <w:sz w:val="24"/>
              </w:rPr>
              <w:t>6分</w:t>
            </w:r>
          </w:p>
        </w:tc>
      </w:tr>
      <w:tr w14:paraId="3179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vAlign w:val="center"/>
          </w:tcPr>
          <w:p w14:paraId="172B4D92">
            <w:pPr>
              <w:pStyle w:val="22"/>
              <w:spacing w:line="440" w:lineRule="exact"/>
              <w:ind w:firstLine="0" w:firstLineChars="0"/>
              <w:rPr>
                <w:rFonts w:ascii="宋体" w:cs="宋体"/>
                <w:b w:val="0"/>
              </w:rPr>
            </w:pPr>
            <w:r>
              <w:rPr>
                <w:rFonts w:hint="eastAsia" w:ascii="宋体" w:cs="宋体"/>
                <w:b w:val="0"/>
              </w:rPr>
              <w:t>12</w:t>
            </w:r>
          </w:p>
        </w:tc>
        <w:tc>
          <w:tcPr>
            <w:tcW w:w="1559" w:type="dxa"/>
            <w:gridSpan w:val="2"/>
            <w:vAlign w:val="center"/>
          </w:tcPr>
          <w:p w14:paraId="490BC681">
            <w:pPr>
              <w:spacing w:line="400" w:lineRule="exact"/>
              <w:jc w:val="left"/>
              <w:rPr>
                <w:rFonts w:ascii="宋体" w:hAnsi="宋体" w:cs="宋体"/>
                <w:sz w:val="24"/>
              </w:rPr>
            </w:pPr>
            <w:r>
              <w:rPr>
                <w:rFonts w:hint="eastAsia" w:ascii="宋体" w:hAnsi="宋体" w:cs="宋体"/>
                <w:sz w:val="24"/>
              </w:rPr>
              <w:t>服务承诺</w:t>
            </w:r>
          </w:p>
        </w:tc>
        <w:tc>
          <w:tcPr>
            <w:tcW w:w="6946" w:type="dxa"/>
          </w:tcPr>
          <w:p w14:paraId="6C79EAE7">
            <w:pPr>
              <w:spacing w:before="120" w:beforeLines="50" w:after="120" w:afterLines="50" w:line="360" w:lineRule="auto"/>
              <w:rPr>
                <w:rFonts w:ascii="宋体" w:hAnsi="宋体" w:cs="宋体"/>
                <w:sz w:val="24"/>
              </w:rPr>
            </w:pPr>
            <w:r>
              <w:rPr>
                <w:rFonts w:hint="eastAsia" w:ascii="宋体" w:hAnsi="宋体" w:cs="宋体"/>
                <w:sz w:val="24"/>
              </w:rPr>
              <w:t>针对本项目的售后服务方案、服务承诺、巡检计划</w:t>
            </w:r>
            <w:r>
              <w:rPr>
                <w:rFonts w:ascii="宋体" w:hAnsi="宋体" w:cs="宋体"/>
                <w:sz w:val="24"/>
              </w:rPr>
              <w:t>完整、可</w:t>
            </w:r>
            <w:r>
              <w:rPr>
                <w:rFonts w:hint="eastAsia" w:ascii="宋体" w:hAnsi="宋体" w:cs="宋体"/>
                <w:sz w:val="24"/>
                <w:lang w:eastAsia="zh-CN"/>
              </w:rPr>
              <w:t>行</w:t>
            </w:r>
            <w:bookmarkStart w:id="13" w:name="_GoBack"/>
            <w:bookmarkEnd w:id="13"/>
            <w:r>
              <w:rPr>
                <w:rFonts w:ascii="宋体" w:hAnsi="宋体" w:cs="宋体"/>
                <w:sz w:val="24"/>
              </w:rPr>
              <w:t>，不漏项且有针对性解释说明</w:t>
            </w:r>
            <w:r>
              <w:rPr>
                <w:rFonts w:hint="eastAsia" w:ascii="宋体" w:hAnsi="宋体" w:cs="宋体"/>
                <w:sz w:val="24"/>
              </w:rPr>
              <w:t>：</w:t>
            </w:r>
            <w:r>
              <w:rPr>
                <w:rFonts w:hint="eastAsia" w:ascii="宋体"/>
                <w:sz w:val="24"/>
              </w:rPr>
              <w:t xml:space="preserve"> 6</w:t>
            </w:r>
            <w:r>
              <w:rPr>
                <w:rFonts w:ascii="宋体"/>
                <w:sz w:val="24"/>
              </w:rPr>
              <w:t>分</w:t>
            </w:r>
            <w:r>
              <w:rPr>
                <w:rFonts w:hint="eastAsia" w:ascii="宋体"/>
                <w:sz w:val="24"/>
              </w:rPr>
              <w:t>；</w:t>
            </w:r>
            <w:r>
              <w:rPr>
                <w:rFonts w:ascii="宋体"/>
                <w:sz w:val="24"/>
              </w:rPr>
              <w:t>提供的</w:t>
            </w:r>
            <w:r>
              <w:rPr>
                <w:rFonts w:hint="eastAsia" w:ascii="宋体"/>
                <w:sz w:val="24"/>
              </w:rPr>
              <w:t>方案</w:t>
            </w:r>
            <w:r>
              <w:rPr>
                <w:rFonts w:ascii="宋体"/>
                <w:sz w:val="24"/>
              </w:rPr>
              <w:t>漏缺1项或2项，有针对性解释说明</w:t>
            </w:r>
            <w:r>
              <w:rPr>
                <w:rFonts w:hint="eastAsia" w:ascii="宋体"/>
                <w:sz w:val="24"/>
              </w:rPr>
              <w:t>：5</w:t>
            </w:r>
            <w:r>
              <w:rPr>
                <w:rFonts w:ascii="宋体"/>
                <w:sz w:val="24"/>
              </w:rPr>
              <w:t>分</w:t>
            </w:r>
            <w:r>
              <w:rPr>
                <w:rFonts w:hint="eastAsia" w:ascii="宋体"/>
                <w:sz w:val="24"/>
              </w:rPr>
              <w:t>；</w:t>
            </w:r>
            <w:r>
              <w:rPr>
                <w:rFonts w:ascii="宋体"/>
                <w:sz w:val="24"/>
              </w:rPr>
              <w:t>提供的</w:t>
            </w:r>
            <w:r>
              <w:rPr>
                <w:rFonts w:hint="eastAsia" w:ascii="宋体"/>
                <w:sz w:val="24"/>
              </w:rPr>
              <w:t>方案</w:t>
            </w:r>
            <w:r>
              <w:rPr>
                <w:rFonts w:ascii="宋体"/>
                <w:sz w:val="24"/>
              </w:rPr>
              <w:t>基本全面，有针对性解释说明</w:t>
            </w:r>
            <w:r>
              <w:rPr>
                <w:rFonts w:hint="eastAsia" w:ascii="宋体"/>
                <w:sz w:val="24"/>
              </w:rPr>
              <w:t>：4</w:t>
            </w:r>
            <w:r>
              <w:rPr>
                <w:rFonts w:ascii="宋体"/>
                <w:sz w:val="24"/>
              </w:rPr>
              <w:t>分</w:t>
            </w:r>
            <w:r>
              <w:rPr>
                <w:rFonts w:hint="eastAsia" w:ascii="宋体"/>
                <w:sz w:val="24"/>
              </w:rPr>
              <w:t>；</w:t>
            </w:r>
            <w:r>
              <w:rPr>
                <w:rFonts w:ascii="宋体"/>
                <w:sz w:val="24"/>
              </w:rPr>
              <w:t>提供的</w:t>
            </w:r>
            <w:r>
              <w:rPr>
                <w:rFonts w:hint="eastAsia" w:ascii="宋体"/>
                <w:sz w:val="24"/>
              </w:rPr>
              <w:t>方案</w:t>
            </w:r>
            <w:r>
              <w:rPr>
                <w:rFonts w:ascii="宋体"/>
                <w:sz w:val="24"/>
              </w:rPr>
              <w:t>不全面，有针对性解释说明</w:t>
            </w:r>
            <w:r>
              <w:rPr>
                <w:rFonts w:hint="eastAsia" w:ascii="宋体"/>
                <w:sz w:val="24"/>
              </w:rPr>
              <w:t>：3</w:t>
            </w:r>
            <w:r>
              <w:rPr>
                <w:rFonts w:ascii="宋体"/>
                <w:sz w:val="24"/>
              </w:rPr>
              <w:t>分</w:t>
            </w:r>
            <w:r>
              <w:rPr>
                <w:rFonts w:hint="eastAsia" w:ascii="宋体"/>
                <w:sz w:val="24"/>
              </w:rPr>
              <w:t>；</w:t>
            </w:r>
            <w:r>
              <w:rPr>
                <w:rFonts w:ascii="宋体"/>
                <w:sz w:val="24"/>
              </w:rPr>
              <w:t>提供的</w:t>
            </w:r>
            <w:r>
              <w:rPr>
                <w:rFonts w:hint="eastAsia" w:ascii="宋体"/>
                <w:sz w:val="24"/>
              </w:rPr>
              <w:t>方案</w:t>
            </w:r>
            <w:r>
              <w:rPr>
                <w:rFonts w:ascii="宋体"/>
                <w:sz w:val="24"/>
              </w:rPr>
              <w:t>不全面，没有解释说明</w:t>
            </w:r>
            <w:r>
              <w:rPr>
                <w:rFonts w:hint="eastAsia" w:ascii="宋体"/>
                <w:sz w:val="24"/>
              </w:rPr>
              <w:t>：1</w:t>
            </w:r>
            <w:r>
              <w:rPr>
                <w:rFonts w:ascii="宋体"/>
                <w:sz w:val="24"/>
              </w:rPr>
              <w:t>分</w:t>
            </w:r>
            <w:r>
              <w:rPr>
                <w:rFonts w:hint="eastAsia" w:ascii="宋体"/>
                <w:sz w:val="24"/>
              </w:rPr>
              <w:t>；</w:t>
            </w:r>
            <w:r>
              <w:rPr>
                <w:rFonts w:ascii="宋体"/>
                <w:sz w:val="24"/>
              </w:rPr>
              <w:t>未提供不得分。</w:t>
            </w:r>
          </w:p>
        </w:tc>
        <w:tc>
          <w:tcPr>
            <w:tcW w:w="1276" w:type="dxa"/>
            <w:vAlign w:val="center"/>
          </w:tcPr>
          <w:p w14:paraId="22D8296E">
            <w:pPr>
              <w:spacing w:line="320" w:lineRule="exact"/>
              <w:jc w:val="center"/>
              <w:rPr>
                <w:rFonts w:ascii="宋体" w:hAnsi="宋体" w:cs="宋体"/>
                <w:sz w:val="24"/>
              </w:rPr>
            </w:pPr>
            <w:r>
              <w:rPr>
                <w:rFonts w:hint="eastAsia" w:ascii="宋体" w:hAnsi="宋体" w:cs="宋体"/>
                <w:sz w:val="24"/>
              </w:rPr>
              <w:t>6分</w:t>
            </w:r>
          </w:p>
        </w:tc>
      </w:tr>
      <w:tr w14:paraId="4252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0" w:type="dxa"/>
            <w:vAlign w:val="center"/>
          </w:tcPr>
          <w:p w14:paraId="1DD687DF">
            <w:pPr>
              <w:pStyle w:val="22"/>
              <w:spacing w:line="440" w:lineRule="exact"/>
              <w:ind w:firstLine="0" w:firstLineChars="0"/>
              <w:rPr>
                <w:rFonts w:ascii="宋体" w:cs="宋体"/>
                <w:b w:val="0"/>
              </w:rPr>
            </w:pPr>
            <w:r>
              <w:rPr>
                <w:rFonts w:hint="eastAsia" w:ascii="宋体" w:cs="宋体"/>
                <w:b w:val="0"/>
              </w:rPr>
              <w:t>13</w:t>
            </w:r>
          </w:p>
        </w:tc>
        <w:tc>
          <w:tcPr>
            <w:tcW w:w="1559" w:type="dxa"/>
            <w:gridSpan w:val="2"/>
            <w:vAlign w:val="center"/>
          </w:tcPr>
          <w:p w14:paraId="6FCCAC2D">
            <w:pPr>
              <w:spacing w:line="400" w:lineRule="exact"/>
              <w:jc w:val="left"/>
              <w:rPr>
                <w:rFonts w:ascii="宋体" w:hAnsi="宋体" w:cs="宋体"/>
                <w:sz w:val="24"/>
              </w:rPr>
            </w:pPr>
            <w:r>
              <w:rPr>
                <w:rFonts w:hint="eastAsia" w:ascii="宋体" w:hAnsi="宋体" w:cs="宋体"/>
                <w:sz w:val="24"/>
              </w:rPr>
              <w:t>培训方案</w:t>
            </w:r>
          </w:p>
        </w:tc>
        <w:tc>
          <w:tcPr>
            <w:tcW w:w="6946" w:type="dxa"/>
          </w:tcPr>
          <w:p w14:paraId="3B9AC36B">
            <w:pPr>
              <w:spacing w:line="360" w:lineRule="auto"/>
              <w:rPr>
                <w:rFonts w:ascii="宋体" w:hAnsi="宋体" w:cs="宋体"/>
                <w:sz w:val="24"/>
              </w:rPr>
            </w:pPr>
            <w:r>
              <w:rPr>
                <w:rFonts w:hint="eastAsia" w:ascii="宋体" w:hAnsi="宋体" w:cs="宋体"/>
                <w:sz w:val="24"/>
              </w:rPr>
              <w:t>培训计划包括培训内容、培训时间地点、培训对象，培训师资力量等。培训计划较详细、全面、可行，能够对项目的使用对象提供全面的培训，培训方案能有效推进项目实施，</w:t>
            </w:r>
            <w:r>
              <w:rPr>
                <w:rFonts w:ascii="宋体" w:hAnsi="宋体" w:cs="宋体"/>
                <w:sz w:val="24"/>
              </w:rPr>
              <w:t>不漏项且有针对性解释说明</w:t>
            </w:r>
            <w:r>
              <w:rPr>
                <w:rFonts w:hint="eastAsia" w:ascii="宋体" w:hAnsi="宋体" w:cs="宋体"/>
                <w:sz w:val="24"/>
              </w:rPr>
              <w:t>：5</w:t>
            </w:r>
            <w:r>
              <w:rPr>
                <w:rFonts w:ascii="宋体" w:hAnsi="宋体" w:cs="宋体"/>
                <w:sz w:val="24"/>
              </w:rPr>
              <w:t>分</w:t>
            </w:r>
            <w:r>
              <w:rPr>
                <w:rFonts w:hint="eastAsia" w:ascii="宋体" w:hAnsi="宋体" w:cs="宋体"/>
                <w:sz w:val="24"/>
              </w:rPr>
              <w:t>；</w:t>
            </w:r>
            <w:r>
              <w:rPr>
                <w:rFonts w:ascii="宋体" w:hAnsi="宋体" w:cs="宋体"/>
                <w:sz w:val="24"/>
              </w:rPr>
              <w:t>提供的</w:t>
            </w:r>
            <w:r>
              <w:rPr>
                <w:rFonts w:hint="eastAsia" w:ascii="宋体" w:hAnsi="宋体" w:cs="宋体"/>
                <w:sz w:val="24"/>
              </w:rPr>
              <w:t>服务承诺</w:t>
            </w:r>
            <w:r>
              <w:rPr>
                <w:rFonts w:ascii="宋体" w:hAnsi="宋体" w:cs="宋体"/>
                <w:sz w:val="24"/>
              </w:rPr>
              <w:t>漏缺1项或2项，有针对性解释说明</w:t>
            </w:r>
            <w:r>
              <w:rPr>
                <w:rFonts w:hint="eastAsia" w:ascii="宋体" w:hAnsi="宋体" w:cs="宋体"/>
                <w:sz w:val="24"/>
              </w:rPr>
              <w:t>：4</w:t>
            </w:r>
            <w:r>
              <w:rPr>
                <w:rFonts w:ascii="宋体" w:hAnsi="宋体" w:cs="宋体"/>
                <w:sz w:val="24"/>
              </w:rPr>
              <w:t>分</w:t>
            </w:r>
            <w:r>
              <w:rPr>
                <w:rFonts w:hint="eastAsia" w:ascii="宋体" w:hAnsi="宋体" w:cs="宋体"/>
                <w:sz w:val="24"/>
              </w:rPr>
              <w:t>；</w:t>
            </w:r>
            <w:r>
              <w:rPr>
                <w:rFonts w:ascii="宋体" w:hAnsi="宋体" w:cs="宋体"/>
                <w:sz w:val="24"/>
              </w:rPr>
              <w:t>提供的</w:t>
            </w:r>
            <w:r>
              <w:rPr>
                <w:rFonts w:hint="eastAsia" w:ascii="宋体" w:hAnsi="宋体" w:cs="宋体"/>
                <w:sz w:val="24"/>
              </w:rPr>
              <w:t>服务承诺</w:t>
            </w:r>
            <w:r>
              <w:rPr>
                <w:rFonts w:ascii="宋体" w:hAnsi="宋体" w:cs="宋体"/>
                <w:sz w:val="24"/>
              </w:rPr>
              <w:t>基本全面，有针对性解释说明</w:t>
            </w:r>
            <w:r>
              <w:rPr>
                <w:rFonts w:hint="eastAsia" w:ascii="宋体" w:hAnsi="宋体" w:cs="宋体"/>
                <w:sz w:val="24"/>
              </w:rPr>
              <w:t>：3</w:t>
            </w:r>
            <w:r>
              <w:rPr>
                <w:rFonts w:ascii="宋体" w:hAnsi="宋体" w:cs="宋体"/>
                <w:sz w:val="24"/>
              </w:rPr>
              <w:t>分</w:t>
            </w:r>
            <w:r>
              <w:rPr>
                <w:rFonts w:hint="eastAsia" w:ascii="宋体" w:hAnsi="宋体" w:cs="宋体"/>
                <w:sz w:val="24"/>
              </w:rPr>
              <w:t>；</w:t>
            </w:r>
            <w:r>
              <w:rPr>
                <w:rFonts w:ascii="宋体" w:hAnsi="宋体" w:cs="宋体"/>
                <w:sz w:val="24"/>
              </w:rPr>
              <w:t>提供的</w:t>
            </w:r>
            <w:r>
              <w:rPr>
                <w:rFonts w:hint="eastAsia" w:ascii="宋体" w:hAnsi="宋体" w:cs="宋体"/>
                <w:sz w:val="24"/>
              </w:rPr>
              <w:t>服务承诺</w:t>
            </w:r>
            <w:r>
              <w:rPr>
                <w:rFonts w:ascii="宋体" w:hAnsi="宋体" w:cs="宋体"/>
                <w:sz w:val="24"/>
              </w:rPr>
              <w:t>不全面，有针对性解释说明</w:t>
            </w:r>
            <w:r>
              <w:rPr>
                <w:rFonts w:hint="eastAsia" w:ascii="宋体" w:hAnsi="宋体" w:cs="宋体"/>
                <w:sz w:val="24"/>
              </w:rPr>
              <w:t>：2</w:t>
            </w:r>
            <w:r>
              <w:rPr>
                <w:rFonts w:ascii="宋体" w:hAnsi="宋体" w:cs="宋体"/>
                <w:sz w:val="24"/>
              </w:rPr>
              <w:t>分</w:t>
            </w:r>
            <w:r>
              <w:rPr>
                <w:rFonts w:hint="eastAsia" w:ascii="宋体" w:hAnsi="宋体" w:cs="宋体"/>
                <w:sz w:val="24"/>
              </w:rPr>
              <w:t>；</w:t>
            </w:r>
            <w:r>
              <w:rPr>
                <w:rFonts w:ascii="宋体" w:hAnsi="宋体" w:cs="宋体"/>
                <w:sz w:val="24"/>
              </w:rPr>
              <w:t>提供的</w:t>
            </w:r>
            <w:r>
              <w:rPr>
                <w:rFonts w:hint="eastAsia" w:ascii="宋体" w:hAnsi="宋体" w:cs="宋体"/>
                <w:sz w:val="24"/>
              </w:rPr>
              <w:t>服务承诺</w:t>
            </w:r>
            <w:r>
              <w:rPr>
                <w:rFonts w:ascii="宋体" w:hAnsi="宋体" w:cs="宋体"/>
                <w:sz w:val="24"/>
              </w:rPr>
              <w:t>不全面，没有解释说明</w:t>
            </w:r>
            <w:r>
              <w:rPr>
                <w:rFonts w:hint="eastAsia" w:ascii="宋体" w:hAnsi="宋体" w:cs="宋体"/>
                <w:sz w:val="24"/>
              </w:rPr>
              <w:t>：1</w:t>
            </w:r>
            <w:r>
              <w:rPr>
                <w:rFonts w:ascii="宋体" w:hAnsi="宋体" w:cs="宋体"/>
                <w:sz w:val="24"/>
              </w:rPr>
              <w:t>分</w:t>
            </w:r>
            <w:r>
              <w:rPr>
                <w:rFonts w:hint="eastAsia" w:ascii="宋体" w:hAnsi="宋体" w:cs="宋体"/>
                <w:sz w:val="24"/>
              </w:rPr>
              <w:t>；</w:t>
            </w:r>
            <w:r>
              <w:rPr>
                <w:rFonts w:ascii="宋体" w:hAnsi="宋体" w:cs="宋体"/>
                <w:sz w:val="24"/>
              </w:rPr>
              <w:t>未提供不得分。</w:t>
            </w:r>
          </w:p>
        </w:tc>
        <w:tc>
          <w:tcPr>
            <w:tcW w:w="1276" w:type="dxa"/>
            <w:vAlign w:val="center"/>
          </w:tcPr>
          <w:p w14:paraId="18628939">
            <w:pPr>
              <w:spacing w:line="320" w:lineRule="exact"/>
              <w:jc w:val="center"/>
              <w:rPr>
                <w:rFonts w:ascii="宋体" w:hAnsi="宋体" w:cs="宋体"/>
                <w:sz w:val="24"/>
              </w:rPr>
            </w:pPr>
            <w:r>
              <w:rPr>
                <w:rFonts w:hint="eastAsia" w:ascii="宋体" w:hAnsi="宋体" w:cs="宋体"/>
                <w:sz w:val="24"/>
              </w:rPr>
              <w:t>5分</w:t>
            </w:r>
          </w:p>
        </w:tc>
      </w:tr>
      <w:tr w14:paraId="7FDE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0" w:type="dxa"/>
            <w:vAlign w:val="center"/>
          </w:tcPr>
          <w:p w14:paraId="5FF03F67">
            <w:pPr>
              <w:pStyle w:val="22"/>
              <w:spacing w:line="440" w:lineRule="exact"/>
              <w:ind w:firstLine="0" w:firstLineChars="0"/>
              <w:rPr>
                <w:rFonts w:ascii="宋体" w:cs="宋体"/>
                <w:b w:val="0"/>
              </w:rPr>
            </w:pPr>
            <w:r>
              <w:rPr>
                <w:rFonts w:hint="eastAsia" w:ascii="宋体" w:cs="宋体"/>
                <w:b w:val="0"/>
              </w:rPr>
              <w:t>14</w:t>
            </w:r>
          </w:p>
        </w:tc>
        <w:tc>
          <w:tcPr>
            <w:tcW w:w="1559" w:type="dxa"/>
            <w:gridSpan w:val="2"/>
            <w:vAlign w:val="center"/>
          </w:tcPr>
          <w:p w14:paraId="30A3D1E4">
            <w:pPr>
              <w:pStyle w:val="15"/>
              <w:spacing w:before="120" w:beforeLines="50" w:after="120" w:afterLines="50" w:line="360" w:lineRule="auto"/>
              <w:ind w:firstLine="0"/>
              <w:jc w:val="left"/>
              <w:rPr>
                <w:rFonts w:hAnsi="宋体" w:cs="宋体"/>
                <w:sz w:val="24"/>
                <w:szCs w:val="24"/>
              </w:rPr>
            </w:pPr>
            <w:r>
              <w:rPr>
                <w:rFonts w:hint="eastAsia" w:hAnsi="宋体" w:cs="宋体"/>
                <w:sz w:val="24"/>
                <w:szCs w:val="24"/>
              </w:rPr>
              <w:t>响应时间</w:t>
            </w:r>
          </w:p>
        </w:tc>
        <w:tc>
          <w:tcPr>
            <w:tcW w:w="6946" w:type="dxa"/>
            <w:vAlign w:val="center"/>
          </w:tcPr>
          <w:p w14:paraId="6418402E">
            <w:pPr>
              <w:spacing w:before="120" w:beforeLines="50" w:after="120" w:afterLines="50" w:line="400" w:lineRule="exact"/>
              <w:rPr>
                <w:rFonts w:hAnsi="宋体" w:cs="宋体"/>
                <w:kern w:val="0"/>
                <w:sz w:val="24"/>
              </w:rPr>
            </w:pPr>
            <w:r>
              <w:rPr>
                <w:rFonts w:hint="eastAsia" w:hAnsi="宋体" w:cs="宋体"/>
                <w:kern w:val="0"/>
                <w:sz w:val="24"/>
              </w:rPr>
              <w:t>接到采购人通知（电话、电传等）后2小时现场响应，每减少 0.5 小时加 1 分，最高得3分。</w:t>
            </w:r>
          </w:p>
        </w:tc>
        <w:tc>
          <w:tcPr>
            <w:tcW w:w="1276" w:type="dxa"/>
            <w:vAlign w:val="center"/>
          </w:tcPr>
          <w:p w14:paraId="730581B3">
            <w:pPr>
              <w:pStyle w:val="15"/>
              <w:spacing w:before="120" w:beforeLines="50" w:after="120" w:afterLines="50" w:line="360" w:lineRule="auto"/>
              <w:jc w:val="left"/>
              <w:rPr>
                <w:rFonts w:hAnsi="宋体" w:cs="宋体"/>
                <w:sz w:val="24"/>
                <w:szCs w:val="24"/>
              </w:rPr>
            </w:pPr>
            <w:r>
              <w:rPr>
                <w:rFonts w:hint="eastAsia" w:hAnsi="宋体" w:cs="宋体"/>
                <w:sz w:val="24"/>
                <w:szCs w:val="24"/>
              </w:rPr>
              <w:t>3分</w:t>
            </w:r>
          </w:p>
        </w:tc>
      </w:tr>
    </w:tbl>
    <w:p w14:paraId="14EDEE9A">
      <w:pPr>
        <w:spacing w:line="360" w:lineRule="auto"/>
        <w:ind w:left="9094" w:leftChars="200" w:hanging="8674" w:hangingChars="3600"/>
        <w:jc w:val="left"/>
        <w:rPr>
          <w:rFonts w:ascii="宋体" w:hAnsi="宋体"/>
          <w:b/>
          <w:bCs/>
          <w:sz w:val="24"/>
        </w:rPr>
      </w:pPr>
      <w:r>
        <w:rPr>
          <w:rFonts w:hint="eastAsia" w:ascii="宋体" w:hAnsi="宋体"/>
          <w:b/>
          <w:bCs/>
          <w:sz w:val="24"/>
        </w:rPr>
        <w:t>（三）技术、商务、资信及其他分的计算</w:t>
      </w:r>
    </w:p>
    <w:p w14:paraId="68D4F172">
      <w:pPr>
        <w:spacing w:before="120" w:beforeLines="50" w:after="120" w:afterLines="50" w:line="360" w:lineRule="auto"/>
        <w:ind w:firstLine="480" w:firstLineChars="200"/>
        <w:rPr>
          <w:rFonts w:ascii="宋体" w:hAnsi="宋体"/>
          <w:sz w:val="24"/>
        </w:rPr>
      </w:pPr>
      <w:r>
        <w:rPr>
          <w:rFonts w:hint="eastAsia" w:ascii="宋体" w:hAnsi="宋体"/>
          <w:sz w:val="24"/>
        </w:rPr>
        <w:t>技术、商务、资信及其他分按照评标委员会成员的独立评分结果汇总数的算术平均分计算，计算公式为：技术商务资信分=（评标委员会所有成员评分合计数）/（评标委员会组成人员数）</w:t>
      </w:r>
    </w:p>
    <w:p w14:paraId="22DDB8B8">
      <w:pPr>
        <w:widowControl/>
        <w:jc w:val="left"/>
        <w:rPr>
          <w:rFonts w:ascii="宋体" w:hAnsi="宋体"/>
          <w:sz w:val="24"/>
        </w:rPr>
      </w:pPr>
      <w:r>
        <w:rPr>
          <w:rFonts w:ascii="宋体" w:hAnsi="宋体"/>
          <w:sz w:val="24"/>
        </w:rPr>
        <w:br w:type="page"/>
      </w:r>
    </w:p>
    <w:p w14:paraId="0788D261">
      <w:pPr>
        <w:spacing w:line="360" w:lineRule="auto"/>
        <w:ind w:firstLine="720" w:firstLineChars="200"/>
        <w:jc w:val="center"/>
        <w:rPr>
          <w:rFonts w:ascii="Times New Roman Regular" w:hAnsi="Times New Roman Regular" w:cs="Times New Roman Regular"/>
          <w:b/>
          <w:sz w:val="36"/>
          <w:szCs w:val="36"/>
        </w:rPr>
      </w:pPr>
      <w:r>
        <w:rPr>
          <w:rFonts w:hint="eastAsia" w:ascii="黑体" w:hAnsi="宋体" w:eastAsia="黑体"/>
          <w:sz w:val="36"/>
          <w:szCs w:val="36"/>
        </w:rPr>
        <w:t xml:space="preserve">第五章 </w:t>
      </w:r>
      <w:r>
        <w:rPr>
          <w:rFonts w:ascii="Times New Roman Regular" w:hAnsi="Times New Roman Regular" w:cs="Times New Roman Regular"/>
          <w:b/>
          <w:sz w:val="36"/>
          <w:szCs w:val="36"/>
        </w:rPr>
        <w:t>采购合同书</w:t>
      </w:r>
    </w:p>
    <w:p w14:paraId="485D03D5">
      <w:pPr>
        <w:spacing w:line="360" w:lineRule="auto"/>
        <w:ind w:firstLine="480" w:firstLineChars="200"/>
        <w:rPr>
          <w:rFonts w:ascii="Times New Roman Regular" w:hAnsi="Times New Roman Regular" w:cs="Times New Roman Regular"/>
          <w:sz w:val="24"/>
        </w:rPr>
      </w:pPr>
      <w:r>
        <w:rPr>
          <w:rFonts w:ascii="Times New Roman Regular" w:hAnsi="Times New Roman Regular" w:cs="Times New Roman Regular"/>
          <w:sz w:val="24"/>
        </w:rPr>
        <w:t>项目名称：</w:t>
      </w:r>
      <w:r>
        <w:rPr>
          <w:rFonts w:hint="eastAsia" w:ascii="Times New Roman Regular" w:hAnsi="Times New Roman Regular" w:cs="Times New Roman Regular"/>
          <w:sz w:val="24"/>
        </w:rPr>
        <w:t>南太湖新区垃圾分类数据管理平台建设项目</w:t>
      </w:r>
    </w:p>
    <w:p w14:paraId="4ACC503D">
      <w:pPr>
        <w:spacing w:line="360" w:lineRule="auto"/>
        <w:ind w:firstLine="480" w:firstLineChars="200"/>
        <w:rPr>
          <w:rFonts w:ascii="Times New Roman Regular" w:hAnsi="Times New Roman Regular" w:cs="Times New Roman Regular"/>
          <w:sz w:val="24"/>
        </w:rPr>
      </w:pPr>
      <w:r>
        <w:rPr>
          <w:rFonts w:ascii="Times New Roman Regular" w:hAnsi="Times New Roman Regular" w:cs="Times New Roman Regular"/>
          <w:sz w:val="24"/>
        </w:rPr>
        <w:t>项目编号：</w:t>
      </w:r>
    </w:p>
    <w:p w14:paraId="38175D10">
      <w:pPr>
        <w:spacing w:line="360" w:lineRule="auto"/>
        <w:ind w:firstLine="480" w:firstLineChars="200"/>
        <w:rPr>
          <w:rFonts w:ascii="Times New Roman Regular" w:hAnsi="Times New Roman Regular" w:cs="Times New Roman Regular"/>
          <w:sz w:val="24"/>
        </w:rPr>
      </w:pPr>
      <w:r>
        <w:rPr>
          <w:rFonts w:ascii="Times New Roman Regular" w:hAnsi="Times New Roman Regular" w:cs="Times New Roman Regular"/>
          <w:sz w:val="24"/>
        </w:rPr>
        <w:t>甲方：</w:t>
      </w:r>
      <w:r>
        <w:rPr>
          <w:rFonts w:ascii="Times New Roman Regular" w:hAnsi="Times New Roman Regular" w:cs="Times New Roman Regular"/>
          <w:b/>
          <w:bCs/>
          <w:sz w:val="24"/>
        </w:rPr>
        <w:t>湖州南太湖新区综合行政执法队</w:t>
      </w:r>
    </w:p>
    <w:p w14:paraId="749A115D">
      <w:pPr>
        <w:spacing w:line="360" w:lineRule="auto"/>
        <w:ind w:firstLine="480" w:firstLineChars="200"/>
        <w:rPr>
          <w:rFonts w:ascii="Times New Roman Regular" w:hAnsi="Times New Roman Regular" w:cs="Times New Roman Regular"/>
          <w:sz w:val="24"/>
        </w:rPr>
      </w:pPr>
      <w:r>
        <w:rPr>
          <w:rFonts w:ascii="Times New Roman Regular" w:hAnsi="Times New Roman Regular" w:cs="Times New Roman Regular"/>
          <w:sz w:val="24"/>
        </w:rPr>
        <w:t>乙方：</w:t>
      </w:r>
    </w:p>
    <w:p w14:paraId="1E61E49F">
      <w:pPr>
        <w:spacing w:line="360" w:lineRule="auto"/>
        <w:ind w:firstLine="480" w:firstLineChars="200"/>
        <w:rPr>
          <w:rFonts w:cs="Times New Roman Regular" w:asciiTheme="minorEastAsia" w:hAnsiTheme="minorEastAsia" w:eastAsiaTheme="minorEastAsia"/>
          <w:sz w:val="24"/>
        </w:rPr>
      </w:pPr>
      <w:r>
        <w:rPr>
          <w:rFonts w:ascii="Times New Roman Regular" w:hAnsi="Times New Roman Regular" w:cs="Times New Roman Regular"/>
          <w:sz w:val="24"/>
        </w:rPr>
        <w:t>甲乙双方根据</w:t>
      </w:r>
      <w:r>
        <w:rPr>
          <w:rFonts w:hint="eastAsia" w:ascii="Times New Roman Regular" w:hAnsi="Times New Roman Regular" w:cs="Times New Roman Regular"/>
          <w:b/>
          <w:bCs/>
          <w:sz w:val="24"/>
        </w:rPr>
        <w:t>南太湖新区垃圾分类数据管理平台建设项目</w:t>
      </w:r>
      <w:r>
        <w:rPr>
          <w:rFonts w:hint="eastAsia" w:ascii="Times New Roman Regular" w:hAnsi="Times New Roman Regular" w:cs="Times New Roman Regular"/>
          <w:sz w:val="24"/>
        </w:rPr>
        <w:t>公开</w:t>
      </w:r>
      <w:r>
        <w:rPr>
          <w:rFonts w:ascii="Times New Roman Regular" w:hAnsi="Times New Roman Regular" w:cs="Times New Roman Regular"/>
          <w:sz w:val="24"/>
        </w:rPr>
        <w:t>招标的结果，特签订本</w:t>
      </w:r>
      <w:r>
        <w:rPr>
          <w:rFonts w:cs="Times New Roman Regular" w:asciiTheme="minorEastAsia" w:hAnsiTheme="minorEastAsia" w:eastAsiaTheme="minorEastAsia"/>
          <w:sz w:val="24"/>
        </w:rPr>
        <w:t>合同书。</w:t>
      </w:r>
    </w:p>
    <w:p w14:paraId="40312F80">
      <w:pPr>
        <w:adjustRightInd w:val="0"/>
        <w:snapToGrid w:val="0"/>
        <w:spacing w:line="540" w:lineRule="exact"/>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本合同与下列文件一起构成合同文件的组成部分：</w:t>
      </w:r>
    </w:p>
    <w:p w14:paraId="324326AD">
      <w:pPr>
        <w:adjustRightInd w:val="0"/>
        <w:snapToGrid w:val="0"/>
        <w:spacing w:line="540" w:lineRule="exact"/>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（1）采购合同书及各种合同附件；</w:t>
      </w:r>
    </w:p>
    <w:p w14:paraId="35964A69">
      <w:pPr>
        <w:adjustRightInd w:val="0"/>
        <w:snapToGrid w:val="0"/>
        <w:spacing w:line="540" w:lineRule="exact"/>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（2）采购（招标）文件；</w:t>
      </w:r>
    </w:p>
    <w:p w14:paraId="0EA6CC64">
      <w:pPr>
        <w:adjustRightInd w:val="0"/>
        <w:snapToGrid w:val="0"/>
        <w:spacing w:line="540" w:lineRule="exact"/>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（3）投标文件及相关承诺、声明等附件；</w:t>
      </w:r>
    </w:p>
    <w:p w14:paraId="523AE5B1">
      <w:pPr>
        <w:adjustRightInd w:val="0"/>
        <w:snapToGrid w:val="0"/>
        <w:spacing w:line="540" w:lineRule="exact"/>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（4）其他合同文件。</w:t>
      </w:r>
    </w:p>
    <w:p w14:paraId="6FC05109">
      <w:pPr>
        <w:adjustRightInd w:val="0"/>
        <w:snapToGrid w:val="0"/>
        <w:spacing w:line="540" w:lineRule="exact"/>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上述文件互相补充和解释，如有不明确或不一致之处，以合同约定次序在先者为准。</w:t>
      </w:r>
    </w:p>
    <w:p w14:paraId="49CE7173">
      <w:pPr>
        <w:spacing w:line="460" w:lineRule="exact"/>
        <w:ind w:firstLine="482" w:firstLineChars="200"/>
        <w:outlineLvl w:val="1"/>
        <w:rPr>
          <w:rFonts w:ascii="宋体"/>
          <w:b/>
          <w:bCs/>
          <w:sz w:val="24"/>
        </w:rPr>
      </w:pPr>
      <w:r>
        <w:rPr>
          <w:rFonts w:hint="eastAsia" w:ascii="宋体" w:hAnsi="宋体" w:cs="宋体"/>
          <w:b/>
          <w:bCs/>
          <w:sz w:val="24"/>
        </w:rPr>
        <w:t>一、服务内容</w:t>
      </w:r>
    </w:p>
    <w:p w14:paraId="233AA92B">
      <w:pPr>
        <w:spacing w:line="460" w:lineRule="exact"/>
        <w:ind w:left="420" w:leftChars="200"/>
        <w:outlineLvl w:val="1"/>
        <w:rPr>
          <w:rFonts w:ascii="宋体"/>
          <w:b/>
          <w:bCs/>
          <w:sz w:val="24"/>
        </w:rPr>
      </w:pPr>
      <w:r>
        <w:rPr>
          <w:rFonts w:hint="eastAsia" w:ascii="Times New Roman Regular" w:hAnsi="Times New Roman Regular" w:cs="Times New Roman Regular"/>
          <w:b/>
          <w:bCs/>
          <w:sz w:val="24"/>
        </w:rPr>
        <w:t>南太湖新区垃圾分类数据管理平台建设项目</w:t>
      </w:r>
      <w:r>
        <w:rPr>
          <w:rFonts w:ascii="Times New Roman Regular" w:hAnsi="Times New Roman Regular" w:cs="Times New Roman Regular"/>
          <w:b/>
          <w:bCs/>
          <w:sz w:val="24"/>
        </w:rPr>
        <w:br w:type="textWrapping"/>
      </w:r>
      <w:r>
        <w:rPr>
          <w:rFonts w:hint="eastAsia" w:ascii="宋体" w:hAnsi="宋体" w:cs="宋体"/>
          <w:b/>
          <w:bCs/>
          <w:sz w:val="24"/>
        </w:rPr>
        <w:t>二、合同金额</w:t>
      </w:r>
    </w:p>
    <w:p w14:paraId="21006EB7">
      <w:pPr>
        <w:spacing w:line="460" w:lineRule="exact"/>
        <w:ind w:firstLine="480" w:firstLineChars="200"/>
        <w:rPr>
          <w:rFonts w:hAnsi="宋体"/>
          <w:sz w:val="24"/>
        </w:rPr>
      </w:pPr>
      <w:r>
        <w:rPr>
          <w:rFonts w:hint="eastAsia" w:hAnsi="宋体" w:cs="宋体"/>
          <w:sz w:val="24"/>
        </w:rPr>
        <w:t>本合同金额为（大写）：</w:t>
      </w:r>
      <w:r>
        <w:rPr>
          <w:rFonts w:hAnsi="宋体"/>
          <w:sz w:val="24"/>
        </w:rPr>
        <w:t>_________________________________</w:t>
      </w:r>
      <w:r>
        <w:rPr>
          <w:rFonts w:hint="eastAsia" w:hAnsi="宋体" w:cs="宋体"/>
          <w:sz w:val="24"/>
        </w:rPr>
        <w:t>元（￥</w:t>
      </w:r>
      <w:r>
        <w:rPr>
          <w:rFonts w:hAnsi="宋体"/>
          <w:sz w:val="24"/>
        </w:rPr>
        <w:t>_______________</w:t>
      </w:r>
      <w:r>
        <w:rPr>
          <w:rFonts w:hint="eastAsia" w:hAnsi="宋体" w:cs="宋体"/>
          <w:sz w:val="24"/>
        </w:rPr>
        <w:t>元）人民币。</w:t>
      </w:r>
    </w:p>
    <w:p w14:paraId="3AEE00A2">
      <w:pPr>
        <w:spacing w:line="460" w:lineRule="exact"/>
        <w:ind w:firstLine="482" w:firstLineChars="200"/>
        <w:outlineLvl w:val="1"/>
        <w:rPr>
          <w:rFonts w:ascii="宋体"/>
          <w:sz w:val="24"/>
        </w:rPr>
      </w:pPr>
      <w:r>
        <w:rPr>
          <w:rFonts w:hint="eastAsia" w:ascii="宋体" w:hAnsi="宋体" w:cs="宋体"/>
          <w:b/>
          <w:bCs/>
          <w:sz w:val="24"/>
        </w:rPr>
        <w:t>三、技术资料</w:t>
      </w:r>
    </w:p>
    <w:p w14:paraId="2D5C05D3">
      <w:pPr>
        <w:spacing w:line="460" w:lineRule="exact"/>
        <w:ind w:firstLine="480" w:firstLineChars="200"/>
        <w:outlineLvl w:val="2"/>
        <w:rPr>
          <w:rFonts w:ascii="宋体"/>
          <w:sz w:val="24"/>
        </w:rPr>
      </w:pPr>
      <w:r>
        <w:rPr>
          <w:rFonts w:ascii="宋体" w:hAnsi="宋体" w:cs="宋体"/>
          <w:sz w:val="24"/>
        </w:rPr>
        <w:t>1</w:t>
      </w:r>
      <w:r>
        <w:rPr>
          <w:rFonts w:ascii="宋体" w:cs="宋体"/>
          <w:sz w:val="24"/>
        </w:rPr>
        <w:t>.</w:t>
      </w:r>
      <w:r>
        <w:rPr>
          <w:rFonts w:hint="eastAsia" w:ascii="宋体" w:hAnsi="宋体" w:cs="宋体"/>
          <w:sz w:val="24"/>
        </w:rPr>
        <w:t>乙方应按招标文件规定的时间向甲方提供有关技术资料。</w:t>
      </w:r>
    </w:p>
    <w:p w14:paraId="2006D725">
      <w:pPr>
        <w:spacing w:line="460" w:lineRule="exact"/>
        <w:ind w:firstLine="480" w:firstLineChars="200"/>
        <w:rPr>
          <w:rFonts w:ascii="宋体"/>
          <w:sz w:val="24"/>
        </w:rPr>
      </w:pPr>
      <w:r>
        <w:rPr>
          <w:rFonts w:ascii="宋体" w:hAnsi="宋体" w:cs="宋体"/>
          <w:sz w:val="24"/>
        </w:rPr>
        <w:t>2</w:t>
      </w:r>
      <w:r>
        <w:rPr>
          <w:rFonts w:ascii="宋体" w:cs="宋体"/>
          <w:sz w:val="24"/>
        </w:rPr>
        <w:t>.</w:t>
      </w:r>
      <w:r>
        <w:rPr>
          <w:rFonts w:hint="eastAsia" w:ascii="宋体" w:hAnsi="宋体" w:cs="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9B5C092">
      <w:pPr>
        <w:spacing w:line="460" w:lineRule="exact"/>
        <w:ind w:firstLine="482" w:firstLineChars="200"/>
        <w:outlineLvl w:val="1"/>
        <w:rPr>
          <w:rFonts w:asciiTheme="minorEastAsia" w:hAnsiTheme="minorEastAsia" w:eastAsiaTheme="minorEastAsia"/>
          <w:b/>
          <w:bCs/>
          <w:sz w:val="24"/>
        </w:rPr>
      </w:pPr>
      <w:r>
        <w:rPr>
          <w:rFonts w:hint="eastAsia" w:ascii="宋体" w:hAnsi="宋体" w:cs="宋体"/>
          <w:b/>
          <w:bCs/>
          <w:sz w:val="24"/>
        </w:rPr>
        <w:t>四、知识产权</w:t>
      </w:r>
    </w:p>
    <w:p w14:paraId="5870071D">
      <w:pPr>
        <w:adjustRightInd w:val="0"/>
        <w:snapToGrid w:val="0"/>
        <w:spacing w:line="540" w:lineRule="exact"/>
        <w:ind w:firstLine="480" w:firstLineChars="200"/>
        <w:rPr>
          <w:rFonts w:cs="仿宋" w:asciiTheme="minorEastAsia" w:hAnsiTheme="minorEastAsia" w:eastAsiaTheme="minorEastAsia"/>
          <w:b/>
          <w:bCs/>
          <w:sz w:val="24"/>
        </w:rPr>
      </w:pPr>
      <w:r>
        <w:rPr>
          <w:rFonts w:hint="eastAsia" w:cs="宋体" w:asciiTheme="minorEastAsia" w:hAnsiTheme="minorEastAsia" w:eastAsiaTheme="minorEastAsia"/>
          <w:sz w:val="24"/>
        </w:rPr>
        <w:t>乙方应保证提供服务过程中不会侵犯任何第三方的知识产权。</w:t>
      </w:r>
      <w:r>
        <w:rPr>
          <w:rFonts w:hint="eastAsia" w:cs="仿宋" w:asciiTheme="minorEastAsia" w:hAnsiTheme="minorEastAsia" w:eastAsiaTheme="minorEastAsia"/>
          <w:b/>
          <w:bCs/>
          <w:sz w:val="24"/>
        </w:rPr>
        <w:t>若因乙方在履行合同过程中侵犯第三方知识产权的，由乙方承担全部责任。由此导致甲方被追究责任的，甲方有权向乙方追索。</w:t>
      </w:r>
    </w:p>
    <w:p w14:paraId="040272A6">
      <w:pPr>
        <w:spacing w:line="460" w:lineRule="exact"/>
        <w:ind w:firstLine="482" w:firstLineChars="200"/>
        <w:outlineLvl w:val="1"/>
        <w:rPr>
          <w:rFonts w:asciiTheme="minorEastAsia" w:hAnsiTheme="minorEastAsia" w:eastAsiaTheme="minorEastAsia"/>
          <w:b/>
          <w:bCs/>
          <w:sz w:val="24"/>
        </w:rPr>
      </w:pPr>
      <w:r>
        <w:rPr>
          <w:rFonts w:hint="eastAsia" w:cs="宋体" w:asciiTheme="minorEastAsia" w:hAnsiTheme="minorEastAsia" w:eastAsiaTheme="minorEastAsia"/>
          <w:b/>
          <w:bCs/>
          <w:sz w:val="24"/>
        </w:rPr>
        <w:t>五、转包或分包</w:t>
      </w:r>
    </w:p>
    <w:p w14:paraId="4C3404A3">
      <w:pPr>
        <w:spacing w:line="460" w:lineRule="exact"/>
        <w:ind w:firstLine="480" w:firstLineChars="200"/>
        <w:outlineLvl w:val="2"/>
        <w:rPr>
          <w:rFonts w:ascii="宋体"/>
          <w:sz w:val="24"/>
        </w:rPr>
      </w:pPr>
      <w:r>
        <w:rPr>
          <w:rFonts w:ascii="宋体" w:hAnsi="宋体" w:cs="宋体"/>
          <w:sz w:val="24"/>
        </w:rPr>
        <w:t>1</w:t>
      </w:r>
      <w:r>
        <w:rPr>
          <w:rFonts w:ascii="宋体" w:cs="宋体"/>
          <w:sz w:val="24"/>
        </w:rPr>
        <w:t>.</w:t>
      </w:r>
      <w:r>
        <w:rPr>
          <w:rFonts w:hint="eastAsia" w:ascii="宋体" w:hAnsi="宋体" w:cs="宋体"/>
          <w:sz w:val="24"/>
        </w:rPr>
        <w:t>本合同范围的服务，应由乙方直接供应，不得转让他人供应。</w:t>
      </w:r>
    </w:p>
    <w:p w14:paraId="47CADEFD">
      <w:pPr>
        <w:spacing w:line="460" w:lineRule="exact"/>
        <w:ind w:firstLine="480" w:firstLineChars="200"/>
        <w:rPr>
          <w:rFonts w:ascii="宋体"/>
          <w:sz w:val="24"/>
        </w:rPr>
      </w:pPr>
      <w:r>
        <w:rPr>
          <w:rFonts w:ascii="宋体" w:hAnsi="宋体" w:cs="宋体"/>
          <w:sz w:val="24"/>
        </w:rPr>
        <w:t>2</w:t>
      </w:r>
      <w:r>
        <w:rPr>
          <w:rFonts w:ascii="宋体" w:cs="宋体"/>
          <w:sz w:val="24"/>
        </w:rPr>
        <w:t>.</w:t>
      </w:r>
      <w:r>
        <w:rPr>
          <w:rFonts w:hint="eastAsia" w:ascii="宋体" w:hAnsi="宋体" w:cs="宋体"/>
          <w:sz w:val="24"/>
        </w:rPr>
        <w:t>如有转让和未经甲方同意的分包行为，甲方有权解除合同，没收履约保证金并追究乙方的违约责任。</w:t>
      </w:r>
    </w:p>
    <w:p w14:paraId="0CE9BF51">
      <w:pPr>
        <w:spacing w:line="460" w:lineRule="exact"/>
        <w:ind w:firstLine="482" w:firstLineChars="200"/>
        <w:outlineLvl w:val="1"/>
        <w:rPr>
          <w:rFonts w:ascii="宋体" w:hAnsi="宋体" w:cs="宋体"/>
          <w:b/>
          <w:bCs/>
          <w:sz w:val="24"/>
          <w:lang w:val="en"/>
        </w:rPr>
      </w:pPr>
      <w:r>
        <w:rPr>
          <w:rFonts w:hint="eastAsia" w:ascii="宋体" w:hAnsi="宋体" w:cs="宋体"/>
          <w:b/>
          <w:bCs/>
          <w:sz w:val="24"/>
        </w:rPr>
        <w:t>六、合同履行时间</w:t>
      </w:r>
      <w:r>
        <w:rPr>
          <w:rFonts w:ascii="宋体" w:hAnsi="宋体" w:cs="宋体"/>
          <w:b/>
          <w:bCs/>
          <w:sz w:val="24"/>
          <w:lang w:val="en"/>
        </w:rPr>
        <w:t>和验收</w:t>
      </w:r>
    </w:p>
    <w:p w14:paraId="20BC0995">
      <w:pPr>
        <w:spacing w:line="460" w:lineRule="exact"/>
        <w:ind w:firstLine="480" w:firstLineChars="200"/>
        <w:outlineLvl w:val="2"/>
        <w:rPr>
          <w:bCs/>
          <w:sz w:val="24"/>
        </w:rPr>
      </w:pPr>
      <w:r>
        <w:rPr>
          <w:rFonts w:ascii="宋体" w:hAnsi="宋体" w:cs="宋体"/>
          <w:sz w:val="24"/>
        </w:rPr>
        <w:t>1</w:t>
      </w:r>
      <w:r>
        <w:rPr>
          <w:rFonts w:ascii="宋体" w:cs="宋体"/>
          <w:sz w:val="24"/>
        </w:rPr>
        <w:t>.</w:t>
      </w:r>
      <w:r>
        <w:rPr>
          <w:rFonts w:hint="eastAsia" w:ascii="宋体" w:hAnsi="宋体" w:cs="宋体"/>
          <w:sz w:val="24"/>
        </w:rPr>
        <w:t>履行时间：合同签订后三个月内完成平台建设工作；服务期三年，自本项目验收通过之日起开始计算。</w:t>
      </w:r>
    </w:p>
    <w:p w14:paraId="23B567B3">
      <w:pPr>
        <w:adjustRightInd w:val="0"/>
        <w:snapToGrid w:val="0"/>
        <w:spacing w:line="540" w:lineRule="exact"/>
        <w:ind w:firstLine="480" w:firstLineChars="200"/>
      </w:pPr>
      <w:r>
        <w:rPr>
          <w:rFonts w:hint="eastAsia" w:ascii="宋体" w:hAnsi="宋体" w:cs="宋体"/>
          <w:sz w:val="24"/>
        </w:rPr>
        <w:t>2.验收方式：</w:t>
      </w:r>
      <w:r>
        <w:t xml:space="preserve"> </w:t>
      </w:r>
    </w:p>
    <w:p w14:paraId="7666286C">
      <w:pPr>
        <w:spacing w:line="460" w:lineRule="exact"/>
        <w:ind w:firstLine="482" w:firstLineChars="200"/>
        <w:outlineLvl w:val="1"/>
        <w:rPr>
          <w:rFonts w:hAnsi="宋体" w:cs="宋体"/>
          <w:b/>
          <w:bCs/>
          <w:sz w:val="24"/>
        </w:rPr>
      </w:pPr>
      <w:r>
        <w:rPr>
          <w:rFonts w:hint="eastAsia" w:hAnsi="宋体" w:cs="宋体"/>
          <w:b/>
          <w:bCs/>
          <w:sz w:val="24"/>
        </w:rPr>
        <w:t>七、履约保证金</w:t>
      </w:r>
    </w:p>
    <w:p w14:paraId="77CA177A">
      <w:pPr>
        <w:pStyle w:val="19"/>
        <w:spacing w:before="120" w:after="120"/>
        <w:ind w:firstLine="480" w:firstLineChars="200"/>
        <w:rPr>
          <w:rFonts w:hAnsi="宋体" w:cs="宋体"/>
        </w:rPr>
      </w:pPr>
      <w:r>
        <w:rPr>
          <w:rFonts w:hint="eastAsia" w:hAnsi="宋体"/>
        </w:rPr>
        <w:t>无</w:t>
      </w:r>
    </w:p>
    <w:p w14:paraId="483F002F">
      <w:pPr>
        <w:spacing w:line="360" w:lineRule="auto"/>
        <w:ind w:firstLine="482" w:firstLineChars="200"/>
        <w:outlineLvl w:val="1"/>
        <w:rPr>
          <w:rFonts w:ascii="宋体" w:hAnsi="宋体" w:cs="宋体"/>
          <w:b/>
          <w:bCs/>
          <w:sz w:val="24"/>
        </w:rPr>
      </w:pPr>
      <w:r>
        <w:rPr>
          <w:rFonts w:hint="eastAsia" w:ascii="宋体" w:hAnsi="宋体" w:cs="宋体"/>
          <w:b/>
          <w:bCs/>
          <w:sz w:val="24"/>
        </w:rPr>
        <w:t>八、款项支付</w:t>
      </w:r>
    </w:p>
    <w:p w14:paraId="7E5B97D2">
      <w:pPr>
        <w:spacing w:line="360" w:lineRule="auto"/>
        <w:ind w:firstLine="420" w:firstLineChars="200"/>
        <w:outlineLvl w:val="1"/>
        <w:rPr>
          <w:rFonts w:ascii="宋体" w:hAnsi="宋体" w:cs="宋体"/>
          <w:sz w:val="24"/>
        </w:rPr>
      </w:pPr>
      <w:r>
        <w:rPr>
          <w:rFonts w:ascii="宋体" w:hAnsi="宋体" w:cs="宋体"/>
        </w:rPr>
        <w:t>1.</w:t>
      </w:r>
      <w:r>
        <w:rPr>
          <w:rFonts w:hint="eastAsia" w:ascii="宋体" w:hAnsi="宋体" w:cs="宋体"/>
          <w:sz w:val="24"/>
        </w:rPr>
        <w:t>根据《保障中小企业款项支付条例》</w:t>
      </w:r>
      <w:r>
        <w:rPr>
          <w:rFonts w:ascii="宋体" w:hAnsi="宋体" w:cs="宋体"/>
          <w:sz w:val="24"/>
        </w:rPr>
        <w:t>、</w:t>
      </w:r>
      <w:r>
        <w:rPr>
          <w:rFonts w:hint="eastAsia" w:ascii="宋体" w:hAnsi="宋体" w:cs="宋体"/>
          <w:sz w:val="24"/>
        </w:rPr>
        <w:t>省财政厅《关于坚决打赢疫情防控阻击战进一步做好政府采购资金支持企业发展工作的通知》（浙财采监【</w:t>
      </w:r>
      <w:r>
        <w:rPr>
          <w:rFonts w:ascii="宋体" w:hAnsi="宋体" w:cs="宋体"/>
          <w:sz w:val="24"/>
        </w:rPr>
        <w:t>2022】3号）要求，制定如下付款方式：合同签订并具备实施条件后7个工作日内，支付合同金额20%作为预付款；</w:t>
      </w:r>
      <w:r>
        <w:rPr>
          <w:rFonts w:hint="eastAsia" w:ascii="宋体" w:hAnsi="宋体" w:cs="宋体"/>
          <w:sz w:val="24"/>
        </w:rPr>
        <w:t>项目终验合格后付清余款。</w:t>
      </w:r>
    </w:p>
    <w:p w14:paraId="15EBE249">
      <w:pPr>
        <w:spacing w:line="360" w:lineRule="auto"/>
        <w:ind w:firstLine="480" w:firstLineChars="200"/>
        <w:outlineLvl w:val="1"/>
        <w:rPr>
          <w:rFonts w:ascii="宋体" w:hAnsi="宋体" w:cs="宋体"/>
          <w:sz w:val="24"/>
        </w:rPr>
      </w:pPr>
      <w:r>
        <w:rPr>
          <w:rFonts w:hint="eastAsia" w:ascii="宋体" w:hAnsi="宋体" w:cs="宋体"/>
          <w:sz w:val="24"/>
        </w:rPr>
        <w:t>采购人应自收到供应商开具的发票后</w:t>
      </w:r>
      <w:r>
        <w:rPr>
          <w:rFonts w:ascii="宋体" w:hAnsi="宋体" w:cs="宋体"/>
          <w:sz w:val="24"/>
        </w:rPr>
        <w:t>15日内将上述相关款项支付到合同约定的供应商账户。</w:t>
      </w:r>
    </w:p>
    <w:p w14:paraId="403202F5">
      <w:pPr>
        <w:spacing w:line="360" w:lineRule="auto"/>
        <w:ind w:firstLine="480" w:firstLineChars="200"/>
        <w:outlineLvl w:val="1"/>
      </w:pPr>
      <w:r>
        <w:rPr>
          <w:rFonts w:hint="eastAsia" w:ascii="宋体" w:hAnsi="宋体" w:cs="宋体"/>
          <w:sz w:val="24"/>
        </w:rPr>
        <w:t>注：</w:t>
      </w:r>
      <w:r>
        <w:rPr>
          <w:rFonts w:ascii="宋体" w:hAnsi="宋体" w:cs="宋体"/>
          <w:sz w:val="24"/>
        </w:rPr>
        <w:t>若成交供应商明确表示无需预付款或者主动要求降低预付款比例的，采购人可不适用前述规定。</w:t>
      </w:r>
    </w:p>
    <w:p w14:paraId="785518B4">
      <w:pPr>
        <w:pStyle w:val="107"/>
        <w:tabs>
          <w:tab w:val="left" w:pos="900"/>
          <w:tab w:val="left" w:pos="980"/>
          <w:tab w:val="left" w:pos="1710"/>
          <w:tab w:val="clear" w:pos="360"/>
        </w:tabs>
        <w:spacing w:before="120" w:after="120" w:line="360" w:lineRule="auto"/>
        <w:ind w:left="2" w:firstLine="480"/>
        <w:rPr>
          <w:rFonts w:ascii="宋体" w:hAnsi="Courier New"/>
        </w:rPr>
      </w:pPr>
      <w:r>
        <w:rPr>
          <w:rFonts w:ascii="宋体" w:hAnsi="Courier New" w:cs="宋体"/>
        </w:rPr>
        <w:t>2.</w:t>
      </w:r>
      <w:r>
        <w:rPr>
          <w:rFonts w:hint="eastAsia" w:ascii="宋体" w:hAnsi="Courier New" w:cs="宋体"/>
        </w:rPr>
        <w:t>当采购数量与实际使用不一致时，乙方应根据实际情况，合同的最终结算金额按实际使用量乘以成交单价进行计算。</w:t>
      </w:r>
    </w:p>
    <w:p w14:paraId="6D156D84">
      <w:pPr>
        <w:pStyle w:val="107"/>
        <w:tabs>
          <w:tab w:val="left" w:pos="900"/>
          <w:tab w:val="left" w:pos="980"/>
          <w:tab w:val="left" w:pos="1710"/>
          <w:tab w:val="clear" w:pos="360"/>
        </w:tabs>
        <w:spacing w:before="120" w:after="120" w:line="360" w:lineRule="auto"/>
        <w:ind w:left="2" w:firstLine="0"/>
        <w:outlineLvl w:val="1"/>
        <w:rPr>
          <w:rFonts w:ascii="宋体"/>
          <w:b/>
          <w:bCs/>
        </w:rPr>
      </w:pPr>
      <w:r>
        <w:rPr>
          <w:rFonts w:hint="eastAsia" w:ascii="宋体" w:hAnsi="宋体" w:cs="宋体"/>
          <w:b/>
          <w:bCs/>
        </w:rPr>
        <w:t>九、税费</w:t>
      </w:r>
    </w:p>
    <w:p w14:paraId="7B49E23E">
      <w:pPr>
        <w:spacing w:line="360" w:lineRule="auto"/>
        <w:ind w:firstLine="480" w:firstLineChars="200"/>
        <w:rPr>
          <w:rFonts w:ascii="宋体"/>
          <w:sz w:val="24"/>
        </w:rPr>
      </w:pPr>
      <w:r>
        <w:rPr>
          <w:rFonts w:hint="eastAsia" w:ascii="宋体" w:hAnsi="宋体" w:cs="宋体"/>
          <w:sz w:val="24"/>
        </w:rPr>
        <w:t>本合同执行中相关的一切税费均由乙方负担。</w:t>
      </w:r>
    </w:p>
    <w:p w14:paraId="6FD3DAD2">
      <w:pPr>
        <w:spacing w:line="360" w:lineRule="auto"/>
        <w:outlineLvl w:val="1"/>
        <w:rPr>
          <w:rFonts w:ascii="宋体"/>
          <w:b/>
          <w:bCs/>
          <w:sz w:val="24"/>
        </w:rPr>
      </w:pPr>
      <w:r>
        <w:rPr>
          <w:rFonts w:hint="eastAsia" w:ascii="宋体" w:hAnsi="宋体" w:cs="宋体"/>
          <w:b/>
          <w:bCs/>
          <w:sz w:val="24"/>
        </w:rPr>
        <w:t>十、质量保证及后续服务</w:t>
      </w:r>
    </w:p>
    <w:p w14:paraId="6B3FC56B">
      <w:pPr>
        <w:spacing w:line="460" w:lineRule="exact"/>
        <w:ind w:firstLine="480" w:firstLineChars="200"/>
        <w:outlineLvl w:val="2"/>
        <w:rPr>
          <w:rFonts w:ascii="宋体"/>
          <w:sz w:val="24"/>
        </w:rPr>
      </w:pPr>
      <w:r>
        <w:rPr>
          <w:rFonts w:ascii="宋体" w:hAnsi="宋体" w:cs="宋体"/>
          <w:sz w:val="24"/>
        </w:rPr>
        <w:t>1</w:t>
      </w:r>
      <w:r>
        <w:rPr>
          <w:rFonts w:hint="eastAsia" w:ascii="宋体" w:hAnsi="宋体" w:cs="宋体"/>
          <w:sz w:val="24"/>
        </w:rPr>
        <w:t>．乙方应按招标文件规定向甲方提供服务。</w:t>
      </w:r>
    </w:p>
    <w:p w14:paraId="563D2EC1">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．乙方提供的服务不到要求者，根据实际情况，经双方协商，可按以下办法处理：</w:t>
      </w:r>
    </w:p>
    <w:p w14:paraId="26141483">
      <w:pPr>
        <w:spacing w:line="460" w:lineRule="exact"/>
        <w:ind w:firstLine="480" w:firstLineChars="200"/>
        <w:rPr>
          <w:rFonts w:ascii="宋体"/>
          <w:sz w:val="24"/>
        </w:rPr>
      </w:pPr>
      <w:r>
        <w:rPr>
          <w:rFonts w:hint="eastAsia" w:ascii="宋体" w:cs="宋体"/>
          <w:sz w:val="24"/>
        </w:rPr>
        <w:t>⑴</w:t>
      </w:r>
      <w:r>
        <w:rPr>
          <w:rFonts w:hint="eastAsia" w:ascii="宋体" w:hAnsi="宋体" w:cs="宋体"/>
          <w:sz w:val="24"/>
        </w:rPr>
        <w:t>重做：由乙方承担所发生的全部费用。</w:t>
      </w:r>
    </w:p>
    <w:p w14:paraId="3FEAF412">
      <w:pPr>
        <w:spacing w:line="460" w:lineRule="exact"/>
        <w:ind w:firstLine="480" w:firstLineChars="200"/>
        <w:rPr>
          <w:rFonts w:ascii="宋体"/>
          <w:sz w:val="24"/>
        </w:rPr>
      </w:pPr>
      <w:r>
        <w:rPr>
          <w:rFonts w:hint="eastAsia" w:ascii="宋体" w:cs="宋体"/>
          <w:sz w:val="24"/>
        </w:rPr>
        <w:t>⑵</w:t>
      </w:r>
      <w:r>
        <w:rPr>
          <w:rFonts w:hint="eastAsia" w:ascii="宋体" w:hAnsi="宋体" w:cs="宋体"/>
          <w:sz w:val="24"/>
        </w:rPr>
        <w:t>贬值处理：由甲乙双方合议定价。</w:t>
      </w:r>
    </w:p>
    <w:p w14:paraId="348E0C8E">
      <w:pPr>
        <w:spacing w:line="460" w:lineRule="exact"/>
        <w:ind w:firstLine="480" w:firstLineChars="200"/>
        <w:rPr>
          <w:rFonts w:ascii="宋体"/>
          <w:sz w:val="24"/>
        </w:rPr>
      </w:pPr>
      <w:r>
        <w:rPr>
          <w:rFonts w:hint="eastAsia" w:ascii="宋体" w:cs="宋体"/>
          <w:sz w:val="24"/>
        </w:rPr>
        <w:t>⑶</w:t>
      </w:r>
      <w:r>
        <w:rPr>
          <w:rFonts w:hint="eastAsia" w:ascii="宋体" w:hAnsi="宋体" w:cs="宋体"/>
          <w:sz w:val="24"/>
        </w:rPr>
        <w:t>解除合同。</w:t>
      </w:r>
    </w:p>
    <w:p w14:paraId="3702ED2B">
      <w:pPr>
        <w:spacing w:line="460" w:lineRule="exact"/>
        <w:outlineLvl w:val="1"/>
        <w:rPr>
          <w:rFonts w:ascii="宋体"/>
          <w:b/>
          <w:bCs/>
          <w:sz w:val="24"/>
        </w:rPr>
      </w:pPr>
      <w:r>
        <w:rPr>
          <w:rFonts w:hint="eastAsia" w:ascii="宋体" w:hAnsi="宋体" w:cs="宋体"/>
          <w:b/>
          <w:bCs/>
          <w:sz w:val="24"/>
        </w:rPr>
        <w:t>十一、违约责任</w:t>
      </w:r>
    </w:p>
    <w:p w14:paraId="5FBCE366">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．甲方无正当理由拒绝接受服务的，甲方向乙方偿付合同款项百分之五作为违约金。</w:t>
      </w:r>
    </w:p>
    <w:p w14:paraId="69827486">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．甲方无故逾期验收和办理款项支付手续的，甲方应按逾期付款总额每日万分之五向乙方支付违约金。</w:t>
      </w:r>
    </w:p>
    <w:p w14:paraId="2A438DAC">
      <w:pPr>
        <w:spacing w:line="460" w:lineRule="exact"/>
        <w:ind w:firstLine="480" w:firstLineChars="200"/>
        <w:rPr>
          <w:rFonts w:ascii="宋体"/>
          <w:sz w:val="24"/>
        </w:rPr>
      </w:pPr>
      <w:r>
        <w:rPr>
          <w:rFonts w:ascii="宋体" w:hAnsi="宋体" w:cs="宋体"/>
          <w:sz w:val="24"/>
        </w:rPr>
        <w:t>3</w:t>
      </w:r>
      <w:r>
        <w:rPr>
          <w:rFonts w:hint="eastAsia" w:ascii="宋体" w:hAnsi="宋体" w:cs="宋体"/>
          <w:sz w:val="24"/>
        </w:rPr>
        <w:t>．乙方未能如期提供服务的，每日向甲方支付合同款项的千分之六作为违约金。乙方超过约定日期</w:t>
      </w:r>
      <w:r>
        <w:rPr>
          <w:rFonts w:ascii="宋体" w:hAnsi="宋体" w:cs="宋体"/>
          <w:sz w:val="24"/>
        </w:rPr>
        <w:t>10</w:t>
      </w:r>
      <w:r>
        <w:rPr>
          <w:rFonts w:hint="eastAsia" w:ascii="宋体" w:hAnsi="宋体" w:cs="宋体"/>
          <w:sz w:val="24"/>
        </w:rPr>
        <w:t>个工作日仍不能提供服务的，甲方可解除本合同。乙方因未能如期提供服务或因其他违约行为导致甲方解除合同的，乙方应向甲方支付合同总值</w:t>
      </w:r>
      <w:r>
        <w:rPr>
          <w:rFonts w:ascii="宋体" w:hAnsi="宋体" w:cs="宋体"/>
          <w:sz w:val="24"/>
        </w:rPr>
        <w:t>5%</w:t>
      </w:r>
      <w:r>
        <w:rPr>
          <w:rFonts w:hint="eastAsia" w:ascii="宋体" w:hAnsi="宋体" w:cs="宋体"/>
          <w:sz w:val="24"/>
        </w:rPr>
        <w:t>的违约金，如造成甲方损失超过违约金的，超出部分由乙方继续承担赔偿责任。</w:t>
      </w:r>
    </w:p>
    <w:p w14:paraId="0F7BA530">
      <w:pPr>
        <w:spacing w:line="460" w:lineRule="exact"/>
        <w:outlineLvl w:val="1"/>
        <w:rPr>
          <w:rFonts w:ascii="宋体"/>
          <w:b/>
          <w:bCs/>
          <w:sz w:val="24"/>
        </w:rPr>
      </w:pPr>
      <w:r>
        <w:rPr>
          <w:rFonts w:hint="eastAsia" w:ascii="宋体" w:hAnsi="宋体" w:cs="宋体"/>
          <w:b/>
          <w:bCs/>
          <w:sz w:val="24"/>
        </w:rPr>
        <w:t>十二、不可抗力事件处理</w:t>
      </w:r>
    </w:p>
    <w:p w14:paraId="086D7BE5">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．在合同有效期内，任何一方因不可抗力事件导致不能履行合同，则合同履行期可延长，其延长期与不可抗力影响期相同。</w:t>
      </w:r>
    </w:p>
    <w:p w14:paraId="077BD5FC">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．不可抗力事件发生后，应立即通知对方，并寄送有关权威机构出具的证明。</w:t>
      </w:r>
    </w:p>
    <w:p w14:paraId="2CA00E55">
      <w:pPr>
        <w:spacing w:line="460" w:lineRule="exact"/>
        <w:ind w:firstLine="480" w:firstLineChars="200"/>
        <w:rPr>
          <w:rFonts w:ascii="宋体"/>
          <w:sz w:val="24"/>
        </w:rPr>
      </w:pPr>
      <w:r>
        <w:rPr>
          <w:rFonts w:ascii="宋体" w:hAnsi="宋体" w:cs="宋体"/>
          <w:sz w:val="24"/>
        </w:rPr>
        <w:t>3</w:t>
      </w:r>
      <w:r>
        <w:rPr>
          <w:rFonts w:hint="eastAsia" w:ascii="宋体" w:hAnsi="宋体" w:cs="宋体"/>
          <w:sz w:val="24"/>
        </w:rPr>
        <w:t>．不可抗力事件延续</w:t>
      </w:r>
      <w:r>
        <w:rPr>
          <w:rFonts w:ascii="宋体" w:hAnsi="宋体" w:cs="宋体"/>
          <w:sz w:val="24"/>
        </w:rPr>
        <w:t>120</w:t>
      </w:r>
      <w:r>
        <w:rPr>
          <w:rFonts w:hint="eastAsia" w:ascii="宋体" w:hAnsi="宋体" w:cs="宋体"/>
          <w:sz w:val="24"/>
        </w:rPr>
        <w:t>天以上，双方应通过友好协商，确定是否继续履行合同。</w:t>
      </w:r>
    </w:p>
    <w:p w14:paraId="07EA99F3">
      <w:pPr>
        <w:spacing w:line="460" w:lineRule="exact"/>
        <w:outlineLvl w:val="1"/>
        <w:rPr>
          <w:rFonts w:ascii="宋体"/>
          <w:b/>
          <w:bCs/>
          <w:sz w:val="24"/>
        </w:rPr>
      </w:pPr>
      <w:r>
        <w:rPr>
          <w:rFonts w:hint="eastAsia" w:ascii="宋体" w:hAnsi="宋体" w:cs="宋体"/>
          <w:b/>
          <w:bCs/>
          <w:sz w:val="24"/>
        </w:rPr>
        <w:t>十三、诉讼</w:t>
      </w:r>
    </w:p>
    <w:p w14:paraId="7806FED0">
      <w:pPr>
        <w:spacing w:line="460" w:lineRule="exact"/>
        <w:ind w:firstLine="480" w:firstLineChars="200"/>
        <w:rPr>
          <w:rFonts w:ascii="宋体"/>
          <w:sz w:val="24"/>
        </w:rPr>
      </w:pPr>
      <w:r>
        <w:rPr>
          <w:rFonts w:hint="eastAsia" w:ascii="宋体" w:hAnsi="宋体" w:cs="宋体"/>
          <w:sz w:val="24"/>
        </w:rPr>
        <w:t>双方在执行合同中所发生的一切争议，应通过协商解决。如协商不成，可向甲方所在地法院起诉。</w:t>
      </w:r>
    </w:p>
    <w:p w14:paraId="21077B6A">
      <w:pPr>
        <w:spacing w:line="460" w:lineRule="exact"/>
        <w:outlineLvl w:val="1"/>
        <w:rPr>
          <w:rFonts w:ascii="宋体"/>
          <w:b/>
          <w:bCs/>
          <w:sz w:val="24"/>
        </w:rPr>
      </w:pPr>
      <w:r>
        <w:rPr>
          <w:rFonts w:hint="eastAsia" w:ascii="宋体" w:hAnsi="宋体" w:cs="宋体"/>
          <w:b/>
          <w:bCs/>
          <w:sz w:val="24"/>
        </w:rPr>
        <w:t>十四、合同生效及其他</w:t>
      </w:r>
    </w:p>
    <w:p w14:paraId="6C7F9FC4">
      <w:pPr>
        <w:spacing w:line="460" w:lineRule="exact"/>
        <w:ind w:firstLine="480" w:firstLineChars="200"/>
        <w:outlineLvl w:val="2"/>
        <w:rPr>
          <w:rFonts w:ascii="宋体"/>
          <w:sz w:val="24"/>
        </w:rPr>
      </w:pPr>
      <w:r>
        <w:rPr>
          <w:rFonts w:ascii="宋体" w:hAnsi="宋体" w:cs="宋体"/>
          <w:sz w:val="24"/>
        </w:rPr>
        <w:t>1</w:t>
      </w:r>
      <w:r>
        <w:rPr>
          <w:rFonts w:hint="eastAsia" w:ascii="宋体" w:hAnsi="宋体" w:cs="宋体"/>
          <w:sz w:val="24"/>
        </w:rPr>
        <w:t>．合同经双方法定代表人或授权代表签字并加盖单位公章后生效。</w:t>
      </w:r>
    </w:p>
    <w:p w14:paraId="2C6E510C">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．合同执行中涉及采购资金和采购内容修改或补充的，须经财政部门审批，并签书面补充协议报政府采购监督管理部门备案，方可作为主合同不可分割的一部分。</w:t>
      </w:r>
    </w:p>
    <w:p w14:paraId="611BC1F5">
      <w:pPr>
        <w:spacing w:line="460" w:lineRule="exact"/>
        <w:ind w:firstLine="480" w:firstLineChars="200"/>
        <w:rPr>
          <w:rFonts w:ascii="宋体"/>
          <w:sz w:val="24"/>
        </w:rPr>
      </w:pPr>
      <w:r>
        <w:rPr>
          <w:rFonts w:ascii="宋体" w:hAnsi="宋体" w:cs="宋体"/>
          <w:sz w:val="24"/>
        </w:rPr>
        <w:t>3</w:t>
      </w:r>
      <w:r>
        <w:rPr>
          <w:rFonts w:hint="eastAsia" w:ascii="宋体" w:hAnsi="宋体" w:cs="宋体"/>
          <w:sz w:val="24"/>
        </w:rPr>
        <w:t>．本合同未尽事宜，遵照《中华人民共和国民法典》有关条文执行。</w:t>
      </w:r>
    </w:p>
    <w:p w14:paraId="23AE14DE">
      <w:pPr>
        <w:spacing w:line="460" w:lineRule="exact"/>
        <w:ind w:firstLine="480" w:firstLineChars="200"/>
        <w:rPr>
          <w:rFonts w:ascii="宋体"/>
          <w:sz w:val="24"/>
        </w:rPr>
      </w:pPr>
      <w:r>
        <w:rPr>
          <w:rFonts w:ascii="宋体" w:hAnsi="宋体" w:cs="宋体"/>
          <w:sz w:val="24"/>
        </w:rPr>
        <w:t>4</w:t>
      </w:r>
      <w:r>
        <w:rPr>
          <w:rFonts w:hint="eastAsia" w:ascii="宋体" w:hAnsi="宋体" w:cs="宋体"/>
          <w:sz w:val="24"/>
        </w:rPr>
        <w:t>．合同正本一式五份，甲乙双方各执两份，</w:t>
      </w:r>
      <w:r>
        <w:rPr>
          <w:rFonts w:hint="eastAsia" w:ascii="宋体" w:hAnsi="宋体" w:cs="宋体"/>
          <w:kern w:val="0"/>
          <w:sz w:val="24"/>
        </w:rPr>
        <w:t>浙江华耀建设咨询有限公司</w:t>
      </w:r>
      <w:r>
        <w:rPr>
          <w:rFonts w:hint="eastAsia" w:ascii="宋体" w:hAnsi="宋体" w:cs="宋体"/>
          <w:sz w:val="24"/>
        </w:rPr>
        <w:t>（招标代理机构）执一份备案。</w:t>
      </w:r>
    </w:p>
    <w:p w14:paraId="3EDEDCA9">
      <w:pPr>
        <w:spacing w:line="460" w:lineRule="exact"/>
        <w:ind w:firstLine="482" w:firstLineChars="200"/>
        <w:rPr>
          <w:rFonts w:ascii="宋体"/>
          <w:b/>
          <w:bCs/>
          <w:sz w:val="24"/>
        </w:rPr>
      </w:pPr>
    </w:p>
    <w:p w14:paraId="4CB11276">
      <w:pPr>
        <w:spacing w:line="460" w:lineRule="exact"/>
        <w:outlineLvl w:val="1"/>
        <w:rPr>
          <w:rFonts w:ascii="宋体"/>
          <w:b/>
          <w:bCs/>
          <w:sz w:val="24"/>
        </w:rPr>
      </w:pPr>
      <w:r>
        <w:rPr>
          <w:rFonts w:hint="eastAsia" w:ascii="宋体" w:hAnsi="宋体" w:cs="宋体"/>
          <w:b/>
          <w:bCs/>
          <w:sz w:val="24"/>
        </w:rPr>
        <w:t>十五、补充条款</w:t>
      </w:r>
    </w:p>
    <w:p w14:paraId="07D5C4E5">
      <w:pPr>
        <w:tabs>
          <w:tab w:val="left" w:pos="1440"/>
        </w:tabs>
        <w:spacing w:line="460" w:lineRule="exact"/>
        <w:rPr>
          <w:rFonts w:ascii="宋体" w:hAnsi="宋体" w:cs="宋体"/>
          <w:sz w:val="24"/>
        </w:rPr>
      </w:pPr>
    </w:p>
    <w:p w14:paraId="7A9B73BA">
      <w:pPr>
        <w:tabs>
          <w:tab w:val="left" w:pos="1440"/>
        </w:tabs>
        <w:spacing w:line="460" w:lineRule="exact"/>
        <w:rPr>
          <w:rFonts w:ascii="宋体"/>
          <w:sz w:val="24"/>
        </w:rPr>
      </w:pPr>
      <w:r>
        <w:rPr>
          <w:rFonts w:hint="eastAsia" w:ascii="宋体" w:hAnsi="宋体" w:cs="宋体"/>
          <w:sz w:val="24"/>
        </w:rPr>
        <w:t>甲方：                         乙方：</w:t>
      </w:r>
    </w:p>
    <w:p w14:paraId="0EA84121">
      <w:pPr>
        <w:tabs>
          <w:tab w:val="left" w:pos="1440"/>
        </w:tabs>
        <w:spacing w:line="460" w:lineRule="exact"/>
        <w:rPr>
          <w:rFonts w:ascii="宋体"/>
          <w:sz w:val="24"/>
        </w:rPr>
      </w:pPr>
      <w:r>
        <w:rPr>
          <w:rFonts w:hint="eastAsia" w:ascii="宋体" w:hAnsi="宋体" w:cs="宋体"/>
          <w:sz w:val="24"/>
        </w:rPr>
        <w:t>地址：                         地址：</w:t>
      </w:r>
    </w:p>
    <w:p w14:paraId="1D74023B">
      <w:pPr>
        <w:tabs>
          <w:tab w:val="left" w:pos="1440"/>
        </w:tabs>
        <w:spacing w:line="460" w:lineRule="exact"/>
        <w:rPr>
          <w:rFonts w:ascii="宋体"/>
          <w:sz w:val="24"/>
        </w:rPr>
      </w:pPr>
      <w:r>
        <w:rPr>
          <w:rFonts w:hint="eastAsia" w:ascii="宋体" w:hAnsi="宋体" w:cs="宋体"/>
          <w:sz w:val="24"/>
        </w:rPr>
        <w:t>法定（授权）代表人：           法定（授权）代表人：</w:t>
      </w:r>
    </w:p>
    <w:p w14:paraId="14C2AD92">
      <w:pPr>
        <w:tabs>
          <w:tab w:val="left" w:pos="1440"/>
        </w:tabs>
        <w:spacing w:line="460" w:lineRule="exact"/>
        <w:rPr>
          <w:rFonts w:ascii="宋体"/>
          <w:sz w:val="24"/>
        </w:rPr>
      </w:pPr>
      <w:r>
        <w:rPr>
          <w:rFonts w:hint="eastAsia" w:ascii="宋体" w:hAnsi="宋体" w:cs="宋体"/>
          <w:sz w:val="24"/>
        </w:rPr>
        <w:t>邮编：                         邮编：</w:t>
      </w:r>
    </w:p>
    <w:p w14:paraId="2D1C8116">
      <w:pPr>
        <w:pStyle w:val="19"/>
        <w:snapToGrid w:val="0"/>
        <w:spacing w:beforeLines="0" w:afterLines="0" w:line="360" w:lineRule="auto"/>
      </w:pPr>
      <w:r>
        <w:rPr>
          <w:rFonts w:hint="eastAsia" w:hAnsi="宋体" w:cs="宋体"/>
        </w:rPr>
        <w:t>日期：                         日期：</w:t>
      </w:r>
    </w:p>
    <w:p w14:paraId="58A5F71A">
      <w:pPr>
        <w:snapToGrid w:val="0"/>
        <w:spacing w:line="360" w:lineRule="auto"/>
        <w:jc w:val="center"/>
        <w:rPr>
          <w:sz w:val="30"/>
          <w:szCs w:val="30"/>
        </w:rPr>
      </w:pPr>
      <w:r>
        <w:rPr>
          <w:rFonts w:hint="eastAsia"/>
          <w:sz w:val="30"/>
          <w:szCs w:val="30"/>
        </w:rPr>
        <w:t>第六章　投标文件格式</w:t>
      </w:r>
    </w:p>
    <w:p w14:paraId="5FD69AD7">
      <w:pPr>
        <w:snapToGrid w:val="0"/>
        <w:spacing w:line="360" w:lineRule="auto"/>
        <w:jc w:val="center"/>
        <w:outlineLvl w:val="1"/>
        <w:rPr>
          <w:rFonts w:ascii="宋体" w:hAnsi="宋体"/>
          <w:b/>
          <w:bCs/>
          <w:sz w:val="24"/>
        </w:rPr>
      </w:pPr>
      <w:r>
        <w:rPr>
          <w:rFonts w:hint="eastAsia" w:ascii="宋体" w:hAnsi="宋体"/>
          <w:b/>
          <w:bCs/>
          <w:sz w:val="24"/>
        </w:rPr>
        <w:t>一、资格文件格式</w:t>
      </w:r>
    </w:p>
    <w:p w14:paraId="6F529153">
      <w:pPr>
        <w:snapToGrid w:val="0"/>
        <w:spacing w:line="360" w:lineRule="auto"/>
        <w:jc w:val="center"/>
        <w:rPr>
          <w:rFonts w:ascii="宋体" w:hAnsi="宋体"/>
          <w:sz w:val="24"/>
          <w:szCs w:val="20"/>
        </w:rPr>
      </w:pPr>
    </w:p>
    <w:p w14:paraId="5790948A">
      <w:pPr>
        <w:snapToGrid w:val="0"/>
        <w:spacing w:line="360" w:lineRule="auto"/>
        <w:rPr>
          <w:rFonts w:ascii="宋体" w:hAnsi="宋体"/>
          <w:sz w:val="24"/>
          <w:szCs w:val="20"/>
        </w:rPr>
      </w:pPr>
      <w:r>
        <w:rPr>
          <w:rFonts w:hint="eastAsia" w:ascii="宋体" w:hAnsi="宋体"/>
          <w:sz w:val="24"/>
        </w:rPr>
        <w:t>1.资格文件封面格式：</w:t>
      </w:r>
    </w:p>
    <w:p w14:paraId="5D2A051F">
      <w:pPr>
        <w:snapToGrid w:val="0"/>
        <w:spacing w:line="360" w:lineRule="auto"/>
        <w:jc w:val="center"/>
        <w:rPr>
          <w:rFonts w:ascii="宋体" w:hAnsi="宋体"/>
          <w:bCs/>
          <w:sz w:val="24"/>
          <w:szCs w:val="20"/>
        </w:rPr>
      </w:pPr>
    </w:p>
    <w:p w14:paraId="62E3C748">
      <w:pPr>
        <w:snapToGrid w:val="0"/>
        <w:spacing w:line="360" w:lineRule="auto"/>
        <w:jc w:val="center"/>
        <w:rPr>
          <w:rFonts w:ascii="宋体" w:hAnsi="宋体"/>
          <w:bCs/>
          <w:sz w:val="24"/>
          <w:szCs w:val="20"/>
        </w:rPr>
      </w:pPr>
      <w:r>
        <w:rPr>
          <w:rFonts w:hint="eastAsia" w:ascii="宋体" w:hAnsi="宋体"/>
          <w:bCs/>
          <w:sz w:val="24"/>
        </w:rPr>
        <w:t>资 格 文件</w:t>
      </w:r>
    </w:p>
    <w:p w14:paraId="0B6125AD">
      <w:pPr>
        <w:snapToGrid w:val="0"/>
        <w:spacing w:line="360" w:lineRule="auto"/>
        <w:rPr>
          <w:rFonts w:ascii="宋体" w:hAnsi="宋体"/>
          <w:bCs/>
          <w:sz w:val="24"/>
          <w:szCs w:val="20"/>
        </w:rPr>
      </w:pPr>
    </w:p>
    <w:p w14:paraId="23003611">
      <w:pPr>
        <w:snapToGrid w:val="0"/>
        <w:spacing w:line="360" w:lineRule="auto"/>
        <w:ind w:firstLine="960" w:firstLineChars="400"/>
        <w:rPr>
          <w:rFonts w:ascii="宋体" w:hAnsi="宋体"/>
          <w:spacing w:val="-20"/>
          <w:sz w:val="24"/>
        </w:rPr>
      </w:pPr>
      <w:r>
        <w:rPr>
          <w:rFonts w:hint="eastAsia" w:ascii="宋体" w:hAnsi="宋体"/>
          <w:bCs/>
          <w:sz w:val="24"/>
        </w:rPr>
        <w:t>项目名称：</w:t>
      </w:r>
      <w:r>
        <w:rPr>
          <w:rFonts w:hint="eastAsia" w:ascii="宋体" w:hAnsi="宋体"/>
          <w:spacing w:val="-20"/>
          <w:sz w:val="24"/>
        </w:rPr>
        <w:t>南太湖新区垃圾分类数据管理平台建设项目</w:t>
      </w:r>
    </w:p>
    <w:p w14:paraId="48E9C02C">
      <w:pPr>
        <w:pStyle w:val="10"/>
        <w:snapToGrid w:val="0"/>
        <w:spacing w:line="360" w:lineRule="auto"/>
        <w:ind w:firstLine="998" w:firstLineChars="416"/>
        <w:rPr>
          <w:rFonts w:ascii="宋体" w:hAnsi="宋体"/>
          <w:sz w:val="24"/>
        </w:rPr>
      </w:pPr>
      <w:r>
        <w:rPr>
          <w:rFonts w:hint="eastAsia" w:ascii="宋体" w:hAnsi="宋体"/>
          <w:bCs/>
          <w:sz w:val="24"/>
        </w:rPr>
        <w:t>项目编号：</w:t>
      </w:r>
      <w:r>
        <w:rPr>
          <w:rFonts w:hint="eastAsia" w:ascii="宋体" w:hAnsi="宋体"/>
          <w:sz w:val="24"/>
        </w:rPr>
        <w:t>HYHZ2024-154</w:t>
      </w:r>
    </w:p>
    <w:p w14:paraId="7E7A177D">
      <w:pPr>
        <w:pStyle w:val="10"/>
        <w:snapToGrid w:val="0"/>
        <w:spacing w:line="360" w:lineRule="auto"/>
        <w:ind w:firstLine="998" w:firstLineChars="416"/>
        <w:rPr>
          <w:rFonts w:ascii="宋体" w:hAnsi="宋体"/>
          <w:bCs/>
          <w:sz w:val="24"/>
          <w:szCs w:val="24"/>
        </w:rPr>
      </w:pPr>
      <w:r>
        <w:rPr>
          <w:rFonts w:hint="eastAsia" w:ascii="宋体" w:hAnsi="宋体"/>
          <w:bCs/>
          <w:sz w:val="24"/>
          <w:szCs w:val="24"/>
        </w:rPr>
        <w:t>投标人名称：</w:t>
      </w:r>
    </w:p>
    <w:p w14:paraId="2D953621">
      <w:pPr>
        <w:pStyle w:val="10"/>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14:paraId="56C045A6">
      <w:pPr>
        <w:pStyle w:val="10"/>
        <w:snapToGrid w:val="0"/>
        <w:spacing w:line="360" w:lineRule="auto"/>
        <w:ind w:firstLine="960" w:firstLineChars="400"/>
        <w:rPr>
          <w:rFonts w:ascii="宋体" w:hAnsi="宋体"/>
          <w:bCs/>
          <w:sz w:val="24"/>
          <w:szCs w:val="24"/>
        </w:rPr>
      </w:pPr>
    </w:p>
    <w:p w14:paraId="08DE15A2">
      <w:pPr>
        <w:snapToGrid w:val="0"/>
        <w:spacing w:line="360" w:lineRule="auto"/>
        <w:ind w:firstLine="4080" w:firstLineChars="1700"/>
        <w:rPr>
          <w:rFonts w:ascii="宋体" w:hAnsi="宋体"/>
          <w:sz w:val="24"/>
          <w:szCs w:val="20"/>
        </w:rPr>
      </w:pPr>
    </w:p>
    <w:p w14:paraId="16A19626">
      <w:pPr>
        <w:snapToGrid w:val="0"/>
        <w:spacing w:line="360" w:lineRule="auto"/>
        <w:ind w:firstLine="645"/>
        <w:jc w:val="center"/>
        <w:rPr>
          <w:rFonts w:ascii="宋体" w:hAnsi="宋体"/>
          <w:sz w:val="24"/>
          <w:szCs w:val="20"/>
        </w:rPr>
      </w:pPr>
      <w:r>
        <w:rPr>
          <w:rFonts w:hint="eastAsia" w:ascii="宋体" w:hAnsi="宋体"/>
          <w:sz w:val="24"/>
        </w:rPr>
        <w:t>年月日</w:t>
      </w:r>
    </w:p>
    <w:p w14:paraId="29B8B898">
      <w:pPr>
        <w:snapToGrid w:val="0"/>
        <w:spacing w:line="360" w:lineRule="auto"/>
        <w:rPr>
          <w:rFonts w:ascii="宋体" w:hAnsi="宋体"/>
          <w:b/>
          <w:bCs/>
          <w:sz w:val="24"/>
        </w:rPr>
      </w:pPr>
      <w:r>
        <w:rPr>
          <w:rFonts w:hint="eastAsia" w:ascii="宋体" w:hAnsi="宋体"/>
          <w:sz w:val="24"/>
        </w:rPr>
        <w:t>2.</w:t>
      </w:r>
      <w:r>
        <w:rPr>
          <w:rFonts w:hint="eastAsia" w:ascii="宋体" w:hAnsi="宋体"/>
          <w:b/>
          <w:bCs/>
          <w:sz w:val="24"/>
        </w:rPr>
        <w:t>资格文件目录</w:t>
      </w:r>
    </w:p>
    <w:p w14:paraId="0A137E19">
      <w:pPr>
        <w:snapToGrid w:val="0"/>
        <w:spacing w:line="360" w:lineRule="auto"/>
        <w:rPr>
          <w:rFonts w:ascii="宋体" w:hAnsi="宋体"/>
          <w:sz w:val="24"/>
          <w:szCs w:val="20"/>
        </w:rPr>
      </w:pPr>
    </w:p>
    <w:p w14:paraId="0E92CAEC">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）投标声明书————————（页码）</w:t>
      </w:r>
    </w:p>
    <w:p w14:paraId="53455BBB">
      <w:pPr>
        <w:snapToGrid w:val="0"/>
        <w:spacing w:line="360" w:lineRule="auto"/>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）投标人基本情况介绍————————</w:t>
      </w:r>
    </w:p>
    <w:p w14:paraId="1987B948">
      <w:pPr>
        <w:snapToGrid w:val="0"/>
        <w:spacing w:line="360" w:lineRule="auto"/>
        <w:jc w:val="left"/>
        <w:rPr>
          <w:rFonts w:ascii="宋体" w:hAnsi="宋体"/>
          <w:sz w:val="24"/>
        </w:rPr>
      </w:pPr>
      <w:r>
        <w:rPr>
          <w:rFonts w:hint="eastAsia" w:ascii="宋体" w:hAnsi="宋体"/>
          <w:sz w:val="24"/>
        </w:rPr>
        <w:t>（3）</w:t>
      </w:r>
      <w:r>
        <w:rPr>
          <w:rFonts w:ascii="宋体" w:hAnsi="宋体"/>
          <w:sz w:val="24"/>
        </w:rPr>
        <w:t>法定代表人授权委托书</w:t>
      </w:r>
      <w:r>
        <w:rPr>
          <w:rFonts w:hint="eastAsia" w:ascii="宋体" w:hAnsi="宋体"/>
          <w:sz w:val="24"/>
        </w:rPr>
        <w:t>————————</w:t>
      </w:r>
    </w:p>
    <w:p w14:paraId="706E3BFB">
      <w:pPr>
        <w:snapToGrid w:val="0"/>
        <w:spacing w:line="360" w:lineRule="auto"/>
        <w:jc w:val="left"/>
        <w:rPr>
          <w:rFonts w:ascii="宋体" w:hAnsi="宋体"/>
          <w:sz w:val="24"/>
        </w:rPr>
      </w:pPr>
      <w:r>
        <w:rPr>
          <w:rFonts w:hint="eastAsia" w:ascii="宋体" w:hAnsi="宋体"/>
          <w:sz w:val="24"/>
        </w:rPr>
        <w:t>（4）近三个月依法缴纳税收和社保费的证明【税费凭证，或者依法缴纳税费或依法免缴税费的证明】（</w:t>
      </w:r>
      <w:r>
        <w:rPr>
          <w:rFonts w:hint="eastAsia" w:ascii="宋体" w:hAnsi="宋体"/>
          <w:bCs/>
          <w:sz w:val="24"/>
        </w:rPr>
        <w:t>复印件各一份</w:t>
      </w:r>
      <w:r>
        <w:rPr>
          <w:rFonts w:hint="eastAsia" w:ascii="宋体" w:hAnsi="宋体"/>
          <w:sz w:val="24"/>
        </w:rPr>
        <w:t>）————————</w:t>
      </w:r>
    </w:p>
    <w:p w14:paraId="288582DD">
      <w:pPr>
        <w:snapToGrid w:val="0"/>
        <w:spacing w:line="360" w:lineRule="auto"/>
        <w:jc w:val="left"/>
        <w:rPr>
          <w:rFonts w:ascii="宋体" w:hAnsi="宋体"/>
          <w:sz w:val="24"/>
        </w:rPr>
      </w:pPr>
      <w:r>
        <w:rPr>
          <w:rFonts w:hint="eastAsia" w:ascii="宋体" w:hAnsi="宋体"/>
          <w:sz w:val="24"/>
        </w:rPr>
        <w:t>（5）有效的营业执照副本复印件————————</w:t>
      </w:r>
    </w:p>
    <w:p w14:paraId="23331571">
      <w:pPr>
        <w:snapToGrid w:val="0"/>
        <w:spacing w:line="360" w:lineRule="auto"/>
        <w:jc w:val="left"/>
        <w:rPr>
          <w:rFonts w:ascii="宋体" w:hAnsi="宋体" w:cs="Arial"/>
          <w:kern w:val="0"/>
          <w:sz w:val="24"/>
        </w:rPr>
      </w:pPr>
      <w:r>
        <w:rPr>
          <w:rFonts w:hint="eastAsia" w:ascii="宋体" w:hAnsi="宋体" w:cs="Arial"/>
          <w:kern w:val="0"/>
          <w:sz w:val="24"/>
        </w:rPr>
        <w:t>（6）</w:t>
      </w:r>
      <w:r>
        <w:rPr>
          <w:rFonts w:hint="eastAsia" w:ascii="宋体" w:hAnsi="宋体" w:cs="宋体"/>
          <w:sz w:val="24"/>
        </w:rPr>
        <w:t>近二年度（2022和2023年）企业的财务报表或银行资信证明复印件</w:t>
      </w:r>
      <w:r>
        <w:rPr>
          <w:rFonts w:hint="eastAsia" w:ascii="宋体" w:hAnsi="宋体"/>
          <w:sz w:val="24"/>
        </w:rPr>
        <w:t>———————</w:t>
      </w:r>
    </w:p>
    <w:p w14:paraId="7F1E02E3">
      <w:pPr>
        <w:snapToGrid w:val="0"/>
        <w:spacing w:line="360" w:lineRule="auto"/>
        <w:jc w:val="left"/>
        <w:rPr>
          <w:rFonts w:ascii="宋体" w:hAnsi="宋体"/>
          <w:sz w:val="24"/>
        </w:rPr>
      </w:pPr>
      <w:r>
        <w:rPr>
          <w:rFonts w:hint="eastAsia" w:ascii="宋体" w:hAnsi="宋体" w:cs="Arial"/>
          <w:kern w:val="0"/>
          <w:sz w:val="24"/>
        </w:rPr>
        <w:t>（7）</w:t>
      </w:r>
      <w:r>
        <w:rPr>
          <w:rFonts w:hint="eastAsia" w:ascii="宋体" w:hAnsi="宋体"/>
          <w:sz w:val="24"/>
        </w:rPr>
        <w:t>提供自招标公告发布之日起至投标截止日内任意时间的“信用中国”网站（www.creditchina.gov.cn）、中国政府采购网（www.ccgp.gov.cn）投标人信用查询网页截图————————</w:t>
      </w:r>
    </w:p>
    <w:p w14:paraId="25241B5A">
      <w:pPr>
        <w:snapToGrid w:val="0"/>
        <w:spacing w:line="360" w:lineRule="auto"/>
        <w:jc w:val="left"/>
        <w:rPr>
          <w:rFonts w:ascii="宋体" w:hAnsi="宋体"/>
          <w:sz w:val="24"/>
        </w:rPr>
      </w:pPr>
      <w:r>
        <w:rPr>
          <w:rFonts w:hint="eastAsia" w:ascii="宋体" w:hAnsi="宋体"/>
          <w:sz w:val="24"/>
        </w:rPr>
        <w:t>（8）联合体各方共同投标协议（如有，格式自拟）————————</w:t>
      </w:r>
    </w:p>
    <w:p w14:paraId="78DDC64E">
      <w:pPr>
        <w:pStyle w:val="19"/>
        <w:snapToGrid w:val="0"/>
        <w:spacing w:beforeLines="0" w:afterLines="0" w:line="360" w:lineRule="auto"/>
        <w:rPr>
          <w:rFonts w:hAnsi="宋体"/>
        </w:rPr>
      </w:pPr>
    </w:p>
    <w:p w14:paraId="287C625A">
      <w:pPr>
        <w:snapToGrid w:val="0"/>
        <w:spacing w:line="360" w:lineRule="auto"/>
        <w:jc w:val="left"/>
        <w:rPr>
          <w:rFonts w:ascii="宋体" w:hAnsi="宋体"/>
          <w:sz w:val="24"/>
          <w:szCs w:val="20"/>
        </w:rPr>
      </w:pPr>
      <w:r>
        <w:rPr>
          <w:rFonts w:ascii="宋体" w:hAnsi="宋体"/>
        </w:rPr>
        <w:br w:type="page"/>
      </w:r>
      <w:r>
        <w:rPr>
          <w:rFonts w:hint="eastAsia" w:ascii="宋体" w:hAnsi="宋体"/>
        </w:rPr>
        <w:t>3</w:t>
      </w:r>
      <w:r>
        <w:rPr>
          <w:rFonts w:hint="eastAsia" w:ascii="宋体" w:hAnsi="宋体"/>
          <w:sz w:val="24"/>
        </w:rPr>
        <w:t>.投标声明书格式：</w:t>
      </w:r>
    </w:p>
    <w:p w14:paraId="5E3C52AF">
      <w:pPr>
        <w:snapToGrid w:val="0"/>
        <w:spacing w:line="360" w:lineRule="auto"/>
        <w:jc w:val="center"/>
        <w:rPr>
          <w:rFonts w:ascii="宋体" w:hAnsi="宋体"/>
          <w:sz w:val="24"/>
          <w:szCs w:val="20"/>
        </w:rPr>
      </w:pPr>
      <w:r>
        <w:rPr>
          <w:rFonts w:hint="eastAsia" w:ascii="宋体" w:hAnsi="宋体"/>
          <w:sz w:val="30"/>
        </w:rPr>
        <w:t>投标声明书</w:t>
      </w:r>
    </w:p>
    <w:p w14:paraId="78731A6B">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14:paraId="24F801FE">
      <w:pPr>
        <w:snapToGrid w:val="0"/>
        <w:spacing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（投标人名称）系中华人民共和国合法企业，经营地址。</w:t>
      </w:r>
    </w:p>
    <w:p w14:paraId="45362F44">
      <w:pPr>
        <w:snapToGrid w:val="0"/>
        <w:spacing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hint="eastAsia" w:ascii="宋体" w:hAnsi="宋体"/>
          <w:sz w:val="24"/>
        </w:rPr>
        <w:t>项目的投标，为便于贵方公正、择优地确定中标人及其投标产品和服务，我方就本次投标有关事项郑重声明如下：</w:t>
      </w:r>
    </w:p>
    <w:p w14:paraId="2CF91651">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14:paraId="7533A9DA">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14:paraId="556AEE1F">
      <w:pPr>
        <w:snapToGrid w:val="0"/>
        <w:spacing w:line="360" w:lineRule="auto"/>
        <w:ind w:firstLine="480" w:firstLineChars="200"/>
        <w:rPr>
          <w:rFonts w:hAnsi="宋体"/>
          <w:sz w:val="24"/>
        </w:rPr>
      </w:pPr>
      <w:r>
        <w:rPr>
          <w:rFonts w:ascii="宋体" w:hAnsi="宋体"/>
          <w:sz w:val="24"/>
        </w:rPr>
        <w:t>3</w:t>
      </w:r>
      <w:r>
        <w:rPr>
          <w:rFonts w:hint="eastAsia" w:ascii="宋体" w:hAnsi="宋体"/>
          <w:sz w:val="24"/>
        </w:rPr>
        <w:t>.</w:t>
      </w:r>
      <w:r>
        <w:rPr>
          <w:rFonts w:hint="eastAsia" w:hAnsi="宋体"/>
          <w:sz w:val="24"/>
        </w:rPr>
        <w:t>我方及由本人担任法定代表人的其他机构</w:t>
      </w:r>
      <w:r>
        <w:rPr>
          <w:rFonts w:hAnsi="宋体"/>
          <w:sz w:val="24"/>
        </w:rPr>
        <w:t>最近三年内被</w:t>
      </w:r>
      <w:r>
        <w:rPr>
          <w:rFonts w:hint="eastAsia" w:hAnsi="宋体"/>
          <w:sz w:val="24"/>
        </w:rPr>
        <w:t>通报或者被处罚的</w:t>
      </w:r>
      <w:r>
        <w:rPr>
          <w:rFonts w:hAnsi="宋体"/>
          <w:sz w:val="24"/>
        </w:rPr>
        <w:t>违法行为有：</w:t>
      </w:r>
    </w:p>
    <w:p w14:paraId="179B2D5A">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14:paraId="7FD86181">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14:paraId="6E746C7C">
      <w:pPr>
        <w:snapToGrid w:val="0"/>
        <w:spacing w:line="360" w:lineRule="auto"/>
        <w:ind w:firstLine="480" w:firstLineChars="200"/>
        <w:rPr>
          <w:rFonts w:ascii="宋体" w:hAnsi="宋体"/>
          <w:sz w:val="24"/>
          <w:szCs w:val="20"/>
        </w:rPr>
      </w:pPr>
      <w:r>
        <w:rPr>
          <w:rFonts w:hint="eastAsia" w:ascii="宋体" w:hAnsi="宋体"/>
          <w:sz w:val="24"/>
        </w:rPr>
        <w:t>4.以上事项如有虚假或隐瞒，我方愿意承担一切后果，并不再寻求任何旨在减轻或免除法律责任的辩解。</w:t>
      </w:r>
    </w:p>
    <w:p w14:paraId="63F6B11F">
      <w:pPr>
        <w:pStyle w:val="87"/>
        <w:snapToGrid w:val="0"/>
        <w:spacing w:line="360" w:lineRule="auto"/>
        <w:ind w:firstLine="200"/>
        <w:rPr>
          <w:rFonts w:ascii="宋体" w:hAnsi="宋体"/>
        </w:rPr>
      </w:pPr>
    </w:p>
    <w:p w14:paraId="5A82FA8E">
      <w:pPr>
        <w:snapToGrid w:val="0"/>
        <w:spacing w:line="360" w:lineRule="auto"/>
        <w:ind w:firstLine="200"/>
        <w:rPr>
          <w:rFonts w:ascii="宋体" w:hAnsi="宋体"/>
          <w:sz w:val="24"/>
          <w:szCs w:val="20"/>
          <w:u w:val="single"/>
        </w:rPr>
      </w:pPr>
      <w:r>
        <w:rPr>
          <w:rFonts w:hint="eastAsia" w:ascii="宋体" w:hAnsi="宋体"/>
          <w:sz w:val="24"/>
        </w:rPr>
        <w:t>法定代表人签字：</w:t>
      </w:r>
    </w:p>
    <w:p w14:paraId="58EEF9E9">
      <w:pPr>
        <w:snapToGrid w:val="0"/>
        <w:spacing w:line="360" w:lineRule="auto"/>
        <w:ind w:firstLine="240" w:firstLineChars="100"/>
        <w:rPr>
          <w:rFonts w:ascii="宋体" w:hAnsi="宋体"/>
          <w:sz w:val="24"/>
        </w:rPr>
      </w:pPr>
      <w:r>
        <w:rPr>
          <w:rFonts w:hint="eastAsia" w:ascii="宋体" w:hAnsi="宋体"/>
          <w:sz w:val="24"/>
        </w:rPr>
        <w:t>投标人公章：</w:t>
      </w:r>
      <w:r>
        <w:rPr>
          <w:rFonts w:ascii="宋体" w:hAnsi="宋体"/>
          <w:sz w:val="24"/>
        </w:rPr>
        <w:t xml:space="preserve">                      年    月    日</w:t>
      </w:r>
    </w:p>
    <w:p w14:paraId="6A0170CE">
      <w:pPr>
        <w:pStyle w:val="2"/>
      </w:pPr>
    </w:p>
    <w:p w14:paraId="546D65EC">
      <w:pPr>
        <w:pStyle w:val="20"/>
      </w:pPr>
    </w:p>
    <w:p w14:paraId="12E7BB28">
      <w:pPr>
        <w:pStyle w:val="42"/>
      </w:pPr>
    </w:p>
    <w:p w14:paraId="5D999FDA">
      <w:pPr>
        <w:snapToGrid w:val="0"/>
        <w:spacing w:line="360" w:lineRule="auto"/>
        <w:rPr>
          <w:rFonts w:ascii="宋体" w:hAnsi="宋体"/>
          <w:sz w:val="24"/>
          <w:szCs w:val="20"/>
        </w:rPr>
      </w:pPr>
    </w:p>
    <w:p w14:paraId="7954F7B6">
      <w:pPr>
        <w:snapToGrid w:val="0"/>
        <w:spacing w:line="360" w:lineRule="auto"/>
        <w:rPr>
          <w:rFonts w:ascii="宋体" w:hAnsi="宋体"/>
          <w:sz w:val="24"/>
        </w:rPr>
      </w:pPr>
      <w:r>
        <w:rPr>
          <w:rFonts w:hint="eastAsia" w:ascii="宋体" w:hAnsi="宋体"/>
          <w:sz w:val="24"/>
        </w:rPr>
        <w:t>4.投标人情况介绍（格式自拟）</w:t>
      </w:r>
    </w:p>
    <w:p w14:paraId="78FA5C52">
      <w:pPr>
        <w:snapToGrid w:val="0"/>
        <w:spacing w:line="360" w:lineRule="auto"/>
        <w:rPr>
          <w:rFonts w:ascii="宋体" w:hAnsi="宋体"/>
          <w:sz w:val="24"/>
        </w:rPr>
      </w:pPr>
    </w:p>
    <w:p w14:paraId="69657A37">
      <w:pPr>
        <w:snapToGrid w:val="0"/>
        <w:spacing w:line="360" w:lineRule="auto"/>
        <w:rPr>
          <w:rFonts w:ascii="宋体" w:hAnsi="宋体"/>
          <w:sz w:val="24"/>
        </w:rPr>
      </w:pPr>
    </w:p>
    <w:p w14:paraId="334C4055">
      <w:pPr>
        <w:pStyle w:val="32"/>
      </w:pPr>
    </w:p>
    <w:p w14:paraId="3DCB5806"/>
    <w:p w14:paraId="4B470808">
      <w:pPr>
        <w:pStyle w:val="32"/>
      </w:pPr>
    </w:p>
    <w:p w14:paraId="526E1AE2">
      <w:pPr>
        <w:snapToGrid w:val="0"/>
        <w:spacing w:line="360" w:lineRule="auto"/>
        <w:rPr>
          <w:rFonts w:ascii="宋体" w:hAnsi="宋体"/>
          <w:sz w:val="24"/>
        </w:rPr>
      </w:pPr>
    </w:p>
    <w:p w14:paraId="173747AF">
      <w:pPr>
        <w:snapToGrid w:val="0"/>
        <w:spacing w:line="360" w:lineRule="auto"/>
        <w:rPr>
          <w:rFonts w:ascii="宋体" w:hAnsi="宋体"/>
          <w:sz w:val="24"/>
          <w:szCs w:val="20"/>
        </w:rPr>
      </w:pPr>
      <w:r>
        <w:rPr>
          <w:rFonts w:hint="eastAsia" w:ascii="宋体" w:hAnsi="宋体"/>
          <w:sz w:val="24"/>
        </w:rPr>
        <w:t>5.法定代表人授权委托书格式：</w:t>
      </w:r>
    </w:p>
    <w:p w14:paraId="037D79A1">
      <w:pPr>
        <w:snapToGrid w:val="0"/>
        <w:spacing w:line="360" w:lineRule="auto"/>
        <w:jc w:val="center"/>
        <w:rPr>
          <w:rFonts w:ascii="宋体" w:hAnsi="宋体"/>
          <w:b/>
          <w:sz w:val="24"/>
          <w:szCs w:val="20"/>
        </w:rPr>
      </w:pPr>
      <w:r>
        <w:rPr>
          <w:rFonts w:hint="eastAsia" w:ascii="宋体" w:hAnsi="宋体"/>
          <w:b/>
          <w:sz w:val="24"/>
        </w:rPr>
        <w:t>法定代表人授权委托书</w:t>
      </w:r>
    </w:p>
    <w:p w14:paraId="59A8E4EF">
      <w:pPr>
        <w:snapToGrid w:val="0"/>
        <w:spacing w:line="360" w:lineRule="auto"/>
        <w:rPr>
          <w:rFonts w:ascii="宋体" w:hAnsi="宋体"/>
          <w:b/>
          <w:bCs/>
          <w:sz w:val="24"/>
          <w:szCs w:val="20"/>
        </w:rPr>
      </w:pPr>
      <w:r>
        <w:rPr>
          <w:rFonts w:hint="eastAsia" w:ascii="宋体" w:hAnsi="宋体"/>
          <w:bCs/>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14:paraId="1C696A84">
      <w:pPr>
        <w:snapToGrid w:val="0"/>
        <w:spacing w:line="360" w:lineRule="auto"/>
        <w:ind w:firstLine="720" w:firstLineChars="300"/>
        <w:rPr>
          <w:rFonts w:ascii="宋体" w:hAnsi="宋体"/>
          <w:sz w:val="24"/>
          <w:szCs w:val="20"/>
        </w:rPr>
      </w:pPr>
      <w:r>
        <w:rPr>
          <w:rFonts w:hint="eastAsia" w:ascii="宋体" w:hAnsi="宋体"/>
          <w:sz w:val="24"/>
        </w:rPr>
        <w:t>我</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（投标人名称）的法定代表人，现授权委托本单位在职职工（姓名）以我方的名义参加</w:t>
      </w:r>
      <w:r>
        <w:rPr>
          <w:rFonts w:hint="eastAsia" w:ascii="宋体" w:hAnsi="宋体"/>
          <w:spacing w:val="-20"/>
          <w:sz w:val="24"/>
          <w:u w:val="single"/>
        </w:rPr>
        <w:t>南太湖新区垃圾分类数据管理平台建设项目</w:t>
      </w:r>
      <w:r>
        <w:rPr>
          <w:rFonts w:hint="eastAsia" w:ascii="宋体" w:hAnsi="宋体"/>
          <w:sz w:val="24"/>
        </w:rPr>
        <w:t>的投标活动，并代表我方全权办理针对上述项目的投标、开标、评标、签约等具体事务和签署相关文件。</w:t>
      </w:r>
    </w:p>
    <w:p w14:paraId="336F043A">
      <w:pPr>
        <w:snapToGrid w:val="0"/>
        <w:spacing w:line="360" w:lineRule="auto"/>
        <w:rPr>
          <w:rFonts w:ascii="宋体" w:hAnsi="宋体"/>
          <w:sz w:val="24"/>
          <w:szCs w:val="20"/>
        </w:rPr>
      </w:pPr>
      <w:r>
        <w:rPr>
          <w:rFonts w:hint="eastAsia" w:ascii="宋体" w:hAnsi="宋体"/>
          <w:sz w:val="24"/>
        </w:rPr>
        <w:t>我方对被授权人的签名事项负全部责任。</w:t>
      </w:r>
    </w:p>
    <w:p w14:paraId="2B0C8C70">
      <w:pPr>
        <w:snapToGrid w:val="0"/>
        <w:spacing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218D205C">
      <w:pPr>
        <w:snapToGrid w:val="0"/>
        <w:spacing w:line="360" w:lineRule="auto"/>
        <w:ind w:firstLine="480"/>
        <w:rPr>
          <w:rFonts w:ascii="宋体" w:hAnsi="宋体"/>
          <w:sz w:val="24"/>
          <w:szCs w:val="20"/>
        </w:rPr>
      </w:pPr>
      <w:r>
        <w:rPr>
          <w:rFonts w:hint="eastAsia" w:ascii="宋体" w:hAnsi="宋体"/>
          <w:sz w:val="24"/>
        </w:rPr>
        <w:t>被授权人无转委托权，特此委托。</w:t>
      </w:r>
    </w:p>
    <w:p w14:paraId="034A4C6B">
      <w:pPr>
        <w:snapToGrid w:val="0"/>
        <w:spacing w:line="360" w:lineRule="auto"/>
        <w:rPr>
          <w:rFonts w:ascii="宋体" w:hAnsi="宋体"/>
          <w:sz w:val="24"/>
          <w:szCs w:val="20"/>
        </w:rPr>
      </w:pPr>
    </w:p>
    <w:p w14:paraId="53C00F00">
      <w:pPr>
        <w:snapToGrid w:val="0"/>
        <w:spacing w:line="360" w:lineRule="auto"/>
        <w:rPr>
          <w:rFonts w:ascii="宋体" w:hAnsi="宋体"/>
          <w:sz w:val="24"/>
          <w:szCs w:val="20"/>
          <w:u w:val="single"/>
        </w:rPr>
      </w:pPr>
      <w:r>
        <w:rPr>
          <w:rFonts w:hint="eastAsia" w:ascii="宋体" w:hAnsi="宋体"/>
          <w:sz w:val="24"/>
        </w:rPr>
        <w:t>被授权人签名：法定代表人签名：</w:t>
      </w:r>
    </w:p>
    <w:p w14:paraId="766DC918">
      <w:pPr>
        <w:snapToGrid w:val="0"/>
        <w:spacing w:line="360" w:lineRule="auto"/>
        <w:ind w:firstLine="960" w:firstLineChars="400"/>
        <w:rPr>
          <w:rFonts w:ascii="宋体" w:hAnsi="宋体"/>
          <w:sz w:val="24"/>
          <w:szCs w:val="20"/>
        </w:rPr>
      </w:pPr>
      <w:r>
        <w:rPr>
          <w:rFonts w:hint="eastAsia" w:ascii="宋体" w:hAnsi="宋体"/>
          <w:sz w:val="24"/>
        </w:rPr>
        <w:t>职务：职务：</w:t>
      </w:r>
    </w:p>
    <w:p w14:paraId="40CFA0A4">
      <w:pPr>
        <w:snapToGrid w:val="0"/>
        <w:spacing w:line="360" w:lineRule="auto"/>
        <w:rPr>
          <w:rFonts w:ascii="宋体" w:hAnsi="宋体"/>
          <w:sz w:val="24"/>
          <w:szCs w:val="20"/>
        </w:rPr>
      </w:pPr>
      <w:r>
        <w:rPr>
          <w:rFonts w:hint="eastAsia" w:ascii="宋体" w:hAnsi="宋体"/>
          <w:sz w:val="24"/>
        </w:rPr>
        <w:t>被授权人身份证号码：</w:t>
      </w:r>
    </w:p>
    <w:p w14:paraId="317F3C37">
      <w:pPr>
        <w:snapToGrid w:val="0"/>
        <w:spacing w:line="360" w:lineRule="auto"/>
        <w:rPr>
          <w:rFonts w:ascii="宋体" w:hAnsi="宋体"/>
          <w:sz w:val="24"/>
        </w:rPr>
      </w:pPr>
      <w:r>
        <w:rPr>
          <w:rFonts w:hint="eastAsia" w:ascii="宋体" w:hAnsi="宋体"/>
          <w:sz w:val="24"/>
        </w:rPr>
        <w:t>投标人公章：</w:t>
      </w:r>
    </w:p>
    <w:p w14:paraId="2C0F4D51">
      <w:pPr>
        <w:pStyle w:val="10"/>
        <w:spacing w:line="360" w:lineRule="auto"/>
        <w:ind w:firstLine="374" w:firstLineChars="156"/>
        <w:rPr>
          <w:rFonts w:ascii="宋体" w:hAnsi="宋体"/>
          <w:sz w:val="24"/>
          <w:szCs w:val="24"/>
        </w:rPr>
      </w:pPr>
      <w:r>
        <w:rPr>
          <w:rFonts w:hint="eastAsia" w:ascii="宋体" w:hAnsi="宋体"/>
          <w:sz w:val="24"/>
          <w:szCs w:val="24"/>
        </w:rPr>
        <w:t>————————————————————-----------</w:t>
      </w:r>
    </w:p>
    <w:p w14:paraId="63A6228E">
      <w:pPr>
        <w:pStyle w:val="10"/>
        <w:spacing w:line="360" w:lineRule="auto"/>
        <w:ind w:firstLine="374" w:firstLineChars="156"/>
        <w:jc w:val="center"/>
        <w:rPr>
          <w:rFonts w:ascii="宋体" w:hAnsi="宋体"/>
          <w:sz w:val="24"/>
          <w:szCs w:val="24"/>
        </w:rPr>
      </w:pPr>
    </w:p>
    <w:p w14:paraId="72D3D815">
      <w:pPr>
        <w:pStyle w:val="10"/>
        <w:spacing w:line="360" w:lineRule="auto"/>
        <w:ind w:firstLine="374" w:firstLineChars="156"/>
        <w:jc w:val="center"/>
        <w:rPr>
          <w:rFonts w:ascii="宋体" w:hAnsi="宋体"/>
          <w:sz w:val="24"/>
          <w:szCs w:val="24"/>
        </w:rPr>
      </w:pPr>
      <w:r>
        <w:rPr>
          <w:rFonts w:hint="eastAsia" w:ascii="宋体" w:hAnsi="宋体"/>
          <w:sz w:val="24"/>
          <w:szCs w:val="24"/>
        </w:rPr>
        <w:t>授权代理人有效身份证明复印件粘贴处</w:t>
      </w:r>
    </w:p>
    <w:p w14:paraId="532B84DE">
      <w:pPr>
        <w:snapToGrid w:val="0"/>
        <w:spacing w:line="360" w:lineRule="auto"/>
        <w:rPr>
          <w:rFonts w:ascii="宋体" w:hAnsi="宋体"/>
          <w:sz w:val="24"/>
        </w:rPr>
      </w:pPr>
    </w:p>
    <w:p w14:paraId="2A21B7D2">
      <w:pPr>
        <w:snapToGrid w:val="0"/>
        <w:spacing w:line="360" w:lineRule="auto"/>
        <w:rPr>
          <w:rFonts w:ascii="宋体" w:hAnsi="宋体"/>
          <w:sz w:val="24"/>
        </w:rPr>
      </w:pPr>
    </w:p>
    <w:p w14:paraId="2001D4D9">
      <w:pPr>
        <w:snapToGrid w:val="0"/>
        <w:spacing w:line="360" w:lineRule="auto"/>
        <w:jc w:val="center"/>
        <w:rPr>
          <w:rFonts w:ascii="宋体" w:hAnsi="宋体"/>
          <w:sz w:val="24"/>
        </w:rPr>
      </w:pPr>
      <w:r>
        <w:rPr>
          <w:rFonts w:hint="eastAsia" w:ascii="宋体" w:hAnsi="宋体"/>
          <w:sz w:val="24"/>
        </w:rPr>
        <w:t>年月日</w:t>
      </w:r>
    </w:p>
    <w:p w14:paraId="5CC6FBDE">
      <w:pPr>
        <w:snapToGrid w:val="0"/>
        <w:spacing w:before="120" w:beforeLines="50" w:after="50"/>
        <w:rPr>
          <w:sz w:val="24"/>
        </w:rPr>
      </w:pPr>
      <w:r>
        <w:rPr>
          <w:rFonts w:hint="eastAsia"/>
          <w:sz w:val="24"/>
        </w:rPr>
        <w:t>附：</w:t>
      </w:r>
      <w:r>
        <w:rPr>
          <w:sz w:val="24"/>
        </w:rPr>
        <w:t>授权代理人社保证明复印件</w:t>
      </w:r>
      <w:r>
        <w:rPr>
          <w:rFonts w:hint="eastAsia"/>
          <w:sz w:val="24"/>
        </w:rPr>
        <w:t>（</w:t>
      </w:r>
      <w:r>
        <w:rPr>
          <w:sz w:val="24"/>
        </w:rPr>
        <w:t>社保机构出具的由本单位或分公司为其缴纳的近1个月的社保证明</w:t>
      </w:r>
      <w:r>
        <w:rPr>
          <w:rFonts w:hint="eastAsia"/>
          <w:sz w:val="24"/>
        </w:rPr>
        <w:t>）</w:t>
      </w:r>
    </w:p>
    <w:p w14:paraId="10BFCF41">
      <w:pPr>
        <w:snapToGrid w:val="0"/>
        <w:spacing w:line="360" w:lineRule="auto"/>
        <w:rPr>
          <w:rFonts w:ascii="宋体" w:hAnsi="宋体"/>
        </w:rPr>
      </w:pPr>
    </w:p>
    <w:p w14:paraId="1CFFED34">
      <w:pPr>
        <w:pStyle w:val="2"/>
      </w:pPr>
    </w:p>
    <w:p w14:paraId="4B5F8819">
      <w:pPr>
        <w:pStyle w:val="20"/>
      </w:pPr>
    </w:p>
    <w:p w14:paraId="44D9000E"/>
    <w:p w14:paraId="17A7DFF2">
      <w:pPr>
        <w:pStyle w:val="32"/>
      </w:pPr>
    </w:p>
    <w:p w14:paraId="1A761B6C"/>
    <w:p w14:paraId="6A3C9098"/>
    <w:p w14:paraId="63925252">
      <w:pPr>
        <w:snapToGrid w:val="0"/>
        <w:spacing w:line="360" w:lineRule="auto"/>
        <w:rPr>
          <w:rFonts w:ascii="宋体" w:hAnsi="宋体"/>
          <w:sz w:val="24"/>
        </w:rPr>
      </w:pPr>
    </w:p>
    <w:p w14:paraId="4DEE375F">
      <w:pPr>
        <w:snapToGrid w:val="0"/>
        <w:spacing w:line="360" w:lineRule="auto"/>
        <w:rPr>
          <w:rFonts w:ascii="宋体" w:hAnsi="宋体"/>
          <w:sz w:val="24"/>
          <w:szCs w:val="20"/>
        </w:rPr>
      </w:pPr>
      <w:r>
        <w:rPr>
          <w:rFonts w:hint="eastAsia" w:ascii="宋体" w:hAnsi="宋体"/>
          <w:sz w:val="24"/>
        </w:rPr>
        <w:t>6. 近三个月依法缴纳税收和社保费的证明【税费凭证，或者依法缴纳税费或依法免缴税费的证明】</w:t>
      </w:r>
      <w:r>
        <w:rPr>
          <w:rFonts w:hint="eastAsia" w:ascii="宋体" w:hAnsi="宋体"/>
          <w:sz w:val="24"/>
          <w:szCs w:val="20"/>
        </w:rPr>
        <w:t>（格式自拟，</w:t>
      </w:r>
      <w:r>
        <w:rPr>
          <w:rFonts w:hint="eastAsia" w:ascii="宋体" w:hAnsi="宋体"/>
          <w:bCs/>
          <w:sz w:val="24"/>
        </w:rPr>
        <w:t>复印件各一份</w:t>
      </w:r>
      <w:r>
        <w:rPr>
          <w:rFonts w:hint="eastAsia" w:ascii="宋体" w:hAnsi="宋体"/>
          <w:sz w:val="24"/>
          <w:szCs w:val="20"/>
        </w:rPr>
        <w:t>），《依法纳税或依法免税证明》原件一年内均保持有效。</w:t>
      </w:r>
    </w:p>
    <w:p w14:paraId="2D05E963">
      <w:pPr>
        <w:snapToGrid w:val="0"/>
        <w:spacing w:line="360" w:lineRule="auto"/>
        <w:rPr>
          <w:rFonts w:ascii="宋体" w:hAnsi="宋体"/>
        </w:rPr>
      </w:pPr>
    </w:p>
    <w:p w14:paraId="67C1E483">
      <w:pPr>
        <w:snapToGrid w:val="0"/>
        <w:spacing w:line="360" w:lineRule="auto"/>
        <w:rPr>
          <w:rFonts w:ascii="宋体" w:hAnsi="宋体"/>
        </w:rPr>
      </w:pPr>
    </w:p>
    <w:p w14:paraId="7F33944E">
      <w:pPr>
        <w:snapToGrid w:val="0"/>
        <w:spacing w:line="360" w:lineRule="auto"/>
        <w:rPr>
          <w:rFonts w:ascii="宋体" w:hAnsi="宋体"/>
        </w:rPr>
      </w:pPr>
    </w:p>
    <w:p w14:paraId="539B5A7D">
      <w:pPr>
        <w:snapToGrid w:val="0"/>
        <w:spacing w:line="360" w:lineRule="auto"/>
        <w:rPr>
          <w:rFonts w:ascii="宋体" w:hAnsi="宋体"/>
        </w:rPr>
      </w:pPr>
    </w:p>
    <w:p w14:paraId="51414C0D">
      <w:pPr>
        <w:snapToGrid w:val="0"/>
        <w:spacing w:line="360" w:lineRule="auto"/>
        <w:rPr>
          <w:rFonts w:ascii="宋体" w:hAnsi="宋体"/>
        </w:rPr>
      </w:pPr>
    </w:p>
    <w:p w14:paraId="6D28CF39">
      <w:pPr>
        <w:snapToGrid w:val="0"/>
        <w:spacing w:line="360" w:lineRule="auto"/>
        <w:rPr>
          <w:u w:val="single"/>
        </w:rPr>
      </w:pPr>
      <w:r>
        <w:rPr>
          <w:rFonts w:hint="eastAsia" w:ascii="宋体" w:hAnsi="宋体"/>
          <w:sz w:val="24"/>
        </w:rPr>
        <w:t>7.有效</w:t>
      </w:r>
      <w:r>
        <w:rPr>
          <w:rFonts w:hint="eastAsia" w:ascii="宋体" w:hAnsi="宋体" w:cs="宋体"/>
          <w:sz w:val="24"/>
        </w:rPr>
        <w:t>的营业执照副本</w:t>
      </w:r>
      <w:r>
        <w:rPr>
          <w:rFonts w:hint="eastAsia" w:ascii="宋体" w:hAnsi="宋体"/>
          <w:sz w:val="24"/>
        </w:rPr>
        <w:t>复印件</w:t>
      </w:r>
    </w:p>
    <w:p w14:paraId="28E9CA49">
      <w:pPr>
        <w:snapToGrid w:val="0"/>
        <w:spacing w:line="360" w:lineRule="auto"/>
        <w:jc w:val="left"/>
        <w:rPr>
          <w:rFonts w:ascii="宋体" w:hAnsi="宋体"/>
          <w:sz w:val="24"/>
          <w:szCs w:val="20"/>
        </w:rPr>
      </w:pPr>
    </w:p>
    <w:p w14:paraId="6DF550F2">
      <w:pPr>
        <w:snapToGrid w:val="0"/>
        <w:spacing w:line="360" w:lineRule="auto"/>
        <w:jc w:val="left"/>
        <w:rPr>
          <w:rFonts w:ascii="宋体" w:hAnsi="宋体"/>
          <w:sz w:val="24"/>
        </w:rPr>
      </w:pPr>
    </w:p>
    <w:p w14:paraId="09DD9A48">
      <w:pPr>
        <w:snapToGrid w:val="0"/>
        <w:spacing w:line="360" w:lineRule="auto"/>
        <w:jc w:val="left"/>
        <w:rPr>
          <w:rFonts w:ascii="宋体" w:hAnsi="宋体"/>
          <w:sz w:val="24"/>
        </w:rPr>
      </w:pPr>
    </w:p>
    <w:p w14:paraId="2CE5C3F4">
      <w:pPr>
        <w:snapToGrid w:val="0"/>
        <w:spacing w:line="360" w:lineRule="auto"/>
        <w:jc w:val="left"/>
        <w:rPr>
          <w:rFonts w:ascii="宋体" w:hAnsi="宋体"/>
          <w:sz w:val="24"/>
        </w:rPr>
      </w:pPr>
    </w:p>
    <w:p w14:paraId="4B4E90CA">
      <w:pPr>
        <w:snapToGrid w:val="0"/>
        <w:spacing w:line="360" w:lineRule="auto"/>
        <w:jc w:val="left"/>
        <w:rPr>
          <w:rFonts w:ascii="宋体" w:hAnsi="宋体"/>
          <w:sz w:val="24"/>
        </w:rPr>
      </w:pPr>
    </w:p>
    <w:p w14:paraId="0F9A7B36">
      <w:pPr>
        <w:snapToGrid w:val="0"/>
        <w:spacing w:line="360" w:lineRule="auto"/>
        <w:jc w:val="left"/>
        <w:rPr>
          <w:rFonts w:ascii="宋体" w:hAnsi="宋体"/>
          <w:sz w:val="24"/>
        </w:rPr>
      </w:pPr>
      <w:r>
        <w:rPr>
          <w:rFonts w:hint="eastAsia" w:ascii="宋体" w:hAnsi="宋体" w:cs="宋体"/>
          <w:sz w:val="24"/>
        </w:rPr>
        <w:t>8.近二年度（2022和2023年）企业的财务报表或银行资信证明</w:t>
      </w:r>
      <w:r>
        <w:rPr>
          <w:rFonts w:hint="eastAsia" w:ascii="宋体" w:hAnsi="宋体"/>
          <w:sz w:val="24"/>
        </w:rPr>
        <w:t>复印件</w:t>
      </w:r>
    </w:p>
    <w:p w14:paraId="0DF3742A">
      <w:pPr>
        <w:snapToGrid w:val="0"/>
        <w:spacing w:line="360" w:lineRule="auto"/>
        <w:jc w:val="left"/>
        <w:rPr>
          <w:rFonts w:ascii="宋体" w:hAnsi="宋体"/>
          <w:sz w:val="24"/>
        </w:rPr>
      </w:pPr>
    </w:p>
    <w:p w14:paraId="5FCC0DDA">
      <w:pPr>
        <w:snapToGrid w:val="0"/>
        <w:spacing w:line="360" w:lineRule="auto"/>
        <w:jc w:val="left"/>
        <w:rPr>
          <w:rFonts w:ascii="宋体" w:hAnsi="宋体"/>
          <w:sz w:val="24"/>
        </w:rPr>
      </w:pPr>
    </w:p>
    <w:p w14:paraId="029E810A">
      <w:pPr>
        <w:snapToGrid w:val="0"/>
        <w:spacing w:line="360" w:lineRule="auto"/>
        <w:jc w:val="left"/>
        <w:rPr>
          <w:rFonts w:ascii="宋体" w:hAnsi="宋体"/>
          <w:sz w:val="24"/>
        </w:rPr>
      </w:pPr>
    </w:p>
    <w:p w14:paraId="38D5FDE4">
      <w:pPr>
        <w:snapToGrid w:val="0"/>
        <w:spacing w:line="360" w:lineRule="auto"/>
        <w:jc w:val="left"/>
        <w:rPr>
          <w:rFonts w:ascii="宋体" w:hAnsi="宋体"/>
          <w:sz w:val="24"/>
        </w:rPr>
      </w:pPr>
    </w:p>
    <w:p w14:paraId="02AE0912">
      <w:pPr>
        <w:snapToGrid w:val="0"/>
        <w:spacing w:line="360" w:lineRule="auto"/>
        <w:jc w:val="left"/>
        <w:rPr>
          <w:rFonts w:ascii="宋体" w:hAnsi="宋体"/>
          <w:sz w:val="24"/>
        </w:rPr>
      </w:pPr>
    </w:p>
    <w:p w14:paraId="66051383">
      <w:pPr>
        <w:snapToGrid w:val="0"/>
        <w:spacing w:line="360" w:lineRule="auto"/>
        <w:jc w:val="left"/>
        <w:rPr>
          <w:rFonts w:ascii="宋体" w:hAnsi="宋体"/>
          <w:sz w:val="24"/>
        </w:rPr>
      </w:pPr>
      <w:r>
        <w:rPr>
          <w:rFonts w:hint="eastAsia" w:ascii="宋体" w:hAnsi="宋体"/>
          <w:sz w:val="24"/>
        </w:rPr>
        <w:t>9. 提供自招标公告发布之日起至投标截止日内任意时间的“信用中国”网站（www.creditchina.gov.cn）、中国政府采购网（www.ccgp.gov.cn）投标人信用查询网页截图</w:t>
      </w:r>
    </w:p>
    <w:p w14:paraId="26AAF09E">
      <w:pPr>
        <w:snapToGrid w:val="0"/>
        <w:spacing w:line="360" w:lineRule="auto"/>
        <w:jc w:val="left"/>
        <w:rPr>
          <w:rFonts w:ascii="宋体" w:hAnsi="宋体"/>
          <w:sz w:val="24"/>
        </w:rPr>
      </w:pPr>
    </w:p>
    <w:p w14:paraId="23A5FCBF">
      <w:pPr>
        <w:snapToGrid w:val="0"/>
        <w:spacing w:line="360" w:lineRule="auto"/>
        <w:jc w:val="left"/>
        <w:rPr>
          <w:rFonts w:ascii="宋体" w:hAnsi="宋体"/>
          <w:sz w:val="24"/>
        </w:rPr>
      </w:pPr>
    </w:p>
    <w:p w14:paraId="5A743EA2">
      <w:pPr>
        <w:pStyle w:val="2"/>
      </w:pPr>
    </w:p>
    <w:p w14:paraId="732D4534">
      <w:pPr>
        <w:pStyle w:val="20"/>
      </w:pPr>
    </w:p>
    <w:p w14:paraId="657D83D9">
      <w:pPr>
        <w:pStyle w:val="20"/>
      </w:pPr>
    </w:p>
    <w:p w14:paraId="7B4A4F73">
      <w:pPr>
        <w:snapToGrid w:val="0"/>
        <w:spacing w:line="360" w:lineRule="auto"/>
        <w:jc w:val="left"/>
        <w:rPr>
          <w:rFonts w:ascii="宋体" w:hAnsi="宋体"/>
          <w:sz w:val="24"/>
        </w:rPr>
      </w:pPr>
      <w:r>
        <w:rPr>
          <w:rFonts w:hint="eastAsia" w:ascii="宋体" w:hAnsi="宋体"/>
          <w:sz w:val="24"/>
        </w:rPr>
        <w:t>10.联合体各方共同投标协议（如有，格式自拟）————————</w:t>
      </w:r>
    </w:p>
    <w:p w14:paraId="602D8742"/>
    <w:p w14:paraId="7793E0A4">
      <w:pPr>
        <w:pStyle w:val="42"/>
      </w:pPr>
    </w:p>
    <w:p w14:paraId="4C6F55F7">
      <w:pPr>
        <w:pStyle w:val="43"/>
      </w:pPr>
    </w:p>
    <w:p w14:paraId="24E4D068"/>
    <w:p w14:paraId="55BC1C71">
      <w:pPr>
        <w:snapToGrid w:val="0"/>
        <w:spacing w:line="360" w:lineRule="auto"/>
        <w:jc w:val="center"/>
        <w:outlineLvl w:val="1"/>
        <w:rPr>
          <w:rFonts w:ascii="宋体" w:hAnsi="宋体"/>
          <w:b/>
          <w:bCs/>
          <w:sz w:val="24"/>
        </w:rPr>
      </w:pPr>
      <w:r>
        <w:rPr>
          <w:rFonts w:hint="eastAsia" w:ascii="宋体" w:hAnsi="宋体"/>
          <w:b/>
          <w:bCs/>
          <w:sz w:val="24"/>
        </w:rPr>
        <w:t>二、技术/资信/商务文件格式</w:t>
      </w:r>
    </w:p>
    <w:p w14:paraId="06DD1594">
      <w:pPr>
        <w:snapToGrid w:val="0"/>
        <w:spacing w:line="360" w:lineRule="auto"/>
        <w:jc w:val="center"/>
        <w:rPr>
          <w:rFonts w:ascii="宋体" w:hAnsi="宋体"/>
          <w:sz w:val="24"/>
          <w:szCs w:val="20"/>
        </w:rPr>
      </w:pPr>
    </w:p>
    <w:p w14:paraId="131177F2">
      <w:pPr>
        <w:snapToGrid w:val="0"/>
        <w:spacing w:line="360" w:lineRule="auto"/>
        <w:rPr>
          <w:rFonts w:ascii="宋体" w:hAnsi="宋体"/>
          <w:sz w:val="24"/>
          <w:szCs w:val="20"/>
        </w:rPr>
      </w:pPr>
      <w:r>
        <w:rPr>
          <w:rFonts w:hint="eastAsia" w:ascii="宋体" w:hAnsi="宋体"/>
          <w:sz w:val="24"/>
        </w:rPr>
        <w:t>11.技术/资信/商务文件封面格式：</w:t>
      </w:r>
    </w:p>
    <w:p w14:paraId="3E8CCF0A">
      <w:pPr>
        <w:snapToGrid w:val="0"/>
        <w:spacing w:line="360" w:lineRule="auto"/>
        <w:jc w:val="center"/>
        <w:rPr>
          <w:rFonts w:ascii="宋体" w:hAnsi="宋体"/>
          <w:bCs/>
          <w:sz w:val="24"/>
          <w:szCs w:val="20"/>
        </w:rPr>
      </w:pPr>
    </w:p>
    <w:p w14:paraId="04B28E89">
      <w:pPr>
        <w:snapToGrid w:val="0"/>
        <w:spacing w:line="360" w:lineRule="auto"/>
        <w:jc w:val="center"/>
        <w:rPr>
          <w:rFonts w:ascii="宋体" w:hAnsi="宋体"/>
          <w:bCs/>
          <w:sz w:val="24"/>
          <w:szCs w:val="20"/>
        </w:rPr>
      </w:pPr>
      <w:r>
        <w:rPr>
          <w:rFonts w:hint="eastAsia" w:ascii="宋体" w:hAnsi="宋体"/>
          <w:bCs/>
          <w:sz w:val="24"/>
        </w:rPr>
        <w:t>技术/资信/商务文件</w:t>
      </w:r>
    </w:p>
    <w:p w14:paraId="7E45EC87">
      <w:pPr>
        <w:snapToGrid w:val="0"/>
        <w:spacing w:line="360" w:lineRule="auto"/>
        <w:rPr>
          <w:rFonts w:ascii="宋体" w:hAnsi="宋体"/>
          <w:bCs/>
          <w:sz w:val="24"/>
          <w:szCs w:val="20"/>
        </w:rPr>
      </w:pPr>
    </w:p>
    <w:p w14:paraId="42DFD4FA">
      <w:pPr>
        <w:snapToGrid w:val="0"/>
        <w:spacing w:line="360" w:lineRule="auto"/>
        <w:ind w:firstLine="960" w:firstLineChars="400"/>
        <w:rPr>
          <w:rFonts w:ascii="宋体" w:hAnsi="宋体"/>
          <w:spacing w:val="-20"/>
          <w:sz w:val="24"/>
        </w:rPr>
      </w:pPr>
      <w:r>
        <w:rPr>
          <w:rFonts w:hint="eastAsia" w:ascii="宋体" w:hAnsi="宋体"/>
          <w:bCs/>
          <w:sz w:val="24"/>
        </w:rPr>
        <w:t>项目名称：</w:t>
      </w:r>
      <w:r>
        <w:rPr>
          <w:rFonts w:hint="eastAsia" w:ascii="宋体" w:hAnsi="宋体"/>
          <w:spacing w:val="-20"/>
          <w:sz w:val="24"/>
        </w:rPr>
        <w:t>南太湖新区垃圾分类数据管理平台建设项目</w:t>
      </w:r>
    </w:p>
    <w:p w14:paraId="7CB85616">
      <w:pPr>
        <w:pStyle w:val="10"/>
        <w:snapToGrid w:val="0"/>
        <w:spacing w:line="360" w:lineRule="auto"/>
        <w:ind w:firstLine="998" w:firstLineChars="416"/>
        <w:rPr>
          <w:rFonts w:ascii="宋体" w:hAnsi="宋体"/>
          <w:sz w:val="24"/>
        </w:rPr>
      </w:pPr>
      <w:r>
        <w:rPr>
          <w:rFonts w:hint="eastAsia" w:ascii="宋体" w:hAnsi="宋体"/>
          <w:bCs/>
          <w:sz w:val="24"/>
        </w:rPr>
        <w:t>项目编号：</w:t>
      </w:r>
      <w:r>
        <w:rPr>
          <w:rFonts w:hint="eastAsia" w:ascii="宋体" w:hAnsi="宋体"/>
          <w:sz w:val="24"/>
        </w:rPr>
        <w:t>HYHZ2024-154</w:t>
      </w:r>
    </w:p>
    <w:p w14:paraId="297133E2">
      <w:pPr>
        <w:pStyle w:val="10"/>
        <w:snapToGrid w:val="0"/>
        <w:spacing w:line="360" w:lineRule="auto"/>
        <w:ind w:firstLine="998" w:firstLineChars="416"/>
        <w:rPr>
          <w:rFonts w:ascii="宋体" w:hAnsi="宋体"/>
          <w:bCs/>
          <w:sz w:val="24"/>
          <w:szCs w:val="24"/>
        </w:rPr>
      </w:pPr>
      <w:r>
        <w:rPr>
          <w:rFonts w:hint="eastAsia" w:ascii="宋体" w:hAnsi="宋体"/>
          <w:bCs/>
          <w:sz w:val="24"/>
          <w:szCs w:val="24"/>
        </w:rPr>
        <w:t>投标人名称：</w:t>
      </w:r>
    </w:p>
    <w:p w14:paraId="751F46D8">
      <w:pPr>
        <w:pStyle w:val="10"/>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14:paraId="6DD077BF">
      <w:pPr>
        <w:pStyle w:val="10"/>
        <w:snapToGrid w:val="0"/>
        <w:spacing w:line="360" w:lineRule="auto"/>
        <w:ind w:firstLine="960" w:firstLineChars="400"/>
        <w:rPr>
          <w:rFonts w:ascii="宋体" w:hAnsi="宋体"/>
          <w:bCs/>
          <w:sz w:val="24"/>
          <w:szCs w:val="24"/>
        </w:rPr>
      </w:pPr>
    </w:p>
    <w:p w14:paraId="647565F1">
      <w:pPr>
        <w:snapToGrid w:val="0"/>
        <w:spacing w:line="360" w:lineRule="auto"/>
        <w:ind w:firstLine="4080" w:firstLineChars="1700"/>
        <w:rPr>
          <w:rFonts w:ascii="宋体" w:hAnsi="宋体"/>
          <w:sz w:val="24"/>
          <w:szCs w:val="20"/>
        </w:rPr>
      </w:pPr>
    </w:p>
    <w:p w14:paraId="2C25C0C8">
      <w:pPr>
        <w:pStyle w:val="32"/>
      </w:pPr>
    </w:p>
    <w:p w14:paraId="0B1B7C87">
      <w:pPr>
        <w:snapToGrid w:val="0"/>
        <w:spacing w:line="360" w:lineRule="auto"/>
        <w:ind w:firstLine="645"/>
        <w:jc w:val="center"/>
        <w:rPr>
          <w:rFonts w:ascii="宋体" w:hAnsi="宋体"/>
          <w:sz w:val="24"/>
        </w:rPr>
      </w:pPr>
      <w:r>
        <w:rPr>
          <w:rFonts w:hint="eastAsia" w:ascii="宋体" w:hAnsi="宋体"/>
          <w:sz w:val="24"/>
        </w:rPr>
        <w:t>年月日</w:t>
      </w:r>
    </w:p>
    <w:p w14:paraId="7D574566">
      <w:pPr>
        <w:snapToGrid w:val="0"/>
        <w:spacing w:line="360" w:lineRule="auto"/>
        <w:ind w:firstLine="645"/>
        <w:jc w:val="center"/>
        <w:rPr>
          <w:rFonts w:ascii="宋体" w:hAnsi="宋体"/>
          <w:sz w:val="24"/>
        </w:rPr>
      </w:pPr>
    </w:p>
    <w:p w14:paraId="15A17C9A">
      <w:pPr>
        <w:pStyle w:val="20"/>
      </w:pPr>
    </w:p>
    <w:p w14:paraId="6098B887"/>
    <w:p w14:paraId="6426FBC5">
      <w:pPr>
        <w:snapToGrid w:val="0"/>
        <w:spacing w:line="360" w:lineRule="auto"/>
        <w:rPr>
          <w:rFonts w:ascii="宋体" w:hAnsi="宋体"/>
          <w:sz w:val="24"/>
        </w:rPr>
      </w:pPr>
      <w:r>
        <w:rPr>
          <w:rFonts w:hint="eastAsia" w:ascii="宋体" w:hAnsi="宋体"/>
          <w:sz w:val="24"/>
        </w:rPr>
        <w:t>12.</w:t>
      </w:r>
      <w:r>
        <w:rPr>
          <w:rFonts w:hint="eastAsia" w:ascii="宋体" w:hAnsi="宋体"/>
          <w:b/>
          <w:bCs/>
          <w:sz w:val="24"/>
        </w:rPr>
        <w:t>技术/资信/商务文件目录</w:t>
      </w:r>
    </w:p>
    <w:p w14:paraId="34634044">
      <w:pPr>
        <w:snapToGrid w:val="0"/>
        <w:spacing w:line="360" w:lineRule="auto"/>
        <w:rPr>
          <w:rFonts w:ascii="宋体" w:hAnsi="宋体"/>
          <w:sz w:val="24"/>
        </w:rPr>
      </w:pPr>
      <w:r>
        <w:rPr>
          <w:rFonts w:hint="eastAsia" w:ascii="宋体" w:hAnsi="宋体"/>
          <w:sz w:val="24"/>
        </w:rPr>
        <w:t>技术：</w:t>
      </w:r>
    </w:p>
    <w:p w14:paraId="5F9EE1FC">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）对本项目的理解————————（页码）</w:t>
      </w:r>
    </w:p>
    <w:p w14:paraId="608AB4C4">
      <w:pPr>
        <w:snapToGrid w:val="0"/>
        <w:spacing w:line="360" w:lineRule="auto"/>
        <w:jc w:val="left"/>
        <w:rPr>
          <w:rFonts w:ascii="宋体" w:hAnsi="宋体"/>
          <w:sz w:val="24"/>
          <w:szCs w:val="20"/>
        </w:rPr>
      </w:pPr>
      <w:r>
        <w:rPr>
          <w:rFonts w:hint="eastAsia" w:ascii="宋体" w:hAnsi="宋体"/>
          <w:sz w:val="24"/>
        </w:rPr>
        <w:t>（2）项目实施方案————————</w:t>
      </w:r>
    </w:p>
    <w:p w14:paraId="4DC6BABB">
      <w:pPr>
        <w:snapToGrid w:val="0"/>
        <w:spacing w:line="360" w:lineRule="auto"/>
        <w:jc w:val="left"/>
        <w:rPr>
          <w:rFonts w:ascii="宋体" w:hAnsi="宋体"/>
          <w:sz w:val="24"/>
          <w:szCs w:val="20"/>
        </w:rPr>
      </w:pPr>
      <w:r>
        <w:rPr>
          <w:rFonts w:hint="eastAsia" w:ascii="宋体" w:hAnsi="宋体"/>
          <w:sz w:val="24"/>
        </w:rPr>
        <w:t>（3）</w:t>
      </w:r>
      <w:r>
        <w:rPr>
          <w:rFonts w:hint="eastAsia" w:ascii="宋体" w:hAnsi="宋体" w:cs="宋体"/>
          <w:sz w:val="24"/>
        </w:rPr>
        <w:t>保证工期的方案和措施</w:t>
      </w:r>
      <w:r>
        <w:rPr>
          <w:rFonts w:hint="eastAsia" w:ascii="宋体" w:hAnsi="宋体"/>
          <w:sz w:val="24"/>
        </w:rPr>
        <w:t>————————</w:t>
      </w:r>
    </w:p>
    <w:p w14:paraId="0B7F480E">
      <w:pPr>
        <w:snapToGrid w:val="0"/>
        <w:spacing w:line="360" w:lineRule="auto"/>
        <w:jc w:val="left"/>
        <w:rPr>
          <w:rFonts w:ascii="宋体" w:hAnsi="宋体"/>
          <w:sz w:val="24"/>
        </w:rPr>
      </w:pPr>
      <w:r>
        <w:rPr>
          <w:rFonts w:hint="eastAsia" w:ascii="宋体" w:hAnsi="宋体"/>
          <w:sz w:val="24"/>
        </w:rPr>
        <w:t>（4）</w:t>
      </w:r>
      <w:r>
        <w:rPr>
          <w:rFonts w:hint="eastAsia" w:ascii="宋体" w:hAnsi="宋体" w:cs="宋体"/>
          <w:sz w:val="24"/>
        </w:rPr>
        <w:t>项目质量保障方案</w:t>
      </w:r>
      <w:r>
        <w:rPr>
          <w:rFonts w:hint="eastAsia" w:ascii="宋体" w:hAnsi="宋体"/>
          <w:sz w:val="24"/>
        </w:rPr>
        <w:t>————————</w:t>
      </w:r>
    </w:p>
    <w:p w14:paraId="255A6137">
      <w:pPr>
        <w:snapToGrid w:val="0"/>
        <w:spacing w:line="360" w:lineRule="auto"/>
        <w:jc w:val="left"/>
        <w:rPr>
          <w:rFonts w:ascii="宋体" w:hAnsi="宋体"/>
          <w:sz w:val="24"/>
        </w:rPr>
      </w:pPr>
      <w:r>
        <w:rPr>
          <w:rFonts w:hint="eastAsia" w:ascii="宋体" w:hAnsi="宋体"/>
          <w:sz w:val="24"/>
        </w:rPr>
        <w:t>（5）</w:t>
      </w:r>
      <w:r>
        <w:rPr>
          <w:rFonts w:hAnsi="宋体" w:cs="宋体"/>
          <w:sz w:val="24"/>
        </w:rPr>
        <w:t>上线运行、调试、验收方案和措施</w:t>
      </w:r>
      <w:r>
        <w:rPr>
          <w:rFonts w:hint="eastAsia" w:ascii="宋体" w:hAnsi="宋体"/>
          <w:sz w:val="24"/>
        </w:rPr>
        <w:t>————————</w:t>
      </w:r>
    </w:p>
    <w:p w14:paraId="5C11CBD1">
      <w:pPr>
        <w:snapToGrid w:val="0"/>
        <w:spacing w:line="360" w:lineRule="auto"/>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w:t>
      </w:r>
      <w:r>
        <w:rPr>
          <w:rFonts w:hint="eastAsia" w:hAnsi="宋体" w:cs="宋体"/>
          <w:sz w:val="24"/>
        </w:rPr>
        <w:t>应急处理预案</w:t>
      </w:r>
      <w:r>
        <w:rPr>
          <w:rFonts w:hint="eastAsia" w:ascii="宋体" w:hAnsi="宋体"/>
          <w:sz w:val="24"/>
        </w:rPr>
        <w:t>————————</w:t>
      </w:r>
    </w:p>
    <w:p w14:paraId="4283F01C">
      <w:pPr>
        <w:snapToGrid w:val="0"/>
        <w:spacing w:line="360" w:lineRule="auto"/>
        <w:jc w:val="left"/>
        <w:rPr>
          <w:rFonts w:ascii="宋体" w:hAnsi="宋体"/>
          <w:sz w:val="24"/>
        </w:rPr>
      </w:pPr>
      <w:r>
        <w:rPr>
          <w:rFonts w:hint="eastAsia" w:ascii="宋体" w:hAnsi="宋体"/>
          <w:sz w:val="24"/>
        </w:rPr>
        <w:t>（7）技术响应表————————</w:t>
      </w:r>
    </w:p>
    <w:p w14:paraId="2943A826">
      <w:pPr>
        <w:snapToGrid w:val="0"/>
        <w:spacing w:line="360" w:lineRule="auto"/>
        <w:jc w:val="left"/>
        <w:rPr>
          <w:rFonts w:ascii="宋体" w:hAnsi="宋体"/>
          <w:sz w:val="24"/>
        </w:rPr>
      </w:pPr>
      <w:r>
        <w:rPr>
          <w:rFonts w:hint="eastAsia" w:ascii="宋体" w:hAnsi="宋体"/>
          <w:sz w:val="24"/>
        </w:rPr>
        <w:t>（8）项目实施人员一览表————————</w:t>
      </w:r>
    </w:p>
    <w:p w14:paraId="648FD729">
      <w:pPr>
        <w:snapToGrid w:val="0"/>
        <w:spacing w:line="360" w:lineRule="auto"/>
        <w:jc w:val="left"/>
        <w:rPr>
          <w:rFonts w:ascii="宋体" w:hAnsi="宋体"/>
          <w:sz w:val="24"/>
        </w:rPr>
      </w:pPr>
      <w:r>
        <w:rPr>
          <w:rFonts w:hint="eastAsia" w:ascii="宋体" w:hAnsi="宋体"/>
          <w:sz w:val="24"/>
        </w:rPr>
        <w:t>（9）投标人对本项目的合理化建议和改进措施————————</w:t>
      </w:r>
    </w:p>
    <w:p w14:paraId="51EA2ECD">
      <w:pPr>
        <w:snapToGrid w:val="0"/>
        <w:spacing w:line="360" w:lineRule="auto"/>
        <w:jc w:val="left"/>
        <w:rPr>
          <w:rFonts w:ascii="宋体" w:hAnsi="宋体"/>
          <w:sz w:val="24"/>
        </w:rPr>
      </w:pPr>
      <w:r>
        <w:rPr>
          <w:rFonts w:hint="eastAsia" w:ascii="宋体" w:hAnsi="宋体"/>
          <w:sz w:val="24"/>
        </w:rPr>
        <w:t>（10）投标人需要说明的其他文件和说明————————</w:t>
      </w:r>
    </w:p>
    <w:p w14:paraId="2884DFC6">
      <w:pPr>
        <w:snapToGrid w:val="0"/>
        <w:spacing w:line="360" w:lineRule="auto"/>
        <w:rPr>
          <w:rFonts w:ascii="宋体" w:hAnsi="宋体"/>
          <w:sz w:val="24"/>
        </w:rPr>
      </w:pPr>
      <w:r>
        <w:rPr>
          <w:rFonts w:hint="eastAsia" w:ascii="宋体" w:hAnsi="宋体"/>
          <w:sz w:val="24"/>
        </w:rPr>
        <w:t>资信：</w:t>
      </w:r>
    </w:p>
    <w:p w14:paraId="408FB6DC">
      <w:pPr>
        <w:snapToGrid w:val="0"/>
        <w:spacing w:line="360" w:lineRule="auto"/>
        <w:jc w:val="left"/>
        <w:rPr>
          <w:rFonts w:ascii="宋体" w:hAnsi="宋体"/>
          <w:sz w:val="24"/>
          <w:szCs w:val="20"/>
        </w:rPr>
      </w:pPr>
      <w:r>
        <w:rPr>
          <w:rFonts w:hint="eastAsia" w:ascii="宋体" w:hAnsi="宋体"/>
          <w:sz w:val="24"/>
        </w:rPr>
        <w:t>（11）类似成功案例的业绩证明（投标人同类项目实施情况一览表、合同复印件）————————</w:t>
      </w:r>
    </w:p>
    <w:p w14:paraId="6A69D385">
      <w:pPr>
        <w:snapToGrid w:val="0"/>
        <w:spacing w:line="360" w:lineRule="auto"/>
        <w:jc w:val="left"/>
        <w:rPr>
          <w:rFonts w:ascii="宋体" w:hAnsi="宋体"/>
          <w:sz w:val="24"/>
        </w:rPr>
      </w:pPr>
      <w:r>
        <w:rPr>
          <w:rFonts w:hint="eastAsia" w:ascii="宋体" w:hAnsi="宋体"/>
          <w:sz w:val="24"/>
        </w:rPr>
        <w:t>（12）权威认证证书————————</w:t>
      </w:r>
    </w:p>
    <w:p w14:paraId="7EDDCE8B">
      <w:pPr>
        <w:snapToGrid w:val="0"/>
        <w:spacing w:line="360" w:lineRule="auto"/>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3）其他特殊资质证书</w:t>
      </w:r>
      <w:r>
        <w:rPr>
          <w:rFonts w:ascii="宋体" w:hAnsi="宋体"/>
          <w:sz w:val="24"/>
        </w:rPr>
        <w:t>（如</w:t>
      </w:r>
      <w:r>
        <w:rPr>
          <w:rFonts w:hint="eastAsia" w:ascii="宋体" w:hAnsi="宋体"/>
          <w:sz w:val="24"/>
        </w:rPr>
        <w:t>本地化服务能力等）（格式可自拟）—————</w:t>
      </w:r>
    </w:p>
    <w:p w14:paraId="553C1B7C">
      <w:pPr>
        <w:snapToGrid w:val="0"/>
        <w:spacing w:line="360" w:lineRule="auto"/>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4）投标人认为可以证明其能力或业绩的其他材料————————</w:t>
      </w:r>
    </w:p>
    <w:p w14:paraId="4A4440FC">
      <w:pPr>
        <w:snapToGrid w:val="0"/>
        <w:spacing w:line="360" w:lineRule="auto"/>
        <w:rPr>
          <w:rFonts w:ascii="宋体" w:hAnsi="宋体"/>
          <w:sz w:val="24"/>
        </w:rPr>
      </w:pPr>
      <w:r>
        <w:rPr>
          <w:rFonts w:hint="eastAsia" w:ascii="宋体" w:hAnsi="宋体"/>
          <w:sz w:val="24"/>
        </w:rPr>
        <w:t>商务：</w:t>
      </w:r>
    </w:p>
    <w:p w14:paraId="3E712474">
      <w:pPr>
        <w:snapToGrid w:val="0"/>
        <w:spacing w:line="360" w:lineRule="auto"/>
        <w:jc w:val="left"/>
        <w:rPr>
          <w:rFonts w:ascii="宋体" w:hAnsi="宋体"/>
          <w:sz w:val="24"/>
        </w:rPr>
      </w:pPr>
      <w:r>
        <w:rPr>
          <w:rFonts w:hint="eastAsia" w:ascii="宋体" w:hAnsi="宋体"/>
          <w:sz w:val="24"/>
        </w:rPr>
        <w:t>（15）商务响应表————————</w:t>
      </w:r>
    </w:p>
    <w:p w14:paraId="08E05FC6">
      <w:pPr>
        <w:snapToGrid w:val="0"/>
        <w:spacing w:line="360" w:lineRule="auto"/>
        <w:jc w:val="left"/>
        <w:rPr>
          <w:rFonts w:ascii="宋体" w:hAnsi="宋体"/>
          <w:sz w:val="24"/>
        </w:rPr>
      </w:pPr>
      <w:r>
        <w:rPr>
          <w:rFonts w:hint="eastAsia" w:ascii="宋体" w:hAnsi="宋体"/>
          <w:sz w:val="24"/>
        </w:rPr>
        <w:t>（16）</w:t>
      </w:r>
      <w:r>
        <w:rPr>
          <w:rFonts w:ascii="宋体" w:hAnsi="宋体"/>
          <w:sz w:val="24"/>
        </w:rPr>
        <w:t>服务承诺</w:t>
      </w:r>
      <w:r>
        <w:rPr>
          <w:rFonts w:hint="eastAsia" w:ascii="宋体" w:hAnsi="宋体"/>
          <w:sz w:val="24"/>
        </w:rPr>
        <w:t>————————</w:t>
      </w:r>
    </w:p>
    <w:p w14:paraId="0EB7881D">
      <w:pPr>
        <w:snapToGrid w:val="0"/>
        <w:spacing w:line="360" w:lineRule="auto"/>
        <w:jc w:val="left"/>
        <w:rPr>
          <w:rFonts w:ascii="宋体" w:hAnsi="宋体"/>
          <w:sz w:val="24"/>
        </w:rPr>
      </w:pPr>
      <w:r>
        <w:rPr>
          <w:rFonts w:hint="eastAsia" w:ascii="宋体" w:hAnsi="宋体"/>
          <w:sz w:val="24"/>
        </w:rPr>
        <w:t>（17）培训方案————————</w:t>
      </w:r>
    </w:p>
    <w:p w14:paraId="00920472">
      <w:pPr>
        <w:snapToGrid w:val="0"/>
        <w:spacing w:line="360" w:lineRule="auto"/>
        <w:jc w:val="left"/>
        <w:rPr>
          <w:rFonts w:ascii="宋体" w:hAnsi="宋体"/>
          <w:sz w:val="24"/>
        </w:rPr>
      </w:pPr>
      <w:r>
        <w:rPr>
          <w:rFonts w:hint="eastAsia" w:ascii="宋体" w:hAnsi="宋体"/>
          <w:sz w:val="24"/>
        </w:rPr>
        <w:t>（18）</w:t>
      </w:r>
      <w:r>
        <w:rPr>
          <w:rFonts w:ascii="宋体" w:hAnsi="宋体"/>
          <w:sz w:val="24"/>
        </w:rPr>
        <w:t>响应时间</w:t>
      </w:r>
      <w:r>
        <w:rPr>
          <w:rFonts w:hint="eastAsia" w:ascii="宋体" w:hAnsi="宋体"/>
          <w:sz w:val="24"/>
        </w:rPr>
        <w:t>————————</w:t>
      </w:r>
    </w:p>
    <w:p w14:paraId="35AC2DA0">
      <w:pPr>
        <w:snapToGrid w:val="0"/>
        <w:spacing w:line="360" w:lineRule="auto"/>
        <w:jc w:val="left"/>
        <w:rPr>
          <w:rFonts w:ascii="宋体" w:hAnsi="宋体"/>
          <w:sz w:val="24"/>
        </w:rPr>
      </w:pPr>
      <w:r>
        <w:rPr>
          <w:rFonts w:hint="eastAsia" w:ascii="宋体" w:hAnsi="宋体"/>
          <w:sz w:val="24"/>
        </w:rPr>
        <w:t>（19）信用承诺书————————</w:t>
      </w:r>
    </w:p>
    <w:p w14:paraId="69ACA110">
      <w:pPr>
        <w:snapToGrid w:val="0"/>
        <w:spacing w:line="360" w:lineRule="auto"/>
        <w:rPr>
          <w:rFonts w:ascii="宋体" w:hAnsi="宋体"/>
          <w:sz w:val="24"/>
        </w:rPr>
      </w:pPr>
      <w:r>
        <w:rPr>
          <w:rFonts w:hint="eastAsia" w:ascii="宋体" w:hAnsi="宋体"/>
          <w:sz w:val="24"/>
        </w:rPr>
        <w:t>（20）技术、商务、资信及其他分自评表————————</w:t>
      </w:r>
    </w:p>
    <w:p w14:paraId="38CFF1C9">
      <w:pPr>
        <w:snapToGrid w:val="0"/>
        <w:spacing w:line="360" w:lineRule="auto"/>
        <w:jc w:val="left"/>
      </w:pPr>
    </w:p>
    <w:p w14:paraId="2B42CC06">
      <w:pPr>
        <w:pStyle w:val="20"/>
      </w:pPr>
    </w:p>
    <w:p w14:paraId="00DFD267">
      <w:pPr>
        <w:pStyle w:val="42"/>
      </w:pPr>
    </w:p>
    <w:p w14:paraId="55888BCD">
      <w:pPr>
        <w:pStyle w:val="43"/>
      </w:pPr>
    </w:p>
    <w:p w14:paraId="25554781"/>
    <w:p w14:paraId="5A9A5441">
      <w:pPr>
        <w:pStyle w:val="43"/>
      </w:pPr>
    </w:p>
    <w:p w14:paraId="66529E4B">
      <w:pPr>
        <w:snapToGrid w:val="0"/>
        <w:spacing w:line="360" w:lineRule="auto"/>
        <w:jc w:val="left"/>
        <w:rPr>
          <w:rFonts w:ascii="宋体" w:hAnsi="宋体"/>
          <w:sz w:val="24"/>
          <w:szCs w:val="20"/>
        </w:rPr>
      </w:pPr>
      <w:r>
        <w:rPr>
          <w:rFonts w:hint="eastAsia" w:ascii="宋体" w:hAnsi="宋体"/>
          <w:sz w:val="24"/>
        </w:rPr>
        <w:t>13.对本项目的理解（格式自拟）</w:t>
      </w:r>
    </w:p>
    <w:p w14:paraId="00FB0D6D">
      <w:pPr>
        <w:pStyle w:val="20"/>
      </w:pPr>
    </w:p>
    <w:p w14:paraId="1AE59E93">
      <w:pPr>
        <w:pStyle w:val="2"/>
      </w:pPr>
    </w:p>
    <w:p w14:paraId="69A63C89">
      <w:pPr>
        <w:pStyle w:val="3"/>
        <w:ind w:firstLine="280"/>
      </w:pPr>
    </w:p>
    <w:p w14:paraId="6F431422">
      <w:pPr>
        <w:pStyle w:val="3"/>
        <w:ind w:firstLine="280"/>
      </w:pPr>
    </w:p>
    <w:p w14:paraId="497F0469">
      <w:pPr>
        <w:pStyle w:val="20"/>
      </w:pPr>
    </w:p>
    <w:p w14:paraId="78E19481">
      <w:pPr>
        <w:spacing w:line="360" w:lineRule="auto"/>
        <w:jc w:val="left"/>
        <w:rPr>
          <w:rFonts w:ascii="宋体" w:hAnsi="宋体"/>
          <w:sz w:val="24"/>
        </w:rPr>
      </w:pPr>
      <w:r>
        <w:rPr>
          <w:rFonts w:hint="eastAsia" w:ascii="宋体" w:hAnsi="宋体"/>
          <w:sz w:val="24"/>
        </w:rPr>
        <w:t>14.项目实施方案（格式自拟）</w:t>
      </w:r>
    </w:p>
    <w:p w14:paraId="2A5DBD6F">
      <w:pPr>
        <w:pStyle w:val="2"/>
      </w:pPr>
    </w:p>
    <w:p w14:paraId="64100FA2">
      <w:pPr>
        <w:pStyle w:val="3"/>
        <w:ind w:firstLine="280"/>
      </w:pPr>
    </w:p>
    <w:p w14:paraId="0219BF62">
      <w:pPr>
        <w:pStyle w:val="3"/>
        <w:ind w:firstLine="280"/>
      </w:pPr>
    </w:p>
    <w:p w14:paraId="71DBAF53">
      <w:pPr>
        <w:pStyle w:val="20"/>
      </w:pPr>
    </w:p>
    <w:p w14:paraId="6C442AAA"/>
    <w:p w14:paraId="7B5A813C">
      <w:pPr>
        <w:snapToGrid w:val="0"/>
        <w:spacing w:line="360" w:lineRule="auto"/>
        <w:jc w:val="left"/>
        <w:rPr>
          <w:rFonts w:ascii="宋体" w:hAnsi="宋体" w:cs="宋体"/>
          <w:sz w:val="24"/>
        </w:rPr>
      </w:pPr>
      <w:r>
        <w:rPr>
          <w:rFonts w:hint="eastAsia" w:ascii="宋体" w:hAnsi="宋体" w:cs="宋体"/>
          <w:sz w:val="24"/>
        </w:rPr>
        <w:t>15.保证工期的方案和措施</w:t>
      </w:r>
      <w:r>
        <w:rPr>
          <w:rFonts w:hint="eastAsia" w:ascii="宋体" w:hAnsi="宋体"/>
          <w:sz w:val="24"/>
        </w:rPr>
        <w:t>（格式自拟）</w:t>
      </w:r>
    </w:p>
    <w:p w14:paraId="399F6C14">
      <w:pPr>
        <w:pStyle w:val="32"/>
        <w:jc w:val="both"/>
        <w:rPr>
          <w:rFonts w:ascii="宋体" w:hAnsi="宋体"/>
          <w:b w:val="0"/>
          <w:bCs w:val="0"/>
          <w:sz w:val="24"/>
          <w:szCs w:val="24"/>
        </w:rPr>
      </w:pPr>
    </w:p>
    <w:p w14:paraId="7B828389"/>
    <w:p w14:paraId="2F8BE8A9">
      <w:pPr>
        <w:pStyle w:val="2"/>
      </w:pPr>
    </w:p>
    <w:p w14:paraId="5A439BBB">
      <w:pPr>
        <w:pStyle w:val="32"/>
        <w:jc w:val="both"/>
        <w:rPr>
          <w:rFonts w:ascii="宋体" w:hAnsi="宋体"/>
          <w:b w:val="0"/>
          <w:bCs w:val="0"/>
          <w:sz w:val="24"/>
          <w:szCs w:val="24"/>
        </w:rPr>
      </w:pPr>
      <w:r>
        <w:rPr>
          <w:rFonts w:hint="eastAsia" w:ascii="宋体" w:hAnsi="宋体"/>
          <w:b w:val="0"/>
          <w:bCs w:val="0"/>
          <w:sz w:val="24"/>
          <w:szCs w:val="24"/>
        </w:rPr>
        <w:t>16.项目质量保障方案（格式自拟）</w:t>
      </w:r>
    </w:p>
    <w:p w14:paraId="49C8D390"/>
    <w:p w14:paraId="42B0F311">
      <w:pPr>
        <w:pStyle w:val="2"/>
      </w:pPr>
    </w:p>
    <w:p w14:paraId="289952E5">
      <w:pPr>
        <w:pStyle w:val="3"/>
        <w:ind w:firstLine="280"/>
      </w:pPr>
    </w:p>
    <w:p w14:paraId="7DF7EBF2">
      <w:pPr>
        <w:pStyle w:val="3"/>
        <w:ind w:firstLine="280"/>
      </w:pPr>
    </w:p>
    <w:p w14:paraId="7B15E93E">
      <w:pPr>
        <w:pStyle w:val="3"/>
        <w:ind w:firstLine="0" w:firstLineChars="0"/>
        <w:rPr>
          <w:rFonts w:ascii="宋体" w:hAnsi="宋体"/>
          <w:sz w:val="24"/>
        </w:rPr>
      </w:pPr>
      <w:r>
        <w:rPr>
          <w:rFonts w:hint="eastAsia" w:ascii="宋体" w:hAnsi="宋体"/>
          <w:sz w:val="24"/>
        </w:rPr>
        <w:t>17.</w:t>
      </w:r>
      <w:r>
        <w:rPr>
          <w:rFonts w:ascii="宋体" w:hAnsi="宋体"/>
          <w:sz w:val="24"/>
        </w:rPr>
        <w:t>上线运行、调试、验收方案和措施</w:t>
      </w:r>
      <w:r>
        <w:rPr>
          <w:rFonts w:hint="eastAsia" w:ascii="宋体" w:hAnsi="宋体"/>
          <w:sz w:val="24"/>
        </w:rPr>
        <w:t>（格式自拟）</w:t>
      </w:r>
    </w:p>
    <w:p w14:paraId="243DDC84">
      <w:pPr>
        <w:pStyle w:val="3"/>
        <w:ind w:firstLine="0" w:firstLineChars="0"/>
        <w:rPr>
          <w:rFonts w:ascii="宋体" w:hAnsi="宋体"/>
          <w:sz w:val="24"/>
        </w:rPr>
      </w:pPr>
    </w:p>
    <w:p w14:paraId="27309465">
      <w:pPr>
        <w:pStyle w:val="3"/>
        <w:ind w:firstLine="0" w:firstLineChars="0"/>
        <w:rPr>
          <w:rFonts w:ascii="宋体" w:hAnsi="宋体"/>
          <w:sz w:val="24"/>
        </w:rPr>
      </w:pPr>
    </w:p>
    <w:p w14:paraId="391D4216">
      <w:pPr>
        <w:pStyle w:val="3"/>
        <w:ind w:firstLine="0" w:firstLineChars="0"/>
        <w:rPr>
          <w:rFonts w:ascii="宋体" w:hAnsi="宋体"/>
          <w:sz w:val="24"/>
        </w:rPr>
      </w:pPr>
    </w:p>
    <w:p w14:paraId="2DE0C2D4">
      <w:pPr>
        <w:pStyle w:val="3"/>
        <w:ind w:firstLine="0" w:firstLineChars="0"/>
        <w:rPr>
          <w:rFonts w:ascii="宋体" w:hAnsi="宋体"/>
          <w:sz w:val="24"/>
        </w:rPr>
      </w:pPr>
      <w:r>
        <w:rPr>
          <w:rFonts w:hint="eastAsia" w:ascii="Times New Roman" w:hAnsi="宋体" w:cs="宋体"/>
          <w:sz w:val="24"/>
        </w:rPr>
        <w:t>18.应急处理预案</w:t>
      </w:r>
      <w:r>
        <w:rPr>
          <w:rFonts w:hint="eastAsia" w:ascii="宋体" w:hAnsi="宋体"/>
          <w:sz w:val="24"/>
        </w:rPr>
        <w:t>（格式自拟）</w:t>
      </w:r>
    </w:p>
    <w:p w14:paraId="51D49247">
      <w:pPr>
        <w:pStyle w:val="3"/>
        <w:ind w:firstLine="0" w:firstLineChars="0"/>
        <w:rPr>
          <w:rFonts w:ascii="宋体" w:hAnsi="宋体"/>
          <w:sz w:val="24"/>
        </w:rPr>
      </w:pPr>
    </w:p>
    <w:p w14:paraId="1D8EE922">
      <w:pPr>
        <w:pStyle w:val="3"/>
        <w:ind w:firstLine="0" w:firstLineChars="0"/>
        <w:rPr>
          <w:rFonts w:ascii="宋体" w:hAnsi="宋体"/>
          <w:sz w:val="24"/>
        </w:rPr>
      </w:pPr>
    </w:p>
    <w:p w14:paraId="331DD380">
      <w:pPr>
        <w:pStyle w:val="3"/>
        <w:ind w:firstLine="0" w:firstLineChars="0"/>
        <w:rPr>
          <w:rFonts w:ascii="宋体" w:hAnsi="宋体"/>
          <w:sz w:val="24"/>
        </w:rPr>
      </w:pPr>
    </w:p>
    <w:p w14:paraId="03831384">
      <w:pPr>
        <w:pStyle w:val="3"/>
        <w:ind w:firstLine="0" w:firstLineChars="0"/>
        <w:rPr>
          <w:rFonts w:ascii="宋体" w:hAnsi="宋体"/>
          <w:sz w:val="24"/>
        </w:rPr>
      </w:pPr>
      <w:r>
        <w:rPr>
          <w:rFonts w:hint="eastAsia" w:ascii="宋体" w:hAnsi="宋体"/>
          <w:sz w:val="24"/>
        </w:rPr>
        <w:t>19.技术响应表格式：</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700"/>
        <w:gridCol w:w="1260"/>
        <w:gridCol w:w="1260"/>
      </w:tblGrid>
      <w:tr w14:paraId="1E9F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DC7835A">
            <w:pPr>
              <w:spacing w:line="400" w:lineRule="exact"/>
              <w:jc w:val="center"/>
              <w:rPr>
                <w:rFonts w:ascii="宋体" w:hAnsi="宋体"/>
                <w:sz w:val="24"/>
              </w:rPr>
            </w:pPr>
            <w:r>
              <w:rPr>
                <w:rFonts w:hint="eastAsia" w:ascii="宋体" w:hAnsi="宋体"/>
                <w:sz w:val="24"/>
              </w:rPr>
              <w:t>序号</w:t>
            </w:r>
          </w:p>
        </w:tc>
        <w:tc>
          <w:tcPr>
            <w:tcW w:w="2700" w:type="dxa"/>
            <w:vAlign w:val="center"/>
          </w:tcPr>
          <w:p w14:paraId="52F2E1AE">
            <w:pPr>
              <w:spacing w:line="400" w:lineRule="exact"/>
              <w:jc w:val="center"/>
              <w:rPr>
                <w:rFonts w:ascii="宋体" w:hAnsi="宋体"/>
                <w:sz w:val="24"/>
              </w:rPr>
            </w:pPr>
            <w:r>
              <w:rPr>
                <w:rFonts w:hint="eastAsia" w:ascii="宋体" w:hAnsi="宋体"/>
                <w:sz w:val="24"/>
              </w:rPr>
              <w:t>招标文件要求</w:t>
            </w:r>
            <w:r>
              <w:rPr>
                <w:rFonts w:hint="eastAsia" w:ascii="宋体" w:hAnsi="宋体"/>
                <w:bCs/>
                <w:sz w:val="24"/>
              </w:rPr>
              <w:t>指标</w:t>
            </w:r>
            <w:r>
              <w:rPr>
                <w:rFonts w:hint="eastAsia" w:ascii="宋体" w:hAnsi="宋体"/>
                <w:sz w:val="24"/>
              </w:rPr>
              <w:t>参数</w:t>
            </w:r>
          </w:p>
        </w:tc>
        <w:tc>
          <w:tcPr>
            <w:tcW w:w="2700" w:type="dxa"/>
            <w:vAlign w:val="center"/>
          </w:tcPr>
          <w:p w14:paraId="75B52FF1">
            <w:pPr>
              <w:spacing w:line="400" w:lineRule="exact"/>
              <w:rPr>
                <w:rFonts w:ascii="宋体" w:hAnsi="宋体"/>
                <w:sz w:val="24"/>
              </w:rPr>
            </w:pPr>
            <w:r>
              <w:rPr>
                <w:rFonts w:hint="eastAsia" w:ascii="宋体" w:hAnsi="宋体"/>
                <w:sz w:val="24"/>
              </w:rPr>
              <w:t>投标项目实际</w:t>
            </w:r>
            <w:r>
              <w:rPr>
                <w:rFonts w:hint="eastAsia" w:ascii="宋体" w:hAnsi="宋体"/>
                <w:bCs/>
                <w:sz w:val="24"/>
              </w:rPr>
              <w:t>指标</w:t>
            </w:r>
            <w:r>
              <w:rPr>
                <w:rFonts w:hint="eastAsia" w:ascii="宋体" w:hAnsi="宋体"/>
                <w:sz w:val="24"/>
              </w:rPr>
              <w:t>参数</w:t>
            </w:r>
          </w:p>
        </w:tc>
        <w:tc>
          <w:tcPr>
            <w:tcW w:w="1260" w:type="dxa"/>
            <w:vAlign w:val="center"/>
          </w:tcPr>
          <w:p w14:paraId="1B86465F">
            <w:pPr>
              <w:spacing w:line="400" w:lineRule="exact"/>
              <w:jc w:val="center"/>
              <w:rPr>
                <w:rFonts w:ascii="宋体" w:hAnsi="宋体"/>
                <w:sz w:val="24"/>
              </w:rPr>
            </w:pPr>
            <w:r>
              <w:rPr>
                <w:rFonts w:hint="eastAsia" w:ascii="宋体" w:hAnsi="宋体"/>
                <w:sz w:val="24"/>
              </w:rPr>
              <w:t>偏离情况</w:t>
            </w:r>
          </w:p>
        </w:tc>
        <w:tc>
          <w:tcPr>
            <w:tcW w:w="1260" w:type="dxa"/>
            <w:vAlign w:val="center"/>
          </w:tcPr>
          <w:p w14:paraId="4EE434B3">
            <w:pPr>
              <w:spacing w:line="400" w:lineRule="exact"/>
              <w:jc w:val="center"/>
              <w:rPr>
                <w:rFonts w:ascii="宋体" w:hAnsi="宋体"/>
                <w:sz w:val="24"/>
              </w:rPr>
            </w:pPr>
            <w:r>
              <w:rPr>
                <w:rFonts w:hint="eastAsia" w:ascii="宋体" w:hAnsi="宋体"/>
                <w:sz w:val="24"/>
              </w:rPr>
              <w:t>偏离原因</w:t>
            </w:r>
          </w:p>
        </w:tc>
      </w:tr>
      <w:tr w14:paraId="045A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FECEDD4">
            <w:pPr>
              <w:spacing w:line="360" w:lineRule="auto"/>
              <w:jc w:val="center"/>
              <w:rPr>
                <w:rFonts w:ascii="宋体" w:hAnsi="宋体"/>
                <w:b/>
                <w:bCs/>
                <w:sz w:val="30"/>
              </w:rPr>
            </w:pPr>
          </w:p>
        </w:tc>
        <w:tc>
          <w:tcPr>
            <w:tcW w:w="2700" w:type="dxa"/>
          </w:tcPr>
          <w:p w14:paraId="0B94A251">
            <w:pPr>
              <w:spacing w:line="360" w:lineRule="auto"/>
              <w:jc w:val="center"/>
              <w:rPr>
                <w:rFonts w:ascii="宋体" w:hAnsi="宋体"/>
                <w:b/>
                <w:bCs/>
                <w:sz w:val="30"/>
              </w:rPr>
            </w:pPr>
          </w:p>
        </w:tc>
        <w:tc>
          <w:tcPr>
            <w:tcW w:w="2700" w:type="dxa"/>
          </w:tcPr>
          <w:p w14:paraId="10EFEFBA">
            <w:pPr>
              <w:spacing w:line="360" w:lineRule="auto"/>
              <w:jc w:val="center"/>
              <w:rPr>
                <w:rFonts w:ascii="宋体" w:hAnsi="宋体"/>
                <w:b/>
                <w:bCs/>
                <w:sz w:val="30"/>
              </w:rPr>
            </w:pPr>
          </w:p>
        </w:tc>
        <w:tc>
          <w:tcPr>
            <w:tcW w:w="1260" w:type="dxa"/>
          </w:tcPr>
          <w:p w14:paraId="2A0E8485">
            <w:pPr>
              <w:spacing w:line="360" w:lineRule="auto"/>
              <w:jc w:val="center"/>
              <w:rPr>
                <w:rFonts w:ascii="宋体" w:hAnsi="宋体"/>
                <w:b/>
                <w:bCs/>
                <w:sz w:val="30"/>
              </w:rPr>
            </w:pPr>
          </w:p>
        </w:tc>
        <w:tc>
          <w:tcPr>
            <w:tcW w:w="1260" w:type="dxa"/>
          </w:tcPr>
          <w:p w14:paraId="153054D1">
            <w:pPr>
              <w:spacing w:line="360" w:lineRule="auto"/>
              <w:jc w:val="center"/>
              <w:rPr>
                <w:rFonts w:ascii="宋体" w:hAnsi="宋体"/>
                <w:b/>
                <w:bCs/>
                <w:sz w:val="30"/>
              </w:rPr>
            </w:pPr>
          </w:p>
        </w:tc>
      </w:tr>
      <w:tr w14:paraId="012D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44E6692">
            <w:pPr>
              <w:spacing w:line="360" w:lineRule="auto"/>
              <w:jc w:val="center"/>
              <w:rPr>
                <w:rFonts w:ascii="宋体" w:hAnsi="宋体"/>
                <w:b/>
                <w:bCs/>
                <w:sz w:val="30"/>
              </w:rPr>
            </w:pPr>
          </w:p>
        </w:tc>
        <w:tc>
          <w:tcPr>
            <w:tcW w:w="2700" w:type="dxa"/>
          </w:tcPr>
          <w:p w14:paraId="6A7A4529">
            <w:pPr>
              <w:spacing w:line="360" w:lineRule="auto"/>
              <w:jc w:val="center"/>
              <w:rPr>
                <w:rFonts w:ascii="宋体" w:hAnsi="宋体"/>
                <w:b/>
                <w:bCs/>
                <w:sz w:val="30"/>
              </w:rPr>
            </w:pPr>
          </w:p>
        </w:tc>
        <w:tc>
          <w:tcPr>
            <w:tcW w:w="2700" w:type="dxa"/>
          </w:tcPr>
          <w:p w14:paraId="0B491A7E">
            <w:pPr>
              <w:spacing w:line="360" w:lineRule="auto"/>
              <w:jc w:val="center"/>
              <w:rPr>
                <w:rFonts w:ascii="宋体" w:hAnsi="宋体"/>
                <w:b/>
                <w:bCs/>
                <w:sz w:val="30"/>
              </w:rPr>
            </w:pPr>
          </w:p>
        </w:tc>
        <w:tc>
          <w:tcPr>
            <w:tcW w:w="1260" w:type="dxa"/>
          </w:tcPr>
          <w:p w14:paraId="3AC5E4A2">
            <w:pPr>
              <w:spacing w:line="360" w:lineRule="auto"/>
              <w:jc w:val="center"/>
              <w:rPr>
                <w:rFonts w:ascii="宋体" w:hAnsi="宋体"/>
                <w:b/>
                <w:bCs/>
                <w:sz w:val="30"/>
              </w:rPr>
            </w:pPr>
          </w:p>
        </w:tc>
        <w:tc>
          <w:tcPr>
            <w:tcW w:w="1260" w:type="dxa"/>
          </w:tcPr>
          <w:p w14:paraId="5D96EE8F">
            <w:pPr>
              <w:spacing w:line="360" w:lineRule="auto"/>
              <w:jc w:val="center"/>
              <w:rPr>
                <w:rFonts w:ascii="宋体" w:hAnsi="宋体"/>
                <w:b/>
                <w:bCs/>
                <w:sz w:val="30"/>
              </w:rPr>
            </w:pPr>
          </w:p>
        </w:tc>
      </w:tr>
      <w:tr w14:paraId="7E6C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768E36F8">
            <w:pPr>
              <w:spacing w:line="360" w:lineRule="auto"/>
              <w:jc w:val="center"/>
              <w:rPr>
                <w:rFonts w:ascii="宋体" w:hAnsi="宋体"/>
                <w:b/>
                <w:bCs/>
                <w:sz w:val="30"/>
              </w:rPr>
            </w:pPr>
          </w:p>
        </w:tc>
        <w:tc>
          <w:tcPr>
            <w:tcW w:w="2700" w:type="dxa"/>
          </w:tcPr>
          <w:p w14:paraId="6DE2B3E2">
            <w:pPr>
              <w:spacing w:line="360" w:lineRule="auto"/>
              <w:jc w:val="center"/>
              <w:rPr>
                <w:rFonts w:ascii="宋体" w:hAnsi="宋体"/>
                <w:b/>
                <w:bCs/>
                <w:sz w:val="30"/>
              </w:rPr>
            </w:pPr>
          </w:p>
        </w:tc>
        <w:tc>
          <w:tcPr>
            <w:tcW w:w="2700" w:type="dxa"/>
          </w:tcPr>
          <w:p w14:paraId="33B6737A">
            <w:pPr>
              <w:spacing w:line="360" w:lineRule="auto"/>
              <w:jc w:val="center"/>
              <w:rPr>
                <w:rFonts w:ascii="宋体" w:hAnsi="宋体"/>
                <w:b/>
                <w:bCs/>
                <w:sz w:val="30"/>
              </w:rPr>
            </w:pPr>
          </w:p>
        </w:tc>
        <w:tc>
          <w:tcPr>
            <w:tcW w:w="1260" w:type="dxa"/>
          </w:tcPr>
          <w:p w14:paraId="2619570C">
            <w:pPr>
              <w:spacing w:line="360" w:lineRule="auto"/>
              <w:jc w:val="center"/>
              <w:rPr>
                <w:rFonts w:ascii="宋体" w:hAnsi="宋体"/>
                <w:b/>
                <w:bCs/>
                <w:sz w:val="30"/>
              </w:rPr>
            </w:pPr>
          </w:p>
        </w:tc>
        <w:tc>
          <w:tcPr>
            <w:tcW w:w="1260" w:type="dxa"/>
          </w:tcPr>
          <w:p w14:paraId="27D9FEC8">
            <w:pPr>
              <w:spacing w:line="360" w:lineRule="auto"/>
              <w:jc w:val="center"/>
              <w:rPr>
                <w:rFonts w:ascii="宋体" w:hAnsi="宋体"/>
                <w:b/>
                <w:bCs/>
                <w:sz w:val="30"/>
              </w:rPr>
            </w:pPr>
          </w:p>
        </w:tc>
      </w:tr>
      <w:tr w14:paraId="5041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7333F90A">
            <w:pPr>
              <w:spacing w:line="360" w:lineRule="auto"/>
              <w:jc w:val="center"/>
              <w:rPr>
                <w:rFonts w:ascii="宋体" w:hAnsi="宋体"/>
                <w:b/>
                <w:bCs/>
                <w:sz w:val="30"/>
              </w:rPr>
            </w:pPr>
          </w:p>
        </w:tc>
        <w:tc>
          <w:tcPr>
            <w:tcW w:w="2700" w:type="dxa"/>
          </w:tcPr>
          <w:p w14:paraId="35CF4158">
            <w:pPr>
              <w:spacing w:line="360" w:lineRule="auto"/>
              <w:jc w:val="center"/>
              <w:rPr>
                <w:rFonts w:ascii="宋体" w:hAnsi="宋体"/>
                <w:b/>
                <w:bCs/>
                <w:sz w:val="30"/>
              </w:rPr>
            </w:pPr>
          </w:p>
        </w:tc>
        <w:tc>
          <w:tcPr>
            <w:tcW w:w="2700" w:type="dxa"/>
          </w:tcPr>
          <w:p w14:paraId="51E8A501">
            <w:pPr>
              <w:spacing w:line="360" w:lineRule="auto"/>
              <w:jc w:val="center"/>
              <w:rPr>
                <w:rFonts w:ascii="宋体" w:hAnsi="宋体"/>
                <w:b/>
                <w:bCs/>
                <w:sz w:val="30"/>
              </w:rPr>
            </w:pPr>
          </w:p>
        </w:tc>
        <w:tc>
          <w:tcPr>
            <w:tcW w:w="1260" w:type="dxa"/>
          </w:tcPr>
          <w:p w14:paraId="5D993802">
            <w:pPr>
              <w:spacing w:line="360" w:lineRule="auto"/>
              <w:jc w:val="center"/>
              <w:rPr>
                <w:rFonts w:ascii="宋体" w:hAnsi="宋体"/>
                <w:b/>
                <w:bCs/>
                <w:sz w:val="30"/>
              </w:rPr>
            </w:pPr>
          </w:p>
        </w:tc>
        <w:tc>
          <w:tcPr>
            <w:tcW w:w="1260" w:type="dxa"/>
          </w:tcPr>
          <w:p w14:paraId="315387F1">
            <w:pPr>
              <w:spacing w:line="360" w:lineRule="auto"/>
              <w:jc w:val="center"/>
              <w:rPr>
                <w:rFonts w:ascii="宋体" w:hAnsi="宋体"/>
                <w:b/>
                <w:bCs/>
                <w:sz w:val="30"/>
              </w:rPr>
            </w:pPr>
          </w:p>
        </w:tc>
      </w:tr>
      <w:tr w14:paraId="1480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6D2D0FD8">
            <w:pPr>
              <w:spacing w:line="360" w:lineRule="auto"/>
              <w:jc w:val="center"/>
              <w:rPr>
                <w:rFonts w:ascii="宋体" w:hAnsi="宋体"/>
                <w:b/>
                <w:bCs/>
                <w:sz w:val="30"/>
              </w:rPr>
            </w:pPr>
          </w:p>
        </w:tc>
        <w:tc>
          <w:tcPr>
            <w:tcW w:w="2700" w:type="dxa"/>
          </w:tcPr>
          <w:p w14:paraId="3B4D0786">
            <w:pPr>
              <w:spacing w:line="360" w:lineRule="auto"/>
              <w:jc w:val="center"/>
              <w:rPr>
                <w:rFonts w:ascii="宋体" w:hAnsi="宋体"/>
                <w:b/>
                <w:bCs/>
                <w:sz w:val="30"/>
              </w:rPr>
            </w:pPr>
          </w:p>
        </w:tc>
        <w:tc>
          <w:tcPr>
            <w:tcW w:w="2700" w:type="dxa"/>
          </w:tcPr>
          <w:p w14:paraId="2D956AE9">
            <w:pPr>
              <w:spacing w:line="360" w:lineRule="auto"/>
              <w:jc w:val="center"/>
              <w:rPr>
                <w:rFonts w:ascii="宋体" w:hAnsi="宋体"/>
                <w:b/>
                <w:bCs/>
                <w:sz w:val="30"/>
              </w:rPr>
            </w:pPr>
          </w:p>
        </w:tc>
        <w:tc>
          <w:tcPr>
            <w:tcW w:w="1260" w:type="dxa"/>
          </w:tcPr>
          <w:p w14:paraId="2A407490">
            <w:pPr>
              <w:spacing w:line="360" w:lineRule="auto"/>
              <w:jc w:val="center"/>
              <w:rPr>
                <w:rFonts w:ascii="宋体" w:hAnsi="宋体"/>
                <w:b/>
                <w:bCs/>
                <w:sz w:val="30"/>
              </w:rPr>
            </w:pPr>
          </w:p>
        </w:tc>
        <w:tc>
          <w:tcPr>
            <w:tcW w:w="1260" w:type="dxa"/>
          </w:tcPr>
          <w:p w14:paraId="27901766">
            <w:pPr>
              <w:spacing w:line="360" w:lineRule="auto"/>
              <w:jc w:val="center"/>
              <w:rPr>
                <w:rFonts w:ascii="宋体" w:hAnsi="宋体"/>
                <w:b/>
                <w:bCs/>
                <w:sz w:val="30"/>
              </w:rPr>
            </w:pPr>
          </w:p>
        </w:tc>
      </w:tr>
      <w:tr w14:paraId="0FA8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08B7B494">
            <w:pPr>
              <w:spacing w:line="360" w:lineRule="auto"/>
              <w:jc w:val="center"/>
              <w:rPr>
                <w:rFonts w:ascii="宋体" w:hAnsi="宋体"/>
                <w:b/>
                <w:bCs/>
                <w:sz w:val="30"/>
              </w:rPr>
            </w:pPr>
          </w:p>
        </w:tc>
        <w:tc>
          <w:tcPr>
            <w:tcW w:w="2700" w:type="dxa"/>
          </w:tcPr>
          <w:p w14:paraId="6B3F2A69">
            <w:pPr>
              <w:spacing w:line="360" w:lineRule="auto"/>
              <w:jc w:val="center"/>
              <w:rPr>
                <w:rFonts w:ascii="宋体" w:hAnsi="宋体"/>
                <w:b/>
                <w:bCs/>
                <w:sz w:val="30"/>
              </w:rPr>
            </w:pPr>
          </w:p>
        </w:tc>
        <w:tc>
          <w:tcPr>
            <w:tcW w:w="2700" w:type="dxa"/>
          </w:tcPr>
          <w:p w14:paraId="170C172F">
            <w:pPr>
              <w:spacing w:line="360" w:lineRule="auto"/>
              <w:jc w:val="center"/>
              <w:rPr>
                <w:rFonts w:ascii="宋体" w:hAnsi="宋体"/>
                <w:b/>
                <w:bCs/>
                <w:sz w:val="30"/>
              </w:rPr>
            </w:pPr>
          </w:p>
        </w:tc>
        <w:tc>
          <w:tcPr>
            <w:tcW w:w="1260" w:type="dxa"/>
          </w:tcPr>
          <w:p w14:paraId="405AA574">
            <w:pPr>
              <w:spacing w:line="360" w:lineRule="auto"/>
              <w:jc w:val="center"/>
              <w:rPr>
                <w:rFonts w:ascii="宋体" w:hAnsi="宋体"/>
                <w:b/>
                <w:bCs/>
                <w:sz w:val="30"/>
              </w:rPr>
            </w:pPr>
          </w:p>
        </w:tc>
        <w:tc>
          <w:tcPr>
            <w:tcW w:w="1260" w:type="dxa"/>
          </w:tcPr>
          <w:p w14:paraId="691B4FF3">
            <w:pPr>
              <w:spacing w:line="360" w:lineRule="auto"/>
              <w:jc w:val="center"/>
              <w:rPr>
                <w:rFonts w:ascii="宋体" w:hAnsi="宋体"/>
                <w:b/>
                <w:bCs/>
                <w:sz w:val="30"/>
              </w:rPr>
            </w:pPr>
          </w:p>
        </w:tc>
      </w:tr>
    </w:tbl>
    <w:p w14:paraId="6F91F953">
      <w:pPr>
        <w:spacing w:line="360" w:lineRule="auto"/>
        <w:ind w:left="840" w:hanging="840" w:hangingChars="350"/>
        <w:rPr>
          <w:rFonts w:ascii="宋体" w:hAnsi="宋体"/>
          <w:b/>
          <w:bCs/>
          <w:sz w:val="24"/>
          <w:szCs w:val="28"/>
        </w:rPr>
      </w:pPr>
      <w:r>
        <w:rPr>
          <w:rFonts w:hint="eastAsia" w:ascii="宋体" w:hAnsi="宋体"/>
          <w:sz w:val="24"/>
        </w:rPr>
        <w:t>注：</w:t>
      </w:r>
      <w:r>
        <w:rPr>
          <w:rFonts w:hint="eastAsia" w:ascii="宋体" w:hAnsi="宋体"/>
          <w:b/>
          <w:bCs/>
          <w:spacing w:val="14"/>
          <w:sz w:val="24"/>
          <w:szCs w:val="28"/>
        </w:rPr>
        <w:t>1、投标人必须按采购需求一一对应，如实填写</w:t>
      </w:r>
      <w:r>
        <w:rPr>
          <w:rFonts w:hint="eastAsia" w:ascii="宋体" w:hAnsi="宋体"/>
          <w:b/>
          <w:bCs/>
          <w:sz w:val="24"/>
          <w:szCs w:val="28"/>
        </w:rPr>
        <w:t>，未按要求填写的，有可能作负偏离处理；</w:t>
      </w:r>
    </w:p>
    <w:p w14:paraId="5979F15A">
      <w:pPr>
        <w:spacing w:line="360" w:lineRule="auto"/>
        <w:ind w:firstLine="480" w:firstLineChars="200"/>
        <w:rPr>
          <w:rFonts w:ascii="宋体" w:hAnsi="宋体"/>
          <w:b/>
          <w:bCs/>
          <w:spacing w:val="14"/>
          <w:szCs w:val="28"/>
        </w:rPr>
      </w:pPr>
      <w:r>
        <w:rPr>
          <w:rFonts w:hint="eastAsia" w:ascii="宋体" w:hAnsi="宋体"/>
          <w:sz w:val="24"/>
        </w:rPr>
        <w:t>2、此表仅提供了表格形式，投标人应根据需要准备足够数量的表格来填写。</w:t>
      </w:r>
    </w:p>
    <w:p w14:paraId="20B3C34D">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14:paraId="4CB0BC87">
      <w:pPr>
        <w:snapToGrid w:val="0"/>
        <w:spacing w:line="360" w:lineRule="auto"/>
        <w:jc w:val="left"/>
        <w:rPr>
          <w:rFonts w:ascii="宋体" w:hAnsi="宋体"/>
          <w:sz w:val="24"/>
        </w:rPr>
      </w:pPr>
      <w:r>
        <w:rPr>
          <w:rFonts w:hint="eastAsia" w:ascii="宋体" w:hAnsi="宋体"/>
          <w:spacing w:val="20"/>
          <w:sz w:val="24"/>
        </w:rPr>
        <w:t>投标人盖章：日期：</w:t>
      </w:r>
    </w:p>
    <w:p w14:paraId="325A8BE2">
      <w:pPr>
        <w:pStyle w:val="3"/>
        <w:ind w:firstLine="0" w:firstLineChars="0"/>
      </w:pPr>
    </w:p>
    <w:p w14:paraId="499E2AA2">
      <w:pPr>
        <w:pStyle w:val="3"/>
        <w:ind w:firstLine="0" w:firstLineChars="0"/>
      </w:pPr>
    </w:p>
    <w:p w14:paraId="7758B87B">
      <w:pPr>
        <w:snapToGrid w:val="0"/>
        <w:spacing w:line="360" w:lineRule="auto"/>
        <w:jc w:val="left"/>
        <w:rPr>
          <w:rFonts w:ascii="宋体" w:hAnsi="宋体"/>
          <w:sz w:val="24"/>
          <w:szCs w:val="20"/>
        </w:rPr>
      </w:pPr>
      <w:r>
        <w:rPr>
          <w:rFonts w:hint="eastAsia" w:ascii="宋体" w:hAnsi="宋体"/>
          <w:sz w:val="24"/>
        </w:rPr>
        <w:t>20.项目实施人员一览表格式：</w:t>
      </w:r>
    </w:p>
    <w:p w14:paraId="30D29D22">
      <w:pPr>
        <w:snapToGrid w:val="0"/>
        <w:spacing w:line="360" w:lineRule="auto"/>
        <w:jc w:val="center"/>
        <w:rPr>
          <w:rFonts w:ascii="宋体" w:hAnsi="宋体"/>
          <w:b/>
          <w:sz w:val="24"/>
          <w:szCs w:val="20"/>
        </w:rPr>
      </w:pPr>
      <w:r>
        <w:rPr>
          <w:rFonts w:hint="eastAsia" w:ascii="宋体" w:hAnsi="宋体"/>
          <w:b/>
          <w:sz w:val="24"/>
        </w:rPr>
        <w:t>项目实施人员（主要从业人员及其技术资格）一览表</w:t>
      </w:r>
    </w:p>
    <w:p w14:paraId="6AAB3878">
      <w:pPr>
        <w:snapToGrid w:val="0"/>
        <w:spacing w:line="360" w:lineRule="auto"/>
        <w:rPr>
          <w:rFonts w:ascii="宋体" w:hAnsi="宋体"/>
          <w:sz w:val="24"/>
          <w:szCs w:val="20"/>
        </w:rPr>
      </w:pPr>
      <w:r>
        <w:rPr>
          <w:rFonts w:hint="eastAsia" w:ascii="宋体" w:hAnsi="宋体"/>
        </w:rPr>
        <w:t>项目名称：</w:t>
      </w:r>
    </w:p>
    <w:tbl>
      <w:tblPr>
        <w:tblStyle w:val="34"/>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24811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58EA8BE0">
            <w:pPr>
              <w:snapToGrid w:val="0"/>
              <w:spacing w:line="360" w:lineRule="auto"/>
              <w:rPr>
                <w:rFonts w:ascii="宋体" w:hAnsi="宋体"/>
                <w:sz w:val="24"/>
                <w:szCs w:val="20"/>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0191986A">
            <w:pPr>
              <w:snapToGrid w:val="0"/>
              <w:spacing w:line="360" w:lineRule="auto"/>
              <w:rPr>
                <w:rFonts w:ascii="宋体" w:hAnsi="宋体"/>
                <w:sz w:val="24"/>
                <w:szCs w:val="20"/>
              </w:rPr>
            </w:pPr>
            <w:r>
              <w:rPr>
                <w:rFonts w:hint="eastAsia" w:ascii="宋体" w:hAnsi="宋体"/>
                <w:sz w:val="24"/>
              </w:rPr>
              <w:t>职务</w:t>
            </w:r>
          </w:p>
        </w:tc>
        <w:tc>
          <w:tcPr>
            <w:tcW w:w="1663" w:type="dxa"/>
            <w:tcBorders>
              <w:top w:val="single" w:color="auto" w:sz="4" w:space="0"/>
              <w:left w:val="single" w:color="auto" w:sz="4" w:space="0"/>
              <w:bottom w:val="single" w:color="auto" w:sz="4" w:space="0"/>
              <w:right w:val="single" w:color="auto" w:sz="4" w:space="0"/>
            </w:tcBorders>
            <w:vAlign w:val="bottom"/>
          </w:tcPr>
          <w:p w14:paraId="07F9431E">
            <w:pPr>
              <w:snapToGrid w:val="0"/>
              <w:spacing w:line="360" w:lineRule="auto"/>
              <w:jc w:val="center"/>
              <w:rPr>
                <w:rFonts w:ascii="宋体" w:hAnsi="宋体"/>
                <w:sz w:val="24"/>
                <w:szCs w:val="20"/>
              </w:rPr>
            </w:pPr>
            <w:r>
              <w:rPr>
                <w:rFonts w:hint="eastAsia" w:ascii="宋体" w:hAnsi="宋体"/>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3B971028">
            <w:pPr>
              <w:snapToGrid w:val="0"/>
              <w:spacing w:line="360" w:lineRule="auto"/>
              <w:rPr>
                <w:rFonts w:ascii="宋体" w:hAnsi="宋体"/>
                <w:sz w:val="24"/>
                <w:szCs w:val="20"/>
              </w:rPr>
            </w:pPr>
            <w:r>
              <w:rPr>
                <w:rFonts w:hint="eastAsia" w:ascii="宋体" w:hAnsi="宋体"/>
                <w:sz w:val="24"/>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14:paraId="76F35711">
            <w:pPr>
              <w:snapToGrid w:val="0"/>
              <w:spacing w:line="360" w:lineRule="auto"/>
              <w:rPr>
                <w:rFonts w:ascii="宋体" w:hAnsi="宋体"/>
                <w:bCs/>
                <w:sz w:val="24"/>
                <w:szCs w:val="20"/>
              </w:rPr>
            </w:pPr>
            <w:r>
              <w:rPr>
                <w:rFonts w:hint="eastAsia" w:ascii="宋体" w:hAnsi="宋体"/>
                <w:bCs/>
                <w:sz w:val="24"/>
              </w:rPr>
              <w:t>参加本单位工作时间</w:t>
            </w:r>
          </w:p>
        </w:tc>
        <w:tc>
          <w:tcPr>
            <w:tcW w:w="1980" w:type="dxa"/>
            <w:tcBorders>
              <w:top w:val="single" w:color="auto" w:sz="4" w:space="0"/>
              <w:left w:val="single" w:color="auto" w:sz="4" w:space="0"/>
              <w:bottom w:val="single" w:color="auto" w:sz="4" w:space="0"/>
              <w:right w:val="single" w:color="auto" w:sz="4" w:space="0"/>
            </w:tcBorders>
            <w:vAlign w:val="bottom"/>
          </w:tcPr>
          <w:p w14:paraId="56BB1DE8">
            <w:pPr>
              <w:snapToGrid w:val="0"/>
              <w:spacing w:line="360" w:lineRule="auto"/>
              <w:rPr>
                <w:rFonts w:ascii="宋体" w:hAnsi="宋体"/>
                <w:bCs/>
                <w:sz w:val="24"/>
                <w:szCs w:val="20"/>
              </w:rPr>
            </w:pPr>
            <w:r>
              <w:rPr>
                <w:rFonts w:hint="eastAsia" w:ascii="宋体" w:hAnsi="宋体"/>
                <w:bCs/>
                <w:sz w:val="24"/>
              </w:rPr>
              <w:t>劳动合同编号</w:t>
            </w:r>
          </w:p>
        </w:tc>
      </w:tr>
      <w:tr w14:paraId="6FD54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0E91191">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10C91C80">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03FBED10">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395BF164">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48F1B19C">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2F02601F">
            <w:pPr>
              <w:snapToGrid w:val="0"/>
              <w:spacing w:line="360" w:lineRule="auto"/>
              <w:rPr>
                <w:rFonts w:ascii="宋体" w:hAnsi="宋体"/>
                <w:sz w:val="24"/>
                <w:szCs w:val="20"/>
              </w:rPr>
            </w:pPr>
          </w:p>
        </w:tc>
      </w:tr>
      <w:tr w14:paraId="22D80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EFCD0A6">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1BC28458">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19547826">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416C999D">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22366F4B">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4B5B63CE">
            <w:pPr>
              <w:snapToGrid w:val="0"/>
              <w:spacing w:line="360" w:lineRule="auto"/>
              <w:rPr>
                <w:rFonts w:ascii="宋体" w:hAnsi="宋体"/>
                <w:sz w:val="24"/>
                <w:szCs w:val="20"/>
              </w:rPr>
            </w:pPr>
          </w:p>
        </w:tc>
      </w:tr>
      <w:tr w14:paraId="6DE80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2352D50">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763EFF76">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329F9853">
            <w:pPr>
              <w:pStyle w:val="21"/>
              <w:snapToGrid w:val="0"/>
              <w:spacing w:line="360" w:lineRule="auto"/>
              <w:ind w:left="5250"/>
              <w:rPr>
                <w:rFonts w:ascii="宋体" w:hAnsi="宋体" w:eastAsia="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77BD6786">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7AADEFE6">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15CA406A">
            <w:pPr>
              <w:snapToGrid w:val="0"/>
              <w:spacing w:line="360" w:lineRule="auto"/>
              <w:rPr>
                <w:rFonts w:ascii="宋体" w:hAnsi="宋体"/>
                <w:sz w:val="24"/>
                <w:szCs w:val="20"/>
              </w:rPr>
            </w:pPr>
          </w:p>
        </w:tc>
      </w:tr>
      <w:tr w14:paraId="5D924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679D9AE">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234A631B">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623C876C">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026DD946">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73DD46EF">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041130CF">
            <w:pPr>
              <w:snapToGrid w:val="0"/>
              <w:spacing w:line="360" w:lineRule="auto"/>
              <w:rPr>
                <w:rFonts w:ascii="宋体" w:hAnsi="宋体"/>
                <w:sz w:val="24"/>
                <w:szCs w:val="20"/>
              </w:rPr>
            </w:pPr>
          </w:p>
        </w:tc>
      </w:tr>
      <w:tr w14:paraId="22031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49B5093">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58D29ADE">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2BECFCC6">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7D5401DF">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306081F9">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620E853B">
            <w:pPr>
              <w:snapToGrid w:val="0"/>
              <w:spacing w:line="360" w:lineRule="auto"/>
              <w:rPr>
                <w:rFonts w:ascii="宋体" w:hAnsi="宋体"/>
                <w:sz w:val="24"/>
                <w:szCs w:val="20"/>
              </w:rPr>
            </w:pPr>
          </w:p>
        </w:tc>
      </w:tr>
      <w:tr w14:paraId="2E8CF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036A4DE">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06ECA7D6">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5D74DD0E">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64A2BFE2">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238AAB6E">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7247C21A">
            <w:pPr>
              <w:snapToGrid w:val="0"/>
              <w:spacing w:line="360" w:lineRule="auto"/>
              <w:rPr>
                <w:rFonts w:ascii="宋体" w:hAnsi="宋体"/>
                <w:sz w:val="24"/>
                <w:szCs w:val="20"/>
              </w:rPr>
            </w:pPr>
          </w:p>
        </w:tc>
      </w:tr>
      <w:tr w14:paraId="4FC4F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76061D3">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1AD4335B">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3A51D442">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6F4A5F16">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58148F0B">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03453410">
            <w:pPr>
              <w:snapToGrid w:val="0"/>
              <w:spacing w:line="360" w:lineRule="auto"/>
              <w:rPr>
                <w:rFonts w:ascii="宋体" w:hAnsi="宋体"/>
                <w:sz w:val="24"/>
                <w:szCs w:val="20"/>
              </w:rPr>
            </w:pPr>
          </w:p>
        </w:tc>
      </w:tr>
      <w:tr w14:paraId="1A7E3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7287E6D">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0B0C21B0">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01BE5696">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6C8653D6">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5C163088">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3CD56825">
            <w:pPr>
              <w:snapToGrid w:val="0"/>
              <w:spacing w:line="360" w:lineRule="auto"/>
              <w:rPr>
                <w:rFonts w:ascii="宋体" w:hAnsi="宋体"/>
                <w:sz w:val="24"/>
                <w:szCs w:val="20"/>
              </w:rPr>
            </w:pPr>
          </w:p>
        </w:tc>
      </w:tr>
      <w:tr w14:paraId="0B4DE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F00EE68">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7567A797">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168F4267">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1E56F70B">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79D6F244">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50DD1D3A">
            <w:pPr>
              <w:snapToGrid w:val="0"/>
              <w:spacing w:line="360" w:lineRule="auto"/>
              <w:rPr>
                <w:rFonts w:ascii="宋体" w:hAnsi="宋体"/>
                <w:sz w:val="24"/>
                <w:szCs w:val="20"/>
              </w:rPr>
            </w:pPr>
          </w:p>
        </w:tc>
      </w:tr>
    </w:tbl>
    <w:p w14:paraId="61F69267">
      <w:pPr>
        <w:snapToGrid w:val="0"/>
        <w:spacing w:line="360" w:lineRule="auto"/>
        <w:jc w:val="left"/>
        <w:rPr>
          <w:rFonts w:ascii="宋体" w:hAnsi="宋体"/>
          <w:sz w:val="24"/>
          <w:szCs w:val="20"/>
        </w:rPr>
      </w:pPr>
      <w:r>
        <w:rPr>
          <w:rFonts w:hint="eastAsia" w:ascii="宋体" w:hAnsi="宋体"/>
          <w:sz w:val="24"/>
        </w:rPr>
        <w:t>注：在填写时，如本表格不适合投标单位的实际情况，可根据本表格式自行划表填写。</w:t>
      </w:r>
    </w:p>
    <w:p w14:paraId="2E1BECD1">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14:paraId="4AD45453">
      <w:pPr>
        <w:snapToGrid w:val="0"/>
        <w:spacing w:line="360" w:lineRule="auto"/>
        <w:jc w:val="left"/>
        <w:rPr>
          <w:rFonts w:ascii="宋体" w:hAnsi="宋体"/>
          <w:spacing w:val="20"/>
          <w:sz w:val="24"/>
          <w:szCs w:val="20"/>
          <w:u w:val="single"/>
        </w:rPr>
      </w:pPr>
      <w:r>
        <w:rPr>
          <w:rFonts w:hint="eastAsia" w:ascii="宋体" w:hAnsi="宋体"/>
          <w:spacing w:val="20"/>
          <w:sz w:val="24"/>
        </w:rPr>
        <w:t>投标人盖章：日期：</w:t>
      </w:r>
    </w:p>
    <w:p w14:paraId="4FD25005">
      <w:pPr>
        <w:snapToGrid w:val="0"/>
        <w:spacing w:line="360" w:lineRule="auto"/>
        <w:jc w:val="left"/>
        <w:rPr>
          <w:rFonts w:ascii="宋体" w:hAnsi="宋体"/>
          <w:sz w:val="24"/>
        </w:rPr>
      </w:pPr>
    </w:p>
    <w:p w14:paraId="402390AF">
      <w:pPr>
        <w:pStyle w:val="32"/>
      </w:pPr>
    </w:p>
    <w:p w14:paraId="11683E10">
      <w:pPr>
        <w:rPr>
          <w:rFonts w:ascii="宋体" w:hAnsi="宋体"/>
          <w:sz w:val="24"/>
        </w:rPr>
      </w:pPr>
      <w:r>
        <w:rPr>
          <w:rFonts w:hint="eastAsia" w:ascii="宋体" w:hAnsi="宋体"/>
          <w:sz w:val="24"/>
        </w:rPr>
        <w:t>21.投标人对本项目的合理化建议和改进措施（格式自拟）</w:t>
      </w:r>
    </w:p>
    <w:p w14:paraId="31C7D9E9">
      <w:pPr>
        <w:snapToGrid w:val="0"/>
        <w:spacing w:line="360" w:lineRule="auto"/>
        <w:jc w:val="left"/>
        <w:rPr>
          <w:rFonts w:ascii="宋体" w:hAnsi="宋体"/>
          <w:sz w:val="24"/>
        </w:rPr>
      </w:pPr>
    </w:p>
    <w:p w14:paraId="48DA581D">
      <w:pPr>
        <w:pStyle w:val="32"/>
        <w:rPr>
          <w:rFonts w:ascii="宋体" w:hAnsi="宋体"/>
          <w:b w:val="0"/>
          <w:bCs w:val="0"/>
          <w:sz w:val="24"/>
          <w:szCs w:val="24"/>
        </w:rPr>
      </w:pPr>
    </w:p>
    <w:p w14:paraId="44165C01">
      <w:pPr>
        <w:snapToGrid w:val="0"/>
        <w:spacing w:line="360" w:lineRule="auto"/>
        <w:jc w:val="left"/>
        <w:rPr>
          <w:rFonts w:ascii="宋体" w:hAnsi="宋体"/>
          <w:sz w:val="24"/>
        </w:rPr>
      </w:pPr>
    </w:p>
    <w:p w14:paraId="097B2C27">
      <w:pPr>
        <w:snapToGrid w:val="0"/>
        <w:spacing w:line="360" w:lineRule="auto"/>
        <w:jc w:val="left"/>
        <w:rPr>
          <w:rFonts w:ascii="宋体" w:hAnsi="宋体"/>
          <w:sz w:val="24"/>
        </w:rPr>
      </w:pPr>
      <w:r>
        <w:rPr>
          <w:rFonts w:hint="eastAsia" w:ascii="宋体" w:hAnsi="宋体"/>
          <w:sz w:val="24"/>
        </w:rPr>
        <w:t>22.投标人需要说明的其他文件和说明（格式自拟）</w:t>
      </w:r>
    </w:p>
    <w:p w14:paraId="035DC97E">
      <w:pPr>
        <w:snapToGrid w:val="0"/>
        <w:spacing w:line="360" w:lineRule="auto"/>
        <w:jc w:val="left"/>
        <w:rPr>
          <w:rFonts w:ascii="宋体" w:hAnsi="宋体"/>
          <w:sz w:val="24"/>
        </w:rPr>
        <w:sectPr>
          <w:headerReference r:id="rId3" w:type="default"/>
          <w:footerReference r:id="rId4" w:type="default"/>
          <w:footerReference r:id="rId5" w:type="even"/>
          <w:pgSz w:w="11906" w:h="16838"/>
          <w:pgMar w:top="1361" w:right="1247" w:bottom="1361" w:left="1247" w:header="851" w:footer="851" w:gutter="0"/>
          <w:cols w:space="720" w:num="1"/>
          <w:docGrid w:linePitch="312" w:charSpace="0"/>
        </w:sectPr>
      </w:pPr>
    </w:p>
    <w:p w14:paraId="1D9FE15C">
      <w:pPr>
        <w:snapToGrid w:val="0"/>
        <w:spacing w:line="360" w:lineRule="auto"/>
        <w:jc w:val="left"/>
        <w:rPr>
          <w:rFonts w:ascii="宋体" w:hAnsi="宋体"/>
          <w:sz w:val="24"/>
        </w:rPr>
      </w:pPr>
      <w:r>
        <w:rPr>
          <w:rFonts w:hint="eastAsia" w:ascii="宋体" w:hAnsi="宋体"/>
          <w:sz w:val="24"/>
        </w:rPr>
        <w:t>23.投标人的类似成功案例的业绩证明文件：</w:t>
      </w:r>
    </w:p>
    <w:p w14:paraId="3BE4C137">
      <w:pPr>
        <w:pStyle w:val="27"/>
        <w:snapToGrid w:val="0"/>
        <w:spacing w:line="360" w:lineRule="auto"/>
        <w:ind w:left="480" w:hanging="480"/>
        <w:rPr>
          <w:rFonts w:ascii="宋体" w:hAnsi="宋体"/>
          <w:sz w:val="24"/>
        </w:rPr>
      </w:pPr>
      <w:r>
        <w:rPr>
          <w:rFonts w:ascii="宋体" w:hAnsi="宋体"/>
          <w:sz w:val="24"/>
        </w:rPr>
        <w:t>投标人同类项目实施情况一览表格式：（投标人同类项目合同复印件）</w:t>
      </w:r>
    </w:p>
    <w:tbl>
      <w:tblPr>
        <w:tblStyle w:val="34"/>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14:paraId="02BC6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32F9891A">
            <w:pPr>
              <w:snapToGrid w:val="0"/>
              <w:spacing w:line="360" w:lineRule="auto"/>
              <w:jc w:val="center"/>
              <w:rPr>
                <w:rFonts w:ascii="宋体" w:hAnsi="宋体"/>
                <w:sz w:val="18"/>
                <w:szCs w:val="20"/>
              </w:rPr>
            </w:pPr>
            <w:r>
              <w:rPr>
                <w:rFonts w:hint="eastAsia" w:ascii="宋体" w:hAnsi="宋体"/>
                <w:sz w:val="18"/>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585BB598">
            <w:pPr>
              <w:snapToGrid w:val="0"/>
              <w:spacing w:line="360" w:lineRule="auto"/>
              <w:jc w:val="center"/>
              <w:rPr>
                <w:rFonts w:ascii="宋体" w:hAnsi="宋体"/>
                <w:sz w:val="18"/>
                <w:szCs w:val="20"/>
              </w:rPr>
            </w:pPr>
            <w:r>
              <w:rPr>
                <w:rFonts w:hint="eastAsia" w:ascii="宋体" w:hAnsi="宋体"/>
                <w:sz w:val="18"/>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CF0A379">
            <w:pPr>
              <w:snapToGrid w:val="0"/>
              <w:spacing w:line="360" w:lineRule="auto"/>
              <w:jc w:val="center"/>
              <w:rPr>
                <w:rFonts w:ascii="宋体" w:hAnsi="宋体"/>
                <w:sz w:val="18"/>
                <w:szCs w:val="20"/>
              </w:rPr>
            </w:pPr>
            <w:r>
              <w:rPr>
                <w:rFonts w:hint="eastAsia" w:ascii="宋体" w:hAnsi="宋体"/>
                <w:sz w:val="18"/>
              </w:rPr>
              <w:t>采购</w:t>
            </w:r>
          </w:p>
          <w:p w14:paraId="336AE858">
            <w:pPr>
              <w:snapToGrid w:val="0"/>
              <w:spacing w:line="360" w:lineRule="auto"/>
              <w:jc w:val="center"/>
              <w:rPr>
                <w:rFonts w:ascii="宋体" w:hAnsi="宋体"/>
                <w:sz w:val="18"/>
                <w:szCs w:val="20"/>
              </w:rPr>
            </w:pPr>
            <w:r>
              <w:rPr>
                <w:rFonts w:hint="eastAsia" w:ascii="宋体" w:hAnsi="宋体"/>
                <w:sz w:val="18"/>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934A468">
            <w:pPr>
              <w:snapToGrid w:val="0"/>
              <w:spacing w:line="360" w:lineRule="auto"/>
              <w:jc w:val="center"/>
              <w:rPr>
                <w:rFonts w:ascii="宋体" w:hAnsi="宋体"/>
                <w:sz w:val="18"/>
                <w:szCs w:val="20"/>
              </w:rPr>
            </w:pPr>
            <w:r>
              <w:rPr>
                <w:rFonts w:hint="eastAsia" w:ascii="宋体" w:hAnsi="宋体"/>
                <w:sz w:val="18"/>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34742900">
            <w:pPr>
              <w:snapToGrid w:val="0"/>
              <w:spacing w:line="360" w:lineRule="auto"/>
              <w:jc w:val="center"/>
              <w:rPr>
                <w:rFonts w:ascii="宋体" w:hAnsi="宋体"/>
                <w:sz w:val="18"/>
                <w:szCs w:val="20"/>
              </w:rPr>
            </w:pPr>
            <w:r>
              <w:rPr>
                <w:rFonts w:hint="eastAsia" w:ascii="宋体" w:hAnsi="宋体"/>
                <w:sz w:val="18"/>
              </w:rPr>
              <w:t>合同</w:t>
            </w:r>
          </w:p>
          <w:p w14:paraId="0F760921">
            <w:pPr>
              <w:snapToGrid w:val="0"/>
              <w:spacing w:line="360" w:lineRule="auto"/>
              <w:jc w:val="center"/>
              <w:rPr>
                <w:rFonts w:ascii="宋体" w:hAnsi="宋体"/>
                <w:sz w:val="18"/>
                <w:szCs w:val="20"/>
              </w:rPr>
            </w:pPr>
            <w:r>
              <w:rPr>
                <w:rFonts w:hint="eastAsia" w:ascii="宋体" w:hAnsi="宋体"/>
                <w:sz w:val="18"/>
              </w:rPr>
              <w:t>金额</w:t>
            </w:r>
          </w:p>
          <w:p w14:paraId="58D0714F">
            <w:pPr>
              <w:snapToGrid w:val="0"/>
              <w:spacing w:line="360" w:lineRule="auto"/>
              <w:jc w:val="center"/>
              <w:rPr>
                <w:rFonts w:ascii="宋体" w:hAnsi="宋体"/>
                <w:sz w:val="18"/>
                <w:szCs w:val="20"/>
              </w:rPr>
            </w:pPr>
            <w:r>
              <w:rPr>
                <w:rFonts w:hint="eastAsia" w:ascii="宋体" w:hAnsi="宋体"/>
                <w:sz w:val="18"/>
              </w:rPr>
              <w:t>（万元）</w:t>
            </w:r>
          </w:p>
        </w:tc>
        <w:tc>
          <w:tcPr>
            <w:tcW w:w="1800" w:type="dxa"/>
            <w:tcBorders>
              <w:top w:val="single" w:color="auto" w:sz="4" w:space="0"/>
              <w:left w:val="single" w:color="auto" w:sz="4" w:space="0"/>
              <w:bottom w:val="single" w:color="auto" w:sz="4" w:space="0"/>
              <w:right w:val="single" w:color="auto" w:sz="4" w:space="0"/>
            </w:tcBorders>
            <w:vAlign w:val="center"/>
          </w:tcPr>
          <w:p w14:paraId="0A0B0AF6">
            <w:pPr>
              <w:snapToGrid w:val="0"/>
              <w:spacing w:line="360" w:lineRule="auto"/>
              <w:jc w:val="center"/>
              <w:rPr>
                <w:rFonts w:ascii="宋体" w:hAnsi="宋体"/>
                <w:sz w:val="18"/>
                <w:szCs w:val="20"/>
              </w:rPr>
            </w:pPr>
            <w:r>
              <w:rPr>
                <w:rFonts w:hint="eastAsia" w:ascii="宋体" w:hAnsi="宋体"/>
                <w:sz w:val="18"/>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46C0CB1C">
            <w:pPr>
              <w:snapToGrid w:val="0"/>
              <w:spacing w:line="360" w:lineRule="auto"/>
              <w:jc w:val="center"/>
              <w:rPr>
                <w:rFonts w:ascii="宋体" w:hAnsi="宋体"/>
                <w:sz w:val="18"/>
                <w:szCs w:val="20"/>
              </w:rPr>
            </w:pPr>
            <w:r>
              <w:rPr>
                <w:rFonts w:hint="eastAsia" w:ascii="宋体" w:hAnsi="宋体"/>
                <w:sz w:val="18"/>
              </w:rPr>
              <w:t>采购单位联系人及</w:t>
            </w:r>
          </w:p>
          <w:p w14:paraId="548AFF66">
            <w:pPr>
              <w:snapToGrid w:val="0"/>
              <w:spacing w:line="360" w:lineRule="auto"/>
              <w:jc w:val="center"/>
              <w:rPr>
                <w:rFonts w:ascii="宋体" w:hAnsi="宋体"/>
                <w:sz w:val="18"/>
                <w:szCs w:val="20"/>
              </w:rPr>
            </w:pPr>
            <w:r>
              <w:rPr>
                <w:rFonts w:hint="eastAsia" w:ascii="宋体" w:hAnsi="宋体"/>
                <w:sz w:val="18"/>
              </w:rPr>
              <w:t>联系电话</w:t>
            </w:r>
          </w:p>
        </w:tc>
      </w:tr>
      <w:tr w14:paraId="546EB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342FA05">
            <w:pPr>
              <w:widowControl/>
              <w:spacing w:line="360" w:lineRule="auto"/>
              <w:jc w:val="left"/>
              <w:rPr>
                <w:rFonts w:ascii="宋体" w:hAnsi="宋体"/>
                <w:sz w:val="18"/>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2A1B3D53">
            <w:pPr>
              <w:widowControl/>
              <w:spacing w:line="360" w:lineRule="auto"/>
              <w:jc w:val="left"/>
              <w:rPr>
                <w:rFonts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EDB5C29">
            <w:pPr>
              <w:widowControl/>
              <w:spacing w:line="360" w:lineRule="auto"/>
              <w:jc w:val="left"/>
              <w:rPr>
                <w:rFonts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4CE16FC">
            <w:pPr>
              <w:widowControl/>
              <w:spacing w:line="360" w:lineRule="auto"/>
              <w:jc w:val="left"/>
              <w:rPr>
                <w:rFonts w:ascii="宋体" w:hAnsi="宋体"/>
                <w:sz w:val="18"/>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53732FEF">
            <w:pPr>
              <w:widowControl/>
              <w:spacing w:line="360" w:lineRule="auto"/>
              <w:jc w:val="left"/>
              <w:rPr>
                <w:rFonts w:ascii="宋体" w:hAnsi="宋体"/>
                <w:sz w:val="18"/>
              </w:rPr>
            </w:pPr>
          </w:p>
        </w:tc>
        <w:tc>
          <w:tcPr>
            <w:tcW w:w="1800" w:type="dxa"/>
            <w:tcBorders>
              <w:top w:val="single" w:color="auto" w:sz="4" w:space="0"/>
              <w:left w:val="single" w:color="auto" w:sz="4" w:space="0"/>
              <w:bottom w:val="single" w:color="auto" w:sz="4" w:space="0"/>
              <w:right w:val="single" w:color="auto" w:sz="4" w:space="0"/>
            </w:tcBorders>
            <w:vAlign w:val="center"/>
          </w:tcPr>
          <w:p w14:paraId="5FD53F89">
            <w:pPr>
              <w:snapToGrid w:val="0"/>
              <w:spacing w:line="360" w:lineRule="auto"/>
              <w:jc w:val="center"/>
              <w:rPr>
                <w:rFonts w:ascii="宋体" w:hAnsi="宋体"/>
                <w:sz w:val="18"/>
                <w:szCs w:val="20"/>
              </w:rPr>
            </w:pPr>
            <w:r>
              <w:rPr>
                <w:rFonts w:hint="eastAsia" w:ascii="宋体" w:hAnsi="宋体"/>
                <w:sz w:val="18"/>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21CD56D3">
            <w:pPr>
              <w:widowControl/>
              <w:spacing w:line="360" w:lineRule="auto"/>
              <w:jc w:val="left"/>
              <w:rPr>
                <w:rFonts w:ascii="宋体" w:hAnsi="宋体"/>
                <w:sz w:val="18"/>
              </w:rPr>
            </w:pPr>
          </w:p>
        </w:tc>
      </w:tr>
      <w:tr w14:paraId="15E5A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481BFAE9">
            <w:pPr>
              <w:snapToGrid w:val="0"/>
              <w:spacing w:line="360" w:lineRule="auto"/>
              <w:jc w:val="left"/>
              <w:rPr>
                <w:rFonts w:ascii="宋体" w:hAnsi="宋体"/>
                <w:sz w:val="18"/>
                <w:szCs w:val="20"/>
              </w:rPr>
            </w:pPr>
          </w:p>
        </w:tc>
        <w:tc>
          <w:tcPr>
            <w:tcW w:w="3420" w:type="dxa"/>
            <w:tcBorders>
              <w:top w:val="single" w:color="auto" w:sz="4" w:space="0"/>
              <w:left w:val="single" w:color="auto" w:sz="4" w:space="0"/>
              <w:bottom w:val="single" w:color="auto" w:sz="4" w:space="0"/>
              <w:right w:val="single" w:color="auto" w:sz="4" w:space="0"/>
            </w:tcBorders>
          </w:tcPr>
          <w:p w14:paraId="7DF077F6">
            <w:pPr>
              <w:snapToGrid w:val="0"/>
              <w:spacing w:line="360" w:lineRule="auto"/>
              <w:jc w:val="left"/>
              <w:rPr>
                <w:rFonts w:ascii="宋体" w:hAnsi="宋体"/>
                <w:sz w:val="18"/>
                <w:szCs w:val="20"/>
              </w:rPr>
            </w:pPr>
          </w:p>
        </w:tc>
        <w:tc>
          <w:tcPr>
            <w:tcW w:w="1080" w:type="dxa"/>
            <w:tcBorders>
              <w:top w:val="single" w:color="auto" w:sz="4" w:space="0"/>
              <w:left w:val="single" w:color="auto" w:sz="4" w:space="0"/>
              <w:bottom w:val="single" w:color="auto" w:sz="4" w:space="0"/>
              <w:right w:val="single" w:color="auto" w:sz="4" w:space="0"/>
            </w:tcBorders>
          </w:tcPr>
          <w:p w14:paraId="44B3A199">
            <w:pPr>
              <w:snapToGrid w:val="0"/>
              <w:spacing w:line="360" w:lineRule="auto"/>
              <w:jc w:val="left"/>
              <w:rPr>
                <w:rFonts w:ascii="宋体" w:hAnsi="宋体"/>
                <w:sz w:val="18"/>
                <w:szCs w:val="20"/>
              </w:rPr>
            </w:pPr>
          </w:p>
        </w:tc>
        <w:tc>
          <w:tcPr>
            <w:tcW w:w="1080" w:type="dxa"/>
            <w:tcBorders>
              <w:top w:val="single" w:color="auto" w:sz="4" w:space="0"/>
              <w:left w:val="single" w:color="auto" w:sz="4" w:space="0"/>
              <w:bottom w:val="single" w:color="auto" w:sz="4" w:space="0"/>
              <w:right w:val="single" w:color="auto" w:sz="4" w:space="0"/>
            </w:tcBorders>
          </w:tcPr>
          <w:p w14:paraId="636F00D1">
            <w:pPr>
              <w:snapToGrid w:val="0"/>
              <w:spacing w:line="360" w:lineRule="auto"/>
              <w:jc w:val="left"/>
              <w:rPr>
                <w:rFonts w:ascii="宋体" w:hAnsi="宋体"/>
                <w:sz w:val="18"/>
                <w:szCs w:val="20"/>
              </w:rPr>
            </w:pPr>
          </w:p>
        </w:tc>
        <w:tc>
          <w:tcPr>
            <w:tcW w:w="1800" w:type="dxa"/>
            <w:tcBorders>
              <w:top w:val="single" w:color="auto" w:sz="4" w:space="0"/>
              <w:left w:val="single" w:color="auto" w:sz="4" w:space="0"/>
              <w:bottom w:val="single" w:color="auto" w:sz="4" w:space="0"/>
              <w:right w:val="single" w:color="auto" w:sz="4" w:space="0"/>
            </w:tcBorders>
          </w:tcPr>
          <w:p w14:paraId="05F9A37A">
            <w:pPr>
              <w:snapToGrid w:val="0"/>
              <w:spacing w:line="360" w:lineRule="auto"/>
              <w:jc w:val="left"/>
              <w:rPr>
                <w:rFonts w:ascii="宋体" w:hAnsi="宋体"/>
                <w:sz w:val="18"/>
                <w:szCs w:val="20"/>
              </w:rPr>
            </w:pPr>
          </w:p>
        </w:tc>
        <w:tc>
          <w:tcPr>
            <w:tcW w:w="1800" w:type="dxa"/>
            <w:tcBorders>
              <w:top w:val="single" w:color="auto" w:sz="4" w:space="0"/>
              <w:left w:val="single" w:color="auto" w:sz="4" w:space="0"/>
              <w:bottom w:val="single" w:color="auto" w:sz="4" w:space="0"/>
              <w:right w:val="single" w:color="auto" w:sz="4" w:space="0"/>
            </w:tcBorders>
          </w:tcPr>
          <w:p w14:paraId="3510BAAF">
            <w:pPr>
              <w:snapToGrid w:val="0"/>
              <w:spacing w:line="360" w:lineRule="auto"/>
              <w:jc w:val="left"/>
              <w:rPr>
                <w:rFonts w:ascii="宋体" w:hAnsi="宋体"/>
                <w:sz w:val="18"/>
                <w:szCs w:val="20"/>
              </w:rPr>
            </w:pPr>
          </w:p>
        </w:tc>
        <w:tc>
          <w:tcPr>
            <w:tcW w:w="2160" w:type="dxa"/>
            <w:tcBorders>
              <w:top w:val="single" w:color="auto" w:sz="4" w:space="0"/>
              <w:left w:val="single" w:color="auto" w:sz="4" w:space="0"/>
              <w:bottom w:val="single" w:color="auto" w:sz="4" w:space="0"/>
              <w:right w:val="single" w:color="auto" w:sz="4" w:space="0"/>
            </w:tcBorders>
          </w:tcPr>
          <w:p w14:paraId="6ECB58FA">
            <w:pPr>
              <w:snapToGrid w:val="0"/>
              <w:spacing w:line="360" w:lineRule="auto"/>
              <w:jc w:val="left"/>
              <w:rPr>
                <w:rFonts w:ascii="宋体" w:hAnsi="宋体"/>
                <w:sz w:val="18"/>
                <w:szCs w:val="20"/>
              </w:rPr>
            </w:pPr>
          </w:p>
        </w:tc>
      </w:tr>
      <w:tr w14:paraId="269F1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6BBB70A">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4D6DC7D6">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23781611">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F8E8F3C">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69ED5CDC">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07FC10D4">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65F7C83D">
            <w:pPr>
              <w:snapToGrid w:val="0"/>
              <w:spacing w:line="360" w:lineRule="auto"/>
              <w:jc w:val="left"/>
              <w:rPr>
                <w:rFonts w:ascii="宋体" w:hAnsi="宋体"/>
                <w:sz w:val="24"/>
                <w:szCs w:val="20"/>
              </w:rPr>
            </w:pPr>
          </w:p>
        </w:tc>
      </w:tr>
      <w:tr w14:paraId="5E96E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23D93464">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3A7C59DB">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6AE253D7">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161EBE4A">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3C87193E">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7EEDA284">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1423FE4A">
            <w:pPr>
              <w:snapToGrid w:val="0"/>
              <w:spacing w:line="360" w:lineRule="auto"/>
              <w:jc w:val="left"/>
              <w:rPr>
                <w:rFonts w:ascii="宋体" w:hAnsi="宋体"/>
                <w:sz w:val="24"/>
                <w:szCs w:val="20"/>
              </w:rPr>
            </w:pPr>
          </w:p>
        </w:tc>
      </w:tr>
      <w:tr w14:paraId="333AC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87A6352">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196FCD00">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66B4883">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2C1A08C8">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5BC408AD">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3B96EEEA">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15AD0749">
            <w:pPr>
              <w:snapToGrid w:val="0"/>
              <w:spacing w:line="360" w:lineRule="auto"/>
              <w:jc w:val="left"/>
              <w:rPr>
                <w:rFonts w:ascii="宋体" w:hAnsi="宋体"/>
                <w:sz w:val="24"/>
                <w:szCs w:val="20"/>
              </w:rPr>
            </w:pPr>
          </w:p>
        </w:tc>
      </w:tr>
      <w:tr w14:paraId="4C8D0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1F10AE5">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06CA9B0C">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673E7AF9">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25B0BBA">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56A3AD5D">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460C3F64">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5FDACC40">
            <w:pPr>
              <w:snapToGrid w:val="0"/>
              <w:spacing w:line="360" w:lineRule="auto"/>
              <w:jc w:val="left"/>
              <w:rPr>
                <w:rFonts w:ascii="宋体" w:hAnsi="宋体"/>
                <w:sz w:val="24"/>
                <w:szCs w:val="20"/>
              </w:rPr>
            </w:pPr>
          </w:p>
        </w:tc>
      </w:tr>
    </w:tbl>
    <w:p w14:paraId="57DD8978">
      <w:pPr>
        <w:pStyle w:val="11"/>
        <w:snapToGrid w:val="0"/>
        <w:spacing w:before="0" w:after="0" w:line="360" w:lineRule="auto"/>
        <w:rPr>
          <w:rFonts w:ascii="宋体" w:hAnsi="宋体" w:eastAsia="宋体"/>
          <w:sz w:val="24"/>
        </w:rPr>
      </w:pPr>
    </w:p>
    <w:p w14:paraId="6D6AFFFF">
      <w:pPr>
        <w:pStyle w:val="11"/>
        <w:snapToGrid w:val="0"/>
        <w:spacing w:before="0" w:after="0" w:line="360" w:lineRule="auto"/>
        <w:ind w:firstLine="600" w:firstLineChars="250"/>
        <w:rPr>
          <w:rFonts w:ascii="宋体" w:hAnsi="宋体" w:eastAsia="宋体"/>
          <w:sz w:val="24"/>
          <w:u w:val="single"/>
        </w:rPr>
      </w:pPr>
      <w:r>
        <w:rPr>
          <w:rFonts w:hint="eastAsia" w:ascii="宋体" w:hAnsi="宋体" w:eastAsia="宋体"/>
          <w:sz w:val="24"/>
        </w:rPr>
        <w:t>法定代表人签字：</w:t>
      </w:r>
      <w:r>
        <w:rPr>
          <w:rFonts w:hint="eastAsia" w:ascii="宋体" w:hAnsi="宋体" w:eastAsia="宋体"/>
          <w:sz w:val="24"/>
          <w:u w:val="single"/>
        </w:rPr>
        <w:t>　　　　　</w:t>
      </w:r>
    </w:p>
    <w:p w14:paraId="3982FCBC">
      <w:pPr>
        <w:snapToGrid w:val="0"/>
        <w:spacing w:line="360" w:lineRule="auto"/>
        <w:ind w:firstLine="480" w:firstLineChars="200"/>
        <w:jc w:val="left"/>
        <w:rPr>
          <w:rFonts w:ascii="宋体" w:hAnsi="宋体"/>
          <w:sz w:val="24"/>
        </w:rPr>
      </w:pPr>
      <w:r>
        <w:rPr>
          <w:rFonts w:hint="eastAsia" w:ascii="宋体" w:hAnsi="宋体"/>
          <w:sz w:val="24"/>
        </w:rPr>
        <w:t>投标人公章：年月日</w:t>
      </w:r>
    </w:p>
    <w:p w14:paraId="4759FCB4">
      <w:pPr>
        <w:snapToGrid w:val="0"/>
        <w:spacing w:line="360" w:lineRule="auto"/>
        <w:ind w:firstLine="480" w:firstLineChars="200"/>
        <w:jc w:val="left"/>
        <w:rPr>
          <w:rFonts w:ascii="仿宋_GB2312" w:eastAsia="仿宋_GB2312"/>
          <w:sz w:val="24"/>
        </w:rPr>
      </w:pPr>
    </w:p>
    <w:p w14:paraId="37DA7DDC">
      <w:pPr>
        <w:snapToGrid w:val="0"/>
        <w:spacing w:line="360" w:lineRule="auto"/>
        <w:jc w:val="left"/>
        <w:rPr>
          <w:rFonts w:ascii="宋体" w:hAnsi="宋体"/>
          <w:sz w:val="24"/>
        </w:rPr>
        <w:sectPr>
          <w:pgSz w:w="16838" w:h="11906" w:orient="landscape"/>
          <w:pgMar w:top="1797" w:right="1474" w:bottom="1797" w:left="1247" w:header="851" w:footer="851" w:gutter="0"/>
          <w:cols w:space="720" w:num="1"/>
          <w:docGrid w:linePitch="312" w:charSpace="0"/>
        </w:sectPr>
      </w:pPr>
    </w:p>
    <w:p w14:paraId="14D467F4">
      <w:pPr>
        <w:snapToGrid w:val="0"/>
        <w:spacing w:line="360" w:lineRule="auto"/>
        <w:ind w:firstLine="480" w:firstLineChars="200"/>
        <w:jc w:val="left"/>
        <w:rPr>
          <w:rFonts w:ascii="宋体" w:hAnsi="宋体"/>
          <w:i/>
          <w:sz w:val="24"/>
        </w:rPr>
      </w:pPr>
      <w:r>
        <w:rPr>
          <w:rFonts w:hint="eastAsia" w:ascii="宋体" w:hAnsi="宋体"/>
          <w:sz w:val="24"/>
        </w:rPr>
        <w:t>24.距采购人最近或者能为本项目提供最优服务的网点情况表</w:t>
      </w:r>
    </w:p>
    <w:tbl>
      <w:tblPr>
        <w:tblStyle w:val="34"/>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14:paraId="5066A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7231CC2C">
            <w:pPr>
              <w:snapToGrid w:val="0"/>
              <w:spacing w:line="360" w:lineRule="auto"/>
              <w:jc w:val="left"/>
              <w:rPr>
                <w:rFonts w:ascii="宋体" w:hAnsi="宋体"/>
                <w:sz w:val="24"/>
                <w:szCs w:val="20"/>
              </w:rPr>
            </w:pPr>
            <w:r>
              <w:rPr>
                <w:rFonts w:hint="eastAsia" w:ascii="宋体" w:hAnsi="宋体"/>
                <w:sz w:val="24"/>
              </w:rPr>
              <w:t>服务网点名称</w:t>
            </w:r>
          </w:p>
        </w:tc>
        <w:tc>
          <w:tcPr>
            <w:tcW w:w="5575" w:type="dxa"/>
            <w:gridSpan w:val="5"/>
            <w:tcBorders>
              <w:top w:val="single" w:color="auto" w:sz="4" w:space="0"/>
              <w:left w:val="single" w:color="auto" w:sz="4" w:space="0"/>
              <w:bottom w:val="single" w:color="auto" w:sz="4" w:space="0"/>
              <w:right w:val="single" w:color="auto" w:sz="4" w:space="0"/>
            </w:tcBorders>
          </w:tcPr>
          <w:p w14:paraId="5C0B523D">
            <w:pPr>
              <w:snapToGrid w:val="0"/>
              <w:spacing w:line="360" w:lineRule="auto"/>
              <w:jc w:val="left"/>
              <w:rPr>
                <w:rFonts w:ascii="宋体" w:hAnsi="宋体"/>
                <w:sz w:val="24"/>
                <w:szCs w:val="20"/>
              </w:rPr>
            </w:pPr>
          </w:p>
        </w:tc>
        <w:tc>
          <w:tcPr>
            <w:tcW w:w="1227" w:type="dxa"/>
            <w:vMerge w:val="restart"/>
            <w:tcBorders>
              <w:top w:val="single" w:color="auto" w:sz="4" w:space="0"/>
              <w:left w:val="single" w:color="auto" w:sz="4" w:space="0"/>
              <w:bottom w:val="single" w:color="auto" w:sz="4" w:space="0"/>
              <w:right w:val="single" w:color="auto" w:sz="4" w:space="0"/>
            </w:tcBorders>
          </w:tcPr>
          <w:p w14:paraId="61C3F86F">
            <w:pPr>
              <w:snapToGrid w:val="0"/>
              <w:spacing w:line="360" w:lineRule="auto"/>
              <w:jc w:val="left"/>
              <w:rPr>
                <w:rFonts w:ascii="宋体" w:hAnsi="宋体"/>
                <w:sz w:val="24"/>
                <w:szCs w:val="20"/>
              </w:rPr>
            </w:pPr>
            <w:r>
              <w:rPr>
                <w:rFonts w:hint="eastAsia" w:ascii="宋体" w:hAnsi="宋体"/>
                <w:sz w:val="24"/>
              </w:rPr>
              <w:t>投标文件</w:t>
            </w:r>
          </w:p>
          <w:p w14:paraId="31475269">
            <w:pPr>
              <w:snapToGrid w:val="0"/>
              <w:spacing w:line="360" w:lineRule="auto"/>
              <w:jc w:val="center"/>
              <w:rPr>
                <w:rFonts w:ascii="宋体" w:hAnsi="宋体"/>
                <w:sz w:val="24"/>
                <w:szCs w:val="20"/>
              </w:rPr>
            </w:pPr>
            <w:r>
              <w:rPr>
                <w:rFonts w:hint="eastAsia" w:ascii="宋体" w:hAnsi="宋体"/>
                <w:sz w:val="24"/>
              </w:rPr>
              <w:t>页码</w:t>
            </w:r>
          </w:p>
        </w:tc>
      </w:tr>
      <w:tr w14:paraId="764EA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705E22EE">
            <w:pPr>
              <w:snapToGrid w:val="0"/>
              <w:spacing w:line="360" w:lineRule="auto"/>
              <w:jc w:val="left"/>
              <w:rPr>
                <w:rFonts w:ascii="宋体" w:hAnsi="宋体"/>
                <w:sz w:val="24"/>
                <w:szCs w:val="20"/>
              </w:rPr>
            </w:pPr>
            <w:r>
              <w:rPr>
                <w:rFonts w:hint="eastAsia" w:ascii="宋体" w:hAnsi="宋体"/>
                <w:sz w:val="24"/>
              </w:rPr>
              <w:t>地址</w:t>
            </w:r>
          </w:p>
        </w:tc>
        <w:tc>
          <w:tcPr>
            <w:tcW w:w="5575" w:type="dxa"/>
            <w:gridSpan w:val="5"/>
            <w:tcBorders>
              <w:top w:val="single" w:color="auto" w:sz="4" w:space="0"/>
              <w:left w:val="single" w:color="auto" w:sz="4" w:space="0"/>
              <w:bottom w:val="single" w:color="auto" w:sz="4" w:space="0"/>
              <w:right w:val="single" w:color="auto" w:sz="4" w:space="0"/>
            </w:tcBorders>
          </w:tcPr>
          <w:p w14:paraId="061B3726">
            <w:pPr>
              <w:snapToGrid w:val="0"/>
              <w:spacing w:line="360" w:lineRule="auto"/>
              <w:jc w:val="left"/>
              <w:rPr>
                <w:rFonts w:ascii="宋体" w:hAnsi="宋体"/>
                <w:sz w:val="24"/>
                <w:szCs w:val="20"/>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14:paraId="135EF3B4">
            <w:pPr>
              <w:widowControl/>
              <w:spacing w:line="360" w:lineRule="auto"/>
              <w:jc w:val="left"/>
              <w:rPr>
                <w:rFonts w:ascii="宋体" w:hAnsi="宋体"/>
                <w:sz w:val="24"/>
              </w:rPr>
            </w:pPr>
          </w:p>
        </w:tc>
      </w:tr>
      <w:tr w14:paraId="44BD5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849996A">
            <w:pPr>
              <w:snapToGrid w:val="0"/>
              <w:spacing w:line="360" w:lineRule="auto"/>
              <w:jc w:val="left"/>
              <w:rPr>
                <w:rFonts w:ascii="宋体" w:hAnsi="宋体"/>
                <w:sz w:val="24"/>
                <w:szCs w:val="20"/>
              </w:rPr>
            </w:pPr>
            <w:r>
              <w:rPr>
                <w:rFonts w:hint="eastAsia" w:ascii="宋体" w:hAnsi="宋体"/>
                <w:sz w:val="24"/>
              </w:rPr>
              <w:t>注册资本金</w:t>
            </w:r>
          </w:p>
        </w:tc>
        <w:tc>
          <w:tcPr>
            <w:tcW w:w="1622" w:type="dxa"/>
            <w:tcBorders>
              <w:top w:val="single" w:color="auto" w:sz="4" w:space="0"/>
              <w:left w:val="single" w:color="auto" w:sz="4" w:space="0"/>
              <w:bottom w:val="single" w:color="auto" w:sz="4" w:space="0"/>
              <w:right w:val="single" w:color="auto" w:sz="4" w:space="0"/>
            </w:tcBorders>
          </w:tcPr>
          <w:p w14:paraId="0ED33F4C">
            <w:pPr>
              <w:snapToGrid w:val="0"/>
              <w:spacing w:line="360" w:lineRule="auto"/>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14:paraId="5A28ACEA">
            <w:pPr>
              <w:snapToGrid w:val="0"/>
              <w:spacing w:line="360" w:lineRule="auto"/>
              <w:jc w:val="left"/>
              <w:rPr>
                <w:rFonts w:ascii="宋体" w:hAnsi="宋体"/>
                <w:sz w:val="24"/>
                <w:szCs w:val="20"/>
              </w:rPr>
            </w:pPr>
            <w:r>
              <w:rPr>
                <w:rFonts w:hint="eastAsia" w:ascii="宋体" w:hAnsi="宋体"/>
                <w:sz w:val="24"/>
              </w:rPr>
              <w:t>其中：投标人出资比例</w:t>
            </w:r>
          </w:p>
        </w:tc>
        <w:tc>
          <w:tcPr>
            <w:tcW w:w="1435" w:type="dxa"/>
            <w:tcBorders>
              <w:top w:val="single" w:color="auto" w:sz="4" w:space="0"/>
              <w:left w:val="single" w:color="auto" w:sz="4" w:space="0"/>
              <w:bottom w:val="single" w:color="auto" w:sz="4" w:space="0"/>
              <w:right w:val="single" w:color="auto" w:sz="4" w:space="0"/>
            </w:tcBorders>
          </w:tcPr>
          <w:p w14:paraId="67C85873">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05578127">
            <w:pPr>
              <w:snapToGrid w:val="0"/>
              <w:spacing w:line="360" w:lineRule="auto"/>
              <w:jc w:val="left"/>
              <w:rPr>
                <w:rFonts w:ascii="宋体" w:hAnsi="宋体"/>
                <w:sz w:val="24"/>
                <w:szCs w:val="20"/>
              </w:rPr>
            </w:pPr>
          </w:p>
        </w:tc>
      </w:tr>
      <w:tr w14:paraId="772BF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8C15474">
            <w:pPr>
              <w:snapToGrid w:val="0"/>
              <w:spacing w:line="360" w:lineRule="auto"/>
              <w:jc w:val="left"/>
              <w:rPr>
                <w:rFonts w:ascii="宋体" w:hAnsi="宋体"/>
                <w:sz w:val="24"/>
                <w:szCs w:val="20"/>
              </w:rPr>
            </w:pPr>
            <w:r>
              <w:rPr>
                <w:rFonts w:hint="eastAsia" w:ascii="宋体" w:hAnsi="宋体"/>
                <w:sz w:val="24"/>
              </w:rPr>
              <w:t>员工总人数</w:t>
            </w:r>
          </w:p>
        </w:tc>
        <w:tc>
          <w:tcPr>
            <w:tcW w:w="1622" w:type="dxa"/>
            <w:tcBorders>
              <w:top w:val="single" w:color="auto" w:sz="4" w:space="0"/>
              <w:left w:val="single" w:color="auto" w:sz="4" w:space="0"/>
              <w:bottom w:val="single" w:color="auto" w:sz="4" w:space="0"/>
              <w:right w:val="single" w:color="auto" w:sz="4" w:space="0"/>
            </w:tcBorders>
          </w:tcPr>
          <w:p w14:paraId="26DF6276">
            <w:pPr>
              <w:snapToGrid w:val="0"/>
              <w:spacing w:line="360" w:lineRule="auto"/>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14:paraId="0994A6B8">
            <w:pPr>
              <w:snapToGrid w:val="0"/>
              <w:spacing w:line="360" w:lineRule="auto"/>
              <w:ind w:left="60"/>
              <w:jc w:val="left"/>
              <w:rPr>
                <w:rFonts w:ascii="宋体" w:hAnsi="宋体"/>
                <w:sz w:val="24"/>
                <w:szCs w:val="20"/>
              </w:rPr>
            </w:pPr>
            <w:r>
              <w:rPr>
                <w:rFonts w:hint="eastAsia" w:ascii="宋体" w:hAnsi="宋体"/>
                <w:sz w:val="24"/>
              </w:rPr>
              <w:t>其中：技术人员数</w:t>
            </w:r>
          </w:p>
        </w:tc>
        <w:tc>
          <w:tcPr>
            <w:tcW w:w="1435" w:type="dxa"/>
            <w:tcBorders>
              <w:top w:val="single" w:color="auto" w:sz="4" w:space="0"/>
              <w:left w:val="single" w:color="auto" w:sz="4" w:space="0"/>
              <w:bottom w:val="single" w:color="auto" w:sz="4" w:space="0"/>
              <w:right w:val="single" w:color="auto" w:sz="4" w:space="0"/>
            </w:tcBorders>
          </w:tcPr>
          <w:p w14:paraId="2A497E94">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338B5E8A">
            <w:pPr>
              <w:snapToGrid w:val="0"/>
              <w:spacing w:line="360" w:lineRule="auto"/>
              <w:jc w:val="left"/>
              <w:rPr>
                <w:rFonts w:ascii="宋体" w:hAnsi="宋体"/>
                <w:sz w:val="24"/>
                <w:szCs w:val="20"/>
              </w:rPr>
            </w:pPr>
          </w:p>
        </w:tc>
      </w:tr>
      <w:tr w14:paraId="0F507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5DF37F7">
            <w:pPr>
              <w:snapToGrid w:val="0"/>
              <w:spacing w:line="360" w:lineRule="auto"/>
              <w:jc w:val="left"/>
              <w:rPr>
                <w:rFonts w:ascii="宋体" w:hAnsi="宋体"/>
                <w:sz w:val="24"/>
                <w:szCs w:val="20"/>
              </w:rPr>
            </w:pPr>
            <w:r>
              <w:rPr>
                <w:rFonts w:hint="eastAsia" w:ascii="宋体" w:hAnsi="宋体"/>
                <w:sz w:val="24"/>
              </w:rPr>
              <w:t>经营期限</w:t>
            </w:r>
          </w:p>
        </w:tc>
        <w:tc>
          <w:tcPr>
            <w:tcW w:w="5575" w:type="dxa"/>
            <w:gridSpan w:val="5"/>
            <w:tcBorders>
              <w:top w:val="single" w:color="auto" w:sz="4" w:space="0"/>
              <w:left w:val="single" w:color="auto" w:sz="4" w:space="0"/>
              <w:bottom w:val="single" w:color="auto" w:sz="4" w:space="0"/>
              <w:right w:val="single" w:color="auto" w:sz="4" w:space="0"/>
            </w:tcBorders>
          </w:tcPr>
          <w:p w14:paraId="34CE500F">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7359D56F">
            <w:pPr>
              <w:snapToGrid w:val="0"/>
              <w:spacing w:line="360" w:lineRule="auto"/>
              <w:jc w:val="left"/>
              <w:rPr>
                <w:rFonts w:ascii="宋体" w:hAnsi="宋体"/>
                <w:sz w:val="24"/>
                <w:szCs w:val="20"/>
              </w:rPr>
            </w:pPr>
          </w:p>
        </w:tc>
      </w:tr>
      <w:tr w14:paraId="7FECF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33A8FFE">
            <w:pPr>
              <w:snapToGrid w:val="0"/>
              <w:spacing w:line="360" w:lineRule="auto"/>
              <w:jc w:val="left"/>
              <w:rPr>
                <w:rFonts w:ascii="宋体" w:hAnsi="宋体"/>
                <w:sz w:val="24"/>
                <w:szCs w:val="20"/>
              </w:rPr>
            </w:pPr>
            <w:r>
              <w:rPr>
                <w:rFonts w:hint="eastAsia" w:ascii="宋体" w:hAnsi="宋体"/>
                <w:sz w:val="24"/>
              </w:rPr>
              <w:t>售后服务协议</w:t>
            </w:r>
          </w:p>
        </w:tc>
        <w:tc>
          <w:tcPr>
            <w:tcW w:w="5575" w:type="dxa"/>
            <w:gridSpan w:val="5"/>
            <w:tcBorders>
              <w:top w:val="single" w:color="auto" w:sz="4" w:space="0"/>
              <w:left w:val="single" w:color="auto" w:sz="4" w:space="0"/>
              <w:bottom w:val="single" w:color="auto" w:sz="4" w:space="0"/>
              <w:right w:val="single" w:color="auto" w:sz="4" w:space="0"/>
            </w:tcBorders>
          </w:tcPr>
          <w:p w14:paraId="0E10E79C">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09DB545B">
            <w:pPr>
              <w:snapToGrid w:val="0"/>
              <w:spacing w:line="360" w:lineRule="auto"/>
              <w:jc w:val="left"/>
              <w:rPr>
                <w:rFonts w:ascii="宋体" w:hAnsi="宋体"/>
                <w:sz w:val="24"/>
                <w:szCs w:val="20"/>
              </w:rPr>
            </w:pPr>
          </w:p>
        </w:tc>
      </w:tr>
      <w:tr w14:paraId="73678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B0E0113">
            <w:pPr>
              <w:snapToGrid w:val="0"/>
              <w:spacing w:line="360" w:lineRule="auto"/>
              <w:jc w:val="left"/>
              <w:rPr>
                <w:rFonts w:ascii="宋体" w:hAnsi="宋体"/>
                <w:sz w:val="24"/>
                <w:szCs w:val="20"/>
              </w:rPr>
            </w:pPr>
            <w:r>
              <w:rPr>
                <w:rFonts w:hint="eastAsia" w:ascii="宋体" w:hAnsi="宋体"/>
                <w:sz w:val="24"/>
              </w:rPr>
              <w:t>售后服务内容</w:t>
            </w:r>
          </w:p>
        </w:tc>
        <w:tc>
          <w:tcPr>
            <w:tcW w:w="5575" w:type="dxa"/>
            <w:gridSpan w:val="5"/>
            <w:tcBorders>
              <w:top w:val="single" w:color="auto" w:sz="4" w:space="0"/>
              <w:left w:val="single" w:color="auto" w:sz="4" w:space="0"/>
              <w:bottom w:val="single" w:color="auto" w:sz="4" w:space="0"/>
              <w:right w:val="single" w:color="auto" w:sz="4" w:space="0"/>
            </w:tcBorders>
          </w:tcPr>
          <w:p w14:paraId="0712D2CD">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2A242C9E">
            <w:pPr>
              <w:snapToGrid w:val="0"/>
              <w:spacing w:line="360" w:lineRule="auto"/>
              <w:jc w:val="left"/>
              <w:rPr>
                <w:rFonts w:ascii="宋体" w:hAnsi="宋体"/>
                <w:sz w:val="24"/>
                <w:szCs w:val="20"/>
              </w:rPr>
            </w:pPr>
          </w:p>
        </w:tc>
      </w:tr>
      <w:tr w14:paraId="084B5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2F7AE2E">
            <w:pPr>
              <w:snapToGrid w:val="0"/>
              <w:spacing w:line="360" w:lineRule="auto"/>
              <w:jc w:val="left"/>
              <w:rPr>
                <w:rFonts w:ascii="宋体" w:hAnsi="宋体"/>
                <w:sz w:val="24"/>
                <w:szCs w:val="20"/>
              </w:rPr>
            </w:pPr>
            <w:r>
              <w:rPr>
                <w:rFonts w:hint="eastAsia" w:ascii="宋体" w:hAnsi="宋体"/>
                <w:sz w:val="24"/>
              </w:rPr>
              <w:t>工作业绩</w:t>
            </w:r>
          </w:p>
        </w:tc>
        <w:tc>
          <w:tcPr>
            <w:tcW w:w="5575" w:type="dxa"/>
            <w:gridSpan w:val="5"/>
            <w:tcBorders>
              <w:top w:val="single" w:color="auto" w:sz="4" w:space="0"/>
              <w:left w:val="single" w:color="auto" w:sz="4" w:space="0"/>
              <w:bottom w:val="single" w:color="auto" w:sz="4" w:space="0"/>
              <w:right w:val="single" w:color="auto" w:sz="4" w:space="0"/>
            </w:tcBorders>
          </w:tcPr>
          <w:p w14:paraId="31E309F0">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2FAFA789">
            <w:pPr>
              <w:snapToGrid w:val="0"/>
              <w:spacing w:line="360" w:lineRule="auto"/>
              <w:jc w:val="left"/>
              <w:rPr>
                <w:rFonts w:ascii="宋体" w:hAnsi="宋体"/>
                <w:sz w:val="24"/>
                <w:szCs w:val="20"/>
              </w:rPr>
            </w:pPr>
          </w:p>
        </w:tc>
      </w:tr>
      <w:tr w14:paraId="6D585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2CEF77E">
            <w:pPr>
              <w:snapToGrid w:val="0"/>
              <w:spacing w:line="360" w:lineRule="auto"/>
              <w:jc w:val="left"/>
              <w:rPr>
                <w:rFonts w:ascii="宋体" w:hAnsi="宋体"/>
                <w:sz w:val="24"/>
                <w:szCs w:val="20"/>
              </w:rPr>
            </w:pPr>
            <w:r>
              <w:rPr>
                <w:rFonts w:hint="eastAsia" w:ascii="宋体" w:hAnsi="宋体"/>
                <w:sz w:val="24"/>
              </w:rPr>
              <w:t>服务承诺</w:t>
            </w:r>
          </w:p>
        </w:tc>
        <w:tc>
          <w:tcPr>
            <w:tcW w:w="5575" w:type="dxa"/>
            <w:gridSpan w:val="5"/>
            <w:tcBorders>
              <w:top w:val="single" w:color="auto" w:sz="4" w:space="0"/>
              <w:left w:val="single" w:color="auto" w:sz="4" w:space="0"/>
              <w:bottom w:val="single" w:color="auto" w:sz="4" w:space="0"/>
              <w:right w:val="single" w:color="auto" w:sz="4" w:space="0"/>
            </w:tcBorders>
          </w:tcPr>
          <w:p w14:paraId="2CF728FC">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683E39F8">
            <w:pPr>
              <w:snapToGrid w:val="0"/>
              <w:spacing w:line="360" w:lineRule="auto"/>
              <w:jc w:val="left"/>
              <w:rPr>
                <w:rFonts w:ascii="宋体" w:hAnsi="宋体"/>
                <w:sz w:val="24"/>
                <w:szCs w:val="20"/>
              </w:rPr>
            </w:pPr>
          </w:p>
        </w:tc>
      </w:tr>
      <w:tr w14:paraId="0711D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E47DCF2">
            <w:pPr>
              <w:snapToGrid w:val="0"/>
              <w:spacing w:line="360" w:lineRule="auto"/>
              <w:jc w:val="left"/>
              <w:rPr>
                <w:rFonts w:ascii="宋体" w:hAnsi="宋体"/>
                <w:sz w:val="24"/>
                <w:szCs w:val="20"/>
              </w:rPr>
            </w:pPr>
            <w:r>
              <w:rPr>
                <w:rFonts w:hint="eastAsia" w:ascii="宋体" w:hAnsi="宋体"/>
                <w:sz w:val="24"/>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14:paraId="2FC88A58">
            <w:pPr>
              <w:snapToGrid w:val="0"/>
              <w:spacing w:line="360" w:lineRule="auto"/>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tcPr>
          <w:p w14:paraId="6E337E68">
            <w:pPr>
              <w:snapToGrid w:val="0"/>
              <w:spacing w:line="360" w:lineRule="auto"/>
              <w:ind w:firstLine="240" w:firstLineChars="100"/>
              <w:jc w:val="left"/>
              <w:rPr>
                <w:rFonts w:ascii="宋体" w:hAnsi="宋体"/>
                <w:sz w:val="24"/>
                <w:szCs w:val="20"/>
              </w:rPr>
            </w:pPr>
            <w:r>
              <w:rPr>
                <w:rFonts w:hint="eastAsia" w:ascii="宋体" w:hAnsi="宋体"/>
                <w:sz w:val="24"/>
              </w:rPr>
              <w:t>传</w:t>
            </w:r>
            <w:r>
              <w:rPr>
                <w:rFonts w:ascii="宋体" w:hAnsi="宋体"/>
                <w:sz w:val="24"/>
              </w:rPr>
              <w:t xml:space="preserve"> 真</w:t>
            </w:r>
          </w:p>
        </w:tc>
        <w:tc>
          <w:tcPr>
            <w:tcW w:w="2323" w:type="dxa"/>
            <w:gridSpan w:val="2"/>
            <w:tcBorders>
              <w:top w:val="single" w:color="auto" w:sz="4" w:space="0"/>
              <w:left w:val="single" w:color="auto" w:sz="2" w:space="0"/>
              <w:bottom w:val="single" w:color="auto" w:sz="4" w:space="0"/>
              <w:right w:val="single" w:color="auto" w:sz="2" w:space="0"/>
            </w:tcBorders>
          </w:tcPr>
          <w:p w14:paraId="5CC9446A">
            <w:pPr>
              <w:snapToGrid w:val="0"/>
              <w:spacing w:line="360" w:lineRule="auto"/>
              <w:jc w:val="left"/>
              <w:rPr>
                <w:rFonts w:ascii="宋体" w:hAnsi="宋体"/>
                <w:sz w:val="24"/>
                <w:szCs w:val="20"/>
              </w:rPr>
            </w:pPr>
          </w:p>
        </w:tc>
        <w:tc>
          <w:tcPr>
            <w:tcW w:w="1227" w:type="dxa"/>
            <w:tcBorders>
              <w:top w:val="single" w:color="auto" w:sz="4" w:space="0"/>
              <w:left w:val="single" w:color="auto" w:sz="2" w:space="0"/>
              <w:bottom w:val="single" w:color="auto" w:sz="4" w:space="0"/>
              <w:right w:val="single" w:color="auto" w:sz="4" w:space="0"/>
            </w:tcBorders>
          </w:tcPr>
          <w:p w14:paraId="572FEDCE">
            <w:pPr>
              <w:snapToGrid w:val="0"/>
              <w:spacing w:line="360" w:lineRule="auto"/>
              <w:jc w:val="left"/>
              <w:rPr>
                <w:rFonts w:ascii="宋体" w:hAnsi="宋体"/>
                <w:sz w:val="24"/>
                <w:szCs w:val="20"/>
              </w:rPr>
            </w:pPr>
          </w:p>
        </w:tc>
      </w:tr>
      <w:tr w14:paraId="6EAD0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F1C05C2">
            <w:pPr>
              <w:snapToGrid w:val="0"/>
              <w:spacing w:line="360" w:lineRule="auto"/>
              <w:jc w:val="left"/>
              <w:rPr>
                <w:rFonts w:ascii="宋体" w:hAnsi="宋体"/>
                <w:sz w:val="24"/>
                <w:szCs w:val="20"/>
              </w:rPr>
            </w:pPr>
            <w:r>
              <w:rPr>
                <w:rFonts w:hint="eastAsia" w:ascii="宋体" w:hAnsi="宋体"/>
                <w:sz w:val="24"/>
              </w:rPr>
              <w:t>负责人</w:t>
            </w:r>
          </w:p>
        </w:tc>
        <w:tc>
          <w:tcPr>
            <w:tcW w:w="1813" w:type="dxa"/>
            <w:gridSpan w:val="2"/>
            <w:tcBorders>
              <w:top w:val="single" w:color="auto" w:sz="4" w:space="0"/>
              <w:left w:val="single" w:color="auto" w:sz="4" w:space="0"/>
              <w:bottom w:val="single" w:color="auto" w:sz="4" w:space="0"/>
              <w:right w:val="single" w:color="auto" w:sz="2" w:space="0"/>
            </w:tcBorders>
          </w:tcPr>
          <w:p w14:paraId="29552014">
            <w:pPr>
              <w:snapToGrid w:val="0"/>
              <w:spacing w:line="360" w:lineRule="auto"/>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tcPr>
          <w:p w14:paraId="48EDD733">
            <w:pPr>
              <w:snapToGrid w:val="0"/>
              <w:spacing w:line="360" w:lineRule="auto"/>
              <w:jc w:val="left"/>
              <w:rPr>
                <w:rFonts w:ascii="宋体" w:hAnsi="宋体"/>
                <w:sz w:val="24"/>
                <w:szCs w:val="20"/>
              </w:rPr>
            </w:pPr>
            <w:r>
              <w:rPr>
                <w:rFonts w:hint="eastAsia" w:ascii="宋体" w:hAnsi="宋体"/>
                <w:sz w:val="24"/>
              </w:rPr>
              <w:t>联系电话</w:t>
            </w:r>
          </w:p>
        </w:tc>
        <w:tc>
          <w:tcPr>
            <w:tcW w:w="2323" w:type="dxa"/>
            <w:gridSpan w:val="2"/>
            <w:tcBorders>
              <w:top w:val="single" w:color="auto" w:sz="4" w:space="0"/>
              <w:left w:val="single" w:color="auto" w:sz="2" w:space="0"/>
              <w:bottom w:val="single" w:color="auto" w:sz="4" w:space="0"/>
              <w:right w:val="single" w:color="auto" w:sz="4" w:space="0"/>
            </w:tcBorders>
          </w:tcPr>
          <w:p w14:paraId="632202D9">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1AA50F14">
            <w:pPr>
              <w:snapToGrid w:val="0"/>
              <w:spacing w:line="360" w:lineRule="auto"/>
              <w:jc w:val="left"/>
              <w:rPr>
                <w:rFonts w:ascii="宋体" w:hAnsi="宋体"/>
                <w:sz w:val="24"/>
                <w:szCs w:val="20"/>
              </w:rPr>
            </w:pPr>
          </w:p>
        </w:tc>
      </w:tr>
    </w:tbl>
    <w:p w14:paraId="1BB4E341">
      <w:pPr>
        <w:pStyle w:val="11"/>
        <w:snapToGrid w:val="0"/>
        <w:spacing w:before="0" w:after="0" w:line="360" w:lineRule="auto"/>
        <w:rPr>
          <w:rFonts w:ascii="宋体" w:hAnsi="宋体" w:eastAsia="宋体"/>
          <w:sz w:val="24"/>
          <w:u w:val="single"/>
        </w:rPr>
      </w:pPr>
      <w:r>
        <w:rPr>
          <w:rFonts w:hint="eastAsia" w:ascii="宋体" w:hAnsi="宋体" w:eastAsia="宋体"/>
          <w:sz w:val="24"/>
        </w:rPr>
        <w:t>授权代表签字：</w:t>
      </w:r>
      <w:r>
        <w:rPr>
          <w:rFonts w:hint="eastAsia" w:ascii="宋体" w:hAnsi="宋体" w:eastAsia="宋体"/>
          <w:sz w:val="24"/>
          <w:u w:val="single"/>
        </w:rPr>
        <w:t>　　　　　</w:t>
      </w:r>
    </w:p>
    <w:p w14:paraId="781D11AB">
      <w:pPr>
        <w:pStyle w:val="2"/>
        <w:snapToGrid w:val="0"/>
        <w:spacing w:after="0" w:line="360" w:lineRule="auto"/>
        <w:rPr>
          <w:rFonts w:ascii="宋体" w:hAnsi="宋体"/>
          <w:sz w:val="24"/>
        </w:rPr>
      </w:pPr>
      <w:r>
        <w:rPr>
          <w:rFonts w:hint="eastAsia" w:ascii="宋体" w:hAnsi="宋体"/>
          <w:sz w:val="24"/>
        </w:rPr>
        <w:t>投标人公章：　 年月　 日</w:t>
      </w:r>
    </w:p>
    <w:p w14:paraId="341078BC">
      <w:pPr>
        <w:snapToGrid w:val="0"/>
        <w:spacing w:line="360" w:lineRule="auto"/>
        <w:ind w:firstLine="480" w:firstLineChars="200"/>
        <w:jc w:val="left"/>
        <w:rPr>
          <w:rFonts w:ascii="宋体" w:hAnsi="宋体"/>
          <w:sz w:val="24"/>
          <w:szCs w:val="20"/>
        </w:rPr>
      </w:pPr>
    </w:p>
    <w:p w14:paraId="1702C2E6">
      <w:pPr>
        <w:snapToGrid w:val="0"/>
        <w:spacing w:line="360" w:lineRule="auto"/>
        <w:jc w:val="left"/>
        <w:rPr>
          <w:rFonts w:ascii="宋体" w:hAnsi="宋体"/>
          <w:sz w:val="24"/>
        </w:rPr>
      </w:pPr>
    </w:p>
    <w:p w14:paraId="76CFC6D3">
      <w:pPr>
        <w:snapToGrid w:val="0"/>
        <w:spacing w:line="360" w:lineRule="auto"/>
        <w:jc w:val="left"/>
        <w:rPr>
          <w:rFonts w:ascii="宋体" w:hAnsi="宋体"/>
          <w:sz w:val="24"/>
        </w:rPr>
      </w:pPr>
      <w:r>
        <w:rPr>
          <w:rFonts w:hint="eastAsia" w:ascii="宋体" w:hAnsi="宋体"/>
          <w:sz w:val="24"/>
        </w:rPr>
        <w:t>25.权威</w:t>
      </w:r>
      <w:r>
        <w:rPr>
          <w:rFonts w:ascii="宋体" w:hAnsi="宋体"/>
          <w:sz w:val="24"/>
        </w:rPr>
        <w:t>认证</w:t>
      </w:r>
      <w:r>
        <w:rPr>
          <w:rFonts w:hint="eastAsia" w:ascii="宋体" w:hAnsi="宋体"/>
          <w:sz w:val="24"/>
        </w:rPr>
        <w:t>复印件</w:t>
      </w:r>
    </w:p>
    <w:p w14:paraId="3A4B3D5A">
      <w:pPr>
        <w:snapToGrid w:val="0"/>
        <w:spacing w:line="360" w:lineRule="auto"/>
        <w:jc w:val="left"/>
        <w:rPr>
          <w:rFonts w:ascii="宋体" w:hAnsi="宋体"/>
          <w:sz w:val="24"/>
        </w:rPr>
      </w:pPr>
    </w:p>
    <w:p w14:paraId="5C32FAAA">
      <w:pPr>
        <w:pStyle w:val="2"/>
      </w:pPr>
    </w:p>
    <w:p w14:paraId="4898B4F5">
      <w:pPr>
        <w:pStyle w:val="2"/>
      </w:pPr>
    </w:p>
    <w:p w14:paraId="7CC98A30">
      <w:pPr>
        <w:pStyle w:val="42"/>
      </w:pPr>
    </w:p>
    <w:p w14:paraId="076EAFF7">
      <w:pPr>
        <w:pStyle w:val="32"/>
        <w:jc w:val="both"/>
        <w:rPr>
          <w:rFonts w:ascii="宋体" w:hAnsi="宋体"/>
          <w:b w:val="0"/>
          <w:bCs w:val="0"/>
          <w:sz w:val="24"/>
          <w:szCs w:val="24"/>
        </w:rPr>
      </w:pPr>
      <w:r>
        <w:rPr>
          <w:rFonts w:hint="eastAsia" w:ascii="宋体" w:hAnsi="宋体"/>
          <w:b w:val="0"/>
          <w:bCs w:val="0"/>
          <w:sz w:val="24"/>
          <w:szCs w:val="24"/>
        </w:rPr>
        <w:t>26.投标人认为可以证明其能力或业绩的其他材料（格式自拟）</w:t>
      </w:r>
    </w:p>
    <w:p w14:paraId="36605E77"/>
    <w:p w14:paraId="50571AC3">
      <w:pPr>
        <w:pStyle w:val="2"/>
      </w:pPr>
    </w:p>
    <w:p w14:paraId="54323575">
      <w:pPr>
        <w:pStyle w:val="3"/>
        <w:ind w:firstLine="280"/>
      </w:pPr>
    </w:p>
    <w:p w14:paraId="66DE07BE">
      <w:pPr>
        <w:pStyle w:val="3"/>
        <w:ind w:firstLine="280"/>
      </w:pPr>
    </w:p>
    <w:p w14:paraId="7142B83C">
      <w:pPr>
        <w:pStyle w:val="3"/>
        <w:ind w:firstLine="280"/>
      </w:pPr>
    </w:p>
    <w:p w14:paraId="72B8CAF2">
      <w:pPr>
        <w:pStyle w:val="3"/>
        <w:ind w:firstLine="280"/>
      </w:pPr>
    </w:p>
    <w:p w14:paraId="0BEB0D68">
      <w:pPr>
        <w:pStyle w:val="3"/>
        <w:ind w:firstLine="280"/>
      </w:pPr>
    </w:p>
    <w:p w14:paraId="53E5B417">
      <w:pPr>
        <w:snapToGrid w:val="0"/>
        <w:spacing w:line="360" w:lineRule="auto"/>
        <w:jc w:val="left"/>
        <w:rPr>
          <w:rFonts w:ascii="宋体" w:hAnsi="宋体"/>
          <w:sz w:val="24"/>
          <w:szCs w:val="20"/>
        </w:rPr>
      </w:pPr>
      <w:r>
        <w:rPr>
          <w:rFonts w:hint="eastAsia" w:ascii="宋体" w:hAnsi="宋体"/>
          <w:sz w:val="24"/>
        </w:rPr>
        <w:t>27.商务响应表格式：</w:t>
      </w:r>
    </w:p>
    <w:p w14:paraId="35DAC592">
      <w:pPr>
        <w:snapToGrid w:val="0"/>
        <w:spacing w:line="360" w:lineRule="auto"/>
        <w:jc w:val="left"/>
        <w:rPr>
          <w:rFonts w:ascii="宋体" w:hAnsi="宋体"/>
          <w:sz w:val="24"/>
          <w:szCs w:val="20"/>
          <w:u w:val="single"/>
        </w:rPr>
      </w:pPr>
      <w:r>
        <w:rPr>
          <w:rFonts w:hint="eastAsia" w:ascii="宋体" w:hAnsi="宋体"/>
          <w:sz w:val="24"/>
        </w:rPr>
        <w:t>项目名称：</w:t>
      </w:r>
    </w:p>
    <w:tbl>
      <w:tblPr>
        <w:tblStyle w:val="34"/>
        <w:tblW w:w="10773"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7371"/>
        <w:gridCol w:w="709"/>
        <w:gridCol w:w="1417"/>
      </w:tblGrid>
      <w:tr w14:paraId="00ABF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76" w:type="dxa"/>
            <w:tcBorders>
              <w:top w:val="single" w:color="auto" w:sz="4" w:space="0"/>
              <w:left w:val="single" w:color="auto" w:sz="4" w:space="0"/>
              <w:bottom w:val="single" w:color="auto" w:sz="4" w:space="0"/>
              <w:right w:val="single" w:color="auto" w:sz="4" w:space="0"/>
            </w:tcBorders>
          </w:tcPr>
          <w:p w14:paraId="3949897A">
            <w:pPr>
              <w:snapToGrid w:val="0"/>
              <w:spacing w:line="360" w:lineRule="auto"/>
              <w:rPr>
                <w:rFonts w:ascii="宋体" w:hAnsi="宋体"/>
                <w:sz w:val="24"/>
                <w:szCs w:val="20"/>
              </w:rPr>
            </w:pPr>
            <w:r>
              <w:rPr>
                <w:rFonts w:hint="eastAsia" w:ascii="宋体" w:hAnsi="宋体"/>
                <w:sz w:val="24"/>
              </w:rPr>
              <w:t>项目</w:t>
            </w:r>
          </w:p>
        </w:tc>
        <w:tc>
          <w:tcPr>
            <w:tcW w:w="7371" w:type="dxa"/>
            <w:tcBorders>
              <w:top w:val="single" w:color="auto" w:sz="4" w:space="0"/>
              <w:left w:val="single" w:color="auto" w:sz="4" w:space="0"/>
              <w:bottom w:val="single" w:color="auto" w:sz="4" w:space="0"/>
              <w:right w:val="single" w:color="auto" w:sz="4" w:space="0"/>
            </w:tcBorders>
          </w:tcPr>
          <w:p w14:paraId="321A2D24">
            <w:pPr>
              <w:snapToGrid w:val="0"/>
              <w:spacing w:line="360" w:lineRule="auto"/>
              <w:rPr>
                <w:rFonts w:ascii="宋体" w:hAnsi="宋体"/>
                <w:sz w:val="24"/>
                <w:szCs w:val="20"/>
              </w:rPr>
            </w:pPr>
            <w:r>
              <w:rPr>
                <w:rFonts w:hint="eastAsia" w:ascii="宋体" w:hAnsi="宋体"/>
                <w:sz w:val="24"/>
              </w:rPr>
              <w:t>招标文件要求</w:t>
            </w:r>
          </w:p>
        </w:tc>
        <w:tc>
          <w:tcPr>
            <w:tcW w:w="709" w:type="dxa"/>
            <w:tcBorders>
              <w:top w:val="single" w:color="auto" w:sz="4" w:space="0"/>
              <w:left w:val="single" w:color="auto" w:sz="4" w:space="0"/>
              <w:bottom w:val="single" w:color="auto" w:sz="4" w:space="0"/>
              <w:right w:val="single" w:color="auto" w:sz="4" w:space="0"/>
            </w:tcBorders>
          </w:tcPr>
          <w:p w14:paraId="04194E81">
            <w:pPr>
              <w:snapToGrid w:val="0"/>
              <w:spacing w:line="360" w:lineRule="auto"/>
              <w:rPr>
                <w:rFonts w:ascii="宋体" w:hAnsi="宋体"/>
                <w:sz w:val="24"/>
                <w:szCs w:val="20"/>
              </w:rPr>
            </w:pPr>
            <w:r>
              <w:rPr>
                <w:rFonts w:hint="eastAsia" w:ascii="宋体" w:hAnsi="宋体"/>
                <w:sz w:val="24"/>
              </w:rPr>
              <w:t>是否响应</w:t>
            </w:r>
          </w:p>
        </w:tc>
        <w:tc>
          <w:tcPr>
            <w:tcW w:w="1417" w:type="dxa"/>
            <w:tcBorders>
              <w:top w:val="single" w:color="auto" w:sz="4" w:space="0"/>
              <w:left w:val="single" w:color="auto" w:sz="4" w:space="0"/>
              <w:bottom w:val="single" w:color="auto" w:sz="4" w:space="0"/>
              <w:right w:val="single" w:color="auto" w:sz="4" w:space="0"/>
            </w:tcBorders>
          </w:tcPr>
          <w:p w14:paraId="7411EEEA">
            <w:pPr>
              <w:snapToGrid w:val="0"/>
              <w:spacing w:line="360" w:lineRule="auto"/>
              <w:rPr>
                <w:rFonts w:ascii="宋体" w:hAnsi="宋体"/>
                <w:sz w:val="24"/>
                <w:szCs w:val="20"/>
              </w:rPr>
            </w:pPr>
            <w:r>
              <w:rPr>
                <w:rFonts w:hint="eastAsia" w:ascii="宋体" w:hAnsi="宋体"/>
                <w:sz w:val="24"/>
              </w:rPr>
              <w:t>投标人的承诺或说明</w:t>
            </w:r>
          </w:p>
        </w:tc>
      </w:tr>
      <w:tr w14:paraId="5D19B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276" w:type="dxa"/>
            <w:tcBorders>
              <w:top w:val="single" w:color="auto" w:sz="4" w:space="0"/>
              <w:left w:val="single" w:color="auto" w:sz="4" w:space="0"/>
              <w:bottom w:val="single" w:color="auto" w:sz="4" w:space="0"/>
              <w:right w:val="single" w:color="auto" w:sz="4" w:space="0"/>
            </w:tcBorders>
            <w:vAlign w:val="center"/>
          </w:tcPr>
          <w:p w14:paraId="482F22B8">
            <w:pPr>
              <w:rPr>
                <w:rFonts w:ascii="宋体" w:hAnsi="宋体" w:cs="宋体"/>
                <w:sz w:val="24"/>
              </w:rPr>
            </w:pPr>
            <w:r>
              <w:rPr>
                <w:rFonts w:hint="eastAsia" w:ascii="宋体" w:hAnsi="宋体" w:cs="宋体"/>
                <w:sz w:val="24"/>
              </w:rPr>
              <w:t>服务期及地点</w:t>
            </w:r>
          </w:p>
        </w:tc>
        <w:tc>
          <w:tcPr>
            <w:tcW w:w="7371" w:type="dxa"/>
            <w:tcBorders>
              <w:top w:val="single" w:color="auto" w:sz="4" w:space="0"/>
              <w:left w:val="single" w:color="auto" w:sz="4" w:space="0"/>
              <w:bottom w:val="single" w:color="auto" w:sz="4" w:space="0"/>
              <w:right w:val="single" w:color="auto" w:sz="4" w:space="0"/>
            </w:tcBorders>
            <w:vAlign w:val="center"/>
          </w:tcPr>
          <w:p w14:paraId="4A33E429">
            <w:pPr>
              <w:spacing w:line="360" w:lineRule="auto"/>
              <w:rPr>
                <w:rFonts w:ascii="宋体" w:hAnsi="宋体" w:cs="宋体"/>
                <w:sz w:val="24"/>
              </w:rPr>
            </w:pPr>
            <w:r>
              <w:rPr>
                <w:rFonts w:hint="eastAsia" w:ascii="宋体" w:hAnsi="宋体" w:cs="宋体"/>
                <w:sz w:val="24"/>
              </w:rPr>
              <w:t xml:space="preserve">▲服务期： 合同签订后三个月内完成平台建设工作；服务期三年，自本项目验收通过之日起开始计算。 </w:t>
            </w:r>
          </w:p>
          <w:p w14:paraId="356EB486">
            <w:pPr>
              <w:spacing w:line="360" w:lineRule="auto"/>
              <w:rPr>
                <w:rFonts w:ascii="宋体" w:hAnsi="宋体" w:cs="宋体"/>
                <w:sz w:val="24"/>
              </w:rPr>
            </w:pPr>
            <w:r>
              <w:rPr>
                <w:rFonts w:hint="eastAsia" w:ascii="宋体" w:hAnsi="宋体" w:cs="宋体"/>
                <w:sz w:val="24"/>
              </w:rPr>
              <w:t>地点：采购人指定地点；</w:t>
            </w:r>
          </w:p>
        </w:tc>
        <w:tc>
          <w:tcPr>
            <w:tcW w:w="709" w:type="dxa"/>
            <w:tcBorders>
              <w:top w:val="single" w:color="auto" w:sz="4" w:space="0"/>
              <w:left w:val="single" w:color="auto" w:sz="4" w:space="0"/>
              <w:bottom w:val="single" w:color="auto" w:sz="4" w:space="0"/>
              <w:right w:val="single" w:color="auto" w:sz="4" w:space="0"/>
            </w:tcBorders>
          </w:tcPr>
          <w:p w14:paraId="1DB0239A">
            <w:pPr>
              <w:snapToGrid w:val="0"/>
              <w:spacing w:line="360" w:lineRule="auto"/>
              <w:rPr>
                <w:rFonts w:ascii="宋体" w:hAnsi="宋体"/>
                <w:sz w:val="24"/>
                <w:szCs w:val="20"/>
              </w:rPr>
            </w:pPr>
          </w:p>
        </w:tc>
        <w:tc>
          <w:tcPr>
            <w:tcW w:w="1417" w:type="dxa"/>
            <w:tcBorders>
              <w:top w:val="single" w:color="auto" w:sz="4" w:space="0"/>
              <w:left w:val="single" w:color="auto" w:sz="4" w:space="0"/>
              <w:bottom w:val="single" w:color="auto" w:sz="4" w:space="0"/>
              <w:right w:val="single" w:color="auto" w:sz="4" w:space="0"/>
            </w:tcBorders>
          </w:tcPr>
          <w:p w14:paraId="1371E524">
            <w:pPr>
              <w:snapToGrid w:val="0"/>
              <w:spacing w:line="360" w:lineRule="auto"/>
              <w:rPr>
                <w:rFonts w:ascii="宋体" w:hAnsi="宋体"/>
                <w:sz w:val="24"/>
                <w:szCs w:val="20"/>
              </w:rPr>
            </w:pPr>
          </w:p>
        </w:tc>
      </w:tr>
      <w:tr w14:paraId="370D6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276" w:type="dxa"/>
            <w:tcBorders>
              <w:top w:val="single" w:color="auto" w:sz="4" w:space="0"/>
              <w:left w:val="single" w:color="auto" w:sz="4" w:space="0"/>
              <w:bottom w:val="single" w:color="auto" w:sz="4" w:space="0"/>
              <w:right w:val="single" w:color="auto" w:sz="4" w:space="0"/>
            </w:tcBorders>
          </w:tcPr>
          <w:p w14:paraId="0949D5A1">
            <w:pPr>
              <w:rPr>
                <w:rFonts w:ascii="宋体" w:hAnsi="宋体" w:cs="宋体"/>
                <w:sz w:val="24"/>
                <w:highlight w:val="yellow"/>
              </w:rPr>
            </w:pPr>
            <w:r>
              <w:rPr>
                <w:rFonts w:hint="eastAsia" w:ascii="宋体" w:hAnsi="宋体" w:cs="宋体"/>
                <w:sz w:val="24"/>
              </w:rPr>
              <w:t>付款方式</w:t>
            </w:r>
          </w:p>
        </w:tc>
        <w:tc>
          <w:tcPr>
            <w:tcW w:w="7371" w:type="dxa"/>
            <w:tcBorders>
              <w:top w:val="single" w:color="auto" w:sz="4" w:space="0"/>
              <w:left w:val="single" w:color="auto" w:sz="4" w:space="0"/>
              <w:bottom w:val="single" w:color="auto" w:sz="4" w:space="0"/>
              <w:right w:val="single" w:color="auto" w:sz="4" w:space="0"/>
            </w:tcBorders>
          </w:tcPr>
          <w:p w14:paraId="13F2DF85">
            <w:pPr>
              <w:spacing w:line="360" w:lineRule="auto"/>
              <w:rPr>
                <w:rFonts w:ascii="宋体" w:hAnsi="宋体" w:cs="宋体"/>
                <w:sz w:val="24"/>
              </w:rPr>
            </w:pPr>
            <w:r>
              <w:rPr>
                <w:rFonts w:hint="eastAsia" w:ascii="宋体" w:hAnsi="宋体" w:cs="宋体"/>
                <w:sz w:val="24"/>
              </w:rPr>
              <w:t>▲根据《保障中小企业款项支付条例》</w:t>
            </w:r>
            <w:r>
              <w:rPr>
                <w:rFonts w:ascii="宋体" w:hAnsi="宋体" w:cs="宋体"/>
                <w:sz w:val="24"/>
              </w:rPr>
              <w:t>、</w:t>
            </w:r>
            <w:r>
              <w:rPr>
                <w:rFonts w:hint="eastAsia" w:ascii="宋体" w:hAnsi="宋体" w:cs="宋体"/>
                <w:sz w:val="24"/>
              </w:rPr>
              <w:t>省财政厅《关于坚决打赢疫情防控阻击战进一步做好政府采购资金支持企业发展工作的通知》（浙财采监【2022】3号）要求，制定如下付款方式：合同签订并具备实施条件后7个工作日内，支付合同金额20%作为预付款；项目终验合格后付清余款。</w:t>
            </w:r>
          </w:p>
          <w:p w14:paraId="0786DF51">
            <w:pPr>
              <w:spacing w:line="360" w:lineRule="auto"/>
              <w:rPr>
                <w:rFonts w:ascii="宋体" w:hAnsi="宋体" w:cs="宋体"/>
                <w:sz w:val="24"/>
              </w:rPr>
            </w:pPr>
            <w:r>
              <w:rPr>
                <w:rFonts w:hint="eastAsia" w:ascii="宋体" w:hAnsi="宋体" w:cs="宋体"/>
                <w:sz w:val="24"/>
              </w:rPr>
              <w:t>采购人应自收到供应商开具的发票后15日内将上述相关款项支付到合同约定的供应商账户。</w:t>
            </w:r>
          </w:p>
          <w:p w14:paraId="769E698B">
            <w:pPr>
              <w:spacing w:line="360" w:lineRule="auto"/>
              <w:rPr>
                <w:rFonts w:ascii="宋体" w:hAnsi="宋体" w:cs="宋体"/>
                <w:sz w:val="24"/>
                <w:highlight w:val="yellow"/>
              </w:rPr>
            </w:pPr>
            <w:r>
              <w:rPr>
                <w:rFonts w:hint="eastAsia" w:ascii="宋体" w:hAnsi="宋体" w:cs="宋体"/>
                <w:sz w:val="24"/>
              </w:rPr>
              <w:t>注：</w:t>
            </w:r>
            <w:r>
              <w:rPr>
                <w:rFonts w:ascii="宋体" w:hAnsi="宋体" w:cs="宋体"/>
                <w:sz w:val="24"/>
              </w:rPr>
              <w:t>若成交供应商明确表示无需预付款或者主动要求降低预付款比例的，采购人可不适用前述规定。</w:t>
            </w:r>
          </w:p>
        </w:tc>
        <w:tc>
          <w:tcPr>
            <w:tcW w:w="709" w:type="dxa"/>
            <w:tcBorders>
              <w:top w:val="single" w:color="auto" w:sz="4" w:space="0"/>
              <w:left w:val="single" w:color="auto" w:sz="4" w:space="0"/>
              <w:bottom w:val="single" w:color="auto" w:sz="4" w:space="0"/>
              <w:right w:val="single" w:color="auto" w:sz="4" w:space="0"/>
            </w:tcBorders>
          </w:tcPr>
          <w:p w14:paraId="3D238B14">
            <w:pPr>
              <w:snapToGrid w:val="0"/>
              <w:spacing w:line="360" w:lineRule="auto"/>
              <w:ind w:left="43"/>
              <w:rPr>
                <w:rFonts w:ascii="宋体" w:hAnsi="宋体"/>
                <w:sz w:val="24"/>
                <w:szCs w:val="20"/>
              </w:rPr>
            </w:pPr>
          </w:p>
        </w:tc>
        <w:tc>
          <w:tcPr>
            <w:tcW w:w="1417" w:type="dxa"/>
            <w:tcBorders>
              <w:top w:val="single" w:color="auto" w:sz="4" w:space="0"/>
              <w:left w:val="single" w:color="auto" w:sz="4" w:space="0"/>
              <w:bottom w:val="single" w:color="auto" w:sz="4" w:space="0"/>
              <w:right w:val="single" w:color="auto" w:sz="4" w:space="0"/>
            </w:tcBorders>
          </w:tcPr>
          <w:p w14:paraId="0D9346A5">
            <w:pPr>
              <w:snapToGrid w:val="0"/>
              <w:spacing w:line="360" w:lineRule="auto"/>
              <w:ind w:left="43"/>
              <w:rPr>
                <w:rFonts w:ascii="宋体" w:hAnsi="宋体"/>
                <w:sz w:val="24"/>
                <w:szCs w:val="20"/>
              </w:rPr>
            </w:pPr>
          </w:p>
        </w:tc>
      </w:tr>
    </w:tbl>
    <w:p w14:paraId="5191E85C">
      <w:pPr>
        <w:snapToGrid w:val="0"/>
        <w:spacing w:line="360" w:lineRule="auto"/>
        <w:jc w:val="left"/>
        <w:rPr>
          <w:rFonts w:ascii="宋体" w:hAnsi="宋体"/>
          <w:bCs/>
          <w:sz w:val="24"/>
        </w:rPr>
      </w:pPr>
    </w:p>
    <w:p w14:paraId="6480ABD9">
      <w:pPr>
        <w:snapToGrid w:val="0"/>
        <w:spacing w:line="360" w:lineRule="auto"/>
        <w:jc w:val="left"/>
        <w:rPr>
          <w:rFonts w:ascii="宋体" w:hAnsi="宋体"/>
          <w:bCs/>
          <w:sz w:val="24"/>
        </w:rPr>
      </w:pPr>
    </w:p>
    <w:p w14:paraId="79676B16">
      <w:pPr>
        <w:pStyle w:val="32"/>
      </w:pPr>
    </w:p>
    <w:p w14:paraId="302F8807">
      <w:pPr>
        <w:snapToGrid w:val="0"/>
        <w:spacing w:line="360" w:lineRule="auto"/>
        <w:jc w:val="left"/>
      </w:pPr>
      <w:r>
        <w:rPr>
          <w:rFonts w:hint="eastAsia" w:ascii="宋体" w:hAnsi="宋体"/>
          <w:bCs/>
          <w:sz w:val="24"/>
        </w:rPr>
        <w:t>28.</w:t>
      </w:r>
      <w:r>
        <w:rPr>
          <w:rFonts w:ascii="宋体" w:hAnsi="宋体"/>
          <w:sz w:val="24"/>
        </w:rPr>
        <w:t>服务承诺</w:t>
      </w:r>
      <w:r>
        <w:rPr>
          <w:rFonts w:hint="eastAsia" w:ascii="宋体" w:hAnsi="宋体"/>
          <w:sz w:val="24"/>
        </w:rPr>
        <w:t>（格式自拟）</w:t>
      </w:r>
    </w:p>
    <w:p w14:paraId="7EDA0B66">
      <w:pPr>
        <w:pStyle w:val="42"/>
      </w:pPr>
    </w:p>
    <w:p w14:paraId="4A959F1B">
      <w:pPr>
        <w:pStyle w:val="43"/>
      </w:pPr>
    </w:p>
    <w:p w14:paraId="32888787"/>
    <w:p w14:paraId="06967AB7">
      <w:pPr>
        <w:pStyle w:val="32"/>
      </w:pPr>
    </w:p>
    <w:p w14:paraId="7EEE2766">
      <w:pPr>
        <w:snapToGrid w:val="0"/>
        <w:spacing w:line="360" w:lineRule="auto"/>
        <w:jc w:val="left"/>
        <w:rPr>
          <w:rFonts w:ascii="宋体" w:hAnsi="宋体"/>
          <w:bCs/>
          <w:sz w:val="24"/>
        </w:rPr>
      </w:pPr>
      <w:r>
        <w:rPr>
          <w:rFonts w:hint="eastAsia" w:ascii="宋体" w:hAnsi="宋体"/>
          <w:bCs/>
          <w:sz w:val="24"/>
        </w:rPr>
        <w:t>29.培训方案（格式自拟）</w:t>
      </w:r>
    </w:p>
    <w:p w14:paraId="17357640"/>
    <w:p w14:paraId="12489FD1">
      <w:pPr>
        <w:pStyle w:val="32"/>
      </w:pPr>
    </w:p>
    <w:p w14:paraId="03D88ED2">
      <w:pPr>
        <w:pStyle w:val="43"/>
      </w:pPr>
    </w:p>
    <w:p w14:paraId="58E6ECE9"/>
    <w:p w14:paraId="62886BA2"/>
    <w:p w14:paraId="78A3EAB7">
      <w:pPr>
        <w:pStyle w:val="43"/>
      </w:pPr>
    </w:p>
    <w:p w14:paraId="7B518C4B">
      <w:pPr>
        <w:snapToGrid w:val="0"/>
        <w:spacing w:line="360" w:lineRule="auto"/>
        <w:jc w:val="left"/>
        <w:rPr>
          <w:rFonts w:ascii="宋体" w:hAnsi="宋体"/>
          <w:sz w:val="24"/>
        </w:rPr>
      </w:pPr>
      <w:r>
        <w:rPr>
          <w:rFonts w:hint="eastAsia" w:ascii="宋体" w:hAnsi="宋体"/>
          <w:sz w:val="24"/>
        </w:rPr>
        <w:t>30.响应时间</w:t>
      </w:r>
      <w:r>
        <w:rPr>
          <w:rFonts w:hint="eastAsia" w:ascii="宋体" w:hAnsi="宋体"/>
          <w:bCs/>
          <w:sz w:val="24"/>
        </w:rPr>
        <w:t>（格式自拟）</w:t>
      </w:r>
    </w:p>
    <w:p w14:paraId="4C3A923D">
      <w:pPr>
        <w:snapToGrid w:val="0"/>
        <w:spacing w:line="360" w:lineRule="auto"/>
        <w:jc w:val="left"/>
        <w:rPr>
          <w:rFonts w:ascii="宋体" w:hAnsi="宋体"/>
          <w:sz w:val="24"/>
        </w:rPr>
      </w:pPr>
    </w:p>
    <w:p w14:paraId="05371091">
      <w:pPr>
        <w:pStyle w:val="2"/>
      </w:pPr>
    </w:p>
    <w:p w14:paraId="6EB31CDB">
      <w:pPr>
        <w:pStyle w:val="3"/>
        <w:ind w:firstLine="280"/>
      </w:pPr>
    </w:p>
    <w:p w14:paraId="7AF31D0C">
      <w:pPr>
        <w:snapToGrid w:val="0"/>
        <w:spacing w:line="360" w:lineRule="auto"/>
        <w:jc w:val="left"/>
        <w:rPr>
          <w:rFonts w:ascii="宋体" w:hAnsi="宋体"/>
          <w:sz w:val="24"/>
        </w:rPr>
      </w:pPr>
      <w:r>
        <w:rPr>
          <w:rFonts w:hint="eastAsia" w:ascii="宋体" w:hAnsi="宋体"/>
          <w:sz w:val="24"/>
        </w:rPr>
        <w:t>31.信用承诺书</w:t>
      </w:r>
    </w:p>
    <w:p w14:paraId="4A4F64BB">
      <w:pPr>
        <w:tabs>
          <w:tab w:val="left" w:pos="1650"/>
        </w:tabs>
        <w:spacing w:line="360" w:lineRule="auto"/>
        <w:jc w:val="center"/>
        <w:rPr>
          <w:rFonts w:ascii="宋体" w:hAnsi="宋体"/>
          <w:sz w:val="44"/>
          <w:szCs w:val="44"/>
        </w:rPr>
      </w:pPr>
      <w:r>
        <w:rPr>
          <w:rFonts w:hint="eastAsia" w:ascii="宋体" w:hAnsi="宋体"/>
          <w:sz w:val="44"/>
          <w:szCs w:val="44"/>
        </w:rPr>
        <w:t>信用承诺书</w:t>
      </w:r>
    </w:p>
    <w:p w14:paraId="7D9D6B0C">
      <w:pPr>
        <w:tabs>
          <w:tab w:val="left" w:pos="1650"/>
        </w:tabs>
        <w:spacing w:line="360" w:lineRule="auto"/>
        <w:jc w:val="left"/>
        <w:rPr>
          <w:rFonts w:ascii="宋体" w:hAnsi="宋体"/>
          <w:sz w:val="24"/>
        </w:rPr>
      </w:pPr>
      <w:r>
        <w:rPr>
          <w:rFonts w:hint="eastAsia" w:ascii="宋体" w:hAnsi="宋体"/>
          <w:sz w:val="24"/>
        </w:rPr>
        <w:t>（投标单位）现参加（采购项目）政府采购活动，郑重承诺如下：</w:t>
      </w:r>
    </w:p>
    <w:p w14:paraId="5DE657EF">
      <w:pPr>
        <w:tabs>
          <w:tab w:val="left" w:pos="1650"/>
        </w:tabs>
        <w:spacing w:line="360" w:lineRule="auto"/>
        <w:ind w:firstLine="630"/>
        <w:rPr>
          <w:rFonts w:ascii="宋体" w:hAnsi="宋体"/>
          <w:sz w:val="24"/>
        </w:rPr>
      </w:pPr>
      <w:r>
        <w:rPr>
          <w:rFonts w:hint="eastAsia" w:ascii="宋体" w:hAnsi="宋体"/>
          <w:sz w:val="24"/>
        </w:rPr>
        <w:t>对所提供的资料合法性、真实性、准确性和有效性负责；</w:t>
      </w:r>
    </w:p>
    <w:p w14:paraId="0FBE280D">
      <w:pPr>
        <w:tabs>
          <w:tab w:val="left" w:pos="1650"/>
        </w:tabs>
        <w:spacing w:line="360" w:lineRule="auto"/>
        <w:ind w:firstLine="630"/>
        <w:rPr>
          <w:rFonts w:ascii="宋体" w:hAnsi="宋体"/>
          <w:sz w:val="24"/>
        </w:rPr>
      </w:pPr>
      <w:r>
        <w:rPr>
          <w:rFonts w:hint="eastAsia" w:ascii="宋体" w:hAnsi="宋体"/>
          <w:sz w:val="24"/>
        </w:rPr>
        <w:t>严格按照国家法律、法规和规章，依法开展相关经济活动，全面履行应尽的责任和义务；</w:t>
      </w:r>
    </w:p>
    <w:p w14:paraId="1EB9DE66">
      <w:pPr>
        <w:tabs>
          <w:tab w:val="left" w:pos="1650"/>
        </w:tabs>
        <w:spacing w:line="360" w:lineRule="auto"/>
        <w:ind w:firstLine="630"/>
        <w:rPr>
          <w:rFonts w:ascii="宋体" w:hAnsi="宋体"/>
          <w:sz w:val="24"/>
        </w:rPr>
      </w:pPr>
      <w:r>
        <w:rPr>
          <w:rFonts w:hint="eastAsia" w:ascii="宋体" w:hAnsi="宋体"/>
          <w:sz w:val="24"/>
        </w:rPr>
        <w:t>加强自我约束、自我规范、自我管理，不制假售假、不虚假宣传、不违约毁约、不恶意逃债、不偷税漏税，诚信依法经营；</w:t>
      </w:r>
    </w:p>
    <w:p w14:paraId="244529E8">
      <w:pPr>
        <w:tabs>
          <w:tab w:val="left" w:pos="1650"/>
        </w:tabs>
        <w:spacing w:line="360" w:lineRule="auto"/>
        <w:ind w:firstLine="630"/>
        <w:rPr>
          <w:rFonts w:ascii="宋体" w:hAnsi="宋体"/>
          <w:sz w:val="24"/>
        </w:rPr>
      </w:pPr>
      <w:r>
        <w:rPr>
          <w:rFonts w:hint="eastAsia" w:ascii="宋体" w:hAnsi="宋体"/>
          <w:sz w:val="24"/>
        </w:rPr>
        <w:t>自愿接受行政主管部门的依法检查、违背承诺约定将自愿承担违约责任，并接受法律法规和相关部门规章制度的惩戒和约束；</w:t>
      </w:r>
    </w:p>
    <w:p w14:paraId="7D58D3F4">
      <w:pPr>
        <w:tabs>
          <w:tab w:val="left" w:pos="1650"/>
        </w:tabs>
        <w:spacing w:line="360" w:lineRule="auto"/>
        <w:ind w:firstLine="630"/>
        <w:rPr>
          <w:rFonts w:ascii="宋体" w:hAnsi="宋体"/>
          <w:sz w:val="24"/>
        </w:rPr>
      </w:pPr>
      <w:r>
        <w:rPr>
          <w:rFonts w:hint="eastAsia" w:ascii="宋体" w:hAnsi="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6F177843">
      <w:pPr>
        <w:pStyle w:val="94"/>
        <w:spacing w:before="0" w:beforeAutospacing="0" w:after="0" w:afterAutospacing="0" w:line="360" w:lineRule="auto"/>
        <w:ind w:firstLine="600" w:firstLineChars="250"/>
        <w:rPr>
          <w:rFonts w:cs="Times New Roman"/>
          <w:kern w:val="2"/>
        </w:rPr>
      </w:pPr>
      <w:r>
        <w:rPr>
          <w:rFonts w:hint="eastAsia" w:cs="Times New Roman"/>
          <w:kern w:val="2"/>
        </w:rPr>
        <w:t>统一社会信用代码：</w:t>
      </w:r>
    </w:p>
    <w:p w14:paraId="351BFFA5">
      <w:pPr>
        <w:pStyle w:val="94"/>
        <w:spacing w:before="0" w:beforeAutospacing="0" w:after="0" w:afterAutospacing="0" w:line="360" w:lineRule="auto"/>
        <w:ind w:firstLine="600" w:firstLineChars="250"/>
        <w:rPr>
          <w:rFonts w:cs="Times New Roman"/>
          <w:kern w:val="2"/>
        </w:rPr>
      </w:pPr>
    </w:p>
    <w:p w14:paraId="2FDEE2AA">
      <w:pPr>
        <w:pStyle w:val="94"/>
        <w:spacing w:before="0" w:beforeAutospacing="0" w:after="0" w:afterAutospacing="0" w:line="360" w:lineRule="auto"/>
        <w:ind w:firstLine="565" w:firstLineChars="250"/>
        <w:rPr>
          <w:rFonts w:cs="Times New Roman"/>
          <w:spacing w:val="-7"/>
        </w:rPr>
      </w:pPr>
    </w:p>
    <w:p w14:paraId="08403409">
      <w:pPr>
        <w:pStyle w:val="94"/>
        <w:spacing w:before="0" w:beforeAutospacing="0" w:after="0" w:afterAutospacing="0" w:line="360" w:lineRule="auto"/>
        <w:ind w:firstLine="3240" w:firstLineChars="1350"/>
        <w:rPr>
          <w:rFonts w:cs="Times New Roman"/>
          <w:kern w:val="2"/>
        </w:rPr>
      </w:pPr>
      <w:r>
        <w:rPr>
          <w:rFonts w:hint="eastAsia" w:cs="Times New Roman"/>
          <w:kern w:val="2"/>
        </w:rPr>
        <w:t>承诺单位</w:t>
      </w:r>
      <w:r>
        <w:rPr>
          <w:rFonts w:cs="Times New Roman"/>
          <w:kern w:val="2"/>
        </w:rPr>
        <w:t>/</w:t>
      </w:r>
      <w:r>
        <w:rPr>
          <w:rFonts w:hint="eastAsia" w:cs="Times New Roman"/>
          <w:kern w:val="2"/>
        </w:rPr>
        <w:t>个人（盖章</w:t>
      </w:r>
      <w:r>
        <w:rPr>
          <w:rFonts w:cs="Times New Roman"/>
          <w:kern w:val="2"/>
        </w:rPr>
        <w:t>/</w:t>
      </w:r>
      <w:r>
        <w:rPr>
          <w:rFonts w:hint="eastAsia" w:cs="Times New Roman"/>
          <w:kern w:val="2"/>
        </w:rPr>
        <w:t>签名）</w:t>
      </w:r>
    </w:p>
    <w:p w14:paraId="750CE461">
      <w:pPr>
        <w:spacing w:line="360" w:lineRule="auto"/>
        <w:ind w:firstLine="3480" w:firstLineChars="1450"/>
        <w:rPr>
          <w:rFonts w:ascii="宋体" w:hAnsi="宋体"/>
          <w:sz w:val="24"/>
        </w:rPr>
      </w:pPr>
      <w:r>
        <w:rPr>
          <w:rFonts w:hint="eastAsia" w:ascii="宋体" w:hAnsi="宋体"/>
          <w:sz w:val="24"/>
        </w:rPr>
        <w:t>时间：2024  年 月 日</w:t>
      </w:r>
    </w:p>
    <w:p w14:paraId="477FAB04">
      <w:pPr>
        <w:pStyle w:val="2"/>
      </w:pPr>
    </w:p>
    <w:p w14:paraId="6AB20618">
      <w:pPr>
        <w:pStyle w:val="42"/>
      </w:pPr>
    </w:p>
    <w:p w14:paraId="13722743">
      <w:pPr>
        <w:pStyle w:val="43"/>
      </w:pPr>
    </w:p>
    <w:p w14:paraId="3F7080CC"/>
    <w:p w14:paraId="7827E22E">
      <w:pPr>
        <w:pStyle w:val="32"/>
      </w:pPr>
    </w:p>
    <w:p w14:paraId="0BBB6023"/>
    <w:p w14:paraId="369E8A89">
      <w:pPr>
        <w:pStyle w:val="32"/>
      </w:pPr>
    </w:p>
    <w:p w14:paraId="2EC2D476"/>
    <w:p w14:paraId="3420FF76"/>
    <w:p w14:paraId="001041BF">
      <w:pPr>
        <w:snapToGrid w:val="0"/>
        <w:spacing w:line="360" w:lineRule="auto"/>
        <w:rPr>
          <w:rFonts w:ascii="宋体" w:hAnsi="宋体"/>
          <w:sz w:val="24"/>
        </w:rPr>
      </w:pPr>
      <w:r>
        <w:rPr>
          <w:rFonts w:hint="eastAsia" w:ascii="宋体" w:hAnsi="宋体"/>
          <w:bCs/>
          <w:sz w:val="24"/>
        </w:rPr>
        <w:t>32.</w:t>
      </w:r>
      <w:r>
        <w:rPr>
          <w:rFonts w:hint="eastAsia" w:ascii="宋体" w:hAnsi="宋体"/>
          <w:sz w:val="24"/>
        </w:rPr>
        <w:t xml:space="preserve">技术、商务、资信及其他分自评表  </w:t>
      </w:r>
    </w:p>
    <w:p w14:paraId="2F6ACA11">
      <w:pPr>
        <w:pStyle w:val="15"/>
        <w:spacing w:line="360" w:lineRule="auto"/>
        <w:ind w:firstLine="300" w:firstLineChars="129"/>
        <w:rPr>
          <w:rFonts w:hAnsi="宋体"/>
          <w:b/>
          <w:sz w:val="24"/>
        </w:rPr>
      </w:pPr>
      <w:r>
        <w:rPr>
          <w:rFonts w:hint="eastAsia" w:hAnsi="宋体"/>
          <w:b/>
          <w:sz w:val="24"/>
        </w:rPr>
        <w:t>投标人名称</w:t>
      </w:r>
    </w:p>
    <w:tbl>
      <w:tblPr>
        <w:tblStyle w:val="34"/>
        <w:tblW w:w="9801"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533"/>
        <w:gridCol w:w="2268"/>
        <w:gridCol w:w="1276"/>
        <w:gridCol w:w="1701"/>
      </w:tblGrid>
      <w:tr w14:paraId="7FAF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556" w:type="dxa"/>
            <w:gridSpan w:val="2"/>
            <w:vAlign w:val="center"/>
          </w:tcPr>
          <w:p w14:paraId="057E9699">
            <w:pPr>
              <w:spacing w:line="360" w:lineRule="auto"/>
              <w:jc w:val="center"/>
              <w:rPr>
                <w:rFonts w:ascii="宋体" w:hAnsi="宋体"/>
                <w:sz w:val="24"/>
              </w:rPr>
            </w:pPr>
            <w:r>
              <w:rPr>
                <w:rFonts w:hint="eastAsia" w:ascii="宋体" w:hAnsi="宋体"/>
                <w:sz w:val="24"/>
              </w:rPr>
              <w:t>评分项目</w:t>
            </w:r>
          </w:p>
        </w:tc>
        <w:tc>
          <w:tcPr>
            <w:tcW w:w="2268" w:type="dxa"/>
            <w:vAlign w:val="center"/>
          </w:tcPr>
          <w:p w14:paraId="4D78B054">
            <w:pPr>
              <w:snapToGrid w:val="0"/>
              <w:spacing w:line="360" w:lineRule="auto"/>
              <w:jc w:val="center"/>
              <w:rPr>
                <w:rFonts w:ascii="宋体" w:hAnsi="宋体"/>
                <w:sz w:val="24"/>
              </w:rPr>
            </w:pPr>
            <w:r>
              <w:rPr>
                <w:rFonts w:hint="eastAsia" w:ascii="宋体" w:hAnsi="宋体"/>
                <w:sz w:val="24"/>
              </w:rPr>
              <w:t>投标文件对应资料</w:t>
            </w:r>
          </w:p>
        </w:tc>
        <w:tc>
          <w:tcPr>
            <w:tcW w:w="1276" w:type="dxa"/>
            <w:vAlign w:val="center"/>
          </w:tcPr>
          <w:p w14:paraId="08763204">
            <w:pPr>
              <w:snapToGrid w:val="0"/>
              <w:spacing w:line="360" w:lineRule="auto"/>
              <w:jc w:val="center"/>
              <w:rPr>
                <w:rFonts w:ascii="宋体" w:hAnsi="宋体"/>
                <w:sz w:val="24"/>
              </w:rPr>
            </w:pPr>
            <w:r>
              <w:rPr>
                <w:rFonts w:hint="eastAsia" w:ascii="宋体" w:hAnsi="宋体"/>
                <w:sz w:val="24"/>
              </w:rPr>
              <w:t>自评分</w:t>
            </w:r>
          </w:p>
        </w:tc>
        <w:tc>
          <w:tcPr>
            <w:tcW w:w="1701" w:type="dxa"/>
            <w:vAlign w:val="center"/>
          </w:tcPr>
          <w:p w14:paraId="4494C241">
            <w:pPr>
              <w:snapToGrid w:val="0"/>
              <w:spacing w:line="360" w:lineRule="auto"/>
              <w:jc w:val="center"/>
              <w:rPr>
                <w:rFonts w:ascii="宋体" w:hAnsi="宋体"/>
                <w:sz w:val="24"/>
              </w:rPr>
            </w:pPr>
            <w:r>
              <w:rPr>
                <w:rFonts w:hint="eastAsia" w:ascii="宋体" w:hAnsi="宋体"/>
                <w:sz w:val="24"/>
              </w:rPr>
              <w:t>投标文件页码</w:t>
            </w:r>
          </w:p>
        </w:tc>
      </w:tr>
      <w:tr w14:paraId="19C6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023" w:type="dxa"/>
            <w:vMerge w:val="restart"/>
            <w:vAlign w:val="center"/>
          </w:tcPr>
          <w:p w14:paraId="618E3E35">
            <w:pPr>
              <w:spacing w:line="360" w:lineRule="auto"/>
              <w:jc w:val="center"/>
              <w:rPr>
                <w:rFonts w:ascii="宋体" w:hAnsi="宋体"/>
                <w:sz w:val="24"/>
              </w:rPr>
            </w:pPr>
            <w:r>
              <w:rPr>
                <w:rFonts w:hint="eastAsia" w:ascii="宋体" w:hAnsi="宋体"/>
                <w:sz w:val="24"/>
              </w:rPr>
              <w:t>技</w:t>
            </w:r>
          </w:p>
          <w:p w14:paraId="4A42EF24">
            <w:pPr>
              <w:spacing w:line="360" w:lineRule="auto"/>
              <w:jc w:val="center"/>
              <w:rPr>
                <w:rFonts w:ascii="宋体" w:hAnsi="宋体"/>
                <w:sz w:val="24"/>
              </w:rPr>
            </w:pPr>
            <w:r>
              <w:rPr>
                <w:rFonts w:hint="eastAsia" w:ascii="宋体" w:hAnsi="宋体"/>
                <w:sz w:val="24"/>
              </w:rPr>
              <w:t>术</w:t>
            </w:r>
          </w:p>
          <w:p w14:paraId="2292B704">
            <w:pPr>
              <w:spacing w:line="360" w:lineRule="auto"/>
              <w:jc w:val="center"/>
              <w:rPr>
                <w:rFonts w:ascii="宋体" w:hAnsi="宋体"/>
                <w:sz w:val="24"/>
              </w:rPr>
            </w:pPr>
            <w:r>
              <w:rPr>
                <w:rFonts w:hint="eastAsia" w:ascii="宋体" w:hAnsi="宋体"/>
                <w:sz w:val="24"/>
              </w:rPr>
              <w:t>分</w:t>
            </w:r>
          </w:p>
          <w:p w14:paraId="711C090A">
            <w:pPr>
              <w:spacing w:line="360" w:lineRule="auto"/>
              <w:jc w:val="center"/>
              <w:rPr>
                <w:rFonts w:ascii="宋体" w:hAnsi="宋体"/>
                <w:sz w:val="24"/>
              </w:rPr>
            </w:pPr>
            <w:r>
              <w:rPr>
                <w:rFonts w:hint="eastAsia" w:ascii="宋体" w:hAnsi="宋体"/>
                <w:sz w:val="24"/>
              </w:rPr>
              <w:t>69</w:t>
            </w:r>
          </w:p>
          <w:p w14:paraId="3C74CE94">
            <w:pPr>
              <w:spacing w:line="360" w:lineRule="auto"/>
              <w:jc w:val="center"/>
              <w:rPr>
                <w:rFonts w:ascii="宋体" w:hAnsi="宋体"/>
                <w:sz w:val="24"/>
              </w:rPr>
            </w:pPr>
            <w:r>
              <w:rPr>
                <w:rFonts w:hint="eastAsia" w:ascii="宋体" w:hAnsi="宋体"/>
                <w:sz w:val="24"/>
              </w:rPr>
              <w:t>分</w:t>
            </w:r>
          </w:p>
        </w:tc>
        <w:tc>
          <w:tcPr>
            <w:tcW w:w="3533" w:type="dxa"/>
          </w:tcPr>
          <w:p w14:paraId="610C5EB3">
            <w:pPr>
              <w:spacing w:line="360" w:lineRule="auto"/>
              <w:jc w:val="left"/>
              <w:rPr>
                <w:rFonts w:ascii="宋体" w:hAnsi="宋体"/>
                <w:sz w:val="24"/>
              </w:rPr>
            </w:pPr>
          </w:p>
        </w:tc>
        <w:tc>
          <w:tcPr>
            <w:tcW w:w="2268" w:type="dxa"/>
          </w:tcPr>
          <w:p w14:paraId="7FBF0891">
            <w:pPr>
              <w:spacing w:line="360" w:lineRule="auto"/>
              <w:rPr>
                <w:rFonts w:ascii="宋体" w:hAnsi="宋体"/>
                <w:sz w:val="24"/>
              </w:rPr>
            </w:pPr>
          </w:p>
        </w:tc>
        <w:tc>
          <w:tcPr>
            <w:tcW w:w="1276" w:type="dxa"/>
          </w:tcPr>
          <w:p w14:paraId="7D520723">
            <w:pPr>
              <w:spacing w:line="360" w:lineRule="auto"/>
              <w:rPr>
                <w:rFonts w:ascii="宋体" w:hAnsi="宋体"/>
                <w:sz w:val="24"/>
              </w:rPr>
            </w:pPr>
          </w:p>
        </w:tc>
        <w:tc>
          <w:tcPr>
            <w:tcW w:w="1701" w:type="dxa"/>
          </w:tcPr>
          <w:p w14:paraId="6B9E4D32">
            <w:pPr>
              <w:spacing w:line="360" w:lineRule="auto"/>
              <w:rPr>
                <w:rFonts w:ascii="宋体" w:hAnsi="宋体"/>
                <w:sz w:val="24"/>
              </w:rPr>
            </w:pPr>
          </w:p>
        </w:tc>
      </w:tr>
      <w:tr w14:paraId="187B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03140B95">
            <w:pPr>
              <w:spacing w:line="360" w:lineRule="auto"/>
              <w:rPr>
                <w:rFonts w:ascii="宋体" w:hAnsi="宋体"/>
                <w:sz w:val="24"/>
              </w:rPr>
            </w:pPr>
          </w:p>
        </w:tc>
        <w:tc>
          <w:tcPr>
            <w:tcW w:w="3533" w:type="dxa"/>
          </w:tcPr>
          <w:p w14:paraId="7B310913">
            <w:pPr>
              <w:spacing w:line="360" w:lineRule="auto"/>
              <w:jc w:val="left"/>
              <w:rPr>
                <w:rFonts w:ascii="宋体" w:hAnsi="宋体"/>
                <w:sz w:val="24"/>
              </w:rPr>
            </w:pPr>
          </w:p>
        </w:tc>
        <w:tc>
          <w:tcPr>
            <w:tcW w:w="2268" w:type="dxa"/>
          </w:tcPr>
          <w:p w14:paraId="37F70F4E">
            <w:pPr>
              <w:spacing w:line="360" w:lineRule="auto"/>
              <w:rPr>
                <w:rFonts w:ascii="宋体" w:hAnsi="宋体"/>
                <w:sz w:val="24"/>
              </w:rPr>
            </w:pPr>
          </w:p>
        </w:tc>
        <w:tc>
          <w:tcPr>
            <w:tcW w:w="1276" w:type="dxa"/>
          </w:tcPr>
          <w:p w14:paraId="76853ED4">
            <w:pPr>
              <w:spacing w:line="360" w:lineRule="auto"/>
              <w:rPr>
                <w:rFonts w:ascii="宋体" w:hAnsi="宋体"/>
                <w:sz w:val="24"/>
              </w:rPr>
            </w:pPr>
          </w:p>
        </w:tc>
        <w:tc>
          <w:tcPr>
            <w:tcW w:w="1701" w:type="dxa"/>
          </w:tcPr>
          <w:p w14:paraId="2BBFD39D">
            <w:pPr>
              <w:spacing w:line="360" w:lineRule="auto"/>
              <w:rPr>
                <w:rFonts w:ascii="宋体" w:hAnsi="宋体"/>
                <w:sz w:val="24"/>
              </w:rPr>
            </w:pPr>
          </w:p>
        </w:tc>
      </w:tr>
      <w:tr w14:paraId="631E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246210E9">
            <w:pPr>
              <w:spacing w:line="360" w:lineRule="auto"/>
              <w:rPr>
                <w:rFonts w:ascii="宋体" w:hAnsi="宋体"/>
                <w:sz w:val="24"/>
              </w:rPr>
            </w:pPr>
          </w:p>
        </w:tc>
        <w:tc>
          <w:tcPr>
            <w:tcW w:w="3533" w:type="dxa"/>
          </w:tcPr>
          <w:p w14:paraId="50D6FD5B">
            <w:pPr>
              <w:spacing w:line="360" w:lineRule="auto"/>
              <w:jc w:val="left"/>
              <w:rPr>
                <w:rFonts w:ascii="宋体" w:hAnsi="宋体"/>
                <w:sz w:val="24"/>
              </w:rPr>
            </w:pPr>
          </w:p>
        </w:tc>
        <w:tc>
          <w:tcPr>
            <w:tcW w:w="2268" w:type="dxa"/>
          </w:tcPr>
          <w:p w14:paraId="71D4FE9B">
            <w:pPr>
              <w:spacing w:line="360" w:lineRule="auto"/>
              <w:rPr>
                <w:rFonts w:ascii="宋体" w:hAnsi="宋体"/>
                <w:sz w:val="24"/>
              </w:rPr>
            </w:pPr>
          </w:p>
        </w:tc>
        <w:tc>
          <w:tcPr>
            <w:tcW w:w="1276" w:type="dxa"/>
          </w:tcPr>
          <w:p w14:paraId="6A0D0C8E">
            <w:pPr>
              <w:spacing w:line="360" w:lineRule="auto"/>
              <w:rPr>
                <w:rFonts w:ascii="宋体" w:hAnsi="宋体"/>
                <w:sz w:val="24"/>
              </w:rPr>
            </w:pPr>
          </w:p>
        </w:tc>
        <w:tc>
          <w:tcPr>
            <w:tcW w:w="1701" w:type="dxa"/>
          </w:tcPr>
          <w:p w14:paraId="1C964C8D">
            <w:pPr>
              <w:spacing w:line="360" w:lineRule="auto"/>
              <w:rPr>
                <w:rFonts w:ascii="宋体" w:hAnsi="宋体"/>
                <w:sz w:val="24"/>
              </w:rPr>
            </w:pPr>
          </w:p>
        </w:tc>
      </w:tr>
      <w:tr w14:paraId="58AD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23AA0CEB">
            <w:pPr>
              <w:spacing w:line="360" w:lineRule="auto"/>
              <w:rPr>
                <w:rFonts w:ascii="宋体" w:hAnsi="宋体"/>
                <w:sz w:val="24"/>
              </w:rPr>
            </w:pPr>
          </w:p>
        </w:tc>
        <w:tc>
          <w:tcPr>
            <w:tcW w:w="3533" w:type="dxa"/>
          </w:tcPr>
          <w:p w14:paraId="7CB5B389">
            <w:pPr>
              <w:spacing w:line="360" w:lineRule="auto"/>
              <w:jc w:val="left"/>
              <w:rPr>
                <w:rFonts w:ascii="宋体" w:hAnsi="宋体"/>
                <w:sz w:val="24"/>
              </w:rPr>
            </w:pPr>
          </w:p>
        </w:tc>
        <w:tc>
          <w:tcPr>
            <w:tcW w:w="2268" w:type="dxa"/>
          </w:tcPr>
          <w:p w14:paraId="0CE7EBB0">
            <w:pPr>
              <w:spacing w:line="360" w:lineRule="auto"/>
              <w:rPr>
                <w:rFonts w:ascii="宋体" w:hAnsi="宋体"/>
                <w:sz w:val="24"/>
              </w:rPr>
            </w:pPr>
          </w:p>
        </w:tc>
        <w:tc>
          <w:tcPr>
            <w:tcW w:w="1276" w:type="dxa"/>
          </w:tcPr>
          <w:p w14:paraId="2E6AB7C2">
            <w:pPr>
              <w:spacing w:line="360" w:lineRule="auto"/>
              <w:rPr>
                <w:rFonts w:ascii="宋体" w:hAnsi="宋体"/>
                <w:sz w:val="24"/>
              </w:rPr>
            </w:pPr>
          </w:p>
        </w:tc>
        <w:tc>
          <w:tcPr>
            <w:tcW w:w="1701" w:type="dxa"/>
          </w:tcPr>
          <w:p w14:paraId="237B2E51">
            <w:pPr>
              <w:spacing w:line="360" w:lineRule="auto"/>
              <w:rPr>
                <w:rFonts w:ascii="宋体" w:hAnsi="宋体"/>
                <w:sz w:val="24"/>
              </w:rPr>
            </w:pPr>
          </w:p>
        </w:tc>
      </w:tr>
      <w:tr w14:paraId="3FF8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2D09A434">
            <w:pPr>
              <w:spacing w:line="360" w:lineRule="auto"/>
              <w:rPr>
                <w:rFonts w:ascii="宋体" w:hAnsi="宋体"/>
                <w:sz w:val="24"/>
              </w:rPr>
            </w:pPr>
          </w:p>
        </w:tc>
        <w:tc>
          <w:tcPr>
            <w:tcW w:w="3533" w:type="dxa"/>
          </w:tcPr>
          <w:p w14:paraId="3275145C">
            <w:pPr>
              <w:spacing w:line="360" w:lineRule="auto"/>
              <w:jc w:val="left"/>
              <w:rPr>
                <w:rFonts w:ascii="宋体" w:hAnsi="宋体"/>
                <w:sz w:val="24"/>
              </w:rPr>
            </w:pPr>
          </w:p>
        </w:tc>
        <w:tc>
          <w:tcPr>
            <w:tcW w:w="2268" w:type="dxa"/>
          </w:tcPr>
          <w:p w14:paraId="19EA44EE">
            <w:pPr>
              <w:spacing w:line="360" w:lineRule="auto"/>
              <w:rPr>
                <w:rFonts w:ascii="宋体" w:hAnsi="宋体"/>
                <w:sz w:val="24"/>
              </w:rPr>
            </w:pPr>
          </w:p>
        </w:tc>
        <w:tc>
          <w:tcPr>
            <w:tcW w:w="1276" w:type="dxa"/>
          </w:tcPr>
          <w:p w14:paraId="5BEB4E84">
            <w:pPr>
              <w:spacing w:line="360" w:lineRule="auto"/>
              <w:rPr>
                <w:rFonts w:ascii="宋体" w:hAnsi="宋体"/>
                <w:sz w:val="24"/>
              </w:rPr>
            </w:pPr>
          </w:p>
        </w:tc>
        <w:tc>
          <w:tcPr>
            <w:tcW w:w="1701" w:type="dxa"/>
          </w:tcPr>
          <w:p w14:paraId="258C6E81">
            <w:pPr>
              <w:spacing w:line="360" w:lineRule="auto"/>
              <w:rPr>
                <w:rFonts w:ascii="宋体" w:hAnsi="宋体"/>
                <w:sz w:val="24"/>
              </w:rPr>
            </w:pPr>
          </w:p>
        </w:tc>
      </w:tr>
      <w:tr w14:paraId="5E04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6CD5B88E">
            <w:pPr>
              <w:spacing w:line="360" w:lineRule="auto"/>
              <w:rPr>
                <w:rFonts w:ascii="宋体" w:hAnsi="宋体"/>
                <w:sz w:val="24"/>
              </w:rPr>
            </w:pPr>
          </w:p>
        </w:tc>
        <w:tc>
          <w:tcPr>
            <w:tcW w:w="3533" w:type="dxa"/>
          </w:tcPr>
          <w:p w14:paraId="70F6BD15">
            <w:pPr>
              <w:spacing w:line="360" w:lineRule="auto"/>
              <w:jc w:val="left"/>
              <w:rPr>
                <w:rFonts w:ascii="宋体" w:hAnsi="宋体"/>
                <w:sz w:val="24"/>
              </w:rPr>
            </w:pPr>
          </w:p>
        </w:tc>
        <w:tc>
          <w:tcPr>
            <w:tcW w:w="2268" w:type="dxa"/>
          </w:tcPr>
          <w:p w14:paraId="0DBC722E">
            <w:pPr>
              <w:spacing w:line="360" w:lineRule="auto"/>
              <w:rPr>
                <w:rFonts w:ascii="宋体" w:hAnsi="宋体"/>
                <w:sz w:val="24"/>
              </w:rPr>
            </w:pPr>
          </w:p>
        </w:tc>
        <w:tc>
          <w:tcPr>
            <w:tcW w:w="1276" w:type="dxa"/>
          </w:tcPr>
          <w:p w14:paraId="61B4364D">
            <w:pPr>
              <w:spacing w:line="360" w:lineRule="auto"/>
              <w:rPr>
                <w:rFonts w:ascii="宋体" w:hAnsi="宋体"/>
                <w:sz w:val="24"/>
              </w:rPr>
            </w:pPr>
          </w:p>
        </w:tc>
        <w:tc>
          <w:tcPr>
            <w:tcW w:w="1701" w:type="dxa"/>
          </w:tcPr>
          <w:p w14:paraId="2E0B6764">
            <w:pPr>
              <w:spacing w:line="360" w:lineRule="auto"/>
              <w:rPr>
                <w:rFonts w:ascii="宋体" w:hAnsi="宋体"/>
                <w:sz w:val="24"/>
              </w:rPr>
            </w:pPr>
          </w:p>
        </w:tc>
      </w:tr>
      <w:tr w14:paraId="605C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12C5A9EB">
            <w:pPr>
              <w:spacing w:line="360" w:lineRule="auto"/>
              <w:rPr>
                <w:rFonts w:ascii="宋体" w:hAnsi="宋体"/>
                <w:sz w:val="24"/>
              </w:rPr>
            </w:pPr>
          </w:p>
        </w:tc>
        <w:tc>
          <w:tcPr>
            <w:tcW w:w="3533" w:type="dxa"/>
          </w:tcPr>
          <w:p w14:paraId="29953AD1">
            <w:pPr>
              <w:spacing w:line="360" w:lineRule="auto"/>
              <w:jc w:val="left"/>
              <w:rPr>
                <w:rFonts w:ascii="宋体" w:hAnsi="宋体"/>
                <w:sz w:val="24"/>
              </w:rPr>
            </w:pPr>
          </w:p>
        </w:tc>
        <w:tc>
          <w:tcPr>
            <w:tcW w:w="2268" w:type="dxa"/>
          </w:tcPr>
          <w:p w14:paraId="1D5346B1">
            <w:pPr>
              <w:spacing w:line="360" w:lineRule="auto"/>
              <w:rPr>
                <w:rFonts w:ascii="宋体" w:hAnsi="宋体"/>
                <w:sz w:val="24"/>
              </w:rPr>
            </w:pPr>
          </w:p>
        </w:tc>
        <w:tc>
          <w:tcPr>
            <w:tcW w:w="1276" w:type="dxa"/>
          </w:tcPr>
          <w:p w14:paraId="64AF4E82">
            <w:pPr>
              <w:spacing w:line="360" w:lineRule="auto"/>
              <w:rPr>
                <w:rFonts w:ascii="宋体" w:hAnsi="宋体"/>
                <w:sz w:val="24"/>
              </w:rPr>
            </w:pPr>
          </w:p>
        </w:tc>
        <w:tc>
          <w:tcPr>
            <w:tcW w:w="1701" w:type="dxa"/>
          </w:tcPr>
          <w:p w14:paraId="6B2B2D16">
            <w:pPr>
              <w:spacing w:line="360" w:lineRule="auto"/>
              <w:rPr>
                <w:rFonts w:ascii="宋体" w:hAnsi="宋体"/>
                <w:sz w:val="24"/>
              </w:rPr>
            </w:pPr>
          </w:p>
        </w:tc>
      </w:tr>
      <w:tr w14:paraId="6244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398BFD9B">
            <w:pPr>
              <w:spacing w:line="360" w:lineRule="auto"/>
              <w:rPr>
                <w:rFonts w:ascii="宋体" w:hAnsi="宋体"/>
                <w:sz w:val="24"/>
              </w:rPr>
            </w:pPr>
          </w:p>
        </w:tc>
        <w:tc>
          <w:tcPr>
            <w:tcW w:w="3533" w:type="dxa"/>
          </w:tcPr>
          <w:p w14:paraId="4E72DDE3">
            <w:pPr>
              <w:spacing w:line="360" w:lineRule="auto"/>
              <w:jc w:val="left"/>
              <w:rPr>
                <w:rFonts w:ascii="宋体" w:hAnsi="宋体"/>
                <w:sz w:val="24"/>
              </w:rPr>
            </w:pPr>
          </w:p>
        </w:tc>
        <w:tc>
          <w:tcPr>
            <w:tcW w:w="2268" w:type="dxa"/>
          </w:tcPr>
          <w:p w14:paraId="43E88992">
            <w:pPr>
              <w:spacing w:line="360" w:lineRule="auto"/>
              <w:rPr>
                <w:rFonts w:ascii="宋体" w:hAnsi="宋体"/>
                <w:sz w:val="24"/>
              </w:rPr>
            </w:pPr>
          </w:p>
        </w:tc>
        <w:tc>
          <w:tcPr>
            <w:tcW w:w="1276" w:type="dxa"/>
          </w:tcPr>
          <w:p w14:paraId="5875EA80">
            <w:pPr>
              <w:spacing w:line="360" w:lineRule="auto"/>
              <w:rPr>
                <w:rFonts w:ascii="宋体" w:hAnsi="宋体"/>
                <w:sz w:val="24"/>
              </w:rPr>
            </w:pPr>
          </w:p>
        </w:tc>
        <w:tc>
          <w:tcPr>
            <w:tcW w:w="1701" w:type="dxa"/>
          </w:tcPr>
          <w:p w14:paraId="1E5B0460">
            <w:pPr>
              <w:spacing w:line="360" w:lineRule="auto"/>
              <w:rPr>
                <w:rFonts w:ascii="宋体" w:hAnsi="宋体"/>
                <w:sz w:val="24"/>
              </w:rPr>
            </w:pPr>
          </w:p>
        </w:tc>
      </w:tr>
      <w:tr w14:paraId="5235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restart"/>
            <w:vAlign w:val="center"/>
          </w:tcPr>
          <w:p w14:paraId="13C0F454">
            <w:pPr>
              <w:spacing w:line="360" w:lineRule="auto"/>
              <w:jc w:val="center"/>
              <w:rPr>
                <w:rFonts w:ascii="宋体" w:hAnsi="宋体"/>
                <w:sz w:val="24"/>
              </w:rPr>
            </w:pPr>
            <w:r>
              <w:rPr>
                <w:rFonts w:hint="eastAsia" w:ascii="宋体" w:hAnsi="宋体"/>
                <w:sz w:val="24"/>
              </w:rPr>
              <w:t>商务、资信及其他</w:t>
            </w:r>
          </w:p>
          <w:p w14:paraId="24868C26">
            <w:pPr>
              <w:spacing w:line="360" w:lineRule="auto"/>
              <w:jc w:val="center"/>
              <w:rPr>
                <w:rFonts w:ascii="宋体" w:hAnsi="宋体"/>
                <w:sz w:val="24"/>
              </w:rPr>
            </w:pPr>
            <w:r>
              <w:rPr>
                <w:rFonts w:hint="eastAsia" w:ascii="宋体" w:hAnsi="宋体"/>
                <w:sz w:val="24"/>
              </w:rPr>
              <w:t>分21分</w:t>
            </w:r>
          </w:p>
        </w:tc>
        <w:tc>
          <w:tcPr>
            <w:tcW w:w="3533" w:type="dxa"/>
          </w:tcPr>
          <w:p w14:paraId="51BD81FE">
            <w:pPr>
              <w:spacing w:line="360" w:lineRule="auto"/>
              <w:jc w:val="left"/>
              <w:rPr>
                <w:rFonts w:ascii="宋体" w:hAnsi="宋体"/>
                <w:sz w:val="24"/>
              </w:rPr>
            </w:pPr>
          </w:p>
        </w:tc>
        <w:tc>
          <w:tcPr>
            <w:tcW w:w="2268" w:type="dxa"/>
          </w:tcPr>
          <w:p w14:paraId="70D171A1">
            <w:pPr>
              <w:spacing w:line="360" w:lineRule="auto"/>
              <w:rPr>
                <w:rFonts w:ascii="宋体" w:hAnsi="宋体"/>
                <w:sz w:val="24"/>
              </w:rPr>
            </w:pPr>
          </w:p>
        </w:tc>
        <w:tc>
          <w:tcPr>
            <w:tcW w:w="1276" w:type="dxa"/>
          </w:tcPr>
          <w:p w14:paraId="0A85E969">
            <w:pPr>
              <w:spacing w:line="360" w:lineRule="auto"/>
              <w:rPr>
                <w:rFonts w:ascii="宋体" w:hAnsi="宋体"/>
                <w:sz w:val="24"/>
              </w:rPr>
            </w:pPr>
          </w:p>
        </w:tc>
        <w:tc>
          <w:tcPr>
            <w:tcW w:w="1701" w:type="dxa"/>
          </w:tcPr>
          <w:p w14:paraId="5C286446">
            <w:pPr>
              <w:spacing w:line="360" w:lineRule="auto"/>
              <w:rPr>
                <w:rFonts w:ascii="宋体" w:hAnsi="宋体"/>
                <w:sz w:val="24"/>
              </w:rPr>
            </w:pPr>
          </w:p>
        </w:tc>
      </w:tr>
      <w:tr w14:paraId="539F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3576B106">
            <w:pPr>
              <w:spacing w:line="360" w:lineRule="auto"/>
              <w:jc w:val="center"/>
              <w:rPr>
                <w:rFonts w:ascii="宋体" w:hAnsi="宋体"/>
                <w:sz w:val="24"/>
              </w:rPr>
            </w:pPr>
          </w:p>
        </w:tc>
        <w:tc>
          <w:tcPr>
            <w:tcW w:w="3533" w:type="dxa"/>
          </w:tcPr>
          <w:p w14:paraId="65628B4E">
            <w:pPr>
              <w:spacing w:line="360" w:lineRule="auto"/>
              <w:jc w:val="left"/>
              <w:rPr>
                <w:rFonts w:ascii="宋体" w:hAnsi="宋体"/>
                <w:sz w:val="24"/>
              </w:rPr>
            </w:pPr>
          </w:p>
        </w:tc>
        <w:tc>
          <w:tcPr>
            <w:tcW w:w="2268" w:type="dxa"/>
          </w:tcPr>
          <w:p w14:paraId="28CA81F1">
            <w:pPr>
              <w:spacing w:line="360" w:lineRule="auto"/>
              <w:rPr>
                <w:rFonts w:ascii="宋体" w:hAnsi="宋体"/>
                <w:sz w:val="24"/>
              </w:rPr>
            </w:pPr>
          </w:p>
        </w:tc>
        <w:tc>
          <w:tcPr>
            <w:tcW w:w="1276" w:type="dxa"/>
          </w:tcPr>
          <w:p w14:paraId="56C7DAD4">
            <w:pPr>
              <w:spacing w:line="360" w:lineRule="auto"/>
              <w:rPr>
                <w:rFonts w:ascii="宋体" w:hAnsi="宋体"/>
                <w:sz w:val="24"/>
              </w:rPr>
            </w:pPr>
          </w:p>
        </w:tc>
        <w:tc>
          <w:tcPr>
            <w:tcW w:w="1701" w:type="dxa"/>
          </w:tcPr>
          <w:p w14:paraId="6D21FB2E">
            <w:pPr>
              <w:spacing w:line="360" w:lineRule="auto"/>
              <w:rPr>
                <w:rFonts w:ascii="宋体" w:hAnsi="宋体"/>
                <w:sz w:val="24"/>
              </w:rPr>
            </w:pPr>
          </w:p>
        </w:tc>
      </w:tr>
      <w:tr w14:paraId="40D9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7177D14E">
            <w:pPr>
              <w:spacing w:line="360" w:lineRule="auto"/>
              <w:jc w:val="center"/>
              <w:rPr>
                <w:rFonts w:ascii="宋体" w:hAnsi="宋体"/>
                <w:sz w:val="24"/>
              </w:rPr>
            </w:pPr>
          </w:p>
        </w:tc>
        <w:tc>
          <w:tcPr>
            <w:tcW w:w="3533" w:type="dxa"/>
          </w:tcPr>
          <w:p w14:paraId="49379E21">
            <w:pPr>
              <w:spacing w:line="360" w:lineRule="auto"/>
              <w:jc w:val="left"/>
              <w:rPr>
                <w:rFonts w:ascii="宋体" w:hAnsi="宋体"/>
                <w:sz w:val="24"/>
              </w:rPr>
            </w:pPr>
          </w:p>
        </w:tc>
        <w:tc>
          <w:tcPr>
            <w:tcW w:w="2268" w:type="dxa"/>
          </w:tcPr>
          <w:p w14:paraId="797DB6CC">
            <w:pPr>
              <w:spacing w:line="360" w:lineRule="auto"/>
              <w:rPr>
                <w:rFonts w:ascii="宋体" w:hAnsi="宋体"/>
                <w:sz w:val="24"/>
              </w:rPr>
            </w:pPr>
          </w:p>
        </w:tc>
        <w:tc>
          <w:tcPr>
            <w:tcW w:w="1276" w:type="dxa"/>
          </w:tcPr>
          <w:p w14:paraId="6BE2FD01">
            <w:pPr>
              <w:spacing w:line="360" w:lineRule="auto"/>
              <w:rPr>
                <w:rFonts w:ascii="宋体" w:hAnsi="宋体"/>
                <w:sz w:val="24"/>
              </w:rPr>
            </w:pPr>
          </w:p>
        </w:tc>
        <w:tc>
          <w:tcPr>
            <w:tcW w:w="1701" w:type="dxa"/>
          </w:tcPr>
          <w:p w14:paraId="71432592">
            <w:pPr>
              <w:spacing w:line="360" w:lineRule="auto"/>
              <w:rPr>
                <w:rFonts w:ascii="宋体" w:hAnsi="宋体"/>
                <w:sz w:val="24"/>
              </w:rPr>
            </w:pPr>
          </w:p>
        </w:tc>
      </w:tr>
      <w:tr w14:paraId="2912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68B7DE41">
            <w:pPr>
              <w:spacing w:line="360" w:lineRule="auto"/>
              <w:jc w:val="center"/>
              <w:rPr>
                <w:rFonts w:ascii="宋体" w:hAnsi="宋体"/>
                <w:sz w:val="24"/>
              </w:rPr>
            </w:pPr>
          </w:p>
        </w:tc>
        <w:tc>
          <w:tcPr>
            <w:tcW w:w="3533" w:type="dxa"/>
          </w:tcPr>
          <w:p w14:paraId="05AEFE10">
            <w:pPr>
              <w:spacing w:line="360" w:lineRule="auto"/>
              <w:jc w:val="left"/>
              <w:rPr>
                <w:rFonts w:ascii="宋体" w:hAnsi="宋体"/>
                <w:sz w:val="24"/>
              </w:rPr>
            </w:pPr>
          </w:p>
        </w:tc>
        <w:tc>
          <w:tcPr>
            <w:tcW w:w="2268" w:type="dxa"/>
          </w:tcPr>
          <w:p w14:paraId="6BFACB78">
            <w:pPr>
              <w:spacing w:line="360" w:lineRule="auto"/>
              <w:rPr>
                <w:rFonts w:ascii="宋体" w:hAnsi="宋体"/>
                <w:sz w:val="24"/>
              </w:rPr>
            </w:pPr>
          </w:p>
        </w:tc>
        <w:tc>
          <w:tcPr>
            <w:tcW w:w="1276" w:type="dxa"/>
          </w:tcPr>
          <w:p w14:paraId="750735E5">
            <w:pPr>
              <w:spacing w:line="360" w:lineRule="auto"/>
              <w:rPr>
                <w:rFonts w:ascii="宋体" w:hAnsi="宋体"/>
                <w:sz w:val="24"/>
              </w:rPr>
            </w:pPr>
          </w:p>
        </w:tc>
        <w:tc>
          <w:tcPr>
            <w:tcW w:w="1701" w:type="dxa"/>
          </w:tcPr>
          <w:p w14:paraId="4AC68877">
            <w:pPr>
              <w:spacing w:line="360" w:lineRule="auto"/>
              <w:rPr>
                <w:rFonts w:ascii="宋体" w:hAnsi="宋体"/>
                <w:sz w:val="24"/>
              </w:rPr>
            </w:pPr>
          </w:p>
        </w:tc>
      </w:tr>
      <w:tr w14:paraId="745F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023" w:type="dxa"/>
            <w:vMerge w:val="continue"/>
          </w:tcPr>
          <w:p w14:paraId="75017883">
            <w:pPr>
              <w:spacing w:line="360" w:lineRule="auto"/>
              <w:rPr>
                <w:rFonts w:ascii="宋体" w:hAnsi="宋体"/>
                <w:sz w:val="24"/>
              </w:rPr>
            </w:pPr>
          </w:p>
        </w:tc>
        <w:tc>
          <w:tcPr>
            <w:tcW w:w="3533" w:type="dxa"/>
          </w:tcPr>
          <w:p w14:paraId="35AB8C00">
            <w:pPr>
              <w:spacing w:line="360" w:lineRule="auto"/>
              <w:jc w:val="left"/>
              <w:rPr>
                <w:rFonts w:ascii="宋体" w:hAnsi="宋体"/>
                <w:sz w:val="24"/>
              </w:rPr>
            </w:pPr>
          </w:p>
        </w:tc>
        <w:tc>
          <w:tcPr>
            <w:tcW w:w="2268" w:type="dxa"/>
          </w:tcPr>
          <w:p w14:paraId="6A4E301C">
            <w:pPr>
              <w:spacing w:line="360" w:lineRule="auto"/>
              <w:rPr>
                <w:rFonts w:ascii="宋体" w:hAnsi="宋体"/>
                <w:sz w:val="24"/>
              </w:rPr>
            </w:pPr>
          </w:p>
        </w:tc>
        <w:tc>
          <w:tcPr>
            <w:tcW w:w="1276" w:type="dxa"/>
          </w:tcPr>
          <w:p w14:paraId="62784EEA">
            <w:pPr>
              <w:spacing w:line="360" w:lineRule="auto"/>
              <w:rPr>
                <w:rFonts w:ascii="宋体" w:hAnsi="宋体"/>
                <w:sz w:val="24"/>
              </w:rPr>
            </w:pPr>
          </w:p>
        </w:tc>
        <w:tc>
          <w:tcPr>
            <w:tcW w:w="1701" w:type="dxa"/>
          </w:tcPr>
          <w:p w14:paraId="66648467">
            <w:pPr>
              <w:spacing w:line="360" w:lineRule="auto"/>
              <w:rPr>
                <w:rFonts w:ascii="宋体" w:hAnsi="宋体"/>
                <w:sz w:val="24"/>
              </w:rPr>
            </w:pPr>
          </w:p>
        </w:tc>
      </w:tr>
      <w:tr w14:paraId="183E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56" w:type="dxa"/>
            <w:gridSpan w:val="2"/>
            <w:vAlign w:val="center"/>
          </w:tcPr>
          <w:p w14:paraId="0DF6F09D">
            <w:pPr>
              <w:spacing w:line="360" w:lineRule="auto"/>
              <w:jc w:val="center"/>
              <w:rPr>
                <w:rFonts w:ascii="宋体" w:hAnsi="宋体"/>
                <w:sz w:val="24"/>
                <w:highlight w:val="yellow"/>
              </w:rPr>
            </w:pPr>
            <w:r>
              <w:rPr>
                <w:rFonts w:hint="eastAsia" w:ascii="宋体" w:hAnsi="宋体"/>
                <w:sz w:val="24"/>
              </w:rPr>
              <w:t>总分</w:t>
            </w:r>
          </w:p>
        </w:tc>
        <w:tc>
          <w:tcPr>
            <w:tcW w:w="2268" w:type="dxa"/>
          </w:tcPr>
          <w:p w14:paraId="1BA00506">
            <w:pPr>
              <w:spacing w:line="360" w:lineRule="auto"/>
              <w:rPr>
                <w:rFonts w:ascii="宋体" w:hAnsi="宋体"/>
                <w:sz w:val="24"/>
                <w:highlight w:val="yellow"/>
              </w:rPr>
            </w:pPr>
          </w:p>
        </w:tc>
        <w:tc>
          <w:tcPr>
            <w:tcW w:w="2977" w:type="dxa"/>
            <w:gridSpan w:val="2"/>
          </w:tcPr>
          <w:p w14:paraId="59196488">
            <w:pPr>
              <w:spacing w:line="360" w:lineRule="auto"/>
              <w:rPr>
                <w:rFonts w:ascii="宋体" w:hAnsi="宋体"/>
                <w:sz w:val="24"/>
                <w:highlight w:val="yellow"/>
              </w:rPr>
            </w:pPr>
          </w:p>
        </w:tc>
      </w:tr>
    </w:tbl>
    <w:p w14:paraId="5B6B215A">
      <w:pPr>
        <w:pStyle w:val="15"/>
        <w:spacing w:line="360" w:lineRule="auto"/>
        <w:ind w:firstLine="221" w:firstLineChars="129"/>
      </w:pPr>
    </w:p>
    <w:p w14:paraId="38F3DE5B">
      <w:pPr>
        <w:snapToGrid w:val="0"/>
        <w:spacing w:line="360" w:lineRule="auto"/>
        <w:jc w:val="center"/>
        <w:rPr>
          <w:rFonts w:ascii="宋体" w:hAnsi="宋体"/>
          <w:sz w:val="24"/>
        </w:rPr>
      </w:pPr>
    </w:p>
    <w:p w14:paraId="7A9911B7">
      <w:pPr>
        <w:spacing w:line="360" w:lineRule="auto"/>
        <w:rPr>
          <w:rFonts w:hAnsi="宋体"/>
          <w:b/>
          <w:sz w:val="24"/>
        </w:rPr>
      </w:pPr>
    </w:p>
    <w:p w14:paraId="2F7A556D">
      <w:pPr>
        <w:spacing w:line="360" w:lineRule="auto"/>
        <w:rPr>
          <w:rFonts w:hAnsi="宋体"/>
          <w:b/>
          <w:sz w:val="24"/>
        </w:rPr>
      </w:pPr>
    </w:p>
    <w:p w14:paraId="1215A747">
      <w:pPr>
        <w:spacing w:line="360" w:lineRule="auto"/>
        <w:rPr>
          <w:rFonts w:hAnsi="宋体"/>
          <w:b/>
          <w:sz w:val="24"/>
        </w:rPr>
      </w:pPr>
    </w:p>
    <w:p w14:paraId="2235AE0A">
      <w:pPr>
        <w:pStyle w:val="2"/>
      </w:pPr>
    </w:p>
    <w:p w14:paraId="44315379">
      <w:pPr>
        <w:pStyle w:val="20"/>
      </w:pPr>
    </w:p>
    <w:p w14:paraId="72040FF3"/>
    <w:p w14:paraId="24762DEF">
      <w:pPr>
        <w:pStyle w:val="32"/>
      </w:pPr>
    </w:p>
    <w:p w14:paraId="48E6D3B2">
      <w:pPr>
        <w:pStyle w:val="42"/>
      </w:pPr>
    </w:p>
    <w:p w14:paraId="65366880">
      <w:pPr>
        <w:pStyle w:val="43"/>
      </w:pPr>
    </w:p>
    <w:p w14:paraId="61AF0F60">
      <w:pPr>
        <w:snapToGrid w:val="0"/>
        <w:spacing w:line="360" w:lineRule="auto"/>
        <w:jc w:val="center"/>
        <w:rPr>
          <w:rFonts w:ascii="宋体" w:hAnsi="宋体"/>
          <w:sz w:val="30"/>
          <w:szCs w:val="20"/>
        </w:rPr>
      </w:pPr>
      <w:r>
        <w:rPr>
          <w:rFonts w:hint="eastAsia" w:ascii="宋体" w:hAnsi="宋体"/>
          <w:sz w:val="24"/>
        </w:rPr>
        <w:t>三、报价文件格式</w:t>
      </w:r>
    </w:p>
    <w:p w14:paraId="16BD8DED">
      <w:pPr>
        <w:snapToGrid w:val="0"/>
        <w:spacing w:line="360" w:lineRule="auto"/>
        <w:rPr>
          <w:rFonts w:ascii="宋体" w:hAnsi="宋体"/>
          <w:sz w:val="24"/>
          <w:szCs w:val="20"/>
        </w:rPr>
      </w:pPr>
      <w:r>
        <w:rPr>
          <w:rFonts w:hint="eastAsia" w:ascii="宋体" w:hAnsi="宋体"/>
          <w:sz w:val="24"/>
        </w:rPr>
        <w:t>33.报价文件封面格式：</w:t>
      </w:r>
    </w:p>
    <w:p w14:paraId="4C1E8E6F">
      <w:pPr>
        <w:snapToGrid w:val="0"/>
        <w:spacing w:line="360" w:lineRule="auto"/>
        <w:rPr>
          <w:rFonts w:ascii="宋体" w:hAnsi="宋体"/>
          <w:sz w:val="24"/>
          <w:szCs w:val="20"/>
        </w:rPr>
      </w:pPr>
    </w:p>
    <w:p w14:paraId="445CECFC">
      <w:pPr>
        <w:snapToGrid w:val="0"/>
        <w:spacing w:line="360" w:lineRule="auto"/>
        <w:jc w:val="center"/>
        <w:rPr>
          <w:rFonts w:ascii="宋体" w:hAnsi="宋体"/>
          <w:bCs/>
          <w:sz w:val="24"/>
          <w:szCs w:val="20"/>
        </w:rPr>
      </w:pPr>
    </w:p>
    <w:p w14:paraId="5AA0F141">
      <w:pPr>
        <w:snapToGrid w:val="0"/>
        <w:spacing w:line="360" w:lineRule="auto"/>
        <w:jc w:val="center"/>
        <w:rPr>
          <w:rFonts w:ascii="宋体" w:hAnsi="宋体"/>
          <w:bCs/>
          <w:sz w:val="24"/>
          <w:szCs w:val="20"/>
        </w:rPr>
      </w:pPr>
      <w:r>
        <w:rPr>
          <w:rFonts w:hint="eastAsia" w:ascii="宋体" w:hAnsi="宋体"/>
          <w:bCs/>
          <w:sz w:val="24"/>
        </w:rPr>
        <w:t>报价文件</w:t>
      </w:r>
    </w:p>
    <w:p w14:paraId="233F9CCD">
      <w:pPr>
        <w:snapToGrid w:val="0"/>
        <w:spacing w:line="360" w:lineRule="auto"/>
        <w:rPr>
          <w:rFonts w:ascii="宋体" w:hAnsi="宋体"/>
          <w:bCs/>
          <w:sz w:val="24"/>
          <w:szCs w:val="20"/>
        </w:rPr>
      </w:pPr>
    </w:p>
    <w:p w14:paraId="59222C7A">
      <w:pPr>
        <w:snapToGrid w:val="0"/>
        <w:spacing w:line="360" w:lineRule="auto"/>
        <w:ind w:firstLine="1080" w:firstLineChars="450"/>
        <w:jc w:val="left"/>
        <w:rPr>
          <w:rFonts w:ascii="宋体" w:hAnsi="宋体"/>
          <w:spacing w:val="-20"/>
          <w:sz w:val="24"/>
        </w:rPr>
      </w:pPr>
      <w:r>
        <w:rPr>
          <w:rFonts w:hint="eastAsia" w:ascii="宋体" w:hAnsi="宋体"/>
          <w:bCs/>
          <w:sz w:val="24"/>
        </w:rPr>
        <w:t>项目名称：</w:t>
      </w:r>
      <w:r>
        <w:rPr>
          <w:rFonts w:hint="eastAsia" w:ascii="宋体" w:hAnsi="宋体"/>
          <w:spacing w:val="-20"/>
          <w:sz w:val="24"/>
        </w:rPr>
        <w:t>南太湖新区垃圾分类数据管理平台建设项目</w:t>
      </w:r>
    </w:p>
    <w:p w14:paraId="436EB153">
      <w:pPr>
        <w:snapToGrid w:val="0"/>
        <w:spacing w:line="360" w:lineRule="auto"/>
        <w:ind w:firstLine="840" w:firstLineChars="350"/>
        <w:rPr>
          <w:rFonts w:ascii="宋体" w:hAnsi="宋体"/>
          <w:bCs/>
          <w:sz w:val="24"/>
        </w:rPr>
      </w:pPr>
      <w:r>
        <w:rPr>
          <w:rFonts w:hint="eastAsia" w:ascii="宋体" w:hAnsi="宋体"/>
          <w:bCs/>
          <w:sz w:val="24"/>
        </w:rPr>
        <w:t>项目编号：HYHZ2024-154</w:t>
      </w:r>
    </w:p>
    <w:p w14:paraId="1DBD4DBD">
      <w:pPr>
        <w:snapToGrid w:val="0"/>
        <w:spacing w:line="360" w:lineRule="auto"/>
        <w:ind w:firstLine="840" w:firstLineChars="350"/>
        <w:rPr>
          <w:sz w:val="24"/>
        </w:rPr>
      </w:pPr>
      <w:r>
        <w:rPr>
          <w:rFonts w:hint="eastAsia"/>
          <w:sz w:val="24"/>
        </w:rPr>
        <w:t xml:space="preserve"> 投标人名称：</w:t>
      </w:r>
    </w:p>
    <w:p w14:paraId="0BC9FE4C">
      <w:pPr>
        <w:pStyle w:val="10"/>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14:paraId="39DDD836">
      <w:pPr>
        <w:pStyle w:val="10"/>
        <w:snapToGrid w:val="0"/>
        <w:spacing w:line="360" w:lineRule="auto"/>
        <w:ind w:firstLine="960" w:firstLineChars="400"/>
        <w:rPr>
          <w:rFonts w:ascii="宋体" w:hAnsi="宋体"/>
          <w:bCs/>
          <w:sz w:val="24"/>
          <w:szCs w:val="24"/>
        </w:rPr>
      </w:pPr>
    </w:p>
    <w:p w14:paraId="53BEE33B">
      <w:pPr>
        <w:pStyle w:val="10"/>
        <w:snapToGrid w:val="0"/>
        <w:spacing w:line="360" w:lineRule="auto"/>
        <w:ind w:firstLine="1497" w:firstLineChars="416"/>
        <w:rPr>
          <w:rFonts w:ascii="宋体" w:hAnsi="宋体"/>
          <w:sz w:val="36"/>
        </w:rPr>
      </w:pPr>
    </w:p>
    <w:p w14:paraId="72B8FACF">
      <w:pPr>
        <w:snapToGrid w:val="0"/>
        <w:spacing w:line="360" w:lineRule="auto"/>
        <w:ind w:firstLine="4080" w:firstLineChars="1700"/>
        <w:rPr>
          <w:rFonts w:ascii="宋体" w:hAnsi="宋体"/>
          <w:sz w:val="24"/>
          <w:szCs w:val="20"/>
        </w:rPr>
      </w:pPr>
    </w:p>
    <w:p w14:paraId="2C806376">
      <w:pPr>
        <w:snapToGrid w:val="0"/>
        <w:spacing w:line="360" w:lineRule="auto"/>
        <w:jc w:val="center"/>
        <w:rPr>
          <w:rFonts w:ascii="宋体" w:hAnsi="宋体"/>
          <w:sz w:val="30"/>
          <w:szCs w:val="20"/>
        </w:rPr>
      </w:pPr>
      <w:r>
        <w:rPr>
          <w:rFonts w:hint="eastAsia" w:ascii="宋体" w:hAnsi="宋体"/>
          <w:sz w:val="24"/>
        </w:rPr>
        <w:t>年月日</w:t>
      </w:r>
    </w:p>
    <w:p w14:paraId="4EB49426">
      <w:pPr>
        <w:snapToGrid w:val="0"/>
        <w:spacing w:line="360" w:lineRule="auto"/>
        <w:jc w:val="center"/>
        <w:rPr>
          <w:rFonts w:ascii="宋体" w:hAnsi="宋体"/>
          <w:sz w:val="30"/>
          <w:szCs w:val="20"/>
        </w:rPr>
      </w:pPr>
    </w:p>
    <w:p w14:paraId="376D4031">
      <w:pPr>
        <w:snapToGrid w:val="0"/>
        <w:spacing w:line="360" w:lineRule="auto"/>
        <w:rPr>
          <w:rFonts w:ascii="宋体" w:hAnsi="宋体"/>
          <w:sz w:val="24"/>
        </w:rPr>
      </w:pPr>
      <w:r>
        <w:rPr>
          <w:rFonts w:ascii="宋体" w:hAnsi="宋体"/>
        </w:rPr>
        <w:br w:type="page"/>
      </w:r>
      <w:r>
        <w:rPr>
          <w:rFonts w:hint="eastAsia" w:ascii="宋体" w:hAnsi="宋体"/>
          <w:sz w:val="24"/>
        </w:rPr>
        <w:t>34.投标函格式：</w:t>
      </w:r>
    </w:p>
    <w:p w14:paraId="7912D334">
      <w:pPr>
        <w:snapToGrid w:val="0"/>
        <w:spacing w:line="360" w:lineRule="auto"/>
        <w:jc w:val="center"/>
        <w:rPr>
          <w:rFonts w:ascii="宋体" w:hAnsi="宋体"/>
          <w:b/>
          <w:sz w:val="24"/>
          <w:szCs w:val="20"/>
        </w:rPr>
      </w:pPr>
      <w:r>
        <w:rPr>
          <w:rFonts w:hint="eastAsia" w:ascii="宋体" w:hAnsi="宋体"/>
          <w:b/>
          <w:sz w:val="24"/>
        </w:rPr>
        <w:t>投标函</w:t>
      </w:r>
    </w:p>
    <w:p w14:paraId="5B54D432">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14:paraId="522DE203">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14:paraId="44F3BB81">
      <w:pPr>
        <w:snapToGrid w:val="0"/>
        <w:spacing w:line="360" w:lineRule="auto"/>
        <w:rPr>
          <w:rFonts w:ascii="宋体" w:hAnsi="宋体"/>
          <w:sz w:val="24"/>
          <w:szCs w:val="20"/>
        </w:rPr>
      </w:pPr>
      <w:r>
        <w:rPr>
          <w:rFonts w:hint="eastAsia" w:ascii="宋体" w:hAnsi="宋体"/>
          <w:sz w:val="24"/>
        </w:rPr>
        <w:t>（项目编号：</w:t>
      </w:r>
      <w:r>
        <w:rPr>
          <w:rFonts w:ascii="宋体" w:hAnsi="宋体"/>
          <w:sz w:val="24"/>
        </w:rPr>
        <w:t>____</w:t>
      </w:r>
      <w:r>
        <w:rPr>
          <w:rFonts w:ascii="宋体" w:hAnsi="宋体"/>
          <w:sz w:val="24"/>
          <w:u w:val="single"/>
        </w:rPr>
        <w:t>_     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 xml:space="preserve">_     </w:t>
      </w:r>
      <w:r>
        <w:rPr>
          <w:rFonts w:hint="eastAsia" w:ascii="宋体" w:hAnsi="宋体"/>
          <w:sz w:val="24"/>
        </w:rPr>
        <w:t>（全名）经正式授权并代表投标人</w:t>
      </w:r>
      <w:r>
        <w:rPr>
          <w:rFonts w:ascii="宋体" w:hAnsi="宋体"/>
          <w:sz w:val="24"/>
        </w:rPr>
        <w:t>_____</w:t>
      </w:r>
      <w:r>
        <w:rPr>
          <w:rFonts w:ascii="宋体" w:hAnsi="宋体"/>
          <w:sz w:val="24"/>
          <w:u w:val="single"/>
        </w:rPr>
        <w:t>__                    __</w:t>
      </w:r>
      <w:r>
        <w:rPr>
          <w:rFonts w:hint="eastAsia" w:ascii="宋体" w:hAnsi="宋体"/>
          <w:sz w:val="24"/>
        </w:rPr>
        <w:t>（投标人名称）提交资格文件、技术/资信/商务文件</w:t>
      </w:r>
      <w:r>
        <w:rPr>
          <w:rFonts w:hint="eastAsia" w:ascii="宋体" w:hAnsi="宋体" w:cs="Arial"/>
          <w:sz w:val="24"/>
        </w:rPr>
        <w:t>、</w:t>
      </w:r>
      <w:r>
        <w:rPr>
          <w:rFonts w:hint="eastAsia" w:ascii="宋体" w:hAnsi="宋体"/>
          <w:sz w:val="24"/>
        </w:rPr>
        <w:t>投标报价文件各一份。</w:t>
      </w:r>
    </w:p>
    <w:p w14:paraId="6C96149A">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50CDB574">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.投标人已详细审查全部“招标文件”，包括修改文件（如有的话）以及全部参考资料和有关附件，已经了解我方对于招标文件、采购过程、采购结果有依法进行询问、质疑、投诉的权利及相关渠道和要求。</w:t>
      </w:r>
    </w:p>
    <w:p w14:paraId="40007F35">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14:paraId="2360260D">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 xml:space="preserve"> ______</w:t>
      </w:r>
      <w:r>
        <w:rPr>
          <w:rFonts w:hint="eastAsia" w:ascii="宋体" w:hAnsi="宋体"/>
          <w:sz w:val="24"/>
        </w:rPr>
        <w:t>个日。</w:t>
      </w:r>
    </w:p>
    <w:p w14:paraId="2DF09E6D">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14:paraId="3FF67CB4">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14:paraId="13712FF7">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67774382">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14:paraId="302A0062">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 xml:space="preserve"> ___________  </w:t>
      </w:r>
      <w:r>
        <w:rPr>
          <w:rFonts w:hint="eastAsia" w:ascii="宋体" w:hAnsi="宋体"/>
          <w:sz w:val="24"/>
        </w:rPr>
        <w:t>职务：</w:t>
      </w:r>
      <w:r>
        <w:rPr>
          <w:rFonts w:ascii="宋体" w:hAnsi="宋体"/>
          <w:sz w:val="24"/>
        </w:rPr>
        <w:t>_____________</w:t>
      </w:r>
    </w:p>
    <w:p w14:paraId="284C387F">
      <w:pPr>
        <w:snapToGrid w:val="0"/>
        <w:spacing w:line="360" w:lineRule="auto"/>
        <w:rPr>
          <w:rFonts w:ascii="宋体" w:hAnsi="宋体"/>
          <w:sz w:val="24"/>
          <w:szCs w:val="20"/>
        </w:rPr>
      </w:pPr>
      <w:r>
        <w:rPr>
          <w:rFonts w:hint="eastAsia" w:ascii="宋体" w:hAnsi="宋体"/>
          <w:sz w:val="24"/>
        </w:rPr>
        <w:t>投标人名称（公章）</w:t>
      </w:r>
      <w:r>
        <w:rPr>
          <w:rFonts w:hint="eastAsia" w:ascii="宋体" w:hAnsi="宋体"/>
          <w:sz w:val="24"/>
          <w:lang w:eastAsia="zh-CN"/>
        </w:rPr>
        <w:t>：</w:t>
      </w:r>
      <w:r>
        <w:rPr>
          <w:rFonts w:ascii="宋体" w:hAnsi="宋体"/>
          <w:sz w:val="24"/>
        </w:rPr>
        <w:t>___________________</w:t>
      </w:r>
    </w:p>
    <w:p w14:paraId="050FA567">
      <w:pPr>
        <w:snapToGrid w:val="0"/>
        <w:spacing w:line="360" w:lineRule="auto"/>
        <w:rPr>
          <w:rFonts w:ascii="宋体" w:hAnsi="宋体"/>
          <w:sz w:val="24"/>
          <w:szCs w:val="20"/>
        </w:rPr>
      </w:pPr>
      <w:r>
        <w:rPr>
          <w:rFonts w:hint="eastAsia" w:ascii="宋体" w:hAnsi="宋体"/>
          <w:sz w:val="24"/>
        </w:rPr>
        <w:t>开户银行：银行账号：</w:t>
      </w:r>
    </w:p>
    <w:p w14:paraId="63249DD4">
      <w:pPr>
        <w:snapToGrid w:val="0"/>
        <w:spacing w:line="360" w:lineRule="auto"/>
        <w:rPr>
          <w:rFonts w:ascii="宋体" w:hAnsi="宋体"/>
          <w:sz w:val="30"/>
          <w:szCs w:val="20"/>
        </w:rPr>
      </w:pPr>
      <w:r>
        <w:rPr>
          <w:rFonts w:hint="eastAsia" w:ascii="宋体" w:hAnsi="宋体"/>
          <w:sz w:val="24"/>
        </w:rPr>
        <w:t>法定代表人签字：</w:t>
      </w:r>
      <w:r>
        <w:rPr>
          <w:rFonts w:ascii="宋体" w:hAnsi="宋体"/>
          <w:sz w:val="24"/>
        </w:rPr>
        <w:t xml:space="preserve">___________                      </w:t>
      </w: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14:paraId="7F204F27">
      <w:pPr>
        <w:pStyle w:val="19"/>
        <w:snapToGrid w:val="0"/>
        <w:spacing w:beforeLines="0" w:afterLines="0" w:line="360" w:lineRule="auto"/>
        <w:rPr>
          <w:rFonts w:hAnsi="宋体"/>
        </w:rPr>
      </w:pPr>
    </w:p>
    <w:p w14:paraId="64E1AB58">
      <w:pPr>
        <w:snapToGrid w:val="0"/>
        <w:spacing w:line="360" w:lineRule="auto"/>
        <w:jc w:val="left"/>
        <w:rPr>
          <w:rFonts w:hAnsi="宋体" w:cs="仿宋"/>
        </w:rPr>
      </w:pPr>
      <w:r>
        <w:rPr>
          <w:rFonts w:hAnsi="宋体"/>
        </w:rPr>
        <w:br w:type="page"/>
      </w:r>
    </w:p>
    <w:p w14:paraId="17EF89F1">
      <w:pPr>
        <w:pStyle w:val="19"/>
        <w:snapToGrid w:val="0"/>
        <w:spacing w:beforeLines="0" w:afterLines="0" w:line="360" w:lineRule="auto"/>
        <w:rPr>
          <w:rFonts w:hAnsi="宋体"/>
          <w:spacing w:val="20"/>
        </w:rPr>
      </w:pPr>
      <w:r>
        <w:rPr>
          <w:rFonts w:hint="eastAsia" w:hAnsi="宋体" w:cs="仿宋"/>
        </w:rPr>
        <w:t>35.</w:t>
      </w:r>
      <w:r>
        <w:rPr>
          <w:rFonts w:hAnsi="宋体"/>
        </w:rPr>
        <w:t>投标报价明细表</w:t>
      </w:r>
      <w:r>
        <w:rPr>
          <w:rFonts w:hAnsi="宋体"/>
          <w:spacing w:val="20"/>
        </w:rPr>
        <w:t>（格式）</w:t>
      </w:r>
    </w:p>
    <w:p w14:paraId="22D820A9">
      <w:pPr>
        <w:snapToGrid w:val="0"/>
        <w:spacing w:line="360" w:lineRule="auto"/>
        <w:rPr>
          <w:rFonts w:hAnsi="宋体"/>
        </w:rPr>
      </w:pPr>
    </w:p>
    <w:tbl>
      <w:tblPr>
        <w:tblStyle w:val="34"/>
        <w:tblW w:w="8946" w:type="dxa"/>
        <w:tblInd w:w="93" w:type="dxa"/>
        <w:tblLayout w:type="fixed"/>
        <w:tblCellMar>
          <w:top w:w="0" w:type="dxa"/>
          <w:left w:w="108" w:type="dxa"/>
          <w:bottom w:w="0" w:type="dxa"/>
          <w:right w:w="108" w:type="dxa"/>
        </w:tblCellMar>
      </w:tblPr>
      <w:tblGrid>
        <w:gridCol w:w="724"/>
        <w:gridCol w:w="3260"/>
        <w:gridCol w:w="1843"/>
        <w:gridCol w:w="1276"/>
        <w:gridCol w:w="1843"/>
      </w:tblGrid>
      <w:tr w14:paraId="2F9147D5">
        <w:tblPrEx>
          <w:tblCellMar>
            <w:top w:w="0" w:type="dxa"/>
            <w:left w:w="108" w:type="dxa"/>
            <w:bottom w:w="0" w:type="dxa"/>
            <w:right w:w="108" w:type="dxa"/>
          </w:tblCellMar>
        </w:tblPrEx>
        <w:trPr>
          <w:trHeight w:val="270" w:hRule="atLeast"/>
        </w:trPr>
        <w:tc>
          <w:tcPr>
            <w:tcW w:w="724" w:type="dxa"/>
            <w:vMerge w:val="restart"/>
            <w:tcBorders>
              <w:top w:val="single" w:color="000000" w:sz="8" w:space="0"/>
              <w:left w:val="single" w:color="000000" w:sz="8" w:space="0"/>
              <w:bottom w:val="single" w:color="000000" w:sz="8" w:space="0"/>
              <w:right w:val="single" w:color="000000" w:sz="8" w:space="0"/>
            </w:tcBorders>
            <w:shd w:val="clear" w:color="000000" w:fill="F2F2F2"/>
          </w:tcPr>
          <w:p w14:paraId="3901C0EA">
            <w:pPr>
              <w:spacing w:line="360" w:lineRule="auto"/>
              <w:jc w:val="center"/>
              <w:rPr>
                <w:rFonts w:ascii="宋体" w:hAnsi="宋体" w:cs="宋体"/>
                <w:b/>
                <w:bCs/>
                <w:sz w:val="24"/>
              </w:rPr>
            </w:pPr>
            <w:r>
              <w:rPr>
                <w:rFonts w:hint="eastAsia" w:ascii="宋体" w:hAnsi="宋体" w:cs="宋体"/>
                <w:b/>
                <w:bCs/>
                <w:sz w:val="24"/>
              </w:rPr>
              <w:t>序号</w:t>
            </w:r>
          </w:p>
        </w:tc>
        <w:tc>
          <w:tcPr>
            <w:tcW w:w="3260" w:type="dxa"/>
            <w:vMerge w:val="restart"/>
            <w:tcBorders>
              <w:top w:val="single" w:color="000000" w:sz="8" w:space="0"/>
              <w:left w:val="single" w:color="000000" w:sz="8" w:space="0"/>
              <w:bottom w:val="single" w:color="000000" w:sz="8" w:space="0"/>
              <w:right w:val="single" w:color="000000" w:sz="8" w:space="0"/>
            </w:tcBorders>
            <w:shd w:val="clear" w:color="000000" w:fill="F2F2F2"/>
          </w:tcPr>
          <w:p w14:paraId="19641327">
            <w:pPr>
              <w:spacing w:line="360" w:lineRule="auto"/>
              <w:jc w:val="center"/>
              <w:rPr>
                <w:rFonts w:ascii="宋体" w:hAnsi="宋体" w:cs="宋体"/>
                <w:b/>
                <w:bCs/>
                <w:sz w:val="24"/>
              </w:rPr>
            </w:pPr>
            <w:r>
              <w:rPr>
                <w:rFonts w:hint="eastAsia" w:ascii="宋体" w:hAnsi="宋体" w:cs="宋体"/>
                <w:b/>
                <w:bCs/>
                <w:sz w:val="24"/>
              </w:rPr>
              <w:t>名称</w:t>
            </w:r>
          </w:p>
        </w:tc>
        <w:tc>
          <w:tcPr>
            <w:tcW w:w="1843" w:type="dxa"/>
            <w:tcBorders>
              <w:top w:val="single" w:color="000000" w:sz="8" w:space="0"/>
              <w:left w:val="nil"/>
              <w:bottom w:val="nil"/>
              <w:right w:val="single" w:color="000000" w:sz="8" w:space="0"/>
            </w:tcBorders>
            <w:shd w:val="clear" w:color="000000" w:fill="F2F2F2"/>
          </w:tcPr>
          <w:p w14:paraId="55B16A89">
            <w:pPr>
              <w:spacing w:line="360" w:lineRule="auto"/>
              <w:jc w:val="center"/>
              <w:rPr>
                <w:rFonts w:ascii="宋体" w:hAnsi="宋体" w:cs="宋体"/>
                <w:b/>
                <w:bCs/>
                <w:sz w:val="24"/>
              </w:rPr>
            </w:pPr>
            <w:r>
              <w:rPr>
                <w:rFonts w:hint="eastAsia" w:ascii="宋体" w:hAnsi="宋体" w:cs="宋体"/>
                <w:b/>
                <w:bCs/>
                <w:sz w:val="24"/>
              </w:rPr>
              <w:t>单价</w:t>
            </w:r>
          </w:p>
        </w:tc>
        <w:tc>
          <w:tcPr>
            <w:tcW w:w="1276" w:type="dxa"/>
            <w:tcBorders>
              <w:top w:val="single" w:color="000000" w:sz="8" w:space="0"/>
              <w:left w:val="nil"/>
              <w:bottom w:val="nil"/>
              <w:right w:val="single" w:color="000000" w:sz="8" w:space="0"/>
            </w:tcBorders>
            <w:shd w:val="clear" w:color="000000" w:fill="F2F2F2"/>
          </w:tcPr>
          <w:p w14:paraId="05449CB0">
            <w:pPr>
              <w:spacing w:line="360" w:lineRule="auto"/>
              <w:jc w:val="center"/>
              <w:rPr>
                <w:rFonts w:ascii="宋体" w:hAnsi="宋体" w:cs="宋体"/>
                <w:b/>
                <w:bCs/>
                <w:sz w:val="24"/>
              </w:rPr>
            </w:pPr>
            <w:r>
              <w:rPr>
                <w:rFonts w:hint="eastAsia" w:ascii="宋体" w:hAnsi="宋体" w:cs="宋体"/>
                <w:b/>
                <w:bCs/>
                <w:sz w:val="24"/>
              </w:rPr>
              <w:t>数量</w:t>
            </w:r>
          </w:p>
        </w:tc>
        <w:tc>
          <w:tcPr>
            <w:tcW w:w="1843" w:type="dxa"/>
            <w:tcBorders>
              <w:top w:val="single" w:color="000000" w:sz="8" w:space="0"/>
              <w:left w:val="nil"/>
              <w:bottom w:val="nil"/>
              <w:right w:val="single" w:color="000000" w:sz="8" w:space="0"/>
            </w:tcBorders>
            <w:shd w:val="clear" w:color="000000" w:fill="F2F2F2"/>
          </w:tcPr>
          <w:p w14:paraId="6E393A09">
            <w:pPr>
              <w:spacing w:line="360" w:lineRule="auto"/>
              <w:jc w:val="center"/>
              <w:rPr>
                <w:rFonts w:ascii="宋体" w:hAnsi="宋体" w:cs="宋体"/>
                <w:b/>
                <w:bCs/>
                <w:sz w:val="24"/>
              </w:rPr>
            </w:pPr>
            <w:r>
              <w:rPr>
                <w:rFonts w:hint="eastAsia" w:ascii="宋体" w:hAnsi="宋体" w:cs="宋体"/>
                <w:b/>
                <w:bCs/>
                <w:sz w:val="24"/>
              </w:rPr>
              <w:t>合计</w:t>
            </w:r>
          </w:p>
        </w:tc>
      </w:tr>
      <w:tr w14:paraId="49460914">
        <w:tblPrEx>
          <w:tblCellMar>
            <w:top w:w="0" w:type="dxa"/>
            <w:left w:w="108" w:type="dxa"/>
            <w:bottom w:w="0" w:type="dxa"/>
            <w:right w:w="108" w:type="dxa"/>
          </w:tblCellMar>
        </w:tblPrEx>
        <w:trPr>
          <w:trHeight w:val="525" w:hRule="atLeast"/>
        </w:trPr>
        <w:tc>
          <w:tcPr>
            <w:tcW w:w="7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6EC363">
            <w:pPr>
              <w:spacing w:line="360" w:lineRule="auto"/>
              <w:rPr>
                <w:rFonts w:ascii="宋体" w:hAnsi="宋体" w:cs="宋体"/>
                <w:b/>
                <w:bCs/>
                <w:sz w:val="24"/>
              </w:rPr>
            </w:pPr>
          </w:p>
        </w:tc>
        <w:tc>
          <w:tcPr>
            <w:tcW w:w="32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548BE2">
            <w:pPr>
              <w:spacing w:line="360" w:lineRule="auto"/>
              <w:rPr>
                <w:rFonts w:ascii="宋体" w:hAnsi="宋体" w:cs="宋体"/>
                <w:b/>
                <w:bCs/>
                <w:sz w:val="24"/>
              </w:rPr>
            </w:pPr>
          </w:p>
        </w:tc>
        <w:tc>
          <w:tcPr>
            <w:tcW w:w="1843" w:type="dxa"/>
            <w:tcBorders>
              <w:top w:val="nil"/>
              <w:left w:val="nil"/>
              <w:bottom w:val="single" w:color="000000" w:sz="8" w:space="0"/>
              <w:right w:val="single" w:color="000000" w:sz="8" w:space="0"/>
            </w:tcBorders>
            <w:shd w:val="clear" w:color="000000" w:fill="F2F2F2"/>
          </w:tcPr>
          <w:p w14:paraId="036D4BEB">
            <w:pPr>
              <w:spacing w:line="360" w:lineRule="auto"/>
              <w:rPr>
                <w:rFonts w:ascii="宋体" w:hAnsi="宋体" w:cs="宋体"/>
                <w:b/>
                <w:bCs/>
                <w:sz w:val="24"/>
              </w:rPr>
            </w:pPr>
          </w:p>
        </w:tc>
        <w:tc>
          <w:tcPr>
            <w:tcW w:w="1276" w:type="dxa"/>
            <w:tcBorders>
              <w:top w:val="nil"/>
              <w:left w:val="nil"/>
              <w:bottom w:val="single" w:color="000000" w:sz="8" w:space="0"/>
              <w:right w:val="single" w:color="000000" w:sz="8" w:space="0"/>
            </w:tcBorders>
            <w:shd w:val="clear" w:color="000000" w:fill="F2F2F2"/>
          </w:tcPr>
          <w:p w14:paraId="2F56718E">
            <w:pPr>
              <w:spacing w:line="360" w:lineRule="auto"/>
              <w:jc w:val="center"/>
              <w:rPr>
                <w:rFonts w:ascii="宋体" w:hAnsi="宋体" w:cs="宋体"/>
                <w:b/>
                <w:bCs/>
                <w:sz w:val="24"/>
              </w:rPr>
            </w:pPr>
          </w:p>
        </w:tc>
        <w:tc>
          <w:tcPr>
            <w:tcW w:w="1843" w:type="dxa"/>
            <w:tcBorders>
              <w:top w:val="nil"/>
              <w:left w:val="nil"/>
              <w:bottom w:val="single" w:color="000000" w:sz="8" w:space="0"/>
              <w:right w:val="single" w:color="000000" w:sz="8" w:space="0"/>
            </w:tcBorders>
            <w:shd w:val="clear" w:color="000000" w:fill="F2F2F2"/>
          </w:tcPr>
          <w:p w14:paraId="24E210EA">
            <w:pPr>
              <w:spacing w:line="360" w:lineRule="auto"/>
              <w:jc w:val="center"/>
              <w:rPr>
                <w:rFonts w:ascii="宋体" w:hAnsi="宋体" w:cs="宋体"/>
                <w:b/>
                <w:bCs/>
                <w:sz w:val="24"/>
              </w:rPr>
            </w:pPr>
          </w:p>
        </w:tc>
      </w:tr>
      <w:tr w14:paraId="5B251035">
        <w:tblPrEx>
          <w:tblCellMar>
            <w:top w:w="0" w:type="dxa"/>
            <w:left w:w="108" w:type="dxa"/>
            <w:bottom w:w="0" w:type="dxa"/>
            <w:right w:w="108" w:type="dxa"/>
          </w:tblCellMar>
        </w:tblPrEx>
        <w:trPr>
          <w:trHeight w:val="1035" w:hRule="atLeast"/>
        </w:trPr>
        <w:tc>
          <w:tcPr>
            <w:tcW w:w="724" w:type="dxa"/>
            <w:tcBorders>
              <w:top w:val="nil"/>
              <w:left w:val="single" w:color="000000" w:sz="8" w:space="0"/>
              <w:bottom w:val="single" w:color="000000" w:sz="8" w:space="0"/>
              <w:right w:val="single" w:color="000000" w:sz="8" w:space="0"/>
            </w:tcBorders>
            <w:vAlign w:val="center"/>
          </w:tcPr>
          <w:p w14:paraId="266EDA6E">
            <w:pPr>
              <w:spacing w:line="360" w:lineRule="auto"/>
              <w:ind w:firstLine="240" w:firstLineChars="100"/>
              <w:rPr>
                <w:rFonts w:ascii="宋体" w:hAnsi="宋体"/>
                <w:sz w:val="24"/>
              </w:rPr>
            </w:pPr>
            <w:r>
              <w:rPr>
                <w:rFonts w:hint="eastAsia" w:ascii="宋体" w:hAnsi="宋体"/>
                <w:sz w:val="24"/>
              </w:rPr>
              <w:t>1</w:t>
            </w:r>
          </w:p>
        </w:tc>
        <w:tc>
          <w:tcPr>
            <w:tcW w:w="3260" w:type="dxa"/>
            <w:tcBorders>
              <w:top w:val="nil"/>
              <w:left w:val="nil"/>
              <w:bottom w:val="single" w:color="000000" w:sz="8" w:space="0"/>
              <w:right w:val="single" w:color="000000" w:sz="8" w:space="0"/>
            </w:tcBorders>
            <w:vAlign w:val="center"/>
          </w:tcPr>
          <w:p w14:paraId="3751CD67">
            <w:pPr>
              <w:spacing w:line="360" w:lineRule="auto"/>
              <w:rPr>
                <w:rFonts w:ascii="宋体" w:hAnsi="宋体"/>
                <w:sz w:val="24"/>
              </w:rPr>
            </w:pPr>
          </w:p>
        </w:tc>
        <w:tc>
          <w:tcPr>
            <w:tcW w:w="1843" w:type="dxa"/>
            <w:tcBorders>
              <w:top w:val="nil"/>
              <w:left w:val="nil"/>
              <w:bottom w:val="single" w:color="000000" w:sz="8" w:space="0"/>
              <w:right w:val="single" w:color="000000" w:sz="8" w:space="0"/>
            </w:tcBorders>
            <w:vAlign w:val="center"/>
          </w:tcPr>
          <w:p w14:paraId="7310060D">
            <w:pPr>
              <w:spacing w:line="360" w:lineRule="auto"/>
              <w:jc w:val="right"/>
              <w:rPr>
                <w:rFonts w:ascii="宋体" w:hAnsi="宋体" w:cs="宋体"/>
                <w:sz w:val="24"/>
              </w:rPr>
            </w:pPr>
          </w:p>
        </w:tc>
        <w:tc>
          <w:tcPr>
            <w:tcW w:w="1276" w:type="dxa"/>
            <w:tcBorders>
              <w:top w:val="nil"/>
              <w:left w:val="nil"/>
              <w:bottom w:val="single" w:color="000000" w:sz="8" w:space="0"/>
              <w:right w:val="single" w:color="000000" w:sz="8" w:space="0"/>
            </w:tcBorders>
            <w:vAlign w:val="center"/>
          </w:tcPr>
          <w:p w14:paraId="118B1B1A">
            <w:pPr>
              <w:spacing w:line="360" w:lineRule="auto"/>
              <w:jc w:val="right"/>
              <w:rPr>
                <w:rFonts w:ascii="宋体" w:hAnsi="宋体" w:cs="宋体"/>
                <w:sz w:val="24"/>
              </w:rPr>
            </w:pPr>
          </w:p>
        </w:tc>
        <w:tc>
          <w:tcPr>
            <w:tcW w:w="1843" w:type="dxa"/>
            <w:tcBorders>
              <w:top w:val="nil"/>
              <w:left w:val="nil"/>
              <w:bottom w:val="single" w:color="000000" w:sz="8" w:space="0"/>
              <w:right w:val="single" w:color="000000" w:sz="8" w:space="0"/>
            </w:tcBorders>
            <w:vAlign w:val="center"/>
          </w:tcPr>
          <w:p w14:paraId="64B57822">
            <w:pPr>
              <w:spacing w:line="360" w:lineRule="auto"/>
              <w:jc w:val="right"/>
              <w:rPr>
                <w:rFonts w:ascii="宋体" w:hAnsi="宋体" w:cs="宋体"/>
                <w:bCs/>
                <w:sz w:val="24"/>
              </w:rPr>
            </w:pPr>
          </w:p>
        </w:tc>
      </w:tr>
      <w:tr w14:paraId="49B60E48">
        <w:tblPrEx>
          <w:tblCellMar>
            <w:top w:w="0" w:type="dxa"/>
            <w:left w:w="108" w:type="dxa"/>
            <w:bottom w:w="0" w:type="dxa"/>
            <w:right w:w="108" w:type="dxa"/>
          </w:tblCellMar>
        </w:tblPrEx>
        <w:trPr>
          <w:trHeight w:val="780" w:hRule="atLeast"/>
        </w:trPr>
        <w:tc>
          <w:tcPr>
            <w:tcW w:w="724" w:type="dxa"/>
            <w:tcBorders>
              <w:top w:val="nil"/>
              <w:left w:val="single" w:color="000000" w:sz="8" w:space="0"/>
              <w:bottom w:val="single" w:color="000000" w:sz="8" w:space="0"/>
              <w:right w:val="single" w:color="000000" w:sz="8" w:space="0"/>
            </w:tcBorders>
            <w:vAlign w:val="center"/>
          </w:tcPr>
          <w:p w14:paraId="560281F3">
            <w:pPr>
              <w:spacing w:line="360" w:lineRule="auto"/>
              <w:jc w:val="center"/>
              <w:rPr>
                <w:rFonts w:ascii="宋体" w:hAnsi="宋体" w:cs="宋体"/>
                <w:sz w:val="24"/>
              </w:rPr>
            </w:pPr>
            <w:r>
              <w:rPr>
                <w:rFonts w:hint="eastAsia" w:ascii="宋体" w:hAnsi="宋体" w:cs="宋体"/>
                <w:sz w:val="24"/>
              </w:rPr>
              <w:t>2</w:t>
            </w:r>
          </w:p>
        </w:tc>
        <w:tc>
          <w:tcPr>
            <w:tcW w:w="3260" w:type="dxa"/>
            <w:tcBorders>
              <w:top w:val="nil"/>
              <w:left w:val="nil"/>
              <w:bottom w:val="single" w:color="000000" w:sz="8" w:space="0"/>
              <w:right w:val="single" w:color="000000" w:sz="8" w:space="0"/>
            </w:tcBorders>
            <w:vAlign w:val="center"/>
          </w:tcPr>
          <w:p w14:paraId="3AECB1EE">
            <w:pPr>
              <w:spacing w:line="360" w:lineRule="auto"/>
              <w:rPr>
                <w:rFonts w:ascii="宋体" w:hAnsi="宋体"/>
                <w:sz w:val="24"/>
              </w:rPr>
            </w:pPr>
          </w:p>
        </w:tc>
        <w:tc>
          <w:tcPr>
            <w:tcW w:w="1843" w:type="dxa"/>
            <w:tcBorders>
              <w:top w:val="nil"/>
              <w:left w:val="nil"/>
              <w:bottom w:val="single" w:color="000000" w:sz="8" w:space="0"/>
              <w:right w:val="single" w:color="000000" w:sz="8" w:space="0"/>
            </w:tcBorders>
            <w:vAlign w:val="center"/>
          </w:tcPr>
          <w:p w14:paraId="1C6869F8">
            <w:pPr>
              <w:spacing w:line="360" w:lineRule="auto"/>
              <w:jc w:val="right"/>
              <w:rPr>
                <w:rFonts w:ascii="宋体" w:hAnsi="宋体" w:cs="宋体"/>
                <w:sz w:val="24"/>
              </w:rPr>
            </w:pPr>
          </w:p>
        </w:tc>
        <w:tc>
          <w:tcPr>
            <w:tcW w:w="1276" w:type="dxa"/>
            <w:tcBorders>
              <w:top w:val="nil"/>
              <w:left w:val="nil"/>
              <w:bottom w:val="single" w:color="000000" w:sz="8" w:space="0"/>
              <w:right w:val="single" w:color="000000" w:sz="8" w:space="0"/>
            </w:tcBorders>
            <w:vAlign w:val="center"/>
          </w:tcPr>
          <w:p w14:paraId="324DA24E">
            <w:pPr>
              <w:spacing w:line="360" w:lineRule="auto"/>
              <w:jc w:val="right"/>
              <w:rPr>
                <w:rFonts w:ascii="宋体" w:hAnsi="宋体" w:cs="宋体"/>
                <w:sz w:val="24"/>
              </w:rPr>
            </w:pPr>
          </w:p>
        </w:tc>
        <w:tc>
          <w:tcPr>
            <w:tcW w:w="1843" w:type="dxa"/>
            <w:tcBorders>
              <w:top w:val="nil"/>
              <w:left w:val="nil"/>
              <w:bottom w:val="single" w:color="000000" w:sz="8" w:space="0"/>
              <w:right w:val="single" w:color="000000" w:sz="8" w:space="0"/>
            </w:tcBorders>
            <w:vAlign w:val="center"/>
          </w:tcPr>
          <w:p w14:paraId="6DA804CC">
            <w:pPr>
              <w:spacing w:line="360" w:lineRule="auto"/>
              <w:jc w:val="right"/>
              <w:rPr>
                <w:rFonts w:ascii="宋体" w:hAnsi="宋体" w:cs="宋体"/>
                <w:bCs/>
                <w:sz w:val="24"/>
              </w:rPr>
            </w:pPr>
          </w:p>
        </w:tc>
      </w:tr>
      <w:tr w14:paraId="2229E10A">
        <w:tblPrEx>
          <w:tblCellMar>
            <w:top w:w="0" w:type="dxa"/>
            <w:left w:w="108" w:type="dxa"/>
            <w:bottom w:w="0" w:type="dxa"/>
            <w:right w:w="108" w:type="dxa"/>
          </w:tblCellMar>
        </w:tblPrEx>
        <w:trPr>
          <w:trHeight w:val="780" w:hRule="atLeast"/>
        </w:trPr>
        <w:tc>
          <w:tcPr>
            <w:tcW w:w="724" w:type="dxa"/>
            <w:tcBorders>
              <w:top w:val="nil"/>
              <w:left w:val="single" w:color="000000" w:sz="8" w:space="0"/>
              <w:bottom w:val="single" w:color="000000" w:sz="8" w:space="0"/>
              <w:right w:val="single" w:color="000000" w:sz="8" w:space="0"/>
            </w:tcBorders>
            <w:vAlign w:val="center"/>
          </w:tcPr>
          <w:p w14:paraId="1353EF9F">
            <w:pPr>
              <w:spacing w:line="360" w:lineRule="auto"/>
              <w:jc w:val="center"/>
              <w:rPr>
                <w:rFonts w:ascii="宋体" w:hAnsi="宋体" w:cs="宋体"/>
                <w:sz w:val="24"/>
              </w:rPr>
            </w:pPr>
            <w:r>
              <w:rPr>
                <w:rFonts w:hint="eastAsia" w:ascii="宋体" w:hAnsi="宋体" w:cs="宋体"/>
                <w:sz w:val="24"/>
              </w:rPr>
              <w:t>3</w:t>
            </w:r>
          </w:p>
        </w:tc>
        <w:tc>
          <w:tcPr>
            <w:tcW w:w="3260" w:type="dxa"/>
            <w:tcBorders>
              <w:top w:val="nil"/>
              <w:left w:val="nil"/>
              <w:bottom w:val="single" w:color="000000" w:sz="8" w:space="0"/>
              <w:right w:val="single" w:color="000000" w:sz="8" w:space="0"/>
            </w:tcBorders>
            <w:vAlign w:val="center"/>
          </w:tcPr>
          <w:p w14:paraId="66EF9001">
            <w:pPr>
              <w:spacing w:line="360" w:lineRule="auto"/>
              <w:rPr>
                <w:rFonts w:ascii="宋体" w:hAnsi="宋体"/>
                <w:sz w:val="24"/>
              </w:rPr>
            </w:pPr>
          </w:p>
        </w:tc>
        <w:tc>
          <w:tcPr>
            <w:tcW w:w="1843" w:type="dxa"/>
            <w:tcBorders>
              <w:top w:val="nil"/>
              <w:left w:val="nil"/>
              <w:bottom w:val="single" w:color="000000" w:sz="8" w:space="0"/>
              <w:right w:val="single" w:color="000000" w:sz="8" w:space="0"/>
            </w:tcBorders>
            <w:vAlign w:val="center"/>
          </w:tcPr>
          <w:p w14:paraId="7FC83C6A">
            <w:pPr>
              <w:spacing w:line="360" w:lineRule="auto"/>
              <w:jc w:val="right"/>
              <w:rPr>
                <w:rFonts w:ascii="宋体" w:hAnsi="宋体" w:cs="宋体"/>
                <w:sz w:val="24"/>
              </w:rPr>
            </w:pPr>
          </w:p>
        </w:tc>
        <w:tc>
          <w:tcPr>
            <w:tcW w:w="1276" w:type="dxa"/>
            <w:tcBorders>
              <w:top w:val="nil"/>
              <w:left w:val="nil"/>
              <w:bottom w:val="single" w:color="000000" w:sz="8" w:space="0"/>
              <w:right w:val="single" w:color="000000" w:sz="8" w:space="0"/>
            </w:tcBorders>
            <w:vAlign w:val="center"/>
          </w:tcPr>
          <w:p w14:paraId="5A88325A">
            <w:pPr>
              <w:spacing w:line="360" w:lineRule="auto"/>
              <w:jc w:val="right"/>
              <w:rPr>
                <w:rFonts w:ascii="宋体" w:hAnsi="宋体" w:cs="宋体"/>
                <w:sz w:val="24"/>
              </w:rPr>
            </w:pPr>
          </w:p>
        </w:tc>
        <w:tc>
          <w:tcPr>
            <w:tcW w:w="1843" w:type="dxa"/>
            <w:tcBorders>
              <w:top w:val="nil"/>
              <w:left w:val="nil"/>
              <w:bottom w:val="single" w:color="000000" w:sz="8" w:space="0"/>
              <w:right w:val="single" w:color="000000" w:sz="8" w:space="0"/>
            </w:tcBorders>
            <w:vAlign w:val="center"/>
          </w:tcPr>
          <w:p w14:paraId="224B6430">
            <w:pPr>
              <w:spacing w:line="360" w:lineRule="auto"/>
              <w:jc w:val="right"/>
              <w:rPr>
                <w:rFonts w:ascii="宋体" w:hAnsi="宋体" w:cs="宋体"/>
                <w:bCs/>
                <w:sz w:val="24"/>
              </w:rPr>
            </w:pPr>
          </w:p>
        </w:tc>
      </w:tr>
      <w:tr w14:paraId="48D97F18">
        <w:tblPrEx>
          <w:tblCellMar>
            <w:top w:w="0" w:type="dxa"/>
            <w:left w:w="108" w:type="dxa"/>
            <w:bottom w:w="0" w:type="dxa"/>
            <w:right w:w="108" w:type="dxa"/>
          </w:tblCellMar>
        </w:tblPrEx>
        <w:trPr>
          <w:trHeight w:val="780" w:hRule="atLeast"/>
        </w:trPr>
        <w:tc>
          <w:tcPr>
            <w:tcW w:w="724" w:type="dxa"/>
            <w:tcBorders>
              <w:top w:val="nil"/>
              <w:left w:val="single" w:color="000000" w:sz="8" w:space="0"/>
              <w:bottom w:val="single" w:color="000000" w:sz="8" w:space="0"/>
              <w:right w:val="single" w:color="000000" w:sz="8" w:space="0"/>
            </w:tcBorders>
            <w:vAlign w:val="center"/>
          </w:tcPr>
          <w:p w14:paraId="394ED313">
            <w:pPr>
              <w:spacing w:line="360" w:lineRule="auto"/>
              <w:jc w:val="center"/>
              <w:rPr>
                <w:rFonts w:ascii="宋体" w:hAnsi="宋体" w:cs="宋体"/>
                <w:sz w:val="24"/>
              </w:rPr>
            </w:pPr>
            <w:r>
              <w:rPr>
                <w:rFonts w:ascii="宋体" w:hAnsi="宋体" w:cs="宋体"/>
                <w:sz w:val="24"/>
              </w:rPr>
              <w:t>4</w:t>
            </w:r>
          </w:p>
        </w:tc>
        <w:tc>
          <w:tcPr>
            <w:tcW w:w="3260" w:type="dxa"/>
            <w:tcBorders>
              <w:top w:val="nil"/>
              <w:left w:val="nil"/>
              <w:bottom w:val="single" w:color="000000" w:sz="8" w:space="0"/>
              <w:right w:val="single" w:color="000000" w:sz="8" w:space="0"/>
            </w:tcBorders>
            <w:vAlign w:val="center"/>
          </w:tcPr>
          <w:p w14:paraId="61095DBA">
            <w:pPr>
              <w:spacing w:line="360" w:lineRule="auto"/>
              <w:rPr>
                <w:rFonts w:ascii="宋体" w:hAnsi="宋体"/>
                <w:sz w:val="24"/>
              </w:rPr>
            </w:pPr>
          </w:p>
        </w:tc>
        <w:tc>
          <w:tcPr>
            <w:tcW w:w="1843" w:type="dxa"/>
            <w:tcBorders>
              <w:top w:val="nil"/>
              <w:left w:val="nil"/>
              <w:bottom w:val="single" w:color="000000" w:sz="8" w:space="0"/>
              <w:right w:val="single" w:color="000000" w:sz="8" w:space="0"/>
            </w:tcBorders>
            <w:vAlign w:val="center"/>
          </w:tcPr>
          <w:p w14:paraId="791722A9">
            <w:pPr>
              <w:spacing w:line="360" w:lineRule="auto"/>
              <w:jc w:val="right"/>
              <w:rPr>
                <w:rFonts w:ascii="宋体" w:hAnsi="宋体" w:cs="宋体"/>
                <w:sz w:val="24"/>
              </w:rPr>
            </w:pPr>
          </w:p>
        </w:tc>
        <w:tc>
          <w:tcPr>
            <w:tcW w:w="1276" w:type="dxa"/>
            <w:tcBorders>
              <w:top w:val="nil"/>
              <w:left w:val="nil"/>
              <w:bottom w:val="single" w:color="000000" w:sz="8" w:space="0"/>
              <w:right w:val="single" w:color="000000" w:sz="8" w:space="0"/>
            </w:tcBorders>
            <w:vAlign w:val="center"/>
          </w:tcPr>
          <w:p w14:paraId="66B6BC71">
            <w:pPr>
              <w:spacing w:line="360" w:lineRule="auto"/>
              <w:jc w:val="right"/>
              <w:rPr>
                <w:rFonts w:ascii="宋体" w:hAnsi="宋体" w:cs="宋体"/>
                <w:sz w:val="24"/>
              </w:rPr>
            </w:pPr>
          </w:p>
        </w:tc>
        <w:tc>
          <w:tcPr>
            <w:tcW w:w="1843" w:type="dxa"/>
            <w:tcBorders>
              <w:top w:val="nil"/>
              <w:left w:val="nil"/>
              <w:bottom w:val="single" w:color="000000" w:sz="8" w:space="0"/>
              <w:right w:val="single" w:color="000000" w:sz="8" w:space="0"/>
            </w:tcBorders>
            <w:vAlign w:val="center"/>
          </w:tcPr>
          <w:p w14:paraId="48F583DD">
            <w:pPr>
              <w:spacing w:line="360" w:lineRule="auto"/>
              <w:jc w:val="right"/>
              <w:rPr>
                <w:rFonts w:ascii="宋体" w:hAnsi="宋体" w:cs="宋体"/>
                <w:bCs/>
                <w:sz w:val="24"/>
              </w:rPr>
            </w:pPr>
          </w:p>
        </w:tc>
      </w:tr>
      <w:tr w14:paraId="7CB4BB61">
        <w:tblPrEx>
          <w:tblCellMar>
            <w:top w:w="0" w:type="dxa"/>
            <w:left w:w="108" w:type="dxa"/>
            <w:bottom w:w="0" w:type="dxa"/>
            <w:right w:w="108" w:type="dxa"/>
          </w:tblCellMar>
        </w:tblPrEx>
        <w:trPr>
          <w:trHeight w:val="780" w:hRule="atLeast"/>
        </w:trPr>
        <w:tc>
          <w:tcPr>
            <w:tcW w:w="3984" w:type="dxa"/>
            <w:gridSpan w:val="2"/>
            <w:tcBorders>
              <w:top w:val="nil"/>
              <w:left w:val="single" w:color="000000" w:sz="8" w:space="0"/>
              <w:bottom w:val="single" w:color="000000" w:sz="8" w:space="0"/>
              <w:right w:val="single" w:color="000000" w:sz="8" w:space="0"/>
            </w:tcBorders>
            <w:vAlign w:val="center"/>
          </w:tcPr>
          <w:p w14:paraId="60EF6EC4">
            <w:pPr>
              <w:spacing w:line="360" w:lineRule="auto"/>
              <w:rPr>
                <w:rFonts w:ascii="宋体" w:hAnsi="宋体"/>
                <w:sz w:val="24"/>
              </w:rPr>
            </w:pPr>
            <w:r>
              <w:rPr>
                <w:rFonts w:hint="eastAsia" w:ascii="宋体" w:hAnsi="宋体"/>
                <w:sz w:val="24"/>
              </w:rPr>
              <w:t>总价</w:t>
            </w:r>
          </w:p>
        </w:tc>
        <w:tc>
          <w:tcPr>
            <w:tcW w:w="4962" w:type="dxa"/>
            <w:gridSpan w:val="3"/>
            <w:tcBorders>
              <w:top w:val="nil"/>
              <w:left w:val="nil"/>
              <w:bottom w:val="single" w:color="000000" w:sz="8" w:space="0"/>
              <w:right w:val="single" w:color="000000" w:sz="8" w:space="0"/>
            </w:tcBorders>
            <w:vAlign w:val="center"/>
          </w:tcPr>
          <w:p w14:paraId="499182F0">
            <w:pPr>
              <w:wordWrap w:val="0"/>
              <w:spacing w:line="360" w:lineRule="auto"/>
              <w:ind w:right="960"/>
              <w:rPr>
                <w:rFonts w:ascii="宋体" w:hAnsi="宋体" w:cs="宋体"/>
                <w:bCs/>
                <w:sz w:val="24"/>
              </w:rPr>
            </w:pPr>
            <w:r>
              <w:rPr>
                <w:rFonts w:hint="eastAsia" w:ascii="宋体" w:hAnsi="宋体" w:cs="宋体"/>
                <w:bCs/>
                <w:sz w:val="24"/>
              </w:rPr>
              <w:t>人民币元整（￥）</w:t>
            </w:r>
          </w:p>
        </w:tc>
      </w:tr>
    </w:tbl>
    <w:p w14:paraId="734C22D6">
      <w:pPr>
        <w:tabs>
          <w:tab w:val="left" w:pos="1418"/>
        </w:tabs>
        <w:snapToGrid w:val="0"/>
        <w:spacing w:before="50" w:after="50"/>
        <w:ind w:left="1418" w:hanging="567"/>
        <w:jc w:val="center"/>
        <w:rPr>
          <w:rFonts w:ascii="宋体"/>
          <w:sz w:val="24"/>
        </w:rPr>
      </w:pPr>
    </w:p>
    <w:p w14:paraId="6F1F155B">
      <w:pPr>
        <w:tabs>
          <w:tab w:val="left" w:pos="1418"/>
        </w:tabs>
        <w:snapToGrid w:val="0"/>
        <w:spacing w:before="50" w:after="50"/>
        <w:ind w:left="1418" w:hanging="567"/>
        <w:jc w:val="center"/>
        <w:rPr>
          <w:rFonts w:ascii="宋体"/>
          <w:sz w:val="24"/>
        </w:rPr>
      </w:pPr>
    </w:p>
    <w:p w14:paraId="4EC64910"/>
    <w:p w14:paraId="7026C207">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14:paraId="4DDBE887">
      <w:pPr>
        <w:snapToGrid w:val="0"/>
        <w:spacing w:line="360" w:lineRule="auto"/>
        <w:rPr>
          <w:rFonts w:ascii="宋体" w:hAnsi="宋体"/>
          <w:spacing w:val="20"/>
          <w:sz w:val="24"/>
          <w:u w:val="single"/>
        </w:rPr>
      </w:pPr>
      <w:r>
        <w:rPr>
          <w:rFonts w:hint="eastAsia" w:ascii="宋体" w:hAnsi="宋体"/>
          <w:spacing w:val="20"/>
          <w:sz w:val="24"/>
        </w:rPr>
        <w:t>投标人盖章：日期：</w:t>
      </w:r>
    </w:p>
    <w:p w14:paraId="142E9BD1">
      <w:pPr>
        <w:pStyle w:val="2"/>
      </w:pPr>
    </w:p>
    <w:p w14:paraId="205B2AF5">
      <w:pPr>
        <w:pStyle w:val="20"/>
      </w:pPr>
    </w:p>
    <w:p w14:paraId="0AEB85F6"/>
    <w:p w14:paraId="3CBF72C4">
      <w:pPr>
        <w:pStyle w:val="32"/>
      </w:pPr>
    </w:p>
    <w:p w14:paraId="778A0776"/>
    <w:p w14:paraId="1895C946">
      <w:pPr>
        <w:pStyle w:val="32"/>
      </w:pPr>
    </w:p>
    <w:p w14:paraId="5804675B"/>
    <w:p w14:paraId="3909455D">
      <w:pPr>
        <w:pStyle w:val="32"/>
      </w:pPr>
    </w:p>
    <w:p w14:paraId="5280BAFC"/>
    <w:p w14:paraId="31B4936C">
      <w:pPr>
        <w:pStyle w:val="32"/>
      </w:pPr>
    </w:p>
    <w:p w14:paraId="71A24320"/>
    <w:p w14:paraId="7B666601">
      <w:pPr>
        <w:pStyle w:val="32"/>
      </w:pPr>
    </w:p>
    <w:p w14:paraId="3F0D8D1C">
      <w:pPr>
        <w:snapToGrid w:val="0"/>
        <w:spacing w:line="360" w:lineRule="auto"/>
        <w:jc w:val="left"/>
        <w:rPr>
          <w:rFonts w:ascii="宋体" w:hAnsi="宋体" w:cs="仿宋"/>
          <w:sz w:val="24"/>
        </w:rPr>
      </w:pPr>
      <w:r>
        <w:rPr>
          <w:rFonts w:hint="eastAsia" w:ascii="宋体" w:hAnsi="宋体" w:cs="仿宋"/>
          <w:sz w:val="24"/>
        </w:rPr>
        <w:t>36.</w:t>
      </w:r>
      <w:r>
        <w:rPr>
          <w:rFonts w:ascii="宋体" w:hAnsi="宋体" w:cs="仿宋"/>
          <w:sz w:val="24"/>
        </w:rPr>
        <w:t>中小企业声明函</w:t>
      </w:r>
    </w:p>
    <w:p w14:paraId="03E08012">
      <w:pPr>
        <w:snapToGrid w:val="0"/>
        <w:spacing w:line="360" w:lineRule="auto"/>
        <w:jc w:val="center"/>
        <w:rPr>
          <w:rFonts w:ascii="宋体" w:hAnsi="宋体" w:cs="仿宋"/>
          <w:b/>
          <w:bCs/>
          <w:sz w:val="24"/>
        </w:rPr>
      </w:pPr>
    </w:p>
    <w:p w14:paraId="56AC68FD">
      <w:pPr>
        <w:spacing w:line="360" w:lineRule="auto"/>
        <w:jc w:val="center"/>
        <w:rPr>
          <w:rFonts w:ascii="宋体" w:hAnsi="宋体"/>
          <w:sz w:val="28"/>
          <w:szCs w:val="28"/>
        </w:rPr>
      </w:pPr>
      <w:r>
        <w:rPr>
          <w:rFonts w:hint="eastAsia" w:ascii="宋体" w:hAnsi="宋体"/>
          <w:b/>
          <w:sz w:val="28"/>
          <w:szCs w:val="28"/>
        </w:rPr>
        <w:t>中小企业声明函</w:t>
      </w:r>
    </w:p>
    <w:p w14:paraId="5A9EF3CF">
      <w:pPr>
        <w:spacing w:line="360" w:lineRule="auto"/>
        <w:ind w:firstLine="480" w:firstLineChars="200"/>
        <w:rPr>
          <w:rFonts w:ascii="宋体" w:hAnsi="宋体" w:cs="仿宋"/>
          <w:kern w:val="0"/>
          <w:sz w:val="24"/>
        </w:rPr>
      </w:pPr>
      <w:r>
        <w:rPr>
          <w:rFonts w:hint="eastAsia" w:ascii="宋体" w:hAnsi="宋体" w:cs="仿宋"/>
          <w:kern w:val="0"/>
          <w:sz w:val="24"/>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签订分包意向协议的中小企业）的具体情况如下：</w:t>
      </w:r>
    </w:p>
    <w:p w14:paraId="32C3A04F">
      <w:pPr>
        <w:spacing w:line="360" w:lineRule="auto"/>
        <w:ind w:firstLine="480" w:firstLineChars="200"/>
        <w:rPr>
          <w:rFonts w:ascii="宋体" w:hAnsi="宋体" w:cs="仿宋"/>
          <w:kern w:val="0"/>
          <w:sz w:val="24"/>
        </w:rPr>
      </w:pPr>
      <w:r>
        <w:rPr>
          <w:rFonts w:hint="eastAsia" w:ascii="宋体" w:hAnsi="宋体" w:cs="仿宋"/>
          <w:kern w:val="0"/>
          <w:sz w:val="24"/>
        </w:rPr>
        <w:t xml:space="preserve">1. </w:t>
      </w:r>
      <w:r>
        <w:rPr>
          <w:rFonts w:hint="eastAsia" w:ascii="宋体" w:hAnsi="宋体" w:cs="仿宋"/>
          <w:kern w:val="0"/>
          <w:sz w:val="24"/>
          <w:u w:val="single"/>
        </w:rPr>
        <w:t xml:space="preserve">（标的名称） </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；承建（承接）企业为</w:t>
      </w:r>
      <w:r>
        <w:rPr>
          <w:rFonts w:hint="eastAsia" w:ascii="宋体" w:hAnsi="宋体" w:cs="仿宋"/>
          <w:kern w:val="0"/>
          <w:sz w:val="24"/>
          <w:u w:val="single"/>
        </w:rPr>
        <w:t>（企业名称）</w:t>
      </w:r>
      <w:r>
        <w:rPr>
          <w:rFonts w:hint="eastAsia" w:ascii="宋体" w:hAnsi="宋体" w:cs="仿宋"/>
          <w:kern w:val="0"/>
          <w:sz w:val="24"/>
        </w:rPr>
        <w:t>，从业人员___人，营业收入为___万元，资产总额为___万元①，属于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61CED39C">
      <w:pPr>
        <w:spacing w:line="360" w:lineRule="auto"/>
        <w:ind w:firstLine="480" w:firstLineChars="200"/>
        <w:rPr>
          <w:rFonts w:ascii="宋体" w:hAnsi="宋体" w:cs="仿宋"/>
          <w:kern w:val="0"/>
          <w:sz w:val="24"/>
        </w:rPr>
      </w:pPr>
      <w:r>
        <w:rPr>
          <w:rFonts w:hint="eastAsia" w:ascii="宋体" w:hAnsi="宋体" w:cs="仿宋"/>
          <w:kern w:val="0"/>
          <w:sz w:val="24"/>
        </w:rPr>
        <w:t>2.</w:t>
      </w:r>
    </w:p>
    <w:p w14:paraId="5413DA0A">
      <w:pPr>
        <w:spacing w:line="360" w:lineRule="auto"/>
        <w:ind w:firstLine="480" w:firstLineChars="200"/>
        <w:rPr>
          <w:rFonts w:ascii="宋体" w:hAnsi="宋体" w:cs="仿宋"/>
          <w:kern w:val="0"/>
          <w:sz w:val="24"/>
        </w:rPr>
      </w:pPr>
      <w:r>
        <w:rPr>
          <w:rFonts w:hint="eastAsia" w:ascii="宋体" w:hAnsi="宋体" w:cs="仿宋"/>
          <w:kern w:val="0"/>
          <w:sz w:val="24"/>
        </w:rPr>
        <w:t>……</w:t>
      </w:r>
    </w:p>
    <w:p w14:paraId="23C5F161">
      <w:pPr>
        <w:spacing w:line="360" w:lineRule="auto"/>
        <w:ind w:firstLine="480" w:firstLineChars="200"/>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14:paraId="5CADB708">
      <w:pPr>
        <w:spacing w:line="360" w:lineRule="auto"/>
        <w:ind w:firstLine="480" w:firstLineChars="200"/>
        <w:rPr>
          <w:rFonts w:ascii="宋体" w:hAnsi="宋体" w:cs="仿宋"/>
          <w:kern w:val="0"/>
          <w:sz w:val="24"/>
        </w:rPr>
      </w:pPr>
      <w:r>
        <w:rPr>
          <w:rFonts w:hint="eastAsia" w:ascii="宋体" w:hAnsi="宋体" w:cs="仿宋"/>
          <w:kern w:val="0"/>
          <w:sz w:val="24"/>
        </w:rPr>
        <w:t>本企业对上述声明内容的真实性负责。如有虚假，将依法承担相应责任。</w:t>
      </w:r>
    </w:p>
    <w:p w14:paraId="502D8A1D">
      <w:pPr>
        <w:spacing w:line="360" w:lineRule="auto"/>
        <w:ind w:firstLine="5640" w:firstLineChars="2350"/>
        <w:rPr>
          <w:rFonts w:ascii="宋体" w:hAnsi="宋体" w:cs="仿宋"/>
          <w:kern w:val="0"/>
          <w:sz w:val="24"/>
        </w:rPr>
      </w:pPr>
      <w:r>
        <w:rPr>
          <w:rFonts w:hint="eastAsia" w:ascii="宋体" w:hAnsi="宋体" w:cs="仿宋"/>
          <w:kern w:val="0"/>
          <w:sz w:val="24"/>
        </w:rPr>
        <w:t>企业名称（盖章）：</w:t>
      </w:r>
    </w:p>
    <w:p w14:paraId="19C367A3">
      <w:pPr>
        <w:spacing w:line="360" w:lineRule="auto"/>
        <w:ind w:firstLine="5640" w:firstLineChars="2350"/>
        <w:rPr>
          <w:rFonts w:ascii="宋体" w:hAnsi="宋体" w:cs="仿宋"/>
          <w:kern w:val="0"/>
          <w:sz w:val="24"/>
        </w:rPr>
      </w:pPr>
      <w:r>
        <w:rPr>
          <w:rFonts w:hint="eastAsia" w:ascii="宋体" w:hAnsi="宋体" w:cs="仿宋"/>
          <w:kern w:val="0"/>
          <w:sz w:val="24"/>
        </w:rPr>
        <w:t>日期：</w:t>
      </w:r>
    </w:p>
    <w:p w14:paraId="4977F79C">
      <w:pPr>
        <w:spacing w:line="360" w:lineRule="auto"/>
        <w:ind w:firstLine="5640" w:firstLineChars="2350"/>
        <w:rPr>
          <w:rFonts w:ascii="宋体" w:hAnsi="宋体" w:cs="仿宋"/>
          <w:kern w:val="0"/>
          <w:sz w:val="24"/>
        </w:rPr>
      </w:pPr>
    </w:p>
    <w:p w14:paraId="5E54F932">
      <w:pPr>
        <w:spacing w:line="360" w:lineRule="auto"/>
        <w:ind w:firstLine="5640" w:firstLineChars="2350"/>
        <w:rPr>
          <w:rFonts w:ascii="宋体" w:hAnsi="宋体"/>
          <w:bCs/>
          <w:sz w:val="24"/>
        </w:rPr>
      </w:pPr>
    </w:p>
    <w:p w14:paraId="5D4E08AB">
      <w:pPr>
        <w:numPr>
          <w:ilvl w:val="0"/>
          <w:numId w:val="2"/>
        </w:numPr>
        <w:snapToGrid w:val="0"/>
        <w:spacing w:before="50" w:after="50" w:line="360" w:lineRule="auto"/>
        <w:jc w:val="left"/>
        <w:rPr>
          <w:rFonts w:ascii="宋体" w:hAnsi="宋体" w:cs="仿宋"/>
          <w:sz w:val="24"/>
        </w:rPr>
      </w:pPr>
      <w:r>
        <w:rPr>
          <w:rFonts w:hint="eastAsia" w:ascii="宋体" w:hAnsi="Calibri" w:cs="宋体"/>
          <w:kern w:val="0"/>
          <w:sz w:val="18"/>
          <w:szCs w:val="18"/>
        </w:rPr>
        <w:t>注从业人员、营业收入、资产总额填报上一年度数据，无上一年度数据的新成立企业可不填报。</w:t>
      </w:r>
    </w:p>
    <w:p w14:paraId="353073E9">
      <w:pPr>
        <w:spacing w:line="360" w:lineRule="auto"/>
        <w:ind w:firstLine="5600" w:firstLineChars="2000"/>
        <w:rPr>
          <w:rFonts w:ascii="宋体" w:hAnsi="宋体"/>
          <w:sz w:val="28"/>
          <w:szCs w:val="28"/>
        </w:rPr>
      </w:pPr>
    </w:p>
    <w:p w14:paraId="6D054BEC">
      <w:pPr>
        <w:snapToGrid w:val="0"/>
        <w:spacing w:line="360" w:lineRule="auto"/>
        <w:jc w:val="left"/>
        <w:rPr>
          <w:rFonts w:ascii="宋体" w:hAnsi="宋体"/>
          <w:sz w:val="24"/>
        </w:rPr>
      </w:pPr>
    </w:p>
    <w:p w14:paraId="7019D805">
      <w:pPr>
        <w:pStyle w:val="32"/>
      </w:pPr>
    </w:p>
    <w:p w14:paraId="27BB7D21"/>
    <w:p w14:paraId="1BA869EC">
      <w:pPr>
        <w:pStyle w:val="32"/>
      </w:pPr>
    </w:p>
    <w:p w14:paraId="499A9C3A"/>
    <w:p w14:paraId="4D8BB457">
      <w:pPr>
        <w:pStyle w:val="2"/>
      </w:pPr>
    </w:p>
    <w:p w14:paraId="341A1C28">
      <w:pPr>
        <w:pStyle w:val="42"/>
      </w:pPr>
    </w:p>
    <w:p w14:paraId="25ADFA38">
      <w:pPr>
        <w:pStyle w:val="43"/>
      </w:pPr>
    </w:p>
    <w:p w14:paraId="15136198"/>
    <w:p w14:paraId="707DE799"/>
    <w:p w14:paraId="021C236F">
      <w:pPr>
        <w:snapToGrid w:val="0"/>
        <w:spacing w:line="360" w:lineRule="auto"/>
        <w:jc w:val="left"/>
        <w:rPr>
          <w:rFonts w:ascii="宋体" w:hAnsi="宋体" w:cs="仿宋"/>
          <w:sz w:val="24"/>
        </w:rPr>
      </w:pPr>
      <w:r>
        <w:rPr>
          <w:rFonts w:hint="eastAsia" w:ascii="宋体" w:hAnsi="宋体" w:cs="仿宋"/>
          <w:sz w:val="24"/>
        </w:rPr>
        <w:t>37.残疾人福利性单位声明函（如有）</w:t>
      </w:r>
    </w:p>
    <w:p w14:paraId="67565C60">
      <w:pPr>
        <w:snapToGrid w:val="0"/>
        <w:spacing w:line="360" w:lineRule="auto"/>
        <w:rPr>
          <w:rFonts w:ascii="宋体" w:hAnsi="宋体" w:cs="仿宋"/>
          <w:sz w:val="24"/>
        </w:rPr>
      </w:pPr>
    </w:p>
    <w:p w14:paraId="36B64393">
      <w:pPr>
        <w:spacing w:line="360" w:lineRule="auto"/>
        <w:jc w:val="center"/>
        <w:rPr>
          <w:rFonts w:ascii="宋体" w:hAnsi="宋体"/>
          <w:b/>
          <w:spacing w:val="6"/>
          <w:sz w:val="28"/>
          <w:szCs w:val="28"/>
        </w:rPr>
      </w:pPr>
      <w:r>
        <w:rPr>
          <w:rFonts w:hint="eastAsia" w:ascii="宋体" w:hAnsi="宋体"/>
          <w:b/>
          <w:spacing w:val="6"/>
          <w:sz w:val="28"/>
          <w:szCs w:val="28"/>
        </w:rPr>
        <w:t>残疾人福利性单位声明函</w:t>
      </w:r>
    </w:p>
    <w:p w14:paraId="6BC538D4">
      <w:pPr>
        <w:spacing w:line="360" w:lineRule="auto"/>
        <w:rPr>
          <w:rFonts w:ascii="仿宋" w:hAnsi="仿宋" w:eastAsia="仿宋"/>
          <w:b/>
          <w:spacing w:val="6"/>
          <w:sz w:val="28"/>
          <w:szCs w:val="28"/>
        </w:rPr>
      </w:pPr>
    </w:p>
    <w:p w14:paraId="41036E33">
      <w:pPr>
        <w:snapToGrid w:val="0"/>
        <w:spacing w:line="360" w:lineRule="auto"/>
        <w:ind w:firstLine="480" w:firstLineChars="200"/>
        <w:rPr>
          <w:rFonts w:ascii="宋体" w:hAnsi="宋体" w:cs="仿宋"/>
          <w:sz w:val="24"/>
        </w:rPr>
      </w:pPr>
      <w:r>
        <w:rPr>
          <w:rFonts w:hint="eastAsia" w:ascii="宋体" w:hAnsi="宋体" w:cs="仿宋"/>
          <w:sz w:val="24"/>
        </w:rPr>
        <w:t>本单位郑重声明，根据《财政部民政部中国残疾人联合会关于促进残疾人就业政府采购政策的通知》（财库〔2017〕 141号）的规定，本单位为符合条件的残疾人福利性单位，且本单位参加</w:t>
      </w:r>
      <w:r>
        <w:rPr>
          <w:rFonts w:hint="eastAsia" w:cs="Arial"/>
          <w:sz w:val="24"/>
          <w:u w:val="single"/>
        </w:rPr>
        <w:t>南太湖新区垃圾分类数据管理平台建设项目</w:t>
      </w:r>
      <w:r>
        <w:rPr>
          <w:rFonts w:hint="eastAsia" w:ascii="宋体" w:hAnsi="宋体" w:cs="仿宋"/>
          <w:sz w:val="24"/>
        </w:rPr>
        <w:t>采购活动提供本单位制造的货物（由本单位承担工程/提供服务），或者提供其他残疾人福利性单位制造的货物（不包括使用非残疾人福利性单位注册商标的货物）。</w:t>
      </w:r>
    </w:p>
    <w:p w14:paraId="3C5FCB87">
      <w:pPr>
        <w:snapToGrid w:val="0"/>
        <w:spacing w:line="360" w:lineRule="auto"/>
        <w:ind w:firstLine="480" w:firstLineChars="200"/>
        <w:rPr>
          <w:rFonts w:ascii="宋体" w:hAnsi="宋体" w:cs="仿宋"/>
          <w:sz w:val="24"/>
        </w:rPr>
      </w:pPr>
      <w:r>
        <w:rPr>
          <w:rFonts w:hint="eastAsia" w:ascii="宋体" w:hAnsi="宋体" w:cs="仿宋"/>
          <w:sz w:val="24"/>
        </w:rPr>
        <w:t>本单位对上述声明的真实性负责。如有虚假，将依法承担相应责任。</w:t>
      </w:r>
    </w:p>
    <w:p w14:paraId="2948EAD2">
      <w:pPr>
        <w:snapToGrid w:val="0"/>
        <w:spacing w:line="360" w:lineRule="auto"/>
        <w:ind w:firstLine="480" w:firstLineChars="200"/>
        <w:rPr>
          <w:rFonts w:ascii="宋体" w:hAnsi="宋体" w:cs="仿宋"/>
          <w:sz w:val="24"/>
        </w:rPr>
      </w:pPr>
    </w:p>
    <w:p w14:paraId="210AC525">
      <w:pPr>
        <w:spacing w:line="360" w:lineRule="auto"/>
        <w:ind w:firstLine="480" w:firstLineChars="200"/>
        <w:rPr>
          <w:rFonts w:ascii="宋体" w:hAnsi="宋体" w:cs="仿宋"/>
          <w:sz w:val="24"/>
        </w:rPr>
      </w:pPr>
    </w:p>
    <w:p w14:paraId="1CB857B2">
      <w:pPr>
        <w:snapToGrid w:val="0"/>
        <w:spacing w:line="360" w:lineRule="auto"/>
        <w:ind w:right="560" w:firstLine="4800" w:firstLineChars="2000"/>
        <w:rPr>
          <w:rFonts w:ascii="宋体" w:hAnsi="宋体" w:cs="仿宋"/>
          <w:sz w:val="24"/>
        </w:rPr>
      </w:pPr>
      <w:r>
        <w:rPr>
          <w:rFonts w:hint="eastAsia" w:ascii="宋体" w:hAnsi="宋体" w:cs="仿宋"/>
          <w:sz w:val="24"/>
        </w:rPr>
        <w:t>单位名称（盖章）：</w:t>
      </w:r>
    </w:p>
    <w:p w14:paraId="2D9EA057">
      <w:pPr>
        <w:pStyle w:val="19"/>
        <w:snapToGrid w:val="0"/>
        <w:spacing w:beforeLines="0" w:afterLines="0" w:line="360" w:lineRule="auto"/>
        <w:ind w:firstLine="4800" w:firstLineChars="2000"/>
        <w:rPr>
          <w:rFonts w:hAnsi="宋体" w:cs="仿宋"/>
        </w:rPr>
      </w:pPr>
      <w:r>
        <w:rPr>
          <w:rFonts w:hint="eastAsia" w:hAnsi="宋体" w:cs="仿宋"/>
        </w:rPr>
        <w:t>日期：</w:t>
      </w:r>
    </w:p>
    <w:p w14:paraId="14867F35">
      <w:pPr>
        <w:pStyle w:val="19"/>
        <w:snapToGrid w:val="0"/>
        <w:spacing w:beforeLines="0" w:afterLines="0" w:line="360" w:lineRule="auto"/>
        <w:ind w:firstLine="4800" w:firstLineChars="2000"/>
        <w:rPr>
          <w:rFonts w:hAnsi="宋体" w:cs="仿宋"/>
        </w:rPr>
      </w:pPr>
    </w:p>
    <w:p w14:paraId="74B8885F">
      <w:pPr>
        <w:pStyle w:val="19"/>
        <w:snapToGrid w:val="0"/>
        <w:spacing w:beforeLines="0" w:afterLines="0" w:line="360" w:lineRule="auto"/>
        <w:ind w:firstLine="4800" w:firstLineChars="2000"/>
        <w:rPr>
          <w:rFonts w:hAnsi="宋体" w:cs="仿宋"/>
        </w:rPr>
      </w:pPr>
    </w:p>
    <w:p w14:paraId="18636B78">
      <w:pPr>
        <w:pStyle w:val="19"/>
        <w:snapToGrid w:val="0"/>
        <w:spacing w:beforeLines="0" w:afterLines="0" w:line="360" w:lineRule="auto"/>
        <w:ind w:firstLine="4800" w:firstLineChars="2000"/>
        <w:rPr>
          <w:rFonts w:hAnsi="宋体" w:cs="仿宋"/>
        </w:rPr>
      </w:pPr>
    </w:p>
    <w:p w14:paraId="620BDB56">
      <w:pPr>
        <w:pStyle w:val="19"/>
        <w:snapToGrid w:val="0"/>
        <w:spacing w:beforeLines="0" w:afterLines="0" w:line="360" w:lineRule="auto"/>
        <w:ind w:firstLine="4800" w:firstLineChars="2000"/>
        <w:rPr>
          <w:rFonts w:hAnsi="宋体" w:cs="仿宋"/>
        </w:rPr>
      </w:pPr>
    </w:p>
    <w:p w14:paraId="45569C82">
      <w:pPr>
        <w:pStyle w:val="19"/>
        <w:snapToGrid w:val="0"/>
        <w:spacing w:beforeLines="0" w:afterLines="0" w:line="360" w:lineRule="auto"/>
        <w:ind w:firstLine="4800" w:firstLineChars="2000"/>
        <w:rPr>
          <w:rFonts w:hAnsi="宋体" w:cs="仿宋"/>
        </w:rPr>
      </w:pPr>
    </w:p>
    <w:p w14:paraId="0E939031">
      <w:pPr>
        <w:pStyle w:val="19"/>
        <w:snapToGrid w:val="0"/>
        <w:spacing w:beforeLines="0" w:afterLines="0" w:line="360" w:lineRule="auto"/>
        <w:ind w:firstLine="4800" w:firstLineChars="2000"/>
        <w:rPr>
          <w:rFonts w:hAnsi="宋体" w:cs="仿宋"/>
        </w:rPr>
      </w:pPr>
    </w:p>
    <w:p w14:paraId="0B775237">
      <w:pPr>
        <w:pStyle w:val="19"/>
        <w:snapToGrid w:val="0"/>
        <w:spacing w:beforeLines="0" w:afterLines="0" w:line="360" w:lineRule="auto"/>
        <w:ind w:firstLine="4800" w:firstLineChars="2000"/>
        <w:rPr>
          <w:rFonts w:hAnsi="宋体" w:cs="仿宋"/>
        </w:rPr>
      </w:pPr>
    </w:p>
    <w:p w14:paraId="386BA27E">
      <w:pPr>
        <w:pStyle w:val="19"/>
        <w:snapToGrid w:val="0"/>
        <w:spacing w:beforeLines="0" w:afterLines="0" w:line="360" w:lineRule="auto"/>
        <w:ind w:firstLine="4800" w:firstLineChars="2000"/>
        <w:rPr>
          <w:rFonts w:hAnsi="宋体" w:cs="仿宋"/>
        </w:rPr>
      </w:pPr>
    </w:p>
    <w:p w14:paraId="70581547">
      <w:pPr>
        <w:pStyle w:val="19"/>
        <w:snapToGrid w:val="0"/>
        <w:spacing w:beforeLines="0" w:afterLines="0" w:line="360" w:lineRule="auto"/>
        <w:ind w:firstLine="4800" w:firstLineChars="2000"/>
        <w:rPr>
          <w:rFonts w:hAnsi="宋体" w:cs="仿宋"/>
        </w:rPr>
      </w:pPr>
    </w:p>
    <w:p w14:paraId="1BF20D80">
      <w:pPr>
        <w:pStyle w:val="19"/>
        <w:snapToGrid w:val="0"/>
        <w:spacing w:beforeLines="0" w:afterLines="0" w:line="360" w:lineRule="auto"/>
        <w:ind w:firstLine="4800" w:firstLineChars="2000"/>
        <w:rPr>
          <w:rFonts w:hAnsi="宋体" w:cs="仿宋"/>
        </w:rPr>
      </w:pPr>
    </w:p>
    <w:p w14:paraId="5AC96F89">
      <w:pPr>
        <w:pStyle w:val="19"/>
        <w:snapToGrid w:val="0"/>
        <w:spacing w:beforeLines="0" w:afterLines="0" w:line="360" w:lineRule="auto"/>
        <w:ind w:firstLine="4800" w:firstLineChars="2000"/>
        <w:rPr>
          <w:rFonts w:hAnsi="宋体" w:cs="仿宋"/>
        </w:rPr>
      </w:pPr>
    </w:p>
    <w:p w14:paraId="474E65E8">
      <w:pPr>
        <w:pStyle w:val="19"/>
        <w:snapToGrid w:val="0"/>
        <w:spacing w:beforeLines="0" w:afterLines="0" w:line="360" w:lineRule="auto"/>
        <w:ind w:firstLine="4800" w:firstLineChars="2000"/>
        <w:rPr>
          <w:rFonts w:hAnsi="宋体" w:cs="仿宋"/>
        </w:rPr>
      </w:pPr>
    </w:p>
    <w:p w14:paraId="40E983CD">
      <w:pPr>
        <w:pStyle w:val="19"/>
        <w:snapToGrid w:val="0"/>
        <w:spacing w:beforeLines="0" w:afterLines="0" w:line="360" w:lineRule="auto"/>
        <w:ind w:firstLine="4800" w:firstLineChars="2000"/>
        <w:rPr>
          <w:rFonts w:hAnsi="宋体" w:cs="仿宋"/>
        </w:rPr>
      </w:pPr>
    </w:p>
    <w:p w14:paraId="357C91A1">
      <w:pPr>
        <w:pStyle w:val="19"/>
        <w:snapToGrid w:val="0"/>
        <w:spacing w:beforeLines="0" w:afterLines="0" w:line="360" w:lineRule="auto"/>
        <w:ind w:firstLine="4800" w:firstLineChars="2000"/>
        <w:rPr>
          <w:rFonts w:hAnsi="宋体" w:cs="仿宋"/>
        </w:rPr>
      </w:pPr>
    </w:p>
    <w:p w14:paraId="40B052D5">
      <w:pPr>
        <w:pStyle w:val="19"/>
        <w:snapToGrid w:val="0"/>
        <w:spacing w:beforeLines="0" w:afterLines="0" w:line="360" w:lineRule="auto"/>
        <w:ind w:firstLine="4800" w:firstLineChars="2000"/>
        <w:rPr>
          <w:rFonts w:hAnsi="宋体" w:cs="仿宋"/>
        </w:rPr>
      </w:pPr>
    </w:p>
    <w:p w14:paraId="7117EE9A">
      <w:pPr>
        <w:pStyle w:val="19"/>
        <w:snapToGrid w:val="0"/>
        <w:spacing w:beforeLines="0" w:afterLines="0" w:line="360" w:lineRule="auto"/>
        <w:ind w:firstLine="4800" w:firstLineChars="2000"/>
        <w:rPr>
          <w:rFonts w:hAnsi="宋体" w:cs="仿宋"/>
        </w:rPr>
      </w:pPr>
    </w:p>
    <w:p w14:paraId="43F4028F">
      <w:pPr>
        <w:spacing w:line="360" w:lineRule="auto"/>
        <w:rPr>
          <w:sz w:val="24"/>
        </w:rPr>
      </w:pPr>
      <w:r>
        <w:rPr>
          <w:rFonts w:hint="eastAsia"/>
          <w:sz w:val="24"/>
        </w:rPr>
        <w:t>38.招标代理服务费承诺函</w:t>
      </w:r>
    </w:p>
    <w:p w14:paraId="066B5F36">
      <w:pPr>
        <w:spacing w:line="360" w:lineRule="auto"/>
        <w:jc w:val="center"/>
        <w:rPr>
          <w:b/>
          <w:sz w:val="32"/>
        </w:rPr>
      </w:pPr>
    </w:p>
    <w:p w14:paraId="745FB457">
      <w:pPr>
        <w:tabs>
          <w:tab w:val="left" w:pos="2996"/>
        </w:tabs>
        <w:spacing w:line="360" w:lineRule="auto"/>
        <w:ind w:firstLine="480" w:firstLineChars="200"/>
        <w:rPr>
          <w:sz w:val="24"/>
        </w:rPr>
      </w:pPr>
      <w:r>
        <w:rPr>
          <w:rFonts w:hint="eastAsia"/>
          <w:sz w:val="24"/>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14:paraId="00215336">
      <w:pPr>
        <w:spacing w:line="360" w:lineRule="auto"/>
        <w:rPr>
          <w:sz w:val="24"/>
        </w:rPr>
      </w:pPr>
    </w:p>
    <w:p w14:paraId="4E776DE5">
      <w:pPr>
        <w:spacing w:line="360" w:lineRule="auto"/>
        <w:rPr>
          <w:sz w:val="24"/>
        </w:rPr>
      </w:pPr>
    </w:p>
    <w:p w14:paraId="777C9A55">
      <w:pPr>
        <w:spacing w:line="360" w:lineRule="auto"/>
        <w:rPr>
          <w:sz w:val="24"/>
        </w:rPr>
      </w:pPr>
    </w:p>
    <w:p w14:paraId="3F400EBC">
      <w:pPr>
        <w:spacing w:line="360" w:lineRule="auto"/>
        <w:rPr>
          <w:sz w:val="24"/>
        </w:rPr>
      </w:pPr>
    </w:p>
    <w:p w14:paraId="756B1535">
      <w:pPr>
        <w:spacing w:line="360" w:lineRule="auto"/>
        <w:ind w:firstLine="480" w:firstLineChars="200"/>
        <w:rPr>
          <w:sz w:val="24"/>
        </w:rPr>
      </w:pPr>
    </w:p>
    <w:p w14:paraId="49C51CD7">
      <w:pPr>
        <w:spacing w:line="360" w:lineRule="auto"/>
        <w:ind w:firstLine="480" w:firstLineChars="200"/>
        <w:rPr>
          <w:sz w:val="24"/>
        </w:rPr>
      </w:pPr>
    </w:p>
    <w:p w14:paraId="00435E9A">
      <w:pPr>
        <w:spacing w:line="360" w:lineRule="auto"/>
        <w:ind w:firstLine="480" w:firstLineChars="200"/>
        <w:rPr>
          <w:sz w:val="24"/>
        </w:rPr>
      </w:pPr>
    </w:p>
    <w:p w14:paraId="404AD090">
      <w:pPr>
        <w:pStyle w:val="10"/>
        <w:spacing w:line="360" w:lineRule="auto"/>
        <w:ind w:firstLine="1454" w:firstLineChars="606"/>
        <w:rPr>
          <w:rFonts w:ascii="宋体" w:hAnsi="宋体"/>
          <w:sz w:val="24"/>
          <w:szCs w:val="24"/>
        </w:rPr>
      </w:pPr>
      <w:r>
        <w:rPr>
          <w:rFonts w:hint="eastAsia" w:ascii="宋体" w:hAnsi="宋体"/>
          <w:sz w:val="24"/>
          <w:szCs w:val="24"/>
        </w:rPr>
        <w:t>投标人：（盖章）</w:t>
      </w:r>
    </w:p>
    <w:p w14:paraId="312D8399">
      <w:pPr>
        <w:pStyle w:val="10"/>
        <w:spacing w:line="360" w:lineRule="auto"/>
        <w:ind w:firstLine="374" w:firstLineChars="156"/>
        <w:rPr>
          <w:rFonts w:ascii="宋体" w:hAnsi="宋体"/>
          <w:sz w:val="24"/>
          <w:szCs w:val="24"/>
        </w:rPr>
      </w:pPr>
    </w:p>
    <w:p w14:paraId="1B465EB6">
      <w:pPr>
        <w:pStyle w:val="10"/>
        <w:spacing w:line="360" w:lineRule="auto"/>
        <w:ind w:firstLine="1334" w:firstLineChars="556"/>
        <w:rPr>
          <w:rFonts w:ascii="宋体" w:hAnsi="宋体"/>
          <w:sz w:val="24"/>
          <w:szCs w:val="24"/>
        </w:rPr>
      </w:pPr>
      <w:r>
        <w:rPr>
          <w:rFonts w:hint="eastAsia" w:ascii="宋体" w:hAnsi="宋体"/>
          <w:sz w:val="24"/>
          <w:szCs w:val="24"/>
        </w:rPr>
        <w:t>法定代表人或其授权代理人（签名或盖章）</w:t>
      </w:r>
    </w:p>
    <w:p w14:paraId="4964E3B2">
      <w:pPr>
        <w:pStyle w:val="10"/>
        <w:spacing w:line="360" w:lineRule="auto"/>
        <w:ind w:firstLine="374" w:firstLineChars="156"/>
        <w:jc w:val="center"/>
        <w:rPr>
          <w:rFonts w:ascii="宋体" w:hAnsi="宋体"/>
          <w:sz w:val="24"/>
          <w:szCs w:val="24"/>
        </w:rPr>
      </w:pPr>
    </w:p>
    <w:p w14:paraId="30B4B870">
      <w:pPr>
        <w:pStyle w:val="10"/>
        <w:spacing w:line="360" w:lineRule="auto"/>
        <w:ind w:left="840" w:firstLine="374" w:firstLineChars="156"/>
        <w:rPr>
          <w:rFonts w:ascii="宋体" w:hAnsi="宋体"/>
          <w:sz w:val="24"/>
          <w:szCs w:val="24"/>
        </w:rPr>
      </w:pPr>
      <w:r>
        <w:rPr>
          <w:rFonts w:hint="eastAsia" w:ascii="宋体" w:hAnsi="宋体"/>
          <w:sz w:val="24"/>
          <w:szCs w:val="24"/>
        </w:rPr>
        <w:t xml:space="preserve">              日期：    年   月   日</w:t>
      </w:r>
    </w:p>
    <w:p w14:paraId="54BA180E">
      <w:pPr>
        <w:pStyle w:val="19"/>
        <w:snapToGrid w:val="0"/>
        <w:spacing w:beforeLines="0" w:afterLines="0" w:line="360" w:lineRule="auto"/>
      </w:pPr>
    </w:p>
    <w:p w14:paraId="54AD5B91">
      <w:pPr>
        <w:pStyle w:val="10"/>
        <w:spacing w:line="500" w:lineRule="exact"/>
        <w:ind w:firstLine="0"/>
        <w:jc w:val="left"/>
        <w:rPr>
          <w:rFonts w:ascii="宋体" w:hAnsi="宋体"/>
          <w:sz w:val="24"/>
          <w:szCs w:val="24"/>
          <w:u w:val="single"/>
        </w:rPr>
      </w:pPr>
    </w:p>
    <w:p w14:paraId="13BA6EE9">
      <w:pPr>
        <w:pStyle w:val="10"/>
        <w:spacing w:line="500" w:lineRule="exact"/>
        <w:ind w:firstLine="0"/>
        <w:jc w:val="left"/>
        <w:rPr>
          <w:rFonts w:ascii="宋体" w:hAnsi="宋体"/>
          <w:sz w:val="24"/>
          <w:szCs w:val="24"/>
        </w:rPr>
      </w:pPr>
      <w:r>
        <w:rPr>
          <w:rFonts w:hint="eastAsia" w:ascii="宋体" w:hAnsi="宋体"/>
          <w:sz w:val="24"/>
          <w:szCs w:val="24"/>
        </w:rPr>
        <w:t>____________________________________________________________________________</w:t>
      </w:r>
    </w:p>
    <w:p w14:paraId="0440577A">
      <w:pPr>
        <w:pStyle w:val="10"/>
        <w:spacing w:line="500" w:lineRule="exact"/>
        <w:ind w:firstLine="0"/>
        <w:jc w:val="left"/>
        <w:rPr>
          <w:rFonts w:ascii="宋体" w:hAnsi="宋体"/>
          <w:sz w:val="24"/>
          <w:szCs w:val="24"/>
        </w:rPr>
      </w:pPr>
      <w:r>
        <w:rPr>
          <w:rFonts w:hint="eastAsia" w:ascii="宋体" w:hAnsi="宋体"/>
          <w:sz w:val="24"/>
          <w:szCs w:val="24"/>
        </w:rPr>
        <w:t>代理费汇款账号：</w:t>
      </w:r>
    </w:p>
    <w:p w14:paraId="721BA10D">
      <w:pPr>
        <w:snapToGrid w:val="0"/>
        <w:jc w:val="left"/>
        <w:rPr>
          <w:rFonts w:ascii="宋体" w:hAnsi="宋体"/>
          <w:sz w:val="24"/>
        </w:rPr>
      </w:pPr>
    </w:p>
    <w:p w14:paraId="65408233">
      <w:pPr>
        <w:snapToGrid w:val="0"/>
        <w:jc w:val="left"/>
        <w:rPr>
          <w:rFonts w:ascii="宋体" w:hAnsi="宋体"/>
          <w:sz w:val="24"/>
        </w:rPr>
      </w:pPr>
    </w:p>
    <w:p w14:paraId="65303A61">
      <w:pPr>
        <w:snapToGrid w:val="0"/>
        <w:rPr>
          <w:rFonts w:ascii="宋体" w:hAnsi="宋体"/>
          <w:sz w:val="24"/>
        </w:rPr>
      </w:pPr>
      <w:r>
        <w:rPr>
          <w:rFonts w:hint="eastAsia" w:ascii="宋体" w:hAnsi="宋体"/>
          <w:sz w:val="24"/>
        </w:rPr>
        <w:t>单位名称：浙江华耀建设咨询有限公司龙溪北路分公司</w:t>
      </w:r>
    </w:p>
    <w:p w14:paraId="36D31D14">
      <w:pPr>
        <w:snapToGrid w:val="0"/>
        <w:rPr>
          <w:rFonts w:ascii="宋体" w:hAnsi="宋体"/>
          <w:sz w:val="24"/>
        </w:rPr>
      </w:pPr>
      <w:r>
        <w:rPr>
          <w:rFonts w:hint="eastAsia" w:ascii="宋体" w:hAnsi="宋体"/>
          <w:sz w:val="24"/>
        </w:rPr>
        <w:t>开户银行：中国工商银行股份有限公司湖州经济开发区支行</w:t>
      </w:r>
    </w:p>
    <w:p w14:paraId="007079D8">
      <w:pPr>
        <w:tabs>
          <w:tab w:val="left" w:pos="1418"/>
        </w:tabs>
        <w:snapToGrid w:val="0"/>
        <w:spacing w:before="50" w:after="50"/>
        <w:rPr>
          <w:rFonts w:ascii="宋体" w:hAnsi="宋体"/>
          <w:spacing w:val="20"/>
          <w:sz w:val="24"/>
          <w:szCs w:val="20"/>
          <w:u w:val="single"/>
        </w:rPr>
      </w:pPr>
      <w:r>
        <w:rPr>
          <w:rFonts w:hint="eastAsia" w:ascii="宋体" w:hAnsi="宋体"/>
          <w:sz w:val="24"/>
        </w:rPr>
        <w:t>银行账号：1205210409001029749</w:t>
      </w:r>
    </w:p>
    <w:p w14:paraId="4AB0183E">
      <w:pPr>
        <w:tabs>
          <w:tab w:val="left" w:pos="1418"/>
        </w:tabs>
        <w:snapToGrid w:val="0"/>
        <w:spacing w:before="50" w:after="50"/>
        <w:rPr>
          <w:rFonts w:ascii="宋体" w:hAnsi="宋体"/>
          <w:sz w:val="24"/>
        </w:rPr>
      </w:pPr>
    </w:p>
    <w:p w14:paraId="6B4B4FB1">
      <w:pPr>
        <w:tabs>
          <w:tab w:val="left" w:pos="1418"/>
        </w:tabs>
        <w:snapToGrid w:val="0"/>
        <w:spacing w:before="50" w:after="50"/>
        <w:rPr>
          <w:rFonts w:ascii="宋体" w:hAnsi="宋体"/>
          <w:spacing w:val="20"/>
          <w:sz w:val="24"/>
          <w:szCs w:val="20"/>
          <w:u w:val="single"/>
        </w:rPr>
      </w:pPr>
    </w:p>
    <w:p w14:paraId="5DCEF468">
      <w:pPr>
        <w:pStyle w:val="19"/>
        <w:snapToGrid w:val="0"/>
        <w:spacing w:beforeLines="0" w:afterLines="0" w:line="360" w:lineRule="auto"/>
      </w:pPr>
    </w:p>
    <w:p w14:paraId="2A78A6BF">
      <w:pPr>
        <w:pStyle w:val="3"/>
        <w:ind w:firstLine="280"/>
      </w:pPr>
    </w:p>
    <w:p w14:paraId="38FB7074">
      <w:pPr>
        <w:pStyle w:val="3"/>
        <w:ind w:firstLine="280"/>
      </w:pPr>
    </w:p>
    <w:p w14:paraId="1BFB5864">
      <w:pPr>
        <w:snapToGrid w:val="0"/>
        <w:spacing w:line="360" w:lineRule="auto"/>
        <w:rPr>
          <w:rFonts w:ascii="宋体" w:hAnsi="宋体"/>
          <w:b/>
          <w:sz w:val="24"/>
        </w:rPr>
      </w:pPr>
      <w:r>
        <w:rPr>
          <w:rFonts w:hint="eastAsia" w:ascii="宋体" w:hAnsi="宋体"/>
          <w:b/>
          <w:sz w:val="24"/>
        </w:rPr>
        <w:t xml:space="preserve">39.开标一览表 </w:t>
      </w:r>
    </w:p>
    <w:p w14:paraId="11E2EA3A">
      <w:pPr>
        <w:snapToGrid w:val="0"/>
        <w:spacing w:line="360" w:lineRule="auto"/>
        <w:jc w:val="center"/>
        <w:rPr>
          <w:rFonts w:ascii="宋体" w:hAnsi="宋体"/>
          <w:b/>
          <w:sz w:val="30"/>
          <w:szCs w:val="20"/>
        </w:rPr>
      </w:pPr>
      <w:r>
        <w:rPr>
          <w:rFonts w:hint="eastAsia" w:ascii="宋体" w:hAnsi="宋体"/>
          <w:b/>
          <w:sz w:val="30"/>
        </w:rPr>
        <w:t>开标一览表</w:t>
      </w:r>
    </w:p>
    <w:p w14:paraId="646CCD5F">
      <w:pPr>
        <w:snapToGrid w:val="0"/>
        <w:spacing w:before="50" w:after="50"/>
        <w:rPr>
          <w:rFonts w:ascii="宋体" w:hAnsi="宋体"/>
          <w:sz w:val="24"/>
        </w:rPr>
      </w:pPr>
      <w:r>
        <w:rPr>
          <w:rFonts w:hint="eastAsia" w:ascii="宋体" w:hAnsi="宋体"/>
          <w:sz w:val="24"/>
        </w:rPr>
        <w:t>招标编号：   项目名称：    投标人名称：单位：元</w:t>
      </w:r>
    </w:p>
    <w:tbl>
      <w:tblPr>
        <w:tblStyle w:val="34"/>
        <w:tblpPr w:leftFromText="180" w:rightFromText="180" w:vertAnchor="text" w:horzAnchor="margin" w:tblpY="244"/>
        <w:tblW w:w="88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1855"/>
        <w:gridCol w:w="1796"/>
        <w:gridCol w:w="2126"/>
        <w:gridCol w:w="1985"/>
      </w:tblGrid>
      <w:tr w14:paraId="66AA5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135" w:type="dxa"/>
            <w:tcBorders>
              <w:top w:val="single" w:color="auto" w:sz="4" w:space="0"/>
              <w:left w:val="single" w:color="auto" w:sz="4" w:space="0"/>
              <w:bottom w:val="single" w:color="auto" w:sz="4" w:space="0"/>
              <w:right w:val="single" w:color="auto" w:sz="4" w:space="0"/>
            </w:tcBorders>
            <w:vAlign w:val="center"/>
          </w:tcPr>
          <w:p w14:paraId="6F9E5D48">
            <w:pPr>
              <w:snapToGrid w:val="0"/>
              <w:spacing w:before="50" w:after="50"/>
              <w:jc w:val="center"/>
              <w:rPr>
                <w:rFonts w:ascii="宋体" w:hAnsi="宋体"/>
                <w:b/>
                <w:szCs w:val="30"/>
              </w:rPr>
            </w:pPr>
            <w:r>
              <w:rPr>
                <w:rFonts w:hint="eastAsia" w:ascii="宋体" w:hAnsi="宋体"/>
                <w:b/>
                <w:szCs w:val="30"/>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30BB8A48">
            <w:pPr>
              <w:snapToGrid w:val="0"/>
              <w:spacing w:before="50" w:after="50"/>
              <w:jc w:val="center"/>
              <w:rPr>
                <w:rFonts w:ascii="宋体" w:hAnsi="宋体"/>
                <w:b/>
                <w:szCs w:val="30"/>
              </w:rPr>
            </w:pPr>
            <w:r>
              <w:rPr>
                <w:rFonts w:hint="eastAsia" w:ascii="宋体" w:hAnsi="宋体"/>
                <w:b/>
                <w:szCs w:val="30"/>
              </w:rPr>
              <w:t>名称</w:t>
            </w:r>
          </w:p>
        </w:tc>
        <w:tc>
          <w:tcPr>
            <w:tcW w:w="1796" w:type="dxa"/>
            <w:tcBorders>
              <w:top w:val="single" w:color="auto" w:sz="4" w:space="0"/>
              <w:left w:val="single" w:color="auto" w:sz="4" w:space="0"/>
              <w:bottom w:val="single" w:color="auto" w:sz="4" w:space="0"/>
              <w:right w:val="single" w:color="auto" w:sz="4" w:space="0"/>
            </w:tcBorders>
            <w:vAlign w:val="center"/>
          </w:tcPr>
          <w:p w14:paraId="0816B2F6">
            <w:pPr>
              <w:snapToGrid w:val="0"/>
              <w:spacing w:before="50" w:after="50"/>
              <w:jc w:val="center"/>
              <w:rPr>
                <w:rFonts w:ascii="宋体" w:hAnsi="宋体"/>
                <w:b/>
                <w:szCs w:val="30"/>
              </w:rPr>
            </w:pPr>
            <w:r>
              <w:rPr>
                <w:rFonts w:hint="eastAsia" w:ascii="宋体" w:hAnsi="宋体"/>
                <w:b/>
                <w:szCs w:val="30"/>
              </w:rPr>
              <w:t>数量</w:t>
            </w:r>
          </w:p>
        </w:tc>
        <w:tc>
          <w:tcPr>
            <w:tcW w:w="2126" w:type="dxa"/>
            <w:tcBorders>
              <w:top w:val="single" w:color="auto" w:sz="4" w:space="0"/>
              <w:left w:val="single" w:color="auto" w:sz="4" w:space="0"/>
              <w:bottom w:val="single" w:color="auto" w:sz="4" w:space="0"/>
              <w:right w:val="single" w:color="auto" w:sz="4" w:space="0"/>
            </w:tcBorders>
            <w:vAlign w:val="center"/>
          </w:tcPr>
          <w:p w14:paraId="5C3BB7FD">
            <w:pPr>
              <w:snapToGrid w:val="0"/>
              <w:spacing w:before="50" w:after="50"/>
              <w:jc w:val="center"/>
              <w:rPr>
                <w:rFonts w:ascii="宋体" w:hAnsi="宋体"/>
                <w:b/>
                <w:szCs w:val="30"/>
              </w:rPr>
            </w:pPr>
            <w:r>
              <w:rPr>
                <w:rFonts w:hint="eastAsia" w:ascii="宋体" w:hAnsi="宋体"/>
                <w:b/>
                <w:szCs w:val="30"/>
              </w:rPr>
              <w:t>单价</w:t>
            </w:r>
          </w:p>
        </w:tc>
        <w:tc>
          <w:tcPr>
            <w:tcW w:w="1985" w:type="dxa"/>
            <w:tcBorders>
              <w:top w:val="single" w:color="auto" w:sz="4" w:space="0"/>
              <w:left w:val="single" w:color="auto" w:sz="4" w:space="0"/>
              <w:bottom w:val="single" w:color="auto" w:sz="4" w:space="0"/>
              <w:right w:val="single" w:color="auto" w:sz="4" w:space="0"/>
            </w:tcBorders>
            <w:vAlign w:val="center"/>
          </w:tcPr>
          <w:p w14:paraId="0974686F">
            <w:pPr>
              <w:snapToGrid w:val="0"/>
              <w:spacing w:before="50" w:after="50"/>
              <w:jc w:val="center"/>
              <w:rPr>
                <w:rFonts w:ascii="宋体" w:hAnsi="宋体"/>
                <w:b/>
                <w:szCs w:val="30"/>
              </w:rPr>
            </w:pPr>
            <w:r>
              <w:rPr>
                <w:rFonts w:hint="eastAsia" w:ascii="宋体" w:hAnsi="宋体"/>
                <w:b/>
                <w:szCs w:val="30"/>
              </w:rPr>
              <w:t>投标报价</w:t>
            </w:r>
          </w:p>
        </w:tc>
      </w:tr>
      <w:tr w14:paraId="7C466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trPr>
        <w:tc>
          <w:tcPr>
            <w:tcW w:w="1135" w:type="dxa"/>
            <w:tcBorders>
              <w:top w:val="single" w:color="auto" w:sz="4" w:space="0"/>
              <w:left w:val="single" w:color="auto" w:sz="4" w:space="0"/>
              <w:bottom w:val="single" w:color="auto" w:sz="4" w:space="0"/>
              <w:right w:val="single" w:color="auto" w:sz="4" w:space="0"/>
            </w:tcBorders>
            <w:vAlign w:val="center"/>
          </w:tcPr>
          <w:p w14:paraId="1A068CB7">
            <w:pPr>
              <w:snapToGrid w:val="0"/>
              <w:spacing w:before="50" w:after="50"/>
              <w:jc w:val="left"/>
              <w:rPr>
                <w:rFonts w:ascii="宋体" w:hAnsi="宋体"/>
                <w:bCs/>
                <w:sz w:val="32"/>
                <w:szCs w:val="20"/>
              </w:rPr>
            </w:pPr>
          </w:p>
        </w:tc>
        <w:tc>
          <w:tcPr>
            <w:tcW w:w="1855" w:type="dxa"/>
            <w:tcBorders>
              <w:top w:val="single" w:color="auto" w:sz="4" w:space="0"/>
              <w:left w:val="single" w:color="auto" w:sz="4" w:space="0"/>
              <w:bottom w:val="single" w:color="auto" w:sz="4" w:space="0"/>
              <w:right w:val="single" w:color="auto" w:sz="4" w:space="0"/>
            </w:tcBorders>
            <w:vAlign w:val="center"/>
          </w:tcPr>
          <w:p w14:paraId="72AC054F">
            <w:pPr>
              <w:snapToGrid w:val="0"/>
              <w:spacing w:before="50" w:after="50"/>
              <w:jc w:val="center"/>
              <w:rPr>
                <w:rFonts w:ascii="宋体" w:hAnsi="宋体"/>
                <w:sz w:val="32"/>
                <w:szCs w:val="21"/>
              </w:rPr>
            </w:pPr>
          </w:p>
        </w:tc>
        <w:tc>
          <w:tcPr>
            <w:tcW w:w="1796" w:type="dxa"/>
            <w:tcBorders>
              <w:top w:val="single" w:color="auto" w:sz="4" w:space="0"/>
              <w:left w:val="single" w:color="auto" w:sz="4" w:space="0"/>
              <w:bottom w:val="single" w:color="auto" w:sz="4" w:space="0"/>
              <w:right w:val="single" w:color="auto" w:sz="4" w:space="0"/>
            </w:tcBorders>
            <w:vAlign w:val="center"/>
          </w:tcPr>
          <w:p w14:paraId="315FF139">
            <w:pPr>
              <w:snapToGrid w:val="0"/>
              <w:spacing w:before="50" w:after="50"/>
              <w:jc w:val="center"/>
              <w:rPr>
                <w:rFonts w:ascii="宋体" w:hAnsi="宋体"/>
                <w:sz w:val="32"/>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5DE2A0C">
            <w:pPr>
              <w:snapToGrid w:val="0"/>
              <w:spacing w:before="50" w:after="50"/>
              <w:rPr>
                <w:rFonts w:ascii="宋体" w:hAnsi="宋体"/>
                <w:sz w:val="32"/>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43C179EF">
            <w:pPr>
              <w:snapToGrid w:val="0"/>
              <w:spacing w:before="50" w:after="50"/>
              <w:rPr>
                <w:rFonts w:ascii="宋体" w:hAnsi="宋体"/>
                <w:sz w:val="32"/>
                <w:szCs w:val="21"/>
              </w:rPr>
            </w:pPr>
          </w:p>
        </w:tc>
      </w:tr>
      <w:tr w14:paraId="7352A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1135" w:type="dxa"/>
            <w:tcBorders>
              <w:top w:val="single" w:color="auto" w:sz="4" w:space="0"/>
              <w:left w:val="single" w:color="auto" w:sz="4" w:space="0"/>
              <w:bottom w:val="single" w:color="auto" w:sz="4" w:space="0"/>
              <w:right w:val="single" w:color="auto" w:sz="4" w:space="0"/>
            </w:tcBorders>
            <w:vAlign w:val="center"/>
          </w:tcPr>
          <w:p w14:paraId="28685230">
            <w:pPr>
              <w:snapToGrid w:val="0"/>
              <w:spacing w:before="50" w:after="50"/>
              <w:jc w:val="left"/>
              <w:rPr>
                <w:rFonts w:ascii="宋体" w:hAnsi="宋体"/>
                <w:bCs/>
                <w:sz w:val="32"/>
                <w:szCs w:val="20"/>
              </w:rPr>
            </w:pPr>
          </w:p>
        </w:tc>
        <w:tc>
          <w:tcPr>
            <w:tcW w:w="1855" w:type="dxa"/>
            <w:tcBorders>
              <w:top w:val="single" w:color="auto" w:sz="4" w:space="0"/>
              <w:left w:val="single" w:color="auto" w:sz="4" w:space="0"/>
              <w:bottom w:val="single" w:color="auto" w:sz="4" w:space="0"/>
              <w:right w:val="single" w:color="auto" w:sz="4" w:space="0"/>
            </w:tcBorders>
            <w:vAlign w:val="center"/>
          </w:tcPr>
          <w:p w14:paraId="14D81CF3">
            <w:pPr>
              <w:snapToGrid w:val="0"/>
              <w:spacing w:before="50" w:after="50"/>
              <w:jc w:val="center"/>
              <w:rPr>
                <w:rFonts w:ascii="宋体" w:hAnsi="宋体"/>
                <w:sz w:val="32"/>
                <w:szCs w:val="21"/>
              </w:rPr>
            </w:pPr>
          </w:p>
        </w:tc>
        <w:tc>
          <w:tcPr>
            <w:tcW w:w="1796" w:type="dxa"/>
            <w:tcBorders>
              <w:top w:val="single" w:color="auto" w:sz="4" w:space="0"/>
              <w:left w:val="single" w:color="auto" w:sz="4" w:space="0"/>
              <w:bottom w:val="single" w:color="auto" w:sz="4" w:space="0"/>
              <w:right w:val="single" w:color="auto" w:sz="4" w:space="0"/>
            </w:tcBorders>
            <w:vAlign w:val="center"/>
          </w:tcPr>
          <w:p w14:paraId="5954B1D4">
            <w:pPr>
              <w:snapToGrid w:val="0"/>
              <w:spacing w:before="50" w:after="50"/>
              <w:jc w:val="center"/>
              <w:rPr>
                <w:rFonts w:ascii="宋体" w:hAnsi="宋体"/>
                <w:sz w:val="32"/>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6CC723B">
            <w:pPr>
              <w:snapToGrid w:val="0"/>
              <w:spacing w:before="50" w:after="50"/>
              <w:rPr>
                <w:rFonts w:ascii="宋体" w:hAnsi="宋体"/>
                <w:sz w:val="32"/>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31699462">
            <w:pPr>
              <w:snapToGrid w:val="0"/>
              <w:spacing w:before="50" w:after="50"/>
              <w:rPr>
                <w:rFonts w:ascii="宋体" w:hAnsi="宋体"/>
                <w:sz w:val="32"/>
                <w:szCs w:val="21"/>
              </w:rPr>
            </w:pPr>
          </w:p>
        </w:tc>
      </w:tr>
      <w:tr w14:paraId="7BF0B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trPr>
        <w:tc>
          <w:tcPr>
            <w:tcW w:w="1135" w:type="dxa"/>
            <w:tcBorders>
              <w:top w:val="single" w:color="auto" w:sz="4" w:space="0"/>
              <w:left w:val="single" w:color="auto" w:sz="4" w:space="0"/>
              <w:bottom w:val="single" w:color="auto" w:sz="4" w:space="0"/>
              <w:right w:val="single" w:color="auto" w:sz="4" w:space="0"/>
            </w:tcBorders>
            <w:vAlign w:val="center"/>
          </w:tcPr>
          <w:p w14:paraId="5D4192C6">
            <w:pPr>
              <w:snapToGrid w:val="0"/>
              <w:spacing w:before="50" w:after="50"/>
              <w:jc w:val="left"/>
              <w:rPr>
                <w:rFonts w:ascii="宋体" w:hAnsi="宋体"/>
                <w:bCs/>
                <w:sz w:val="24"/>
                <w:szCs w:val="20"/>
              </w:rPr>
            </w:pPr>
          </w:p>
        </w:tc>
        <w:tc>
          <w:tcPr>
            <w:tcW w:w="1855" w:type="dxa"/>
            <w:tcBorders>
              <w:top w:val="single" w:color="auto" w:sz="4" w:space="0"/>
              <w:left w:val="single" w:color="auto" w:sz="4" w:space="0"/>
              <w:bottom w:val="single" w:color="auto" w:sz="4" w:space="0"/>
              <w:right w:val="single" w:color="auto" w:sz="4" w:space="0"/>
            </w:tcBorders>
            <w:vAlign w:val="center"/>
          </w:tcPr>
          <w:p w14:paraId="3A15091C">
            <w:pPr>
              <w:snapToGrid w:val="0"/>
              <w:spacing w:before="50" w:after="50"/>
              <w:jc w:val="center"/>
              <w:rPr>
                <w:rFonts w:ascii="宋体" w:hAnsi="宋体"/>
                <w:sz w:val="24"/>
                <w:szCs w:val="21"/>
              </w:rPr>
            </w:pPr>
          </w:p>
        </w:tc>
        <w:tc>
          <w:tcPr>
            <w:tcW w:w="1796" w:type="dxa"/>
            <w:tcBorders>
              <w:top w:val="single" w:color="auto" w:sz="4" w:space="0"/>
              <w:left w:val="single" w:color="auto" w:sz="4" w:space="0"/>
              <w:bottom w:val="single" w:color="auto" w:sz="4" w:space="0"/>
              <w:right w:val="single" w:color="auto" w:sz="4" w:space="0"/>
            </w:tcBorders>
            <w:vAlign w:val="center"/>
          </w:tcPr>
          <w:p w14:paraId="448DC6B5">
            <w:pPr>
              <w:snapToGrid w:val="0"/>
              <w:spacing w:before="50" w:after="50"/>
              <w:jc w:val="center"/>
              <w:rPr>
                <w:rFonts w:ascii="宋体" w:hAnsi="宋体"/>
                <w:sz w:val="24"/>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740C284">
            <w:pPr>
              <w:snapToGrid w:val="0"/>
              <w:spacing w:before="50" w:after="50"/>
              <w:rPr>
                <w:rFonts w:ascii="宋体" w:hAnsi="宋体"/>
                <w:sz w:val="24"/>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62FD0045">
            <w:pPr>
              <w:snapToGrid w:val="0"/>
              <w:spacing w:before="50" w:after="50"/>
              <w:rPr>
                <w:rFonts w:ascii="宋体" w:hAnsi="宋体"/>
                <w:sz w:val="24"/>
                <w:szCs w:val="21"/>
              </w:rPr>
            </w:pPr>
          </w:p>
        </w:tc>
      </w:tr>
      <w:tr w14:paraId="456A9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912" w:type="dxa"/>
            <w:gridSpan w:val="4"/>
            <w:tcBorders>
              <w:top w:val="single" w:color="auto" w:sz="4" w:space="0"/>
              <w:left w:val="single" w:color="auto" w:sz="4" w:space="0"/>
              <w:bottom w:val="single" w:color="auto" w:sz="4" w:space="0"/>
              <w:right w:val="single" w:color="auto" w:sz="4" w:space="0"/>
            </w:tcBorders>
            <w:vAlign w:val="center"/>
          </w:tcPr>
          <w:p w14:paraId="48C7935E">
            <w:pPr>
              <w:snapToGrid w:val="0"/>
              <w:spacing w:before="50" w:after="50"/>
              <w:rPr>
                <w:rFonts w:ascii="宋体" w:hAnsi="宋体"/>
                <w:sz w:val="24"/>
                <w:szCs w:val="21"/>
              </w:rPr>
            </w:pPr>
            <w:r>
              <w:rPr>
                <w:rFonts w:hint="eastAsia" w:ascii="宋体" w:hAnsi="宋体"/>
                <w:sz w:val="24"/>
                <w:szCs w:val="21"/>
              </w:rPr>
              <w:t>投标费用及利润</w:t>
            </w:r>
          </w:p>
        </w:tc>
        <w:tc>
          <w:tcPr>
            <w:tcW w:w="1985" w:type="dxa"/>
            <w:tcBorders>
              <w:top w:val="single" w:color="auto" w:sz="4" w:space="0"/>
              <w:left w:val="single" w:color="auto" w:sz="4" w:space="0"/>
              <w:bottom w:val="single" w:color="auto" w:sz="4" w:space="0"/>
              <w:right w:val="single" w:color="auto" w:sz="4" w:space="0"/>
            </w:tcBorders>
            <w:vAlign w:val="center"/>
          </w:tcPr>
          <w:p w14:paraId="0F94F926">
            <w:pPr>
              <w:snapToGrid w:val="0"/>
              <w:spacing w:before="50" w:after="50"/>
              <w:rPr>
                <w:rFonts w:ascii="宋体" w:hAnsi="宋体"/>
                <w:sz w:val="24"/>
                <w:szCs w:val="21"/>
              </w:rPr>
            </w:pPr>
          </w:p>
        </w:tc>
      </w:tr>
      <w:tr w14:paraId="7BF73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897" w:type="dxa"/>
            <w:gridSpan w:val="5"/>
            <w:tcBorders>
              <w:top w:val="single" w:color="auto" w:sz="4" w:space="0"/>
              <w:left w:val="single" w:color="auto" w:sz="4" w:space="0"/>
              <w:bottom w:val="single" w:color="auto" w:sz="4" w:space="0"/>
              <w:right w:val="single" w:color="auto" w:sz="4" w:space="0"/>
            </w:tcBorders>
            <w:vAlign w:val="center"/>
          </w:tcPr>
          <w:p w14:paraId="49856B5F">
            <w:pPr>
              <w:snapToGrid w:val="0"/>
              <w:spacing w:before="50" w:after="50"/>
              <w:rPr>
                <w:rFonts w:ascii="宋体" w:hAnsi="宋体"/>
                <w:sz w:val="24"/>
                <w:szCs w:val="21"/>
                <w:u w:val="single"/>
              </w:rPr>
            </w:pPr>
            <w:r>
              <w:rPr>
                <w:rFonts w:hint="eastAsia" w:ascii="宋体" w:hAnsi="宋体"/>
                <w:sz w:val="24"/>
                <w:szCs w:val="21"/>
              </w:rPr>
              <w:t>合计金额大写：</w:t>
            </w:r>
            <w:r>
              <w:rPr>
                <w:rFonts w:hint="eastAsia"/>
                <w:sz w:val="24"/>
              </w:rPr>
              <w:t>人民币元￥</w:t>
            </w:r>
          </w:p>
        </w:tc>
      </w:tr>
    </w:tbl>
    <w:p w14:paraId="250FBAF3">
      <w:pPr>
        <w:snapToGrid w:val="0"/>
        <w:spacing w:before="50" w:after="50"/>
        <w:rPr>
          <w:rFonts w:ascii="宋体" w:hAnsi="宋体"/>
          <w:sz w:val="24"/>
          <w:szCs w:val="20"/>
        </w:rPr>
      </w:pPr>
    </w:p>
    <w:p w14:paraId="4D57E906">
      <w:pPr>
        <w:snapToGrid w:val="0"/>
        <w:spacing w:line="360" w:lineRule="auto"/>
        <w:rPr>
          <w:rFonts w:ascii="宋体" w:hAnsi="宋体"/>
          <w:sz w:val="24"/>
        </w:rPr>
      </w:pPr>
    </w:p>
    <w:p w14:paraId="5EE2A8DA">
      <w:pPr>
        <w:snapToGrid w:val="0"/>
        <w:spacing w:line="360" w:lineRule="auto"/>
        <w:rPr>
          <w:rFonts w:ascii="宋体" w:hAnsi="宋体"/>
          <w:sz w:val="24"/>
        </w:rPr>
      </w:pPr>
    </w:p>
    <w:p w14:paraId="35918E0B">
      <w:pPr>
        <w:snapToGrid w:val="0"/>
        <w:spacing w:line="360" w:lineRule="auto"/>
        <w:rPr>
          <w:rFonts w:ascii="宋体" w:hAnsi="宋体"/>
          <w:sz w:val="24"/>
        </w:rPr>
      </w:pPr>
    </w:p>
    <w:p w14:paraId="006C847F">
      <w:pPr>
        <w:snapToGrid w:val="0"/>
        <w:spacing w:line="360" w:lineRule="auto"/>
        <w:rPr>
          <w:rFonts w:ascii="宋体" w:hAnsi="宋体"/>
          <w:sz w:val="24"/>
        </w:rPr>
      </w:pPr>
    </w:p>
    <w:p w14:paraId="0607720A">
      <w:pPr>
        <w:snapToGrid w:val="0"/>
        <w:spacing w:line="360" w:lineRule="auto"/>
        <w:rPr>
          <w:rFonts w:ascii="宋体" w:hAnsi="宋体"/>
          <w:sz w:val="24"/>
        </w:rPr>
      </w:pPr>
    </w:p>
    <w:p w14:paraId="5B752F76">
      <w:pPr>
        <w:snapToGrid w:val="0"/>
        <w:spacing w:line="360" w:lineRule="auto"/>
        <w:rPr>
          <w:rFonts w:ascii="宋体" w:hAnsi="宋体"/>
          <w:sz w:val="24"/>
        </w:rPr>
      </w:pPr>
    </w:p>
    <w:p w14:paraId="3A8F9CA3">
      <w:pPr>
        <w:snapToGrid w:val="0"/>
        <w:spacing w:line="360" w:lineRule="auto"/>
        <w:rPr>
          <w:rFonts w:ascii="宋体" w:hAnsi="宋体"/>
          <w:sz w:val="24"/>
        </w:rPr>
      </w:pPr>
    </w:p>
    <w:p w14:paraId="5CDA3B97">
      <w:pPr>
        <w:snapToGrid w:val="0"/>
        <w:spacing w:line="360" w:lineRule="auto"/>
        <w:rPr>
          <w:rFonts w:ascii="宋体" w:hAnsi="宋体"/>
          <w:sz w:val="24"/>
        </w:rPr>
      </w:pPr>
    </w:p>
    <w:p w14:paraId="4F6D1F7F">
      <w:pPr>
        <w:snapToGrid w:val="0"/>
        <w:spacing w:line="360" w:lineRule="auto"/>
        <w:rPr>
          <w:rFonts w:ascii="宋体" w:hAnsi="宋体"/>
          <w:sz w:val="24"/>
          <w:szCs w:val="20"/>
        </w:rPr>
      </w:pPr>
      <w:r>
        <w:rPr>
          <w:rFonts w:hint="eastAsia" w:ascii="宋体" w:hAnsi="宋体"/>
          <w:sz w:val="24"/>
        </w:rPr>
        <w:t>注：</w:t>
      </w:r>
      <w:r>
        <w:rPr>
          <w:rFonts w:ascii="宋体" w:hAnsi="宋体"/>
          <w:sz w:val="24"/>
        </w:rPr>
        <w:t xml:space="preserve"> 1</w:t>
      </w:r>
      <w:r>
        <w:rPr>
          <w:rFonts w:hint="eastAsia" w:ascii="宋体" w:hAnsi="宋体"/>
          <w:sz w:val="24"/>
        </w:rPr>
        <w:t>、报价一经涂改，应在涂改处加盖单位公章或者由法定代表人或授权委托人签字或盖章，否则其投标作无效标处理。</w:t>
      </w:r>
    </w:p>
    <w:p w14:paraId="583500B4">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、投标费用包括项目实施所需的人工费、服务费、运输费、安装调试费、购买及制作标书费、税费及其他一切费用。</w:t>
      </w:r>
    </w:p>
    <w:p w14:paraId="4B332B86">
      <w:pPr>
        <w:snapToGrid w:val="0"/>
        <w:spacing w:line="360" w:lineRule="auto"/>
        <w:ind w:firstLine="480" w:firstLineChars="200"/>
        <w:jc w:val="left"/>
        <w:rPr>
          <w:rFonts w:ascii="宋体" w:hAnsi="宋体"/>
          <w:sz w:val="24"/>
          <w:szCs w:val="20"/>
        </w:rPr>
      </w:pPr>
      <w:r>
        <w:rPr>
          <w:rFonts w:hint="eastAsia" w:ascii="宋体" w:hAnsi="宋体"/>
          <w:sz w:val="24"/>
        </w:rPr>
        <w:t>3、以上报价应与“投标报价明细表”中的“投标总价”相一致。</w:t>
      </w:r>
    </w:p>
    <w:p w14:paraId="6953615E">
      <w:pPr>
        <w:snapToGrid w:val="0"/>
        <w:spacing w:line="360" w:lineRule="auto"/>
        <w:ind w:left="-2" w:leftChars="-1" w:right="-817" w:rightChars="-389"/>
        <w:rPr>
          <w:rFonts w:ascii="宋体" w:hAnsi="宋体"/>
          <w:sz w:val="24"/>
        </w:rPr>
      </w:pPr>
    </w:p>
    <w:p w14:paraId="1E40A4DB">
      <w:pPr>
        <w:snapToGrid w:val="0"/>
        <w:spacing w:line="360" w:lineRule="auto"/>
        <w:ind w:left="-2" w:leftChars="-1" w:right="-817" w:rightChars="-389"/>
        <w:rPr>
          <w:rFonts w:ascii="宋体" w:hAnsi="宋体"/>
          <w:sz w:val="24"/>
          <w:szCs w:val="20"/>
        </w:rPr>
      </w:pPr>
      <w:r>
        <w:rPr>
          <w:rFonts w:hint="eastAsia" w:ascii="宋体" w:hAnsi="宋体"/>
          <w:sz w:val="24"/>
        </w:rPr>
        <w:t>法定代表人签字：</w:t>
      </w:r>
    </w:p>
    <w:p w14:paraId="4D51F839">
      <w:pPr>
        <w:snapToGrid w:val="0"/>
        <w:spacing w:line="360" w:lineRule="auto"/>
        <w:ind w:right="-817" w:rightChars="-389"/>
        <w:rPr>
          <w:rFonts w:ascii="宋体" w:hAnsi="宋体"/>
          <w:sz w:val="24"/>
        </w:rPr>
      </w:pPr>
      <w:r>
        <w:rPr>
          <w:rFonts w:hint="eastAsia" w:ascii="宋体" w:hAnsi="宋体"/>
          <w:sz w:val="24"/>
        </w:rPr>
        <w:t>投标人名称（盖章）：日期：年月日</w:t>
      </w:r>
    </w:p>
    <w:p w14:paraId="1C38FDC7">
      <w:pPr>
        <w:pStyle w:val="3"/>
        <w:ind w:firstLine="280"/>
      </w:pPr>
    </w:p>
    <w:p w14:paraId="61EED9CA">
      <w:pPr>
        <w:pStyle w:val="3"/>
        <w:ind w:firstLine="280"/>
      </w:pPr>
    </w:p>
    <w:p w14:paraId="58ED6735">
      <w:pPr>
        <w:pStyle w:val="3"/>
        <w:ind w:firstLine="280"/>
      </w:pPr>
    </w:p>
    <w:p w14:paraId="6C297DFE">
      <w:pPr>
        <w:pStyle w:val="3"/>
        <w:ind w:firstLine="280"/>
      </w:pPr>
    </w:p>
    <w:p w14:paraId="2E12E34F">
      <w:pPr>
        <w:pStyle w:val="3"/>
        <w:ind w:firstLine="280"/>
      </w:pPr>
    </w:p>
    <w:p w14:paraId="23407334">
      <w:pPr>
        <w:pStyle w:val="3"/>
        <w:ind w:firstLine="280"/>
      </w:pPr>
    </w:p>
    <w:p w14:paraId="2A7E0B83">
      <w:pPr>
        <w:pStyle w:val="3"/>
        <w:ind w:firstLine="280"/>
      </w:pPr>
    </w:p>
    <w:p w14:paraId="42203589">
      <w:pPr>
        <w:pStyle w:val="3"/>
        <w:ind w:firstLine="280"/>
      </w:pPr>
    </w:p>
    <w:p w14:paraId="57C3861D">
      <w:pPr>
        <w:pStyle w:val="3"/>
        <w:ind w:firstLine="280"/>
      </w:pPr>
    </w:p>
    <w:p w14:paraId="18884437">
      <w:pPr>
        <w:spacing w:line="360" w:lineRule="auto"/>
        <w:rPr>
          <w:sz w:val="28"/>
          <w:szCs w:val="28"/>
        </w:rPr>
      </w:pPr>
      <w:r>
        <w:rPr>
          <w:rFonts w:hint="eastAsia"/>
          <w:sz w:val="28"/>
          <w:szCs w:val="28"/>
        </w:rPr>
        <w:t>附件：</w:t>
      </w:r>
      <w:r>
        <w:rPr>
          <w:sz w:val="28"/>
          <w:szCs w:val="28"/>
        </w:rPr>
        <w:t xml:space="preserve"> “</w:t>
      </w:r>
      <w:r>
        <w:rPr>
          <w:rFonts w:hint="eastAsia"/>
          <w:sz w:val="28"/>
          <w:szCs w:val="28"/>
        </w:rPr>
        <w:t>信用中国</w:t>
      </w:r>
      <w:r>
        <w:rPr>
          <w:sz w:val="28"/>
          <w:szCs w:val="28"/>
        </w:rPr>
        <w:t>”</w:t>
      </w:r>
      <w:r>
        <w:rPr>
          <w:rFonts w:hint="eastAsia"/>
          <w:sz w:val="28"/>
          <w:szCs w:val="28"/>
        </w:rPr>
        <w:t>（</w:t>
      </w:r>
      <w:r>
        <w:rPr>
          <w:sz w:val="28"/>
          <w:szCs w:val="28"/>
        </w:rPr>
        <w:t>www.creditchina.gov.cn</w:t>
      </w:r>
      <w:r>
        <w:rPr>
          <w:rFonts w:hint="eastAsia"/>
          <w:sz w:val="28"/>
          <w:szCs w:val="28"/>
        </w:rPr>
        <w:t>）、</w:t>
      </w:r>
      <w:r>
        <w:rPr>
          <w:sz w:val="28"/>
          <w:szCs w:val="28"/>
        </w:rPr>
        <w:t>“</w:t>
      </w:r>
      <w:r>
        <w:rPr>
          <w:rFonts w:hint="eastAsia"/>
          <w:sz w:val="28"/>
          <w:szCs w:val="28"/>
        </w:rPr>
        <w:t>中国政府采购网</w:t>
      </w:r>
      <w:r>
        <w:rPr>
          <w:sz w:val="28"/>
          <w:szCs w:val="28"/>
        </w:rPr>
        <w:t>”</w:t>
      </w:r>
      <w:r>
        <w:rPr>
          <w:rFonts w:hint="eastAsia"/>
          <w:sz w:val="28"/>
          <w:szCs w:val="28"/>
        </w:rPr>
        <w:t>（</w:t>
      </w:r>
      <w:r>
        <w:rPr>
          <w:sz w:val="28"/>
          <w:szCs w:val="28"/>
        </w:rPr>
        <w:t>www.ccgp.gov.cn</w:t>
      </w:r>
      <w:r>
        <w:rPr>
          <w:rFonts w:hint="eastAsia"/>
          <w:sz w:val="28"/>
          <w:szCs w:val="28"/>
        </w:rPr>
        <w:t>）网页截图</w:t>
      </w:r>
      <w:r>
        <w:rPr>
          <w:sz w:val="28"/>
          <w:szCs w:val="28"/>
        </w:rPr>
        <w:t>模板</w:t>
      </w:r>
    </w:p>
    <w:p w14:paraId="53EBF00C">
      <w:pPr>
        <w:pStyle w:val="3"/>
        <w:ind w:firstLine="280"/>
      </w:pPr>
    </w:p>
    <w:p w14:paraId="7747873D">
      <w:pPr>
        <w:spacing w:line="360" w:lineRule="auto"/>
        <w:rPr>
          <w:i/>
          <w:sz w:val="28"/>
          <w:szCs w:val="28"/>
        </w:rPr>
      </w:pPr>
    </w:p>
    <w:p w14:paraId="6D4656BD">
      <w:r>
        <w:drawing>
          <wp:inline distT="0" distB="0" distL="0" distR="0">
            <wp:extent cx="5172075" cy="38442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175766" cy="3847079"/>
                    </a:xfrm>
                    <a:prstGeom prst="rect">
                      <a:avLst/>
                    </a:prstGeom>
                  </pic:spPr>
                </pic:pic>
              </a:graphicData>
            </a:graphic>
          </wp:inline>
        </w:drawing>
      </w:r>
      <w:r>
        <w:drawing>
          <wp:inline distT="0" distB="0" distL="0" distR="0">
            <wp:extent cx="5274310" cy="3065780"/>
            <wp:effectExtent l="0" t="0" r="254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4310" cy="3066327"/>
                    </a:xfrm>
                    <a:prstGeom prst="rect">
                      <a:avLst/>
                    </a:prstGeom>
                  </pic:spPr>
                </pic:pic>
              </a:graphicData>
            </a:graphic>
          </wp:inline>
        </w:drawing>
      </w:r>
    </w:p>
    <w:p w14:paraId="1FC574B0"/>
    <w:sectPr>
      <w:pgSz w:w="11906" w:h="16838"/>
      <w:pgMar w:top="1440" w:right="1080" w:bottom="1440" w:left="108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
    <w:altName w:val="Times New Roman"/>
    <w:panose1 w:val="00000000000000000000"/>
    <w:charset w:val="00"/>
    <w:family w:val="roman"/>
    <w:pitch w:val="default"/>
    <w:sig w:usb0="00000000" w:usb1="00000000" w:usb2="00000000" w:usb3="00000000" w:csb0="00040001" w:csb1="00000000"/>
  </w:font>
  <w:font w:name="长城粗隶书">
    <w:altName w:val="宋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隶书">
    <w:altName w:val="微软雅黑"/>
    <w:panose1 w:val="00000000000000000000"/>
    <w:charset w:val="86"/>
    <w:family w:val="modern"/>
    <w:pitch w:val="default"/>
    <w:sig w:usb0="00000000" w:usb1="00000000" w:usb2="00000000" w:usb3="00000000" w:csb0="00040000" w:csb1="00000000"/>
  </w:font>
  <w:font w:name="Arial Narrow">
    <w:altName w:val="Arial"/>
    <w:panose1 w:val="00000000000000000000"/>
    <w:charset w:val="00"/>
    <w:family w:val="swiss"/>
    <w:pitch w:val="default"/>
    <w:sig w:usb0="00000000" w:usb1="00000000" w:usb2="00000000" w:usb3="00000000" w:csb0="2000009F" w:csb1="DFD70000"/>
  </w:font>
  <w:font w:name="创艺简标宋">
    <w:altName w:val="黑体"/>
    <w:panose1 w:val="00000000000000000000"/>
    <w:charset w:val="86"/>
    <w:family w:val="auto"/>
    <w:pitch w:val="default"/>
    <w:sig w:usb0="00000000" w:usb1="00000000" w:usb2="00000000" w:usb3="00000000" w:csb0="00000000" w:csb1="00000000"/>
  </w:font>
  <w:font w:name="Times New Roman Regular">
    <w:altName w:val="Times New Roman"/>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BAD44">
    <w:pPr>
      <w:pStyle w:val="24"/>
      <w:framePr w:wrap="around" w:vAnchor="text" w:hAnchor="margin" w:xAlign="outside" w:y="1"/>
      <w:rPr>
        <w:rStyle w:val="38"/>
        <w:rFonts w:ascii="宋体" w:hAnsi="宋体"/>
        <w:sz w:val="28"/>
        <w:szCs w:val="28"/>
      </w:rPr>
    </w:pPr>
  </w:p>
  <w:p w14:paraId="15FD30D7">
    <w:pPr>
      <w:pStyle w:val="85"/>
      <w:ind w:firstLine="420"/>
      <w:rPr>
        <w:sz w:val="24"/>
        <w:szCs w:val="24"/>
      </w:rPr>
    </w:pPr>
    <w:r>
      <w:rPr>
        <w:rFonts w:hint="eastAsia"/>
      </w:rPr>
      <w:t xml:space="preserve">   浙江华耀建设咨询有限公司                                  </w:t>
    </w:r>
    <w: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44BF3">
    <w:pPr>
      <w:pStyle w:val="24"/>
      <w:framePr w:wrap="around" w:vAnchor="text" w:hAnchor="margin" w:xAlign="outside" w:y="1"/>
      <w:rPr>
        <w:rStyle w:val="38"/>
      </w:rPr>
    </w:pPr>
    <w:r>
      <w:fldChar w:fldCharType="begin"/>
    </w:r>
    <w:r>
      <w:rPr>
        <w:rStyle w:val="38"/>
      </w:rPr>
      <w:instrText xml:space="preserve">PAGE  </w:instrText>
    </w:r>
    <w:r>
      <w:fldChar w:fldCharType="end"/>
    </w:r>
  </w:p>
  <w:p w14:paraId="098475B1">
    <w:pPr>
      <w:pStyle w:val="2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A836C">
    <w:pPr>
      <w:pStyle w:val="19"/>
      <w:snapToGrid w:val="0"/>
      <w:spacing w:beforeLines="0" w:afterLines="0" w:line="360" w:lineRule="auto"/>
      <w:rPr>
        <w:rFonts w:hAnsi="宋体"/>
        <w:sz w:val="21"/>
        <w:szCs w:val="21"/>
        <w:u w:val="single"/>
      </w:rPr>
    </w:pPr>
    <w:r>
      <w:rPr>
        <w:rFonts w:hint="eastAsia" w:cs="Arial"/>
        <w:sz w:val="21"/>
        <w:szCs w:val="21"/>
        <w:u w:val="single"/>
      </w:rPr>
      <w:t xml:space="preserve">南太湖新区垃圾分类数据管理平台建设项目                                      </w:t>
    </w:r>
    <w:r>
      <w:rPr>
        <w:rFonts w:hint="eastAsia" w:hAnsi="宋体" w:cs="Arial"/>
        <w:sz w:val="21"/>
        <w:szCs w:val="21"/>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
    <w:nsid w:val="66482A15"/>
    <w:multiLevelType w:val="multilevel"/>
    <w:tmpl w:val="66482A15"/>
    <w:lvl w:ilvl="0" w:tentative="0">
      <w:start w:val="1"/>
      <w:numFmt w:val="decimalEnclosedCircle"/>
      <w:lvlText w:val="%1"/>
      <w:lvlJc w:val="left"/>
      <w:pPr>
        <w:ind w:left="360" w:hanging="360"/>
      </w:pPr>
      <w:rPr>
        <w:rFonts w:hint="default" w:ascii="宋体" w:hAnsi="宋体" w:eastAsia="宋体" w:cs="TimesNewRomanPSM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I3YzJlMmZmMDkwMzU3M2RlN2ZjMTllNmYwMDAxODAifQ=="/>
  </w:docVars>
  <w:rsids>
    <w:rsidRoot w:val="00E216D2"/>
    <w:rsid w:val="0000065E"/>
    <w:rsid w:val="00005157"/>
    <w:rsid w:val="00006763"/>
    <w:rsid w:val="00020D08"/>
    <w:rsid w:val="00031257"/>
    <w:rsid w:val="00031E10"/>
    <w:rsid w:val="0003640D"/>
    <w:rsid w:val="000378C6"/>
    <w:rsid w:val="00041A3D"/>
    <w:rsid w:val="00045E78"/>
    <w:rsid w:val="000469D2"/>
    <w:rsid w:val="00050DF1"/>
    <w:rsid w:val="00052B45"/>
    <w:rsid w:val="000537F8"/>
    <w:rsid w:val="00071560"/>
    <w:rsid w:val="00075831"/>
    <w:rsid w:val="00076AAB"/>
    <w:rsid w:val="0008165F"/>
    <w:rsid w:val="000847EA"/>
    <w:rsid w:val="00094C67"/>
    <w:rsid w:val="00096A1A"/>
    <w:rsid w:val="00097DC1"/>
    <w:rsid w:val="000A48E3"/>
    <w:rsid w:val="000B6720"/>
    <w:rsid w:val="000B6A5E"/>
    <w:rsid w:val="000C5297"/>
    <w:rsid w:val="000C5822"/>
    <w:rsid w:val="000D703D"/>
    <w:rsid w:val="000E3D09"/>
    <w:rsid w:val="000E4E0F"/>
    <w:rsid w:val="000E5D2F"/>
    <w:rsid w:val="000E6032"/>
    <w:rsid w:val="000E7331"/>
    <w:rsid w:val="000F629F"/>
    <w:rsid w:val="00111D83"/>
    <w:rsid w:val="00115FEC"/>
    <w:rsid w:val="00116E71"/>
    <w:rsid w:val="00121003"/>
    <w:rsid w:val="00121E54"/>
    <w:rsid w:val="00137F13"/>
    <w:rsid w:val="00145824"/>
    <w:rsid w:val="00152E96"/>
    <w:rsid w:val="00153FF2"/>
    <w:rsid w:val="001541D3"/>
    <w:rsid w:val="0016025A"/>
    <w:rsid w:val="001638C2"/>
    <w:rsid w:val="00163A04"/>
    <w:rsid w:val="00163BAC"/>
    <w:rsid w:val="00170E30"/>
    <w:rsid w:val="0017145A"/>
    <w:rsid w:val="00172C46"/>
    <w:rsid w:val="00176308"/>
    <w:rsid w:val="0017682C"/>
    <w:rsid w:val="0018046D"/>
    <w:rsid w:val="0018441F"/>
    <w:rsid w:val="00186646"/>
    <w:rsid w:val="00187591"/>
    <w:rsid w:val="00190EAD"/>
    <w:rsid w:val="00194D1F"/>
    <w:rsid w:val="001E35CF"/>
    <w:rsid w:val="001F1AE5"/>
    <w:rsid w:val="001F470F"/>
    <w:rsid w:val="00201764"/>
    <w:rsid w:val="00206DEE"/>
    <w:rsid w:val="00215E4C"/>
    <w:rsid w:val="00217225"/>
    <w:rsid w:val="00220761"/>
    <w:rsid w:val="00225466"/>
    <w:rsid w:val="0022551C"/>
    <w:rsid w:val="002278E7"/>
    <w:rsid w:val="00230DB6"/>
    <w:rsid w:val="002404F4"/>
    <w:rsid w:val="002413DF"/>
    <w:rsid w:val="00243520"/>
    <w:rsid w:val="00245DDA"/>
    <w:rsid w:val="0025351F"/>
    <w:rsid w:val="00261962"/>
    <w:rsid w:val="00262D1F"/>
    <w:rsid w:val="00281467"/>
    <w:rsid w:val="00282E8B"/>
    <w:rsid w:val="00285874"/>
    <w:rsid w:val="00292065"/>
    <w:rsid w:val="0029341E"/>
    <w:rsid w:val="00294B8B"/>
    <w:rsid w:val="002A0CC6"/>
    <w:rsid w:val="002C7F68"/>
    <w:rsid w:val="002D217E"/>
    <w:rsid w:val="002D3533"/>
    <w:rsid w:val="002E0129"/>
    <w:rsid w:val="002E5879"/>
    <w:rsid w:val="002F45C9"/>
    <w:rsid w:val="00301566"/>
    <w:rsid w:val="00304DC0"/>
    <w:rsid w:val="00306391"/>
    <w:rsid w:val="00313155"/>
    <w:rsid w:val="003312A0"/>
    <w:rsid w:val="00332E97"/>
    <w:rsid w:val="00341258"/>
    <w:rsid w:val="003606C7"/>
    <w:rsid w:val="00363B40"/>
    <w:rsid w:val="003745DA"/>
    <w:rsid w:val="00397F58"/>
    <w:rsid w:val="003B5AED"/>
    <w:rsid w:val="003B6788"/>
    <w:rsid w:val="003B761B"/>
    <w:rsid w:val="003C476D"/>
    <w:rsid w:val="003C5678"/>
    <w:rsid w:val="003C7D7C"/>
    <w:rsid w:val="003D5ABD"/>
    <w:rsid w:val="003D777B"/>
    <w:rsid w:val="003F3529"/>
    <w:rsid w:val="003F3D77"/>
    <w:rsid w:val="004012F9"/>
    <w:rsid w:val="00424EA2"/>
    <w:rsid w:val="00426CD2"/>
    <w:rsid w:val="00427EAA"/>
    <w:rsid w:val="0043548A"/>
    <w:rsid w:val="00435FF5"/>
    <w:rsid w:val="0044312F"/>
    <w:rsid w:val="004458DF"/>
    <w:rsid w:val="00455896"/>
    <w:rsid w:val="00455B52"/>
    <w:rsid w:val="00455E50"/>
    <w:rsid w:val="00480751"/>
    <w:rsid w:val="00493B7F"/>
    <w:rsid w:val="004A02FF"/>
    <w:rsid w:val="004A0644"/>
    <w:rsid w:val="004A7516"/>
    <w:rsid w:val="004B0641"/>
    <w:rsid w:val="004B2A30"/>
    <w:rsid w:val="004B5E1F"/>
    <w:rsid w:val="004C61BB"/>
    <w:rsid w:val="004D5D40"/>
    <w:rsid w:val="004E2AC0"/>
    <w:rsid w:val="004F523E"/>
    <w:rsid w:val="005072C4"/>
    <w:rsid w:val="00510F01"/>
    <w:rsid w:val="00511F63"/>
    <w:rsid w:val="00514702"/>
    <w:rsid w:val="00520D64"/>
    <w:rsid w:val="00527A13"/>
    <w:rsid w:val="00527A85"/>
    <w:rsid w:val="00530F24"/>
    <w:rsid w:val="005350D7"/>
    <w:rsid w:val="00542831"/>
    <w:rsid w:val="005436A6"/>
    <w:rsid w:val="00544E38"/>
    <w:rsid w:val="005576A8"/>
    <w:rsid w:val="00565BDD"/>
    <w:rsid w:val="00570BC1"/>
    <w:rsid w:val="0057110D"/>
    <w:rsid w:val="00574CB8"/>
    <w:rsid w:val="00576584"/>
    <w:rsid w:val="00577134"/>
    <w:rsid w:val="00580CC3"/>
    <w:rsid w:val="005907D8"/>
    <w:rsid w:val="00592CE3"/>
    <w:rsid w:val="00592CEA"/>
    <w:rsid w:val="00594C9B"/>
    <w:rsid w:val="005A0038"/>
    <w:rsid w:val="005A1285"/>
    <w:rsid w:val="005A4D82"/>
    <w:rsid w:val="005B1AB2"/>
    <w:rsid w:val="005C009E"/>
    <w:rsid w:val="005C6C99"/>
    <w:rsid w:val="005D1563"/>
    <w:rsid w:val="005E1E28"/>
    <w:rsid w:val="005E3222"/>
    <w:rsid w:val="005E3CA1"/>
    <w:rsid w:val="005E49CF"/>
    <w:rsid w:val="005E4D99"/>
    <w:rsid w:val="005F771F"/>
    <w:rsid w:val="005F7738"/>
    <w:rsid w:val="00607217"/>
    <w:rsid w:val="00613FF7"/>
    <w:rsid w:val="0061765C"/>
    <w:rsid w:val="00620785"/>
    <w:rsid w:val="006217D5"/>
    <w:rsid w:val="0062250A"/>
    <w:rsid w:val="0063005F"/>
    <w:rsid w:val="00633F64"/>
    <w:rsid w:val="00636C22"/>
    <w:rsid w:val="006414A1"/>
    <w:rsid w:val="0064603E"/>
    <w:rsid w:val="0065566B"/>
    <w:rsid w:val="00670607"/>
    <w:rsid w:val="006804FB"/>
    <w:rsid w:val="00681104"/>
    <w:rsid w:val="006812A7"/>
    <w:rsid w:val="0068571F"/>
    <w:rsid w:val="00693654"/>
    <w:rsid w:val="00693F81"/>
    <w:rsid w:val="006B00F4"/>
    <w:rsid w:val="006B7826"/>
    <w:rsid w:val="006C15D4"/>
    <w:rsid w:val="006C1AF3"/>
    <w:rsid w:val="006C339F"/>
    <w:rsid w:val="006C3E5D"/>
    <w:rsid w:val="006E506C"/>
    <w:rsid w:val="006E6D4D"/>
    <w:rsid w:val="006F659B"/>
    <w:rsid w:val="00701FA9"/>
    <w:rsid w:val="00714C84"/>
    <w:rsid w:val="00716AC2"/>
    <w:rsid w:val="00727A5A"/>
    <w:rsid w:val="00731FA8"/>
    <w:rsid w:val="00737CA4"/>
    <w:rsid w:val="007417F1"/>
    <w:rsid w:val="00741BDA"/>
    <w:rsid w:val="0074426A"/>
    <w:rsid w:val="00754903"/>
    <w:rsid w:val="00755DB4"/>
    <w:rsid w:val="007644A3"/>
    <w:rsid w:val="00784160"/>
    <w:rsid w:val="0079280F"/>
    <w:rsid w:val="00793235"/>
    <w:rsid w:val="0079456F"/>
    <w:rsid w:val="007A098C"/>
    <w:rsid w:val="007A187E"/>
    <w:rsid w:val="007A2842"/>
    <w:rsid w:val="007B2EF2"/>
    <w:rsid w:val="007B40C9"/>
    <w:rsid w:val="007B4B8A"/>
    <w:rsid w:val="007B79D9"/>
    <w:rsid w:val="007D69A6"/>
    <w:rsid w:val="007D7BF0"/>
    <w:rsid w:val="007D7C8B"/>
    <w:rsid w:val="007E1C32"/>
    <w:rsid w:val="007E27D0"/>
    <w:rsid w:val="007E7997"/>
    <w:rsid w:val="007F062E"/>
    <w:rsid w:val="007F2783"/>
    <w:rsid w:val="00803840"/>
    <w:rsid w:val="008117C6"/>
    <w:rsid w:val="00811F1C"/>
    <w:rsid w:val="00811FAF"/>
    <w:rsid w:val="008147C3"/>
    <w:rsid w:val="00817B44"/>
    <w:rsid w:val="00836455"/>
    <w:rsid w:val="00844889"/>
    <w:rsid w:val="00857DF3"/>
    <w:rsid w:val="0086188A"/>
    <w:rsid w:val="00864CB7"/>
    <w:rsid w:val="008740FC"/>
    <w:rsid w:val="008911E0"/>
    <w:rsid w:val="00895507"/>
    <w:rsid w:val="008A0355"/>
    <w:rsid w:val="008A080E"/>
    <w:rsid w:val="008A3907"/>
    <w:rsid w:val="008B39CC"/>
    <w:rsid w:val="008B4D85"/>
    <w:rsid w:val="008C73D2"/>
    <w:rsid w:val="008D7FF2"/>
    <w:rsid w:val="008F5436"/>
    <w:rsid w:val="00900C1C"/>
    <w:rsid w:val="00903690"/>
    <w:rsid w:val="0090582A"/>
    <w:rsid w:val="00905A2D"/>
    <w:rsid w:val="0091230E"/>
    <w:rsid w:val="009243DF"/>
    <w:rsid w:val="00926726"/>
    <w:rsid w:val="0094315D"/>
    <w:rsid w:val="00946605"/>
    <w:rsid w:val="00953637"/>
    <w:rsid w:val="0095412D"/>
    <w:rsid w:val="00954E66"/>
    <w:rsid w:val="00956E67"/>
    <w:rsid w:val="00963377"/>
    <w:rsid w:val="00966C54"/>
    <w:rsid w:val="009671D6"/>
    <w:rsid w:val="009773EA"/>
    <w:rsid w:val="00995597"/>
    <w:rsid w:val="009A02A8"/>
    <w:rsid w:val="009A2B1C"/>
    <w:rsid w:val="009A57D5"/>
    <w:rsid w:val="009B442D"/>
    <w:rsid w:val="009B51B3"/>
    <w:rsid w:val="009C5C6E"/>
    <w:rsid w:val="009C6D6B"/>
    <w:rsid w:val="009D03CF"/>
    <w:rsid w:val="009D3C9B"/>
    <w:rsid w:val="009D4661"/>
    <w:rsid w:val="009D5FCC"/>
    <w:rsid w:val="009E2530"/>
    <w:rsid w:val="00A05C7E"/>
    <w:rsid w:val="00A07599"/>
    <w:rsid w:val="00A07847"/>
    <w:rsid w:val="00A10AA7"/>
    <w:rsid w:val="00A12AFD"/>
    <w:rsid w:val="00A16964"/>
    <w:rsid w:val="00A261BE"/>
    <w:rsid w:val="00A2735F"/>
    <w:rsid w:val="00A27D7D"/>
    <w:rsid w:val="00A342FB"/>
    <w:rsid w:val="00A36966"/>
    <w:rsid w:val="00A36B91"/>
    <w:rsid w:val="00A404AF"/>
    <w:rsid w:val="00A4141B"/>
    <w:rsid w:val="00A45ED9"/>
    <w:rsid w:val="00A46FCA"/>
    <w:rsid w:val="00A72999"/>
    <w:rsid w:val="00A766B5"/>
    <w:rsid w:val="00A76E1E"/>
    <w:rsid w:val="00A81BAD"/>
    <w:rsid w:val="00A83BB2"/>
    <w:rsid w:val="00A91B01"/>
    <w:rsid w:val="00A93B7F"/>
    <w:rsid w:val="00AA5A22"/>
    <w:rsid w:val="00AD5AD3"/>
    <w:rsid w:val="00AD6F71"/>
    <w:rsid w:val="00AE185C"/>
    <w:rsid w:val="00AE64A4"/>
    <w:rsid w:val="00AF4A9D"/>
    <w:rsid w:val="00B0753F"/>
    <w:rsid w:val="00B15231"/>
    <w:rsid w:val="00B166C2"/>
    <w:rsid w:val="00B225B8"/>
    <w:rsid w:val="00B318B1"/>
    <w:rsid w:val="00B323A1"/>
    <w:rsid w:val="00B36958"/>
    <w:rsid w:val="00B429D3"/>
    <w:rsid w:val="00B448AA"/>
    <w:rsid w:val="00B54766"/>
    <w:rsid w:val="00B56485"/>
    <w:rsid w:val="00B6035E"/>
    <w:rsid w:val="00B62E50"/>
    <w:rsid w:val="00B7460D"/>
    <w:rsid w:val="00B753D8"/>
    <w:rsid w:val="00B77DB4"/>
    <w:rsid w:val="00B84C48"/>
    <w:rsid w:val="00B86F4D"/>
    <w:rsid w:val="00B87D20"/>
    <w:rsid w:val="00B94268"/>
    <w:rsid w:val="00B94CF2"/>
    <w:rsid w:val="00BA3B49"/>
    <w:rsid w:val="00BA5099"/>
    <w:rsid w:val="00BA7B9F"/>
    <w:rsid w:val="00BC239B"/>
    <w:rsid w:val="00BC6180"/>
    <w:rsid w:val="00BD2C4F"/>
    <w:rsid w:val="00BD4936"/>
    <w:rsid w:val="00BE0818"/>
    <w:rsid w:val="00BE17F2"/>
    <w:rsid w:val="00BE7FE3"/>
    <w:rsid w:val="00BF2457"/>
    <w:rsid w:val="00BF3D1E"/>
    <w:rsid w:val="00BF3F78"/>
    <w:rsid w:val="00C0749A"/>
    <w:rsid w:val="00C07DB4"/>
    <w:rsid w:val="00C108CD"/>
    <w:rsid w:val="00C20D2A"/>
    <w:rsid w:val="00C22869"/>
    <w:rsid w:val="00C23D17"/>
    <w:rsid w:val="00C443CA"/>
    <w:rsid w:val="00C52778"/>
    <w:rsid w:val="00C55931"/>
    <w:rsid w:val="00C55E6A"/>
    <w:rsid w:val="00C56221"/>
    <w:rsid w:val="00C5713F"/>
    <w:rsid w:val="00C62367"/>
    <w:rsid w:val="00C658A3"/>
    <w:rsid w:val="00C77122"/>
    <w:rsid w:val="00C80A28"/>
    <w:rsid w:val="00C86606"/>
    <w:rsid w:val="00C921D5"/>
    <w:rsid w:val="00CA3D69"/>
    <w:rsid w:val="00CA672F"/>
    <w:rsid w:val="00CB02D4"/>
    <w:rsid w:val="00CC2530"/>
    <w:rsid w:val="00CC433D"/>
    <w:rsid w:val="00CC5B1E"/>
    <w:rsid w:val="00CC6356"/>
    <w:rsid w:val="00CC66D9"/>
    <w:rsid w:val="00CC69EF"/>
    <w:rsid w:val="00CD1157"/>
    <w:rsid w:val="00CD69D3"/>
    <w:rsid w:val="00CE15F6"/>
    <w:rsid w:val="00CE5F7D"/>
    <w:rsid w:val="00CF0027"/>
    <w:rsid w:val="00CF3F65"/>
    <w:rsid w:val="00CF69D6"/>
    <w:rsid w:val="00D11CA3"/>
    <w:rsid w:val="00D12431"/>
    <w:rsid w:val="00D17391"/>
    <w:rsid w:val="00D21587"/>
    <w:rsid w:val="00D32C4D"/>
    <w:rsid w:val="00D44A09"/>
    <w:rsid w:val="00D52F74"/>
    <w:rsid w:val="00D60431"/>
    <w:rsid w:val="00D61AE1"/>
    <w:rsid w:val="00D66197"/>
    <w:rsid w:val="00D6699D"/>
    <w:rsid w:val="00D77943"/>
    <w:rsid w:val="00D828CA"/>
    <w:rsid w:val="00D85B32"/>
    <w:rsid w:val="00D905F5"/>
    <w:rsid w:val="00D945F2"/>
    <w:rsid w:val="00D97303"/>
    <w:rsid w:val="00DA2C0B"/>
    <w:rsid w:val="00DC4528"/>
    <w:rsid w:val="00DC7CEA"/>
    <w:rsid w:val="00DD43B7"/>
    <w:rsid w:val="00DD5EF8"/>
    <w:rsid w:val="00DE3BDF"/>
    <w:rsid w:val="00DE4508"/>
    <w:rsid w:val="00DE6445"/>
    <w:rsid w:val="00DF2C3C"/>
    <w:rsid w:val="00DF59A9"/>
    <w:rsid w:val="00DF5A55"/>
    <w:rsid w:val="00DF7680"/>
    <w:rsid w:val="00E03E48"/>
    <w:rsid w:val="00E04876"/>
    <w:rsid w:val="00E04893"/>
    <w:rsid w:val="00E1309F"/>
    <w:rsid w:val="00E176AB"/>
    <w:rsid w:val="00E216D2"/>
    <w:rsid w:val="00E418DD"/>
    <w:rsid w:val="00E44564"/>
    <w:rsid w:val="00E50A54"/>
    <w:rsid w:val="00E64A41"/>
    <w:rsid w:val="00E7015C"/>
    <w:rsid w:val="00E70D0F"/>
    <w:rsid w:val="00E74DE5"/>
    <w:rsid w:val="00E81C29"/>
    <w:rsid w:val="00EA1686"/>
    <w:rsid w:val="00EA22E4"/>
    <w:rsid w:val="00EA3A60"/>
    <w:rsid w:val="00EA6C37"/>
    <w:rsid w:val="00EA6EA2"/>
    <w:rsid w:val="00EB29FB"/>
    <w:rsid w:val="00EB50DC"/>
    <w:rsid w:val="00EC34E8"/>
    <w:rsid w:val="00EC437C"/>
    <w:rsid w:val="00EC7EDF"/>
    <w:rsid w:val="00ED0594"/>
    <w:rsid w:val="00ED4A14"/>
    <w:rsid w:val="00ED4F3F"/>
    <w:rsid w:val="00EE283F"/>
    <w:rsid w:val="00EE2907"/>
    <w:rsid w:val="00EF6575"/>
    <w:rsid w:val="00F0426C"/>
    <w:rsid w:val="00F0721D"/>
    <w:rsid w:val="00F10484"/>
    <w:rsid w:val="00F2735D"/>
    <w:rsid w:val="00F30279"/>
    <w:rsid w:val="00F352CA"/>
    <w:rsid w:val="00F40D92"/>
    <w:rsid w:val="00F54F60"/>
    <w:rsid w:val="00F560F3"/>
    <w:rsid w:val="00F64F7C"/>
    <w:rsid w:val="00F67AD9"/>
    <w:rsid w:val="00F741D1"/>
    <w:rsid w:val="00F82E6B"/>
    <w:rsid w:val="00F83B9B"/>
    <w:rsid w:val="00F85B94"/>
    <w:rsid w:val="00F8664C"/>
    <w:rsid w:val="00F93157"/>
    <w:rsid w:val="00F9792D"/>
    <w:rsid w:val="00FA61C7"/>
    <w:rsid w:val="00FB3450"/>
    <w:rsid w:val="00FD23CF"/>
    <w:rsid w:val="00FD3A28"/>
    <w:rsid w:val="00FD404E"/>
    <w:rsid w:val="00FD78E0"/>
    <w:rsid w:val="00FE28A5"/>
    <w:rsid w:val="00FE6519"/>
    <w:rsid w:val="00FF643C"/>
    <w:rsid w:val="01046D86"/>
    <w:rsid w:val="011D6E67"/>
    <w:rsid w:val="0125718A"/>
    <w:rsid w:val="01324B2B"/>
    <w:rsid w:val="026B3007"/>
    <w:rsid w:val="039447DF"/>
    <w:rsid w:val="04EE335F"/>
    <w:rsid w:val="07D96C64"/>
    <w:rsid w:val="0CCA19BF"/>
    <w:rsid w:val="0E811E04"/>
    <w:rsid w:val="101B67A7"/>
    <w:rsid w:val="11876494"/>
    <w:rsid w:val="12F86697"/>
    <w:rsid w:val="139122B9"/>
    <w:rsid w:val="13B44A8A"/>
    <w:rsid w:val="13F54E26"/>
    <w:rsid w:val="147B2405"/>
    <w:rsid w:val="15781EB2"/>
    <w:rsid w:val="15FF5130"/>
    <w:rsid w:val="16C917DC"/>
    <w:rsid w:val="16E4756A"/>
    <w:rsid w:val="17CA65CA"/>
    <w:rsid w:val="18E5190D"/>
    <w:rsid w:val="19E435FD"/>
    <w:rsid w:val="1BC837A0"/>
    <w:rsid w:val="1C335F6E"/>
    <w:rsid w:val="1C3919D2"/>
    <w:rsid w:val="1CA0431D"/>
    <w:rsid w:val="1CDD3AD1"/>
    <w:rsid w:val="1EF328AA"/>
    <w:rsid w:val="21E11013"/>
    <w:rsid w:val="22E75EE8"/>
    <w:rsid w:val="25090731"/>
    <w:rsid w:val="291853E7"/>
    <w:rsid w:val="2A554419"/>
    <w:rsid w:val="2B7D3C27"/>
    <w:rsid w:val="2BEE216F"/>
    <w:rsid w:val="2CF52909"/>
    <w:rsid w:val="2DD647F5"/>
    <w:rsid w:val="2E1F5CFC"/>
    <w:rsid w:val="2EDF252C"/>
    <w:rsid w:val="306B04F2"/>
    <w:rsid w:val="312C248C"/>
    <w:rsid w:val="323B0398"/>
    <w:rsid w:val="32A62DA3"/>
    <w:rsid w:val="33A02298"/>
    <w:rsid w:val="352248AD"/>
    <w:rsid w:val="35460273"/>
    <w:rsid w:val="36243BAE"/>
    <w:rsid w:val="378B76CC"/>
    <w:rsid w:val="39EA588E"/>
    <w:rsid w:val="3AA77E8B"/>
    <w:rsid w:val="3BB20394"/>
    <w:rsid w:val="3DFA0860"/>
    <w:rsid w:val="3DFF1573"/>
    <w:rsid w:val="41F70094"/>
    <w:rsid w:val="43121254"/>
    <w:rsid w:val="45C76855"/>
    <w:rsid w:val="460E4B7B"/>
    <w:rsid w:val="46324DD1"/>
    <w:rsid w:val="46326C27"/>
    <w:rsid w:val="46553FB5"/>
    <w:rsid w:val="46E13B7F"/>
    <w:rsid w:val="4794408B"/>
    <w:rsid w:val="48435459"/>
    <w:rsid w:val="48B620CF"/>
    <w:rsid w:val="4B4A5586"/>
    <w:rsid w:val="4C200B48"/>
    <w:rsid w:val="4D93224D"/>
    <w:rsid w:val="4DD317A9"/>
    <w:rsid w:val="4DD70B1D"/>
    <w:rsid w:val="4E2C44E9"/>
    <w:rsid w:val="4EDF645D"/>
    <w:rsid w:val="50016325"/>
    <w:rsid w:val="52BB45E9"/>
    <w:rsid w:val="54A43723"/>
    <w:rsid w:val="556B2D6D"/>
    <w:rsid w:val="558372C8"/>
    <w:rsid w:val="55C8387E"/>
    <w:rsid w:val="57027CC3"/>
    <w:rsid w:val="5AFF7D61"/>
    <w:rsid w:val="5B8C14FC"/>
    <w:rsid w:val="5CEC1D8E"/>
    <w:rsid w:val="5D5850AB"/>
    <w:rsid w:val="5DD46E27"/>
    <w:rsid w:val="5DDFF4FF"/>
    <w:rsid w:val="61110B4D"/>
    <w:rsid w:val="63BF7C32"/>
    <w:rsid w:val="652A7EDD"/>
    <w:rsid w:val="65B95CDD"/>
    <w:rsid w:val="665533E3"/>
    <w:rsid w:val="67E85935"/>
    <w:rsid w:val="68ED0400"/>
    <w:rsid w:val="6AAA265F"/>
    <w:rsid w:val="6B2D5DC9"/>
    <w:rsid w:val="6B3D766F"/>
    <w:rsid w:val="6B7A60B0"/>
    <w:rsid w:val="6D067350"/>
    <w:rsid w:val="6D55144C"/>
    <w:rsid w:val="6DA34120"/>
    <w:rsid w:val="6DB56A2D"/>
    <w:rsid w:val="6DE34F55"/>
    <w:rsid w:val="6DF4769C"/>
    <w:rsid w:val="6E0913DE"/>
    <w:rsid w:val="6E822F4B"/>
    <w:rsid w:val="7076529E"/>
    <w:rsid w:val="70787AE6"/>
    <w:rsid w:val="70842CEE"/>
    <w:rsid w:val="70BF1314"/>
    <w:rsid w:val="714341C0"/>
    <w:rsid w:val="72BC4A36"/>
    <w:rsid w:val="73077950"/>
    <w:rsid w:val="74E62789"/>
    <w:rsid w:val="755550F4"/>
    <w:rsid w:val="75F98670"/>
    <w:rsid w:val="766964A3"/>
    <w:rsid w:val="77E3618D"/>
    <w:rsid w:val="780676AA"/>
    <w:rsid w:val="79114078"/>
    <w:rsid w:val="79361866"/>
    <w:rsid w:val="79EF6EA4"/>
    <w:rsid w:val="7AD324E9"/>
    <w:rsid w:val="7AE85868"/>
    <w:rsid w:val="7B000AAA"/>
    <w:rsid w:val="7B174540"/>
    <w:rsid w:val="7BB8101D"/>
    <w:rsid w:val="7E0727AF"/>
    <w:rsid w:val="7F732D4C"/>
    <w:rsid w:val="7FB26005"/>
    <w:rsid w:val="7FBA87AB"/>
    <w:rsid w:val="7FFD4E57"/>
    <w:rsid w:val="DDA96AE4"/>
    <w:rsid w:val="ED79D208"/>
    <w:rsid w:val="FB2FDAD5"/>
    <w:rsid w:val="FF6DB8FB"/>
    <w:rsid w:val="FFFF84B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6"/>
    <w:qFormat/>
    <w:uiPriority w:val="0"/>
    <w:pPr>
      <w:keepNext/>
      <w:keepLines/>
      <w:spacing w:before="340" w:after="330" w:line="576" w:lineRule="auto"/>
      <w:outlineLvl w:val="0"/>
    </w:pPr>
    <w:rPr>
      <w:rFonts w:ascii="time new roman" w:hAnsi="time new roman" w:eastAsia="长城粗隶书" w:cs="Courier New"/>
      <w:b/>
      <w:bCs/>
      <w:kern w:val="44"/>
      <w:sz w:val="44"/>
      <w:szCs w:val="44"/>
    </w:rPr>
  </w:style>
  <w:style w:type="paragraph" w:styleId="5">
    <w:name w:val="heading 2"/>
    <w:basedOn w:val="1"/>
    <w:next w:val="1"/>
    <w:link w:val="47"/>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48"/>
    <w:qFormat/>
    <w:uiPriority w:val="0"/>
    <w:pPr>
      <w:keepNext/>
      <w:keepLines/>
      <w:spacing w:before="260" w:after="260" w:line="416" w:lineRule="auto"/>
      <w:outlineLvl w:val="2"/>
    </w:pPr>
    <w:rPr>
      <w:b/>
      <w:bCs/>
      <w:sz w:val="32"/>
      <w:szCs w:val="32"/>
    </w:rPr>
  </w:style>
  <w:style w:type="paragraph" w:styleId="7">
    <w:name w:val="heading 4"/>
    <w:basedOn w:val="1"/>
    <w:next w:val="1"/>
    <w:link w:val="49"/>
    <w:qFormat/>
    <w:uiPriority w:val="0"/>
    <w:pPr>
      <w:keepNext/>
      <w:keepLines/>
      <w:spacing w:before="280" w:after="290" w:line="376" w:lineRule="auto"/>
      <w:outlineLvl w:val="3"/>
    </w:pPr>
    <w:rPr>
      <w:rFonts w:ascii="Cambria" w:hAnsi="Cambria"/>
      <w:b/>
      <w:bCs/>
      <w:sz w:val="28"/>
      <w:szCs w:val="28"/>
    </w:r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0"/>
    <w:qFormat/>
    <w:uiPriority w:val="0"/>
    <w:pPr>
      <w:spacing w:after="120"/>
    </w:pPr>
    <w:rPr>
      <w:sz w:val="28"/>
    </w:rPr>
  </w:style>
  <w:style w:type="paragraph" w:styleId="3">
    <w:name w:val="Body Text First Indent"/>
    <w:basedOn w:val="2"/>
    <w:link w:val="66"/>
    <w:qFormat/>
    <w:uiPriority w:val="0"/>
    <w:pPr>
      <w:spacing w:line="390" w:lineRule="atLeast"/>
      <w:ind w:firstLine="420" w:firstLineChars="100"/>
    </w:pPr>
    <w:rPr>
      <w:rFonts w:ascii="Calibri" w:hAnsi="Calibri"/>
    </w:rPr>
  </w:style>
  <w:style w:type="paragraph" w:styleId="8">
    <w:name w:val="Note Heading"/>
    <w:basedOn w:val="1"/>
    <w:next w:val="1"/>
    <w:link w:val="51"/>
    <w:qFormat/>
    <w:uiPriority w:val="0"/>
    <w:pPr>
      <w:jc w:val="center"/>
    </w:pPr>
    <w:rPr>
      <w:rFonts w:ascii="time new roman" w:hAnsi="time new roman" w:eastAsia="长城粗隶书"/>
    </w:rPr>
  </w:style>
  <w:style w:type="paragraph" w:styleId="9">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0">
    <w:name w:val="Normal Indent"/>
    <w:basedOn w:val="1"/>
    <w:link w:val="52"/>
    <w:qFormat/>
    <w:uiPriority w:val="0"/>
    <w:pPr>
      <w:ind w:firstLine="420"/>
    </w:pPr>
    <w:rPr>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53"/>
    <w:qFormat/>
    <w:uiPriority w:val="0"/>
    <w:pPr>
      <w:shd w:val="clear" w:color="auto" w:fill="000080"/>
    </w:pPr>
  </w:style>
  <w:style w:type="paragraph" w:styleId="13">
    <w:name w:val="annotation text"/>
    <w:basedOn w:val="1"/>
    <w:link w:val="54"/>
    <w:qFormat/>
    <w:uiPriority w:val="0"/>
    <w:pPr>
      <w:jc w:val="left"/>
    </w:pPr>
  </w:style>
  <w:style w:type="paragraph" w:styleId="14">
    <w:name w:val="Body Text 3"/>
    <w:basedOn w:val="1"/>
    <w:link w:val="55"/>
    <w:qFormat/>
    <w:uiPriority w:val="0"/>
    <w:pPr>
      <w:snapToGrid w:val="0"/>
      <w:spacing w:before="50" w:after="50"/>
    </w:pPr>
    <w:rPr>
      <w:rFonts w:hAnsi="宋体" w:eastAsia="仿宋_GB2312"/>
      <w:b/>
      <w:bCs/>
      <w:sz w:val="24"/>
      <w:szCs w:val="20"/>
    </w:rPr>
  </w:style>
  <w:style w:type="paragraph" w:styleId="15">
    <w:name w:val="Body Text Indent"/>
    <w:basedOn w:val="1"/>
    <w:link w:val="56"/>
    <w:qFormat/>
    <w:uiPriority w:val="0"/>
    <w:pPr>
      <w:spacing w:line="200" w:lineRule="exact"/>
      <w:ind w:firstLine="301"/>
    </w:pPr>
    <w:rPr>
      <w:rFonts w:ascii="宋体" w:hAnsi="Courier New"/>
      <w:spacing w:val="-4"/>
      <w:sz w:val="18"/>
      <w:szCs w:val="20"/>
    </w:rPr>
  </w:style>
  <w:style w:type="paragraph" w:styleId="16">
    <w:name w:val="List Number 3"/>
    <w:basedOn w:val="1"/>
    <w:qFormat/>
    <w:uiPriority w:val="0"/>
    <w:pPr>
      <w:tabs>
        <w:tab w:val="left" w:pos="1200"/>
      </w:tabs>
      <w:ind w:left="1200" w:hanging="360"/>
    </w:pPr>
  </w:style>
  <w:style w:type="paragraph" w:styleId="17">
    <w:name w:val="List 2"/>
    <w:basedOn w:val="1"/>
    <w:qFormat/>
    <w:uiPriority w:val="0"/>
    <w:pPr>
      <w:ind w:left="100" w:leftChars="200" w:hanging="200" w:hangingChars="200"/>
    </w:pPr>
    <w:rPr>
      <w:sz w:val="28"/>
    </w:rPr>
  </w:style>
  <w:style w:type="paragraph" w:styleId="18">
    <w:name w:val="Block Text"/>
    <w:basedOn w:val="1"/>
    <w:qFormat/>
    <w:uiPriority w:val="0"/>
    <w:pPr>
      <w:spacing w:after="120"/>
      <w:ind w:left="1440" w:leftChars="700" w:right="1440" w:rightChars="700"/>
    </w:pPr>
    <w:rPr>
      <w:rFonts w:ascii="time new roman" w:hAnsi="time new roman" w:eastAsia="长城粗隶书" w:cs="Courier New"/>
    </w:rPr>
  </w:style>
  <w:style w:type="paragraph" w:styleId="19">
    <w:name w:val="Plain Text"/>
    <w:basedOn w:val="1"/>
    <w:link w:val="58"/>
    <w:qFormat/>
    <w:uiPriority w:val="0"/>
    <w:pPr>
      <w:spacing w:beforeLines="50" w:afterLines="50" w:line="400" w:lineRule="exact"/>
    </w:pPr>
    <w:rPr>
      <w:rFonts w:ascii="宋体" w:hAnsi="Courier New"/>
      <w:sz w:val="24"/>
    </w:rPr>
  </w:style>
  <w:style w:type="paragraph" w:styleId="20">
    <w:name w:val="toc 8"/>
    <w:basedOn w:val="1"/>
    <w:next w:val="1"/>
    <w:qFormat/>
    <w:uiPriority w:val="0"/>
    <w:pPr>
      <w:ind w:left="2940" w:leftChars="1400"/>
    </w:pPr>
  </w:style>
  <w:style w:type="paragraph" w:styleId="21">
    <w:name w:val="Date"/>
    <w:basedOn w:val="1"/>
    <w:next w:val="1"/>
    <w:link w:val="59"/>
    <w:qFormat/>
    <w:uiPriority w:val="0"/>
    <w:pPr>
      <w:ind w:left="2500" w:leftChars="2500"/>
    </w:pPr>
    <w:rPr>
      <w:rFonts w:eastAsia="楷体_GB2312"/>
      <w:sz w:val="32"/>
      <w:szCs w:val="20"/>
    </w:rPr>
  </w:style>
  <w:style w:type="paragraph" w:styleId="22">
    <w:name w:val="Body Text Indent 2"/>
    <w:basedOn w:val="1"/>
    <w:link w:val="60"/>
    <w:qFormat/>
    <w:uiPriority w:val="0"/>
    <w:pPr>
      <w:snapToGrid w:val="0"/>
      <w:ind w:firstLine="542" w:firstLineChars="225"/>
    </w:pPr>
    <w:rPr>
      <w:rFonts w:ascii="仿宋_GB2312" w:hAnsi="宋体" w:cs="Arial"/>
      <w:b/>
      <w:bCs/>
      <w:color w:val="000000"/>
      <w:sz w:val="24"/>
    </w:rPr>
  </w:style>
  <w:style w:type="paragraph" w:styleId="23">
    <w:name w:val="Balloon Text"/>
    <w:basedOn w:val="1"/>
    <w:link w:val="61"/>
    <w:qFormat/>
    <w:uiPriority w:val="0"/>
    <w:rPr>
      <w:rFonts w:ascii="time new roman" w:hAnsi="time new roman" w:eastAsia="长城粗隶书" w:cs="Courier New"/>
      <w:sz w:val="18"/>
      <w:szCs w:val="18"/>
    </w:rPr>
  </w:style>
  <w:style w:type="paragraph" w:styleId="24">
    <w:name w:val="footer"/>
    <w:basedOn w:val="1"/>
    <w:link w:val="45"/>
    <w:unhideWhenUsed/>
    <w:qFormat/>
    <w:uiPriority w:val="0"/>
    <w:pPr>
      <w:tabs>
        <w:tab w:val="center" w:pos="4153"/>
        <w:tab w:val="right" w:pos="8306"/>
      </w:tabs>
      <w:snapToGrid w:val="0"/>
      <w:jc w:val="left"/>
    </w:pPr>
    <w:rPr>
      <w:sz w:val="18"/>
      <w:szCs w:val="18"/>
    </w:rPr>
  </w:style>
  <w:style w:type="paragraph" w:styleId="25">
    <w:name w:val="header"/>
    <w:basedOn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style>
  <w:style w:type="paragraph" w:styleId="27">
    <w:name w:val="List"/>
    <w:basedOn w:val="1"/>
    <w:qFormat/>
    <w:uiPriority w:val="0"/>
    <w:pPr>
      <w:ind w:left="200" w:hanging="200" w:hangingChars="200"/>
    </w:pPr>
    <w:rPr>
      <w:sz w:val="28"/>
    </w:rPr>
  </w:style>
  <w:style w:type="paragraph" w:styleId="28">
    <w:name w:val="Body Text Indent 3"/>
    <w:basedOn w:val="1"/>
    <w:link w:val="62"/>
    <w:qFormat/>
    <w:uiPriority w:val="0"/>
    <w:pPr>
      <w:snapToGrid w:val="0"/>
      <w:ind w:firstLine="480" w:firstLineChars="200"/>
      <w:jc w:val="left"/>
    </w:pPr>
    <w:rPr>
      <w:rFonts w:ascii="仿宋_GB2312" w:hAnsi="宋体" w:eastAsia="仿宋_GB2312"/>
      <w:color w:val="000000"/>
      <w:sz w:val="24"/>
    </w:rPr>
  </w:style>
  <w:style w:type="paragraph" w:styleId="29">
    <w:name w:val="index 7"/>
    <w:basedOn w:val="1"/>
    <w:next w:val="1"/>
    <w:qFormat/>
    <w:uiPriority w:val="0"/>
    <w:pPr>
      <w:ind w:left="1200" w:leftChars="1200"/>
    </w:pPr>
  </w:style>
  <w:style w:type="paragraph" w:styleId="30">
    <w:name w:val="Body Text 2"/>
    <w:basedOn w:val="1"/>
    <w:link w:val="63"/>
    <w:qFormat/>
    <w:uiPriority w:val="0"/>
    <w:pPr>
      <w:widowControl/>
      <w:snapToGrid w:val="0"/>
      <w:spacing w:before="50" w:afterLines="50" w:line="400" w:lineRule="exact"/>
      <w:jc w:val="left"/>
    </w:pPr>
    <w:rPr>
      <w:rFonts w:ascii="宋体" w:hAnsi="宋体"/>
      <w:color w:val="000000"/>
      <w:sz w:val="24"/>
    </w:rPr>
  </w:style>
  <w:style w:type="paragraph" w:styleId="31">
    <w:name w:val="Normal (Web)"/>
    <w:basedOn w:val="1"/>
    <w:qFormat/>
    <w:uiPriority w:val="0"/>
    <w:pPr>
      <w:widowControl/>
      <w:spacing w:line="300" w:lineRule="atLeast"/>
      <w:jc w:val="left"/>
    </w:pPr>
    <w:rPr>
      <w:rFonts w:ascii="宋体" w:hAnsi="宋体" w:cs="宋体"/>
      <w:kern w:val="0"/>
      <w:sz w:val="24"/>
    </w:rPr>
  </w:style>
  <w:style w:type="paragraph" w:styleId="32">
    <w:name w:val="Title"/>
    <w:basedOn w:val="1"/>
    <w:next w:val="1"/>
    <w:link w:val="64"/>
    <w:qFormat/>
    <w:uiPriority w:val="0"/>
    <w:pPr>
      <w:spacing w:before="240" w:after="60" w:line="480" w:lineRule="exact"/>
      <w:jc w:val="center"/>
      <w:outlineLvl w:val="0"/>
    </w:pPr>
    <w:rPr>
      <w:rFonts w:ascii="Cambria" w:hAnsi="Cambria"/>
      <w:b/>
      <w:bCs/>
      <w:sz w:val="32"/>
      <w:szCs w:val="32"/>
    </w:rPr>
  </w:style>
  <w:style w:type="paragraph" w:styleId="33">
    <w:name w:val="annotation subject"/>
    <w:basedOn w:val="13"/>
    <w:next w:val="13"/>
    <w:link w:val="65"/>
    <w:qFormat/>
    <w:uiPriority w:val="0"/>
    <w:rPr>
      <w:b/>
      <w:bCs/>
    </w:rPr>
  </w:style>
  <w:style w:type="table" w:styleId="35">
    <w:name w:val="Table Grid"/>
    <w:basedOn w:val="34"/>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bCs/>
    </w:rPr>
  </w:style>
  <w:style w:type="character" w:styleId="38">
    <w:name w:val="page number"/>
    <w:qFormat/>
    <w:uiPriority w:val="0"/>
  </w:style>
  <w:style w:type="character" w:styleId="39">
    <w:name w:val="FollowedHyperlink"/>
    <w:qFormat/>
    <w:uiPriority w:val="0"/>
    <w:rPr>
      <w:color w:val="800080"/>
      <w:u w:val="single"/>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paragraph" w:customStyle="1" w:styleId="42">
    <w:name w:val="Default"/>
    <w:next w:val="43"/>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43">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44">
    <w:name w:val="页眉 Char"/>
    <w:basedOn w:val="36"/>
    <w:link w:val="25"/>
    <w:qFormat/>
    <w:uiPriority w:val="0"/>
    <w:rPr>
      <w:sz w:val="18"/>
      <w:szCs w:val="18"/>
    </w:rPr>
  </w:style>
  <w:style w:type="character" w:customStyle="1" w:styleId="45">
    <w:name w:val="页脚 Char"/>
    <w:basedOn w:val="36"/>
    <w:link w:val="24"/>
    <w:semiHidden/>
    <w:qFormat/>
    <w:uiPriority w:val="99"/>
    <w:rPr>
      <w:sz w:val="18"/>
      <w:szCs w:val="18"/>
    </w:rPr>
  </w:style>
  <w:style w:type="character" w:customStyle="1" w:styleId="46">
    <w:name w:val="标题 1 Char"/>
    <w:basedOn w:val="36"/>
    <w:link w:val="4"/>
    <w:qFormat/>
    <w:uiPriority w:val="0"/>
    <w:rPr>
      <w:rFonts w:ascii="time new roman" w:hAnsi="time new roman" w:eastAsia="长城粗隶书" w:cs="Courier New"/>
      <w:b/>
      <w:bCs/>
      <w:kern w:val="44"/>
      <w:sz w:val="44"/>
      <w:szCs w:val="44"/>
    </w:rPr>
  </w:style>
  <w:style w:type="character" w:customStyle="1" w:styleId="47">
    <w:name w:val="标题 2 Char"/>
    <w:basedOn w:val="36"/>
    <w:link w:val="5"/>
    <w:qFormat/>
    <w:uiPriority w:val="0"/>
    <w:rPr>
      <w:rFonts w:ascii="Arial" w:hAnsi="Arial" w:eastAsia="黑体" w:cs="Times New Roman"/>
      <w:b/>
      <w:bCs/>
      <w:sz w:val="32"/>
      <w:szCs w:val="32"/>
    </w:rPr>
  </w:style>
  <w:style w:type="character" w:customStyle="1" w:styleId="48">
    <w:name w:val="标题 3 Char"/>
    <w:basedOn w:val="36"/>
    <w:link w:val="6"/>
    <w:qFormat/>
    <w:uiPriority w:val="0"/>
    <w:rPr>
      <w:rFonts w:ascii="Times New Roman" w:hAnsi="Times New Roman" w:eastAsia="宋体" w:cs="Times New Roman"/>
      <w:b/>
      <w:bCs/>
      <w:sz w:val="32"/>
      <w:szCs w:val="32"/>
    </w:rPr>
  </w:style>
  <w:style w:type="character" w:customStyle="1" w:styleId="49">
    <w:name w:val="标题 4 Char"/>
    <w:basedOn w:val="36"/>
    <w:link w:val="7"/>
    <w:qFormat/>
    <w:uiPriority w:val="0"/>
    <w:rPr>
      <w:rFonts w:ascii="Cambria" w:hAnsi="Cambria" w:eastAsia="宋体" w:cs="Times New Roman"/>
      <w:b/>
      <w:bCs/>
      <w:sz w:val="28"/>
      <w:szCs w:val="28"/>
    </w:rPr>
  </w:style>
  <w:style w:type="character" w:customStyle="1" w:styleId="50">
    <w:name w:val="正文文本 Char"/>
    <w:basedOn w:val="36"/>
    <w:link w:val="2"/>
    <w:qFormat/>
    <w:uiPriority w:val="0"/>
    <w:rPr>
      <w:rFonts w:ascii="Times New Roman" w:hAnsi="Times New Roman" w:eastAsia="宋体" w:cs="Times New Roman"/>
      <w:sz w:val="28"/>
      <w:szCs w:val="24"/>
    </w:rPr>
  </w:style>
  <w:style w:type="character" w:customStyle="1" w:styleId="51">
    <w:name w:val="注释标题 Char"/>
    <w:basedOn w:val="36"/>
    <w:link w:val="8"/>
    <w:qFormat/>
    <w:uiPriority w:val="0"/>
    <w:rPr>
      <w:rFonts w:ascii="time new roman" w:hAnsi="time new roman" w:eastAsia="长城粗隶书" w:cs="Times New Roman"/>
      <w:szCs w:val="24"/>
    </w:rPr>
  </w:style>
  <w:style w:type="character" w:customStyle="1" w:styleId="52">
    <w:name w:val="正文缩进 Char"/>
    <w:link w:val="10"/>
    <w:qFormat/>
    <w:uiPriority w:val="0"/>
    <w:rPr>
      <w:rFonts w:ascii="Times New Roman" w:hAnsi="Times New Roman" w:eastAsia="宋体" w:cs="Times New Roman"/>
      <w:szCs w:val="20"/>
    </w:rPr>
  </w:style>
  <w:style w:type="character" w:customStyle="1" w:styleId="53">
    <w:name w:val="文档结构图 Char"/>
    <w:basedOn w:val="36"/>
    <w:link w:val="12"/>
    <w:qFormat/>
    <w:uiPriority w:val="0"/>
    <w:rPr>
      <w:rFonts w:ascii="Times New Roman" w:hAnsi="Times New Roman" w:eastAsia="宋体" w:cs="Times New Roman"/>
      <w:szCs w:val="24"/>
      <w:shd w:val="clear" w:color="auto" w:fill="000080"/>
    </w:rPr>
  </w:style>
  <w:style w:type="character" w:customStyle="1" w:styleId="54">
    <w:name w:val="批注文字 Char"/>
    <w:basedOn w:val="36"/>
    <w:link w:val="13"/>
    <w:qFormat/>
    <w:uiPriority w:val="0"/>
    <w:rPr>
      <w:rFonts w:ascii="Times New Roman" w:hAnsi="Times New Roman" w:eastAsia="宋体" w:cs="Times New Roman"/>
      <w:szCs w:val="24"/>
    </w:rPr>
  </w:style>
  <w:style w:type="character" w:customStyle="1" w:styleId="55">
    <w:name w:val="正文文本 3 Char"/>
    <w:basedOn w:val="36"/>
    <w:link w:val="14"/>
    <w:qFormat/>
    <w:uiPriority w:val="0"/>
    <w:rPr>
      <w:rFonts w:ascii="Times New Roman" w:hAnsi="宋体" w:eastAsia="仿宋_GB2312" w:cs="Times New Roman"/>
      <w:b/>
      <w:bCs/>
      <w:sz w:val="24"/>
      <w:szCs w:val="20"/>
    </w:rPr>
  </w:style>
  <w:style w:type="character" w:customStyle="1" w:styleId="56">
    <w:name w:val="正文文本缩进 Char"/>
    <w:basedOn w:val="36"/>
    <w:link w:val="15"/>
    <w:qFormat/>
    <w:uiPriority w:val="0"/>
    <w:rPr>
      <w:rFonts w:ascii="宋体" w:hAnsi="Courier New" w:eastAsia="宋体" w:cs="Times New Roman"/>
      <w:spacing w:val="-4"/>
      <w:sz w:val="18"/>
      <w:szCs w:val="20"/>
    </w:rPr>
  </w:style>
  <w:style w:type="character" w:customStyle="1" w:styleId="57">
    <w:name w:val="纯文本 Char"/>
    <w:basedOn w:val="36"/>
    <w:qFormat/>
    <w:uiPriority w:val="0"/>
    <w:rPr>
      <w:rFonts w:ascii="宋体" w:hAnsi="Courier New" w:eastAsia="宋体" w:cs="Courier New"/>
      <w:szCs w:val="21"/>
    </w:rPr>
  </w:style>
  <w:style w:type="character" w:customStyle="1" w:styleId="58">
    <w:name w:val="纯文本 Char1"/>
    <w:link w:val="19"/>
    <w:qFormat/>
    <w:uiPriority w:val="0"/>
    <w:rPr>
      <w:rFonts w:ascii="宋体" w:hAnsi="Courier New" w:eastAsia="宋体" w:cs="Times New Roman"/>
      <w:sz w:val="24"/>
      <w:szCs w:val="24"/>
    </w:rPr>
  </w:style>
  <w:style w:type="character" w:customStyle="1" w:styleId="59">
    <w:name w:val="日期 Char"/>
    <w:basedOn w:val="36"/>
    <w:link w:val="21"/>
    <w:qFormat/>
    <w:uiPriority w:val="0"/>
    <w:rPr>
      <w:rFonts w:ascii="Times New Roman" w:hAnsi="Times New Roman" w:eastAsia="楷体_GB2312" w:cs="Times New Roman"/>
      <w:sz w:val="32"/>
      <w:szCs w:val="20"/>
    </w:rPr>
  </w:style>
  <w:style w:type="character" w:customStyle="1" w:styleId="60">
    <w:name w:val="正文文本缩进 2 Char"/>
    <w:basedOn w:val="36"/>
    <w:link w:val="22"/>
    <w:qFormat/>
    <w:uiPriority w:val="0"/>
    <w:rPr>
      <w:rFonts w:ascii="仿宋_GB2312" w:hAnsi="宋体" w:eastAsia="宋体" w:cs="Arial"/>
      <w:b/>
      <w:bCs/>
      <w:color w:val="000000"/>
      <w:sz w:val="24"/>
      <w:szCs w:val="24"/>
    </w:rPr>
  </w:style>
  <w:style w:type="character" w:customStyle="1" w:styleId="61">
    <w:name w:val="批注框文本 Char"/>
    <w:basedOn w:val="36"/>
    <w:link w:val="23"/>
    <w:qFormat/>
    <w:uiPriority w:val="0"/>
    <w:rPr>
      <w:rFonts w:ascii="time new roman" w:hAnsi="time new roman" w:eastAsia="长城粗隶书" w:cs="Courier New"/>
      <w:sz w:val="18"/>
      <w:szCs w:val="18"/>
    </w:rPr>
  </w:style>
  <w:style w:type="character" w:customStyle="1" w:styleId="62">
    <w:name w:val="正文文本缩进 3 Char"/>
    <w:basedOn w:val="36"/>
    <w:link w:val="28"/>
    <w:qFormat/>
    <w:uiPriority w:val="0"/>
    <w:rPr>
      <w:rFonts w:ascii="仿宋_GB2312" w:hAnsi="宋体" w:eastAsia="仿宋_GB2312" w:cs="Times New Roman"/>
      <w:color w:val="000000"/>
      <w:sz w:val="24"/>
      <w:szCs w:val="24"/>
    </w:rPr>
  </w:style>
  <w:style w:type="character" w:customStyle="1" w:styleId="63">
    <w:name w:val="正文文本 2 Char"/>
    <w:basedOn w:val="36"/>
    <w:link w:val="30"/>
    <w:qFormat/>
    <w:uiPriority w:val="0"/>
    <w:rPr>
      <w:rFonts w:ascii="宋体" w:hAnsi="宋体" w:eastAsia="宋体" w:cs="Times New Roman"/>
      <w:color w:val="000000"/>
      <w:sz w:val="24"/>
      <w:szCs w:val="24"/>
    </w:rPr>
  </w:style>
  <w:style w:type="character" w:customStyle="1" w:styleId="64">
    <w:name w:val="标题 Char"/>
    <w:basedOn w:val="36"/>
    <w:link w:val="32"/>
    <w:qFormat/>
    <w:uiPriority w:val="0"/>
    <w:rPr>
      <w:rFonts w:ascii="Cambria" w:hAnsi="Cambria" w:eastAsia="宋体" w:cs="Times New Roman"/>
      <w:b/>
      <w:bCs/>
      <w:sz w:val="32"/>
      <w:szCs w:val="32"/>
    </w:rPr>
  </w:style>
  <w:style w:type="character" w:customStyle="1" w:styleId="65">
    <w:name w:val="批注主题 Char"/>
    <w:basedOn w:val="54"/>
    <w:link w:val="33"/>
    <w:qFormat/>
    <w:uiPriority w:val="0"/>
    <w:rPr>
      <w:rFonts w:ascii="Times New Roman" w:hAnsi="Times New Roman" w:eastAsia="宋体" w:cs="Times New Roman"/>
      <w:b/>
      <w:bCs/>
      <w:szCs w:val="24"/>
    </w:rPr>
  </w:style>
  <w:style w:type="character" w:customStyle="1" w:styleId="66">
    <w:name w:val="正文首行缩进 Char"/>
    <w:basedOn w:val="50"/>
    <w:link w:val="3"/>
    <w:qFormat/>
    <w:uiPriority w:val="0"/>
    <w:rPr>
      <w:rFonts w:ascii="Calibri" w:hAnsi="Calibri" w:eastAsia="宋体" w:cs="Times New Roman"/>
      <w:sz w:val="28"/>
      <w:szCs w:val="24"/>
    </w:rPr>
  </w:style>
  <w:style w:type="character" w:customStyle="1" w:styleId="67">
    <w:name w:val="font51"/>
    <w:qFormat/>
    <w:uiPriority w:val="0"/>
    <w:rPr>
      <w:rFonts w:hint="eastAsia" w:ascii="宋体" w:hAnsi="宋体" w:eastAsia="宋体" w:cs="宋体"/>
      <w:color w:val="000000"/>
      <w:sz w:val="22"/>
      <w:szCs w:val="22"/>
      <w:u w:val="none"/>
    </w:rPr>
  </w:style>
  <w:style w:type="character" w:customStyle="1" w:styleId="68">
    <w:name w:val="font21"/>
    <w:qFormat/>
    <w:uiPriority w:val="0"/>
    <w:rPr>
      <w:rFonts w:hint="eastAsia" w:ascii="宋体" w:hAnsi="宋体" w:eastAsia="宋体" w:cs="宋体"/>
      <w:color w:val="000000"/>
      <w:sz w:val="22"/>
      <w:szCs w:val="22"/>
      <w:u w:val="none"/>
    </w:rPr>
  </w:style>
  <w:style w:type="character" w:customStyle="1" w:styleId="69">
    <w:name w:val="font11"/>
    <w:qFormat/>
    <w:uiPriority w:val="0"/>
    <w:rPr>
      <w:rFonts w:hint="default" w:ascii="Times New Roman" w:hAnsi="Times New Roman" w:cs="Times New Roman"/>
      <w:color w:val="000000"/>
      <w:sz w:val="21"/>
      <w:szCs w:val="21"/>
      <w:u w:val="none"/>
    </w:rPr>
  </w:style>
  <w:style w:type="character" w:customStyle="1" w:styleId="70">
    <w:name w:val="纯文本 Char3"/>
    <w:qFormat/>
    <w:uiPriority w:val="0"/>
    <w:rPr>
      <w:rFonts w:ascii="宋体" w:hAnsi="Courier New" w:eastAsia="宋体"/>
      <w:kern w:val="2"/>
      <w:sz w:val="24"/>
      <w:szCs w:val="24"/>
      <w:lang w:val="en-US" w:eastAsia="zh-CN" w:bidi="ar-SA"/>
    </w:rPr>
  </w:style>
  <w:style w:type="character" w:customStyle="1" w:styleId="71">
    <w:name w:val="font01"/>
    <w:qFormat/>
    <w:uiPriority w:val="0"/>
    <w:rPr>
      <w:rFonts w:hint="eastAsia" w:ascii="长城粗隶书" w:eastAsia="长城粗隶书"/>
      <w:color w:val="000000"/>
      <w:sz w:val="21"/>
      <w:szCs w:val="21"/>
      <w:u w:val="none"/>
    </w:rPr>
  </w:style>
  <w:style w:type="character" w:customStyle="1" w:styleId="72">
    <w:name w:val="ca-22"/>
    <w:qFormat/>
    <w:uiPriority w:val="0"/>
  </w:style>
  <w:style w:type="character" w:customStyle="1" w:styleId="73">
    <w:name w:val="apple-converted-space"/>
    <w:qFormat/>
    <w:uiPriority w:val="0"/>
  </w:style>
  <w:style w:type="character" w:customStyle="1" w:styleId="74">
    <w:name w:val="style8"/>
    <w:qFormat/>
    <w:uiPriority w:val="0"/>
  </w:style>
  <w:style w:type="character" w:customStyle="1" w:styleId="75">
    <w:name w:val="apple-style-span"/>
    <w:qFormat/>
    <w:uiPriority w:val="0"/>
  </w:style>
  <w:style w:type="character" w:customStyle="1" w:styleId="76">
    <w:name w:val="列出段落 Char"/>
    <w:link w:val="77"/>
    <w:qFormat/>
    <w:uiPriority w:val="34"/>
    <w:rPr>
      <w:rFonts w:ascii="Calibri" w:hAnsi="Calibri"/>
    </w:rPr>
  </w:style>
  <w:style w:type="paragraph" w:styleId="77">
    <w:name w:val="List Paragraph"/>
    <w:basedOn w:val="1"/>
    <w:link w:val="76"/>
    <w:qFormat/>
    <w:uiPriority w:val="34"/>
    <w:pPr>
      <w:ind w:firstLine="420" w:firstLineChars="200"/>
    </w:pPr>
    <w:rPr>
      <w:rFonts w:ascii="Calibri" w:hAnsi="Calibri" w:eastAsiaTheme="minorEastAsia" w:cstheme="minorBidi"/>
      <w:szCs w:val="22"/>
    </w:rPr>
  </w:style>
  <w:style w:type="character" w:customStyle="1" w:styleId="78">
    <w:name w:val="普通文字 Char1"/>
    <w:qFormat/>
    <w:uiPriority w:val="0"/>
    <w:rPr>
      <w:rFonts w:ascii="宋体" w:hAnsi="Courier New" w:eastAsia="宋体"/>
      <w:kern w:val="2"/>
      <w:sz w:val="21"/>
      <w:szCs w:val="24"/>
      <w:lang w:val="en-US" w:eastAsia="zh-CN" w:bidi="ar-SA"/>
    </w:rPr>
  </w:style>
  <w:style w:type="character" w:customStyle="1" w:styleId="79">
    <w:name w:val="unnamed11"/>
    <w:qFormat/>
    <w:uiPriority w:val="0"/>
    <w:rPr>
      <w:color w:val="000000"/>
      <w:sz w:val="20"/>
      <w:szCs w:val="20"/>
    </w:rPr>
  </w:style>
  <w:style w:type="paragraph" w:customStyle="1" w:styleId="80">
    <w:name w:val="正文2"/>
    <w:basedOn w:val="1"/>
    <w:qFormat/>
    <w:uiPriority w:val="0"/>
    <w:pPr>
      <w:spacing w:before="156" w:line="360" w:lineRule="auto"/>
      <w:ind w:firstLine="510" w:firstLineChars="200"/>
    </w:pPr>
    <w:rPr>
      <w:sz w:val="24"/>
      <w:szCs w:val="20"/>
    </w:rPr>
  </w:style>
  <w:style w:type="paragraph" w:customStyle="1" w:styleId="8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82">
    <w:name w:val="正文段"/>
    <w:basedOn w:val="1"/>
    <w:qFormat/>
    <w:uiPriority w:val="0"/>
    <w:pPr>
      <w:widowControl/>
      <w:snapToGrid w:val="0"/>
      <w:spacing w:afterLines="50"/>
      <w:ind w:firstLine="200" w:firstLineChars="200"/>
    </w:pPr>
    <w:rPr>
      <w:kern w:val="0"/>
      <w:sz w:val="24"/>
      <w:szCs w:val="20"/>
    </w:rPr>
  </w:style>
  <w:style w:type="paragraph" w:customStyle="1" w:styleId="83">
    <w:name w:val="A_正文_注释"/>
    <w:basedOn w:val="1"/>
    <w:qFormat/>
    <w:uiPriority w:val="0"/>
    <w:pPr>
      <w:tabs>
        <w:tab w:val="left" w:pos="1547"/>
      </w:tabs>
      <w:spacing w:line="360" w:lineRule="auto"/>
      <w:ind w:left="200" w:leftChars="200" w:firstLine="600" w:firstLineChars="200"/>
    </w:pPr>
    <w:rPr>
      <w:rFonts w:eastAsia="仿宋"/>
      <w:color w:val="0070C0"/>
      <w:sz w:val="30"/>
      <w:szCs w:val="22"/>
    </w:rPr>
  </w:style>
  <w:style w:type="paragraph" w:customStyle="1" w:styleId="8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5">
    <w:name w:val="Char"/>
    <w:basedOn w:val="1"/>
    <w:qFormat/>
    <w:uiPriority w:val="0"/>
    <w:pPr>
      <w:ind w:firstLine="640" w:firstLineChars="200"/>
    </w:pPr>
    <w:rPr>
      <w:rFonts w:ascii="宋体" w:hAnsi="宋体" w:cs="宋体"/>
      <w:color w:val="000000"/>
      <w:kern w:val="0"/>
      <w:szCs w:val="21"/>
    </w:rPr>
  </w:style>
  <w:style w:type="paragraph" w:styleId="86">
    <w:name w:val="No Spacing"/>
    <w:qFormat/>
    <w:uiPriority w:val="99"/>
    <w:pPr>
      <w:adjustRightInd w:val="0"/>
      <w:snapToGrid w:val="0"/>
    </w:pPr>
    <w:rPr>
      <w:rFonts w:ascii="Tahoma" w:hAnsi="Tahoma" w:eastAsia="微软雅黑" w:cs="Times New Roman"/>
      <w:sz w:val="22"/>
      <w:szCs w:val="22"/>
      <w:lang w:val="en-US" w:eastAsia="zh-CN" w:bidi="ar-SA"/>
    </w:rPr>
  </w:style>
  <w:style w:type="paragraph" w:customStyle="1" w:styleId="87">
    <w:name w:val="默认段落字体 Para Char Char Char Char Char Char Char Char Char1 Char Char Char Char"/>
    <w:basedOn w:val="1"/>
    <w:qFormat/>
    <w:uiPriority w:val="0"/>
    <w:rPr>
      <w:rFonts w:ascii="Tahoma" w:hAnsi="Tahoma"/>
      <w:sz w:val="24"/>
      <w:szCs w:val="20"/>
    </w:rPr>
  </w:style>
  <w:style w:type="paragraph" w:customStyle="1" w:styleId="8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p0"/>
    <w:next w:val="29"/>
    <w:qFormat/>
    <w:uiPriority w:val="0"/>
    <w:pPr>
      <w:snapToGrid w:val="0"/>
    </w:pPr>
    <w:rPr>
      <w:rFonts w:ascii="Times New Roman" w:hAnsi="Times New Roman" w:eastAsia="宋体" w:cs="Times New Roman"/>
      <w:sz w:val="21"/>
      <w:szCs w:val="21"/>
      <w:lang w:val="en-US" w:eastAsia="zh-CN" w:bidi="ar-SA"/>
    </w:rPr>
  </w:style>
  <w:style w:type="paragraph" w:customStyle="1" w:styleId="90">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Char1 Char Char1 Char"/>
    <w:basedOn w:val="1"/>
    <w:qFormat/>
    <w:uiPriority w:val="0"/>
    <w:pPr>
      <w:widowControl/>
      <w:spacing w:line="400" w:lineRule="exact"/>
      <w:jc w:val="center"/>
    </w:pPr>
    <w:rPr>
      <w:rFonts w:ascii="Verdana" w:hAnsi="Verdana"/>
      <w:kern w:val="0"/>
      <w:szCs w:val="20"/>
      <w:lang w:eastAsia="en-US"/>
    </w:rPr>
  </w:style>
  <w:style w:type="paragraph" w:customStyle="1" w:styleId="92">
    <w:name w:val="Char2"/>
    <w:basedOn w:val="12"/>
    <w:next w:val="1"/>
    <w:qFormat/>
    <w:uiPriority w:val="0"/>
    <w:rPr>
      <w:rFonts w:ascii="宋体" w:hAnsi="宋体"/>
    </w:rPr>
  </w:style>
  <w:style w:type="paragraph" w:customStyle="1" w:styleId="93">
    <w:name w:val="Char Char Char"/>
    <w:basedOn w:val="12"/>
    <w:qFormat/>
    <w:uiPriority w:val="0"/>
    <w:rPr>
      <w:rFonts w:ascii="Tahoma" w:hAnsi="Tahoma"/>
      <w:sz w:val="24"/>
    </w:rPr>
  </w:style>
  <w:style w:type="paragraph" w:customStyle="1" w:styleId="9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Char1"/>
    <w:basedOn w:val="1"/>
    <w:qFormat/>
    <w:uiPriority w:val="0"/>
    <w:rPr>
      <w:rFonts w:ascii="Tahoma" w:hAnsi="Tahoma"/>
      <w:sz w:val="24"/>
    </w:rPr>
  </w:style>
  <w:style w:type="paragraph" w:customStyle="1" w:styleId="96">
    <w:name w:val="正文文字"/>
    <w:basedOn w:val="1"/>
    <w:qFormat/>
    <w:uiPriority w:val="0"/>
    <w:pPr>
      <w:spacing w:line="360" w:lineRule="auto"/>
      <w:ind w:firstLine="420"/>
    </w:pPr>
    <w:rPr>
      <w:sz w:val="24"/>
    </w:rPr>
  </w:style>
  <w:style w:type="paragraph" w:customStyle="1" w:styleId="9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8">
    <w:name w:val="列表段落1"/>
    <w:basedOn w:val="1"/>
    <w:qFormat/>
    <w:uiPriority w:val="34"/>
    <w:pPr>
      <w:ind w:firstLine="420" w:firstLineChars="200"/>
    </w:pPr>
    <w:rPr>
      <w:rFonts w:asciiTheme="minorHAnsi" w:hAnsiTheme="minorHAnsi" w:eastAsiaTheme="minorEastAsia" w:cstheme="minorBidi"/>
      <w:szCs w:val="22"/>
    </w:rPr>
  </w:style>
  <w:style w:type="paragraph" w:customStyle="1" w:styleId="99">
    <w:name w:val="正文样式1"/>
    <w:basedOn w:val="1"/>
    <w:link w:val="100"/>
    <w:qFormat/>
    <w:uiPriority w:val="0"/>
    <w:pPr>
      <w:spacing w:beforeLines="50" w:afterLines="50" w:line="360" w:lineRule="auto"/>
      <w:ind w:firstLine="200" w:firstLineChars="200"/>
    </w:pPr>
    <w:rPr>
      <w:szCs w:val="20"/>
    </w:rPr>
  </w:style>
  <w:style w:type="character" w:customStyle="1" w:styleId="100">
    <w:name w:val="正文样式1 Char"/>
    <w:link w:val="99"/>
    <w:qFormat/>
    <w:uiPriority w:val="0"/>
    <w:rPr>
      <w:rFonts w:ascii="Times New Roman" w:hAnsi="Times New Roman" w:eastAsia="宋体" w:cs="Times New Roman"/>
      <w:kern w:val="2"/>
      <w:sz w:val="21"/>
    </w:rPr>
  </w:style>
  <w:style w:type="character" w:customStyle="1" w:styleId="101">
    <w:name w:val="纯文本 Char2"/>
    <w:basedOn w:val="36"/>
    <w:qFormat/>
    <w:uiPriority w:val="0"/>
    <w:rPr>
      <w:rFonts w:ascii="宋体" w:hAnsi="Courier New" w:eastAsia="宋体" w:cs="Courier New"/>
      <w:szCs w:val="21"/>
    </w:rPr>
  </w:style>
  <w:style w:type="paragraph" w:customStyle="1" w:styleId="102">
    <w:name w:val="段"/>
    <w:qFormat/>
    <w:uiPriority w:val="0"/>
    <w:pPr>
      <w:autoSpaceDE w:val="0"/>
      <w:autoSpaceDN w:val="0"/>
      <w:ind w:firstLine="200" w:firstLineChars="200"/>
      <w:jc w:val="both"/>
    </w:pPr>
    <w:rPr>
      <w:rFonts w:ascii="Arial" w:hAnsi="Arial" w:eastAsia="宋体" w:cs="Times New Roman"/>
      <w:kern w:val="2"/>
      <w:sz w:val="21"/>
      <w:szCs w:val="22"/>
      <w:lang w:val="en-US" w:eastAsia="zh-CN" w:bidi="ar-SA"/>
    </w:rPr>
  </w:style>
  <w:style w:type="character" w:customStyle="1" w:styleId="103">
    <w:name w:val="纯文本 Char4"/>
    <w:qFormat/>
    <w:uiPriority w:val="0"/>
    <w:rPr>
      <w:rFonts w:ascii="宋体" w:hAnsi="Courier New" w:eastAsia="宋体" w:cs="Times New Roman"/>
      <w:kern w:val="0"/>
      <w:szCs w:val="21"/>
    </w:rPr>
  </w:style>
  <w:style w:type="paragraph" w:customStyle="1" w:styleId="104">
    <w:name w:val="Body Text First Indent1"/>
    <w:basedOn w:val="2"/>
    <w:qFormat/>
    <w:uiPriority w:val="0"/>
    <w:pPr>
      <w:spacing w:after="0"/>
      <w:ind w:firstLine="100" w:firstLineChars="100"/>
    </w:pPr>
    <w:rPr>
      <w:rFonts w:ascii="Tahoma" w:hAnsi="Tahoma"/>
      <w:sz w:val="21"/>
    </w:rPr>
  </w:style>
  <w:style w:type="character" w:customStyle="1" w:styleId="105">
    <w:name w:val="正文文本缩进 Char1"/>
    <w:qFormat/>
    <w:uiPriority w:val="0"/>
    <w:rPr>
      <w:rFonts w:ascii="Times New Roman" w:hAnsi="Times New Roman" w:eastAsia="宋体" w:cs="Times New Roman"/>
      <w:kern w:val="0"/>
      <w:sz w:val="20"/>
      <w:szCs w:val="20"/>
    </w:rPr>
  </w:style>
  <w:style w:type="paragraph" w:customStyle="1" w:styleId="106">
    <w:name w:val="首行缩进"/>
    <w:basedOn w:val="1"/>
    <w:qFormat/>
    <w:uiPriority w:val="0"/>
    <w:pPr>
      <w:ind w:firstLine="480" w:firstLineChars="200"/>
    </w:pPr>
    <w:rPr>
      <w:rFonts w:ascii="Calibri" w:hAnsi="Calibri"/>
      <w:lang w:val="zh-CN"/>
    </w:rPr>
  </w:style>
  <w:style w:type="paragraph" w:customStyle="1" w:styleId="107">
    <w:name w:val="样式 列表编号 + 段后: 0.5 行"/>
    <w:basedOn w:val="9"/>
    <w:qFormat/>
    <w:uiPriority w:val="0"/>
    <w:pPr>
      <w:tabs>
        <w:tab w:val="left" w:pos="360"/>
        <w:tab w:val="clear" w:pos="454"/>
        <w:tab w:val="clear" w:pos="720"/>
      </w:tabs>
      <w:ind w:left="360" w:hanging="360"/>
    </w:pPr>
    <w:rPr>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63</Pages>
  <Words>33606</Words>
  <Characters>35958</Characters>
  <Lines>275</Lines>
  <Paragraphs>77</Paragraphs>
  <TotalTime>104</TotalTime>
  <ScaleCrop>false</ScaleCrop>
  <LinksUpToDate>false</LinksUpToDate>
  <CharactersWithSpaces>36640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2021-11-27T16:30:00Z</dcterms:created>
  <dc:creator>NTKO</dc:creator>
  <cp:lastModifiedBy>NTKO</cp:lastModifiedBy>
  <cp:lastPrinted>2022-04-13T03:15:00Z</cp:lastPrinted>
  <dcterms:modified xsi:type="dcterms:W3CDTF">2024-09-25T02:22:34Z</dcterms:modified>
  <cp:revision>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16B4CAE32E964FE19CA4465221180379</vt:lpwstr>
  </property>
</Properties>
</file>