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D5E3">
      <w:pPr>
        <w:spacing w:line="360" w:lineRule="auto"/>
        <w:jc w:val="center"/>
        <w:rPr>
          <w:rFonts w:ascii="仿宋_GB2312" w:hAnsi="宋体" w:eastAsia="仿宋_GB2312"/>
          <w:b/>
          <w:color w:val="auto"/>
          <w:sz w:val="52"/>
          <w:szCs w:val="52"/>
          <w:highlight w:val="none"/>
        </w:rPr>
      </w:pPr>
    </w:p>
    <w:p w14:paraId="261711E6">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湖州市森林资源高水平保护与高质量发展研究项目</w:t>
      </w:r>
    </w:p>
    <w:p w14:paraId="6627567B">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w:t>
      </w:r>
      <w:r>
        <w:rPr>
          <w:rFonts w:hint="eastAsia" w:ascii="宋体" w:hAnsi="宋体"/>
          <w:b/>
          <w:color w:val="auto"/>
          <w:sz w:val="28"/>
          <w:szCs w:val="28"/>
          <w:highlight w:val="none"/>
          <w:lang w:eastAsia="zh-CN"/>
        </w:rPr>
        <w:t>[2024]26123号</w:t>
      </w:r>
      <w:r>
        <w:rPr>
          <w:rFonts w:hint="eastAsia" w:ascii="宋体" w:hAnsi="宋体"/>
          <w:b/>
          <w:color w:val="auto"/>
          <w:sz w:val="28"/>
          <w:szCs w:val="28"/>
          <w:highlight w:val="none"/>
        </w:rPr>
        <w:t>）</w:t>
      </w:r>
    </w:p>
    <w:p w14:paraId="425BAC49">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39C93CDF">
      <w:pPr>
        <w:snapToGrid w:val="0"/>
        <w:spacing w:before="120" w:beforeLines="50" w:line="360" w:lineRule="auto"/>
        <w:rPr>
          <w:rFonts w:ascii="隶书" w:hAnsi="Arial Narrow" w:eastAsia="楷体_GB2312"/>
          <w:color w:val="auto"/>
          <w:sz w:val="30"/>
          <w:szCs w:val="72"/>
          <w:highlight w:val="none"/>
        </w:rPr>
      </w:pPr>
    </w:p>
    <w:p w14:paraId="29D488D8">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16C9190F">
      <w:pPr>
        <w:snapToGrid w:val="0"/>
        <w:spacing w:line="360" w:lineRule="auto"/>
        <w:rPr>
          <w:rFonts w:ascii="宋体" w:hAnsi="宋体"/>
          <w:color w:val="auto"/>
          <w:sz w:val="30"/>
          <w:szCs w:val="72"/>
          <w:highlight w:val="none"/>
        </w:rPr>
      </w:pPr>
    </w:p>
    <w:p w14:paraId="1447BB45">
      <w:pPr>
        <w:snapToGrid w:val="0"/>
        <w:spacing w:line="360" w:lineRule="auto"/>
        <w:rPr>
          <w:rFonts w:ascii="宋体" w:hAnsi="宋体"/>
          <w:color w:val="auto"/>
          <w:sz w:val="30"/>
          <w:szCs w:val="72"/>
          <w:highlight w:val="none"/>
        </w:rPr>
      </w:pPr>
    </w:p>
    <w:p w14:paraId="78A0EFB4">
      <w:pPr>
        <w:pStyle w:val="19"/>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项目编号：</w:t>
      </w:r>
      <w:r>
        <w:rPr>
          <w:rFonts w:hint="eastAsia" w:hAnsi="宋体"/>
          <w:b/>
          <w:color w:val="auto"/>
          <w:sz w:val="30"/>
          <w:szCs w:val="30"/>
          <w:highlight w:val="none"/>
        </w:rPr>
        <w:t>HYHZ2024-200</w:t>
      </w:r>
    </w:p>
    <w:p w14:paraId="679FFF83">
      <w:pPr>
        <w:pStyle w:val="19"/>
        <w:snapToGrid w:val="0"/>
        <w:spacing w:beforeLines="0" w:afterLines="0" w:line="360" w:lineRule="auto"/>
        <w:ind w:left="2087" w:leftChars="284" w:hanging="1491" w:hangingChars="495"/>
        <w:rPr>
          <w:rFonts w:hAnsi="宋体"/>
          <w:b/>
          <w:color w:val="auto"/>
          <w:sz w:val="30"/>
          <w:szCs w:val="30"/>
          <w:highlight w:val="none"/>
        </w:rPr>
      </w:pPr>
      <w:r>
        <w:rPr>
          <w:rFonts w:hint="eastAsia" w:hAnsi="宋体"/>
          <w:b/>
          <w:color w:val="auto"/>
          <w:sz w:val="30"/>
          <w:szCs w:val="30"/>
          <w:highlight w:val="none"/>
        </w:rPr>
        <w:t>项目名称：湖州市森林资源高水平保护与高质量发展研究项目</w:t>
      </w:r>
    </w:p>
    <w:p w14:paraId="375AE85B">
      <w:pPr>
        <w:pStyle w:val="19"/>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湖州市自然资源和规划局</w:t>
      </w:r>
    </w:p>
    <w:p w14:paraId="2B454F8D">
      <w:pPr>
        <w:pStyle w:val="19"/>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26E529B4">
      <w:pPr>
        <w:pStyle w:val="19"/>
        <w:snapToGrid w:val="0"/>
        <w:spacing w:beforeLines="0" w:afterLines="0" w:line="360" w:lineRule="auto"/>
        <w:ind w:firstLine="590" w:firstLineChars="196"/>
        <w:rPr>
          <w:rFonts w:hAnsi="宋体"/>
          <w:b/>
          <w:color w:val="auto"/>
          <w:sz w:val="30"/>
          <w:szCs w:val="30"/>
          <w:highlight w:val="none"/>
        </w:rPr>
      </w:pPr>
    </w:p>
    <w:p w14:paraId="4DCCBA29">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2024年</w:t>
      </w:r>
      <w:r>
        <w:rPr>
          <w:rFonts w:hint="eastAsia" w:ascii="宋体" w:hAnsi="宋体"/>
          <w:b/>
          <w:bCs/>
          <w:color w:val="auto"/>
          <w:w w:val="95"/>
          <w:sz w:val="30"/>
          <w:szCs w:val="30"/>
          <w:highlight w:val="none"/>
          <w:lang w:val="en-US" w:eastAsia="zh-CN"/>
        </w:rPr>
        <w:t>11</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11</w:t>
      </w:r>
      <w:r>
        <w:rPr>
          <w:rFonts w:hint="eastAsia" w:ascii="宋体" w:hAnsi="宋体"/>
          <w:b/>
          <w:bCs/>
          <w:color w:val="auto"/>
          <w:w w:val="95"/>
          <w:sz w:val="30"/>
          <w:szCs w:val="30"/>
          <w:highlight w:val="none"/>
        </w:rPr>
        <w:t>日</w:t>
      </w:r>
    </w:p>
    <w:p w14:paraId="191B7E98">
      <w:pPr>
        <w:pStyle w:val="19"/>
        <w:spacing w:beforeLines="0" w:afterLines="0" w:line="360" w:lineRule="auto"/>
        <w:jc w:val="center"/>
        <w:rPr>
          <w:rFonts w:ascii="创艺简标宋" w:hAnsi="宋体" w:eastAsia="创艺简标宋"/>
          <w:b/>
          <w:color w:val="auto"/>
          <w:sz w:val="44"/>
          <w:szCs w:val="44"/>
          <w:highlight w:val="none"/>
        </w:rPr>
      </w:pPr>
    </w:p>
    <w:p w14:paraId="0EDDBBD3">
      <w:pPr>
        <w:pStyle w:val="19"/>
        <w:spacing w:beforeLines="0" w:afterLines="0" w:line="360" w:lineRule="auto"/>
        <w:jc w:val="center"/>
        <w:rPr>
          <w:rFonts w:ascii="创艺简标宋" w:hAnsi="宋体" w:eastAsia="创艺简标宋"/>
          <w:b/>
          <w:color w:val="auto"/>
          <w:sz w:val="44"/>
          <w:szCs w:val="44"/>
          <w:highlight w:val="none"/>
        </w:rPr>
      </w:pPr>
    </w:p>
    <w:p w14:paraId="1541A97E">
      <w:pPr>
        <w:pStyle w:val="19"/>
        <w:spacing w:beforeLines="0" w:afterLines="0" w:line="360" w:lineRule="auto"/>
        <w:jc w:val="center"/>
        <w:rPr>
          <w:rFonts w:ascii="创艺简标宋" w:hAnsi="宋体" w:eastAsia="创艺简标宋"/>
          <w:b/>
          <w:color w:val="auto"/>
          <w:sz w:val="44"/>
          <w:szCs w:val="44"/>
          <w:highlight w:val="none"/>
        </w:rPr>
      </w:pPr>
    </w:p>
    <w:p w14:paraId="2674A35E">
      <w:pPr>
        <w:pStyle w:val="19"/>
        <w:spacing w:beforeLines="0" w:afterLines="0" w:line="360" w:lineRule="auto"/>
        <w:jc w:val="center"/>
        <w:rPr>
          <w:rFonts w:ascii="创艺简标宋" w:hAnsi="宋体" w:eastAsia="创艺简标宋"/>
          <w:b/>
          <w:color w:val="auto"/>
          <w:sz w:val="44"/>
          <w:szCs w:val="44"/>
          <w:highlight w:val="none"/>
        </w:rPr>
      </w:pPr>
    </w:p>
    <w:p w14:paraId="687A0F00">
      <w:pPr>
        <w:pStyle w:val="19"/>
        <w:spacing w:beforeLines="0" w:afterLines="0" w:line="360" w:lineRule="auto"/>
        <w:jc w:val="center"/>
        <w:rPr>
          <w:rFonts w:ascii="创艺简标宋" w:hAnsi="宋体" w:eastAsia="创艺简标宋"/>
          <w:b/>
          <w:color w:val="auto"/>
          <w:sz w:val="44"/>
          <w:szCs w:val="44"/>
          <w:highlight w:val="none"/>
        </w:rPr>
      </w:pPr>
    </w:p>
    <w:p w14:paraId="46723A5C">
      <w:pPr>
        <w:pStyle w:val="19"/>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78129D79">
      <w:pPr>
        <w:pStyle w:val="19"/>
        <w:spacing w:beforeLines="0" w:afterLines="0" w:line="360" w:lineRule="auto"/>
        <w:ind w:left="1470" w:right="1470"/>
        <w:jc w:val="center"/>
        <w:rPr>
          <w:rFonts w:ascii="创艺简标宋" w:hAnsi="宋体" w:eastAsia="创艺简标宋"/>
          <w:color w:val="auto"/>
          <w:sz w:val="44"/>
          <w:szCs w:val="44"/>
          <w:highlight w:val="none"/>
        </w:rPr>
      </w:pPr>
    </w:p>
    <w:p w14:paraId="0CB11FA5">
      <w:pPr>
        <w:numPr>
          <w:ilvl w:val="0"/>
          <w:numId w:val="1"/>
        </w:numPr>
        <w:spacing w:line="360" w:lineRule="auto"/>
        <w:rPr>
          <w:rFonts w:ascii="宋体" w:hAnsi="宋体"/>
          <w:color w:val="auto"/>
          <w:sz w:val="30"/>
          <w:szCs w:val="20"/>
          <w:highlight w:val="none"/>
        </w:rPr>
      </w:pPr>
      <w:r>
        <w:rPr>
          <w:rFonts w:hint="eastAsia" w:ascii="宋体" w:hAnsi="宋体"/>
          <w:color w:val="auto"/>
          <w:sz w:val="30"/>
          <w:highlight w:val="none"/>
        </w:rPr>
        <w:t>公开招标采购公告   -------------------------3</w:t>
      </w:r>
    </w:p>
    <w:p w14:paraId="6B48A450">
      <w:pPr>
        <w:numPr>
          <w:ilvl w:val="0"/>
          <w:numId w:val="1"/>
        </w:numPr>
        <w:spacing w:line="360" w:lineRule="auto"/>
        <w:rPr>
          <w:rFonts w:ascii="宋体" w:hAnsi="宋体"/>
          <w:color w:val="auto"/>
          <w:sz w:val="30"/>
          <w:szCs w:val="20"/>
          <w:highlight w:val="none"/>
        </w:rPr>
      </w:pPr>
      <w:r>
        <w:rPr>
          <w:rFonts w:hint="eastAsia" w:ascii="宋体" w:hAnsi="宋体"/>
          <w:color w:val="auto"/>
          <w:sz w:val="30"/>
          <w:highlight w:val="none"/>
        </w:rPr>
        <w:t>招标需求   ---------------------------------7</w:t>
      </w:r>
    </w:p>
    <w:p w14:paraId="781FC868">
      <w:pPr>
        <w:numPr>
          <w:ilvl w:val="0"/>
          <w:numId w:val="1"/>
        </w:numPr>
        <w:spacing w:line="360" w:lineRule="auto"/>
        <w:rPr>
          <w:color w:val="auto"/>
          <w:sz w:val="30"/>
          <w:szCs w:val="30"/>
          <w:highlight w:val="none"/>
        </w:rPr>
      </w:pPr>
      <w:r>
        <w:rPr>
          <w:rFonts w:hint="eastAsia" w:ascii="宋体" w:hAnsi="宋体"/>
          <w:color w:val="auto"/>
          <w:sz w:val="30"/>
          <w:highlight w:val="none"/>
        </w:rPr>
        <w:t>投标人须知   ------------------------------18</w:t>
      </w:r>
    </w:p>
    <w:p w14:paraId="6C3ABB51">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一、总则    </w:t>
      </w:r>
      <w:r>
        <w:rPr>
          <w:rFonts w:hint="eastAsia" w:ascii="宋体" w:hAnsi="宋体"/>
          <w:color w:val="auto"/>
          <w:sz w:val="30"/>
          <w:highlight w:val="none"/>
        </w:rPr>
        <w:t>--------------------------------19</w:t>
      </w:r>
    </w:p>
    <w:p w14:paraId="0A7F0D80">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二、招标文件    </w:t>
      </w:r>
      <w:r>
        <w:rPr>
          <w:rFonts w:hint="eastAsia" w:ascii="宋体" w:hAnsi="宋体"/>
          <w:color w:val="auto"/>
          <w:sz w:val="30"/>
          <w:highlight w:val="none"/>
        </w:rPr>
        <w:t>----------------------------22</w:t>
      </w:r>
    </w:p>
    <w:p w14:paraId="1CEC8DEF">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三、投标文件的编制     </w:t>
      </w:r>
      <w:r>
        <w:rPr>
          <w:rFonts w:hint="eastAsia" w:ascii="宋体" w:hAnsi="宋体"/>
          <w:color w:val="auto"/>
          <w:sz w:val="30"/>
          <w:highlight w:val="none"/>
        </w:rPr>
        <w:t>---------------------23</w:t>
      </w:r>
    </w:p>
    <w:p w14:paraId="161E2825">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四、开标   </w:t>
      </w:r>
      <w:r>
        <w:rPr>
          <w:rFonts w:hint="eastAsia" w:ascii="宋体" w:hAnsi="宋体"/>
          <w:color w:val="auto"/>
          <w:sz w:val="30"/>
          <w:highlight w:val="none"/>
        </w:rPr>
        <w:t>---------------------------------28</w:t>
      </w:r>
    </w:p>
    <w:p w14:paraId="03C13ADC">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五、评标   </w:t>
      </w:r>
      <w:r>
        <w:rPr>
          <w:rFonts w:hint="eastAsia" w:ascii="宋体" w:hAnsi="宋体"/>
          <w:color w:val="auto"/>
          <w:sz w:val="30"/>
          <w:highlight w:val="none"/>
        </w:rPr>
        <w:t>---------------------------------29</w:t>
      </w:r>
    </w:p>
    <w:p w14:paraId="4C3D7CD3">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六、定标   </w:t>
      </w:r>
      <w:r>
        <w:rPr>
          <w:rFonts w:hint="eastAsia" w:ascii="宋体" w:hAnsi="宋体"/>
          <w:color w:val="auto"/>
          <w:sz w:val="30"/>
          <w:highlight w:val="none"/>
        </w:rPr>
        <w:t>---------------------------------31</w:t>
      </w:r>
    </w:p>
    <w:p w14:paraId="3E51785F">
      <w:pPr>
        <w:spacing w:line="360" w:lineRule="auto"/>
        <w:ind w:firstLine="1350" w:firstLineChars="450"/>
        <w:rPr>
          <w:color w:val="auto"/>
          <w:sz w:val="30"/>
          <w:szCs w:val="30"/>
          <w:highlight w:val="none"/>
        </w:rPr>
      </w:pPr>
      <w:r>
        <w:rPr>
          <w:rFonts w:hint="eastAsia"/>
          <w:color w:val="auto"/>
          <w:sz w:val="30"/>
          <w:szCs w:val="30"/>
          <w:highlight w:val="none"/>
        </w:rPr>
        <w:t xml:space="preserve">七、合同授予   </w:t>
      </w:r>
      <w:r>
        <w:rPr>
          <w:rFonts w:hint="eastAsia" w:ascii="宋体" w:hAnsi="宋体"/>
          <w:color w:val="auto"/>
          <w:sz w:val="30"/>
          <w:highlight w:val="none"/>
        </w:rPr>
        <w:t>-----------------------------32</w:t>
      </w:r>
    </w:p>
    <w:p w14:paraId="2F29C2D6">
      <w:pPr>
        <w:numPr>
          <w:ilvl w:val="0"/>
          <w:numId w:val="1"/>
        </w:numPr>
        <w:spacing w:line="360" w:lineRule="auto"/>
        <w:rPr>
          <w:rFonts w:ascii="宋体" w:hAnsi="宋体"/>
          <w:color w:val="auto"/>
          <w:sz w:val="30"/>
          <w:szCs w:val="20"/>
          <w:highlight w:val="none"/>
        </w:rPr>
      </w:pPr>
      <w:r>
        <w:rPr>
          <w:rFonts w:hint="eastAsia" w:ascii="宋体" w:hAnsi="宋体"/>
          <w:color w:val="auto"/>
          <w:sz w:val="30"/>
          <w:highlight w:val="none"/>
        </w:rPr>
        <w:t>评标办法及评分标准 ------------------------33</w:t>
      </w:r>
    </w:p>
    <w:p w14:paraId="683EA02E">
      <w:pPr>
        <w:numPr>
          <w:ilvl w:val="0"/>
          <w:numId w:val="1"/>
        </w:numPr>
        <w:spacing w:line="360" w:lineRule="auto"/>
        <w:rPr>
          <w:rFonts w:ascii="宋体" w:hAnsi="宋体"/>
          <w:color w:val="auto"/>
          <w:sz w:val="30"/>
          <w:szCs w:val="20"/>
          <w:highlight w:val="none"/>
        </w:rPr>
      </w:pPr>
      <w:r>
        <w:rPr>
          <w:rFonts w:hint="eastAsia" w:ascii="宋体" w:hAnsi="宋体"/>
          <w:color w:val="auto"/>
          <w:sz w:val="30"/>
          <w:highlight w:val="none"/>
        </w:rPr>
        <w:t>政府采购合同主要条款-----------------------40</w:t>
      </w:r>
    </w:p>
    <w:p w14:paraId="583BD78A">
      <w:pPr>
        <w:numPr>
          <w:ilvl w:val="0"/>
          <w:numId w:val="1"/>
        </w:numPr>
        <w:spacing w:line="360" w:lineRule="auto"/>
        <w:rPr>
          <w:rFonts w:ascii="宋体" w:hAnsi="宋体"/>
          <w:color w:val="auto"/>
          <w:sz w:val="30"/>
          <w:szCs w:val="20"/>
          <w:highlight w:val="none"/>
        </w:rPr>
      </w:pPr>
      <w:r>
        <w:rPr>
          <w:rFonts w:hint="eastAsia" w:ascii="宋体" w:hAnsi="宋体"/>
          <w:color w:val="auto"/>
          <w:sz w:val="30"/>
          <w:highlight w:val="none"/>
        </w:rPr>
        <w:t>投标文件格式    ---------------------------43</w:t>
      </w:r>
    </w:p>
    <w:p w14:paraId="59CA8429">
      <w:pPr>
        <w:rPr>
          <w:color w:val="auto"/>
          <w:highlight w:val="none"/>
        </w:rPr>
      </w:pPr>
    </w:p>
    <w:p w14:paraId="50DBBDDA">
      <w:pPr>
        <w:rPr>
          <w:color w:val="auto"/>
          <w:highlight w:val="none"/>
        </w:rPr>
      </w:pPr>
    </w:p>
    <w:p w14:paraId="7E60FE04">
      <w:pPr>
        <w:pStyle w:val="19"/>
        <w:snapToGrid w:val="0"/>
        <w:spacing w:beforeLines="0" w:afterLines="0" w:line="36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第一章  公开招标采购公告</w:t>
      </w:r>
    </w:p>
    <w:p w14:paraId="45B4E6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1569E1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湖州市森林资源高水平保护与高质量发展研究项目招标项目的潜在投标人应在浙江政府采购网（http://zfcg.czt.zj.gov.cn/）获取招标文件，并于2024年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日14点00分</w:t>
      </w:r>
      <w:r>
        <w:rPr>
          <w:rFonts w:hint="eastAsia" w:ascii="宋体" w:hAnsi="宋体"/>
          <w:color w:val="auto"/>
          <w:sz w:val="24"/>
          <w:highlight w:val="none"/>
        </w:rPr>
        <w:t>（北京时间）前递交投标文件。</w:t>
      </w:r>
    </w:p>
    <w:p w14:paraId="7ACD2DB8">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14:paraId="65F519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项目编号：HYHZ2024-200</w:t>
      </w:r>
    </w:p>
    <w:p w14:paraId="61C805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项目名称：湖州市森林资源高水平保护与高质量发展研究项目</w:t>
      </w:r>
    </w:p>
    <w:p w14:paraId="1ABA0D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预算金额：100万元</w:t>
      </w:r>
    </w:p>
    <w:p w14:paraId="1C1801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s="宋体"/>
          <w:color w:val="auto"/>
          <w:kern w:val="0"/>
          <w:sz w:val="24"/>
          <w:highlight w:val="none"/>
        </w:rPr>
        <w:t>100万元</w:t>
      </w:r>
    </w:p>
    <w:p w14:paraId="3C86AE3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采购需求：详</w:t>
      </w:r>
      <w:r>
        <w:rPr>
          <w:rFonts w:hint="eastAsia" w:ascii="宋体" w:hAnsi="宋体" w:cs="仿宋"/>
          <w:color w:val="auto"/>
          <w:sz w:val="24"/>
          <w:highlight w:val="none"/>
        </w:rPr>
        <w:t>见招标文件第二章采购需求</w:t>
      </w:r>
    </w:p>
    <w:p w14:paraId="266F14A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合同履行期限：详见招标文件第二章采购需求</w:t>
      </w:r>
    </w:p>
    <w:p w14:paraId="798C26A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w:t>
      </w:r>
      <w:r>
        <w:rPr>
          <w:rFonts w:hint="eastAsia" w:ascii="宋体" w:hAnsi="宋体" w:cs="仿宋"/>
          <w:i/>
          <w:color w:val="auto"/>
          <w:sz w:val="24"/>
          <w:highlight w:val="none"/>
        </w:rPr>
        <w:t>是</w:t>
      </w:r>
      <w:r>
        <w:rPr>
          <w:rFonts w:hint="eastAsia" w:ascii="宋体" w:hAnsi="宋体" w:cs="仿宋"/>
          <w:color w:val="auto"/>
          <w:sz w:val="24"/>
          <w:highlight w:val="none"/>
        </w:rPr>
        <w:t>）接受联合体投标。</w:t>
      </w:r>
    </w:p>
    <w:p w14:paraId="0EFB604C">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14:paraId="687C36B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2A9FD6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2.落实政府采购政策需满足的资格要求：无</w:t>
      </w:r>
    </w:p>
    <w:p w14:paraId="1119434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▲3.本项目的特定资格要求：无；</w:t>
      </w:r>
    </w:p>
    <w:p w14:paraId="42874038">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14:paraId="7C0698F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时间：2024年</w:t>
      </w:r>
      <w:r>
        <w:rPr>
          <w:rFonts w:hint="eastAsia" w:ascii="宋体" w:hAnsi="宋体" w:cs="仿宋"/>
          <w:color w:val="auto"/>
          <w:sz w:val="24"/>
          <w:highlight w:val="none"/>
          <w:lang w:val="en-US" w:eastAsia="zh-CN"/>
        </w:rPr>
        <w:t>11</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11</w:t>
      </w:r>
      <w:r>
        <w:rPr>
          <w:rFonts w:hint="eastAsia" w:ascii="宋体" w:hAnsi="宋体" w:cs="仿宋"/>
          <w:color w:val="auto"/>
          <w:sz w:val="24"/>
          <w:highlight w:val="none"/>
        </w:rPr>
        <w:t xml:space="preserve">日至 </w:t>
      </w:r>
      <w:r>
        <w:rPr>
          <w:rFonts w:hint="eastAsia" w:ascii="宋体" w:hAnsi="宋体"/>
          <w:color w:val="auto"/>
          <w:sz w:val="24"/>
          <w:highlight w:val="none"/>
        </w:rPr>
        <w:t>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s="仿宋"/>
          <w:color w:val="auto"/>
          <w:sz w:val="24"/>
          <w:highlight w:val="none"/>
        </w:rPr>
        <w:t>，每天上午00:00至12:00，下午12:00至23:59</w:t>
      </w:r>
    </w:p>
    <w:p w14:paraId="6255C97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4A800D5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21E4414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7694BE9D">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14:paraId="650F904A">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s="仿宋"/>
          <w:color w:val="auto"/>
          <w:sz w:val="24"/>
          <w:highlight w:val="none"/>
        </w:rPr>
        <w:t>14点00分</w:t>
      </w:r>
      <w:r>
        <w:rPr>
          <w:rFonts w:hint="eastAsia" w:ascii="宋体" w:hAnsi="宋体" w:cs="仿宋"/>
          <w:bCs/>
          <w:color w:val="auto"/>
          <w:sz w:val="24"/>
          <w:highlight w:val="none"/>
        </w:rPr>
        <w:t>（北京时间）</w:t>
      </w:r>
    </w:p>
    <w:p w14:paraId="227357DD">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0B3BE803">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14:paraId="30CA8A39">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3564A101">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14:paraId="4D2C339D">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D588DA">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42567C8E">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3080B0E7">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4A756079">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E1B3543">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否</w:t>
      </w:r>
      <w:r>
        <w:rPr>
          <w:rFonts w:hint="eastAsia" w:ascii="宋体" w:hAnsi="宋体" w:cs="宋体"/>
          <w:color w:val="auto"/>
          <w:kern w:val="0"/>
          <w:sz w:val="24"/>
          <w:highlight w:val="none"/>
        </w:rPr>
        <w:t>。</w:t>
      </w:r>
    </w:p>
    <w:p w14:paraId="69149ED0">
      <w:pPr>
        <w:snapToGrid w:val="0"/>
        <w:spacing w:line="360" w:lineRule="auto"/>
        <w:ind w:firstLine="480" w:firstLineChars="200"/>
        <w:rPr>
          <w:rFonts w:ascii="宋体" w:hAnsi="宋体" w:cs="宋体"/>
          <w:color w:val="auto"/>
          <w:sz w:val="24"/>
          <w:highlight w:val="none"/>
        </w:rPr>
      </w:pPr>
      <w:r>
        <w:rPr>
          <w:rFonts w:hint="eastAsia" w:ascii="宋体" w:hAnsi="宋体" w:cs="仿宋"/>
          <w:color w:val="auto"/>
          <w:sz w:val="24"/>
          <w:highlight w:val="none"/>
        </w:rPr>
        <w:t>7.本项目公告发布网站：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40"/>
          <w:rFonts w:hint="eastAsia" w:ascii="宋体" w:hAnsi="宋体" w:cs="仿宋"/>
          <w:color w:val="auto"/>
          <w:sz w:val="24"/>
          <w:highlight w:val="none"/>
        </w:rPr>
        <w:t>http://zfcg.czt.zj.gov.cn/</w:t>
      </w:r>
      <w:r>
        <w:rPr>
          <w:rStyle w:val="40"/>
          <w:rFonts w:hint="eastAsia" w:ascii="宋体" w:hAnsi="宋体" w:cs="仿宋"/>
          <w:color w:val="auto"/>
          <w:sz w:val="24"/>
          <w:highlight w:val="none"/>
        </w:rPr>
        <w:fldChar w:fldCharType="end"/>
      </w:r>
      <w:r>
        <w:rPr>
          <w:rFonts w:hint="eastAsia"/>
          <w:color w:val="auto"/>
          <w:highlight w:val="none"/>
        </w:rPr>
        <w:t>，</w:t>
      </w:r>
      <w:r>
        <w:rPr>
          <w:rFonts w:hint="eastAsia" w:ascii="宋体" w:hAnsi="宋体" w:cs="仿宋"/>
          <w:color w:val="auto"/>
          <w:sz w:val="24"/>
          <w:highlight w:val="none"/>
        </w:rPr>
        <w:t>湖州市公共资源交易信息网：</w:t>
      </w:r>
      <w:r>
        <w:rPr>
          <w:rFonts w:hint="eastAsia" w:ascii="宋体" w:hAnsi="宋体" w:cs="宋体"/>
          <w:color w:val="auto"/>
          <w:sz w:val="24"/>
          <w:highlight w:val="none"/>
        </w:rPr>
        <w:t>http:// ggzyjy.huzhou.gov.cn/-“政府采购”模块。</w:t>
      </w:r>
    </w:p>
    <w:p w14:paraId="73F21850">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18F92BA3">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12A0D13A">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5475203D">
      <w:pP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6C6B232B">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74F1728C">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48DAA8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格式，以U盘形式存储提供。U盘盘面上粘贴标签，标注单位名称，装入一个外包封袋中进行邮寄</w:t>
      </w:r>
      <w:r>
        <w:rPr>
          <w:rFonts w:hint="eastAsia" w:ascii="宋体" w:hAnsi="宋体" w:cs="宋体"/>
          <w:color w:val="auto"/>
          <w:kern w:val="0"/>
          <w:sz w:val="24"/>
          <w:highlight w:val="none"/>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31BC7379">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07BD5AD5">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14:paraId="11146B23">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1A57612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23C8934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14:paraId="2343439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590C1C0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7AD3DB97">
      <w:pPr>
        <w:snapToGrid w:val="0"/>
        <w:spacing w:line="360" w:lineRule="auto"/>
        <w:ind w:firstLine="420" w:firstLineChars="200"/>
        <w:rPr>
          <w:color w:val="auto"/>
          <w:highlight w:val="none"/>
        </w:rPr>
      </w:pPr>
    </w:p>
    <w:p w14:paraId="78C2705D">
      <w:pPr>
        <w:snapToGrid w:val="0"/>
        <w:spacing w:line="360" w:lineRule="auto"/>
        <w:ind w:firstLine="470" w:firstLineChars="196"/>
        <w:rPr>
          <w:rFonts w:ascii="宋体" w:hAnsi="宋体"/>
          <w:color w:val="auto"/>
          <w:sz w:val="24"/>
          <w:highlight w:val="none"/>
        </w:rPr>
      </w:pPr>
      <w:r>
        <w:rPr>
          <w:rFonts w:hint="eastAsia" w:ascii="宋体" w:hAnsi="宋体" w:cs="Arial"/>
          <w:color w:val="auto"/>
          <w:sz w:val="24"/>
          <w:highlight w:val="none"/>
        </w:rPr>
        <w:t>2.采购人名称：</w:t>
      </w:r>
      <w:r>
        <w:rPr>
          <w:rFonts w:hint="eastAsia" w:ascii="宋体" w:hAnsi="宋体"/>
          <w:color w:val="auto"/>
          <w:sz w:val="24"/>
          <w:highlight w:val="none"/>
        </w:rPr>
        <w:t xml:space="preserve">湖州市自然资源和规划局 </w:t>
      </w:r>
    </w:p>
    <w:p w14:paraId="41DE33B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地址： </w:t>
      </w:r>
      <w:r>
        <w:rPr>
          <w:rFonts w:ascii="Arial" w:hAnsi="Arial" w:cs="Arial"/>
          <w:color w:val="auto"/>
          <w:sz w:val="24"/>
          <w:highlight w:val="none"/>
          <w:shd w:val="clear" w:color="auto" w:fill="FFFFFF"/>
        </w:rPr>
        <w:t>湖州市吴兴区仁皇山街道开元路88号</w:t>
      </w:r>
    </w:p>
    <w:p w14:paraId="5C8376D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 蒋先生             电话：0572- 2670909</w:t>
      </w:r>
    </w:p>
    <w:p w14:paraId="4845D5E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采购人质疑联系人：秦先生    联系电话：0572- 2650118</w:t>
      </w:r>
    </w:p>
    <w:p w14:paraId="576B8455">
      <w:pPr>
        <w:snapToGrid w:val="0"/>
        <w:spacing w:line="360" w:lineRule="auto"/>
        <w:ind w:firstLine="470" w:firstLineChars="196"/>
        <w:rPr>
          <w:rFonts w:ascii="宋体"/>
          <w:color w:val="auto"/>
          <w:sz w:val="24"/>
          <w:highlight w:val="none"/>
        </w:rPr>
      </w:pPr>
      <w:r>
        <w:rPr>
          <w:rFonts w:hint="eastAsia" w:ascii="宋体"/>
          <w:color w:val="auto"/>
          <w:sz w:val="24"/>
          <w:highlight w:val="none"/>
        </w:rPr>
        <w:t xml:space="preserve"> </w:t>
      </w:r>
    </w:p>
    <w:p w14:paraId="27C7F5A7">
      <w:pPr>
        <w:snapToGrid w:val="0"/>
        <w:spacing w:line="460" w:lineRule="exact"/>
        <w:ind w:firstLine="470" w:firstLineChars="196"/>
        <w:rPr>
          <w:rFonts w:ascii="宋体"/>
          <w:color w:val="auto"/>
          <w:sz w:val="24"/>
          <w:highlight w:val="none"/>
        </w:rPr>
      </w:pPr>
    </w:p>
    <w:p w14:paraId="3ADD4433">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 同级政府采购监督管理部门名称：湖州市财政局政府采购监管处</w:t>
      </w:r>
    </w:p>
    <w:p w14:paraId="684D3782">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地址：浙江省湖州市龙王山路518号</w:t>
      </w:r>
    </w:p>
    <w:p w14:paraId="46DDD44E">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联系人：程先生；监督投诉电话：0572-2150216</w:t>
      </w:r>
    </w:p>
    <w:p w14:paraId="312745F9">
      <w:pPr>
        <w:snapToGrid w:val="0"/>
        <w:spacing w:line="360" w:lineRule="auto"/>
        <w:ind w:firstLine="420" w:firstLineChars="200"/>
        <w:rPr>
          <w:color w:val="auto"/>
          <w:highlight w:val="none"/>
        </w:rPr>
      </w:pPr>
    </w:p>
    <w:p w14:paraId="52A8380E">
      <w:pPr>
        <w:snapToGrid w:val="0"/>
        <w:spacing w:line="360" w:lineRule="auto"/>
        <w:ind w:left="238"/>
        <w:rPr>
          <w:rFonts w:ascii="宋体" w:hAnsi="宋体"/>
          <w:color w:val="auto"/>
          <w:sz w:val="24"/>
          <w:highlight w:val="none"/>
        </w:rPr>
      </w:pPr>
      <w:r>
        <w:rPr>
          <w:rFonts w:hint="eastAsia" w:ascii="宋体" w:hAnsi="宋体" w:cs="Arial"/>
          <w:color w:val="auto"/>
          <w:sz w:val="24"/>
          <w:highlight w:val="none"/>
        </w:rPr>
        <w:t xml:space="preserve">                                                   湖州市自然资源和规划局</w:t>
      </w:r>
    </w:p>
    <w:p w14:paraId="3270D143">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0C8545EA">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p>
    <w:p w14:paraId="234DC669">
      <w:pPr>
        <w:pStyle w:val="2"/>
        <w:rPr>
          <w:color w:val="auto"/>
          <w:highlight w:val="none"/>
        </w:rPr>
      </w:pPr>
    </w:p>
    <w:p w14:paraId="4301933B">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750CBA3">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6A790B0B">
      <w:pPr>
        <w:pStyle w:val="2"/>
        <w:rPr>
          <w:color w:val="auto"/>
          <w:highlight w:val="none"/>
        </w:rPr>
      </w:pPr>
    </w:p>
    <w:p w14:paraId="55B3B42F">
      <w:pPr>
        <w:pStyle w:val="42"/>
        <w:rPr>
          <w:color w:val="auto"/>
          <w:highlight w:val="none"/>
        </w:rPr>
      </w:pPr>
    </w:p>
    <w:p w14:paraId="09DB0FAD">
      <w:pPr>
        <w:rPr>
          <w:color w:val="auto"/>
          <w:highlight w:val="none"/>
        </w:rPr>
      </w:pPr>
    </w:p>
    <w:p w14:paraId="529E2AF9">
      <w:pPr>
        <w:pStyle w:val="2"/>
        <w:rPr>
          <w:color w:val="auto"/>
          <w:highlight w:val="none"/>
        </w:rPr>
      </w:pPr>
    </w:p>
    <w:p w14:paraId="00C771BA">
      <w:pPr>
        <w:rPr>
          <w:color w:val="auto"/>
          <w:highlight w:val="none"/>
        </w:rPr>
      </w:pPr>
    </w:p>
    <w:p w14:paraId="0C114DB9">
      <w:pPr>
        <w:snapToGrid w:val="0"/>
        <w:spacing w:line="360" w:lineRule="auto"/>
        <w:ind w:left="238"/>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第二章  招标需求</w:t>
      </w:r>
    </w:p>
    <w:p w14:paraId="42475A8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一、采购项目名称：湖州市森林资源高水平保护与高质量发展研究项目</w:t>
      </w:r>
    </w:p>
    <w:p w14:paraId="45A4ADD2">
      <w:pPr>
        <w:widowControl/>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二、采购项目编号：HYHZ2024-200</w:t>
      </w:r>
    </w:p>
    <w:p w14:paraId="2D90179E">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三、采购项目预算：</w:t>
      </w:r>
      <w:r>
        <w:rPr>
          <w:rFonts w:hint="eastAsia" w:ascii="宋体" w:hAnsi="宋体" w:cs="宋体"/>
          <w:b/>
          <w:color w:val="auto"/>
          <w:kern w:val="0"/>
          <w:sz w:val="24"/>
          <w:highlight w:val="none"/>
        </w:rPr>
        <w:t>人民币壹佰万元整（￥1000000 .00）</w:t>
      </w:r>
    </w:p>
    <w:p w14:paraId="4497BD2A">
      <w:pPr>
        <w:widowControl/>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四、采购项目实施地点：湖州市自然资源和规划局</w:t>
      </w:r>
    </w:p>
    <w:p w14:paraId="247617D1">
      <w:pPr>
        <w:widowControl/>
        <w:spacing w:line="360" w:lineRule="auto"/>
        <w:ind w:firstLine="482" w:firstLineChars="200"/>
        <w:jc w:val="left"/>
        <w:rPr>
          <w:rFonts w:ascii="宋体" w:hAnsi="宋体"/>
          <w:b/>
          <w:bCs/>
          <w:color w:val="auto"/>
          <w:sz w:val="24"/>
          <w:highlight w:val="none"/>
        </w:rPr>
      </w:pPr>
      <w:r>
        <w:rPr>
          <w:rFonts w:hint="eastAsia" w:ascii="宋体" w:hAnsi="宋体"/>
          <w:b/>
          <w:color w:val="auto"/>
          <w:sz w:val="24"/>
          <w:highlight w:val="none"/>
        </w:rPr>
        <w:t>五、</w:t>
      </w:r>
      <w:r>
        <w:rPr>
          <w:rFonts w:hint="eastAsia" w:ascii="宋体" w:hAnsi="宋体"/>
          <w:b/>
          <w:bCs/>
          <w:color w:val="auto"/>
          <w:sz w:val="24"/>
          <w:highlight w:val="none"/>
        </w:rPr>
        <w:t>采购项目采购清单和</w:t>
      </w:r>
      <w:r>
        <w:rPr>
          <w:rFonts w:ascii="宋体" w:hAnsi="宋体"/>
          <w:b/>
          <w:bCs/>
          <w:color w:val="auto"/>
          <w:sz w:val="24"/>
          <w:highlight w:val="none"/>
        </w:rPr>
        <w:t>规格型号</w:t>
      </w:r>
      <w:r>
        <w:rPr>
          <w:rFonts w:hint="eastAsia" w:ascii="宋体" w:hAnsi="宋体"/>
          <w:b/>
          <w:bCs/>
          <w:color w:val="auto"/>
          <w:sz w:val="24"/>
          <w:highlight w:val="none"/>
        </w:rPr>
        <w:t>、</w:t>
      </w:r>
      <w:r>
        <w:rPr>
          <w:rFonts w:ascii="宋体" w:hAnsi="宋体"/>
          <w:b/>
          <w:bCs/>
          <w:color w:val="auto"/>
          <w:sz w:val="24"/>
          <w:highlight w:val="none"/>
        </w:rPr>
        <w:t>技术参数、</w:t>
      </w:r>
      <w:r>
        <w:rPr>
          <w:rFonts w:hint="eastAsia" w:ascii="宋体" w:hAnsi="宋体"/>
          <w:b/>
          <w:bCs/>
          <w:color w:val="auto"/>
          <w:sz w:val="24"/>
          <w:highlight w:val="none"/>
        </w:rPr>
        <w:t>附件</w:t>
      </w:r>
      <w:r>
        <w:rPr>
          <w:rFonts w:ascii="宋体" w:hAnsi="宋体"/>
          <w:b/>
          <w:bCs/>
          <w:color w:val="auto"/>
          <w:sz w:val="24"/>
          <w:highlight w:val="none"/>
        </w:rPr>
        <w:t>清单</w:t>
      </w:r>
      <w:r>
        <w:rPr>
          <w:rFonts w:hint="eastAsia" w:ascii="宋体" w:hAnsi="宋体"/>
          <w:b/>
          <w:bCs/>
          <w:color w:val="auto"/>
          <w:sz w:val="24"/>
          <w:highlight w:val="none"/>
        </w:rPr>
        <w:t>等：</w:t>
      </w:r>
    </w:p>
    <w:p w14:paraId="55FEA109">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2BE7A1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森林作为重要的生态资源，在生态保护、社会经济发展等诸多方面都有着十分重要的地位，加强森林资源的保护和发展是维持生态安全、推进生态文明建设和经济社会可持续发展的重要举措。当前，生态文明体制改革、人与自然和谐共生现代化先行示范、全面建立林长制，以及经济社会高质量发展的用林要素保障，都对处理好维持森林资源保护和资源开发利用之间平衡关系提出了新要求，因此需要统筹推进湖州市森林资源的高水平保护和高质量发展。</w:t>
      </w:r>
    </w:p>
    <w:p w14:paraId="36FB1E4F">
      <w:pPr>
        <w:spacing w:line="360" w:lineRule="auto"/>
        <w:rPr>
          <w:rFonts w:ascii="宋体" w:hAnsi="宋体" w:cs="宋体"/>
          <w:b/>
          <w:color w:val="auto"/>
          <w:sz w:val="24"/>
          <w:highlight w:val="none"/>
        </w:rPr>
      </w:pPr>
      <w:r>
        <w:rPr>
          <w:rFonts w:hint="eastAsia" w:ascii="宋体" w:hAnsi="宋体" w:cs="宋体"/>
          <w:b/>
          <w:color w:val="auto"/>
          <w:sz w:val="24"/>
          <w:highlight w:val="none"/>
        </w:rPr>
        <w:t>（二）项目需求</w:t>
      </w:r>
    </w:p>
    <w:p w14:paraId="43FA02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根据全面开展森林草地湿地普查工作精神，为贯彻落实市级总河长总林长田长会议关于“</w:t>
      </w:r>
      <w:r>
        <w:rPr>
          <w:rFonts w:ascii="宋体" w:hAnsi="宋体" w:cs="宋体"/>
          <w:color w:val="auto"/>
          <w:sz w:val="24"/>
          <w:highlight w:val="none"/>
        </w:rPr>
        <w:t>统筹推进山水林田湖草一体化保护发展</w:t>
      </w:r>
      <w:r>
        <w:rPr>
          <w:rFonts w:hint="eastAsia" w:ascii="宋体" w:hAnsi="宋体" w:cs="宋体"/>
          <w:color w:val="auto"/>
          <w:sz w:val="24"/>
          <w:highlight w:val="none"/>
        </w:rPr>
        <w:t>”等要求，更好挖掘全市国土绿化空间，推进森林面积持续增长，编制《湖州市森林资源高水平保护与高质量发展研究》（以下简称《研究》）。《</w:t>
      </w:r>
      <w:r>
        <w:rPr>
          <w:rFonts w:hint="eastAsia" w:ascii="宋体" w:hAnsi="宋体" w:cs="宋体"/>
          <w:color w:val="auto"/>
          <w:sz w:val="24"/>
          <w:highlight w:val="none"/>
        </w:rPr>
        <w:tab/>
      </w:r>
      <w:r>
        <w:rPr>
          <w:rFonts w:hint="eastAsia" w:ascii="宋体" w:hAnsi="宋体" w:cs="宋体"/>
          <w:color w:val="auto"/>
          <w:sz w:val="24"/>
          <w:highlight w:val="none"/>
        </w:rPr>
        <w:t>研究》以统筹推动森林资源高水平保护与高质量发展为主线，围绕执法监管、林木采伐、林地管理、可持续经营等方面研究森林资源保护和发展举措。</w:t>
      </w:r>
    </w:p>
    <w:p w14:paraId="03CDB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基于湖州市本底资源数据，研究市域林地空间和森林扩面潜力，分析提出森林扩面路径，完成研究报告编制，为提升森林资源管理治理体系和治理能力现代化建设水平，推动湖州市林业高质量发展，保障社会经济可持续发展提供决策支撑。</w:t>
      </w:r>
    </w:p>
    <w:p w14:paraId="00ABBF8E">
      <w:pPr>
        <w:pStyle w:val="19"/>
        <w:spacing w:beforeLines="0" w:afterLines="0" w:line="360" w:lineRule="auto"/>
        <w:ind w:firstLine="482" w:firstLineChars="200"/>
        <w:outlineLvl w:val="0"/>
        <w:rPr>
          <w:rFonts w:hAnsi="宋体"/>
          <w:b/>
          <w:color w:val="auto"/>
          <w:highlight w:val="none"/>
        </w:rPr>
      </w:pPr>
    </w:p>
    <w:p w14:paraId="0367D29D">
      <w:pPr>
        <w:pStyle w:val="19"/>
        <w:spacing w:beforeLines="0" w:afterLines="0" w:line="360" w:lineRule="auto"/>
        <w:ind w:firstLine="482" w:firstLineChars="200"/>
        <w:outlineLvl w:val="0"/>
        <w:rPr>
          <w:rFonts w:hAnsi="宋体"/>
          <w:b/>
          <w:color w:val="auto"/>
          <w:highlight w:val="none"/>
        </w:rPr>
      </w:pPr>
      <w:r>
        <w:rPr>
          <w:rFonts w:hint="eastAsia" w:hAnsi="宋体"/>
          <w:b/>
          <w:color w:val="auto"/>
          <w:highlight w:val="none"/>
        </w:rPr>
        <w:t>六、</w:t>
      </w:r>
      <w:r>
        <w:rPr>
          <w:rFonts w:hAnsi="宋体"/>
          <w:b/>
          <w:color w:val="auto"/>
          <w:highlight w:val="none"/>
        </w:rPr>
        <w:t>商务要求</w:t>
      </w:r>
    </w:p>
    <w:tbl>
      <w:tblPr>
        <w:tblStyle w:val="3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8505"/>
      </w:tblGrid>
      <w:tr w14:paraId="7ED0A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vAlign w:val="center"/>
          </w:tcPr>
          <w:p w14:paraId="6337F312">
            <w:pPr>
              <w:rPr>
                <w:rFonts w:ascii="宋体" w:hAnsi="宋体" w:cs="宋体"/>
                <w:color w:val="auto"/>
                <w:sz w:val="24"/>
                <w:highlight w:val="none"/>
              </w:rPr>
            </w:pPr>
            <w:r>
              <w:rPr>
                <w:rFonts w:hint="eastAsia" w:ascii="宋体" w:hAnsi="宋体" w:cs="宋体"/>
                <w:color w:val="auto"/>
                <w:sz w:val="24"/>
                <w:highlight w:val="none"/>
              </w:rPr>
              <w:t>服务期及地点</w:t>
            </w:r>
          </w:p>
        </w:tc>
        <w:tc>
          <w:tcPr>
            <w:tcW w:w="8505" w:type="dxa"/>
            <w:tcBorders>
              <w:top w:val="single" w:color="auto" w:sz="4" w:space="0"/>
              <w:left w:val="single" w:color="auto" w:sz="4" w:space="0"/>
              <w:bottom w:val="single" w:color="auto" w:sz="4" w:space="0"/>
              <w:right w:val="single" w:color="auto" w:sz="4" w:space="0"/>
            </w:tcBorders>
            <w:vAlign w:val="center"/>
          </w:tcPr>
          <w:p w14:paraId="794F36DB">
            <w:pPr>
              <w:spacing w:line="360" w:lineRule="auto"/>
              <w:rPr>
                <w:rFonts w:ascii="宋体" w:hAnsi="宋体" w:cs="宋体"/>
                <w:color w:val="auto"/>
                <w:sz w:val="24"/>
                <w:highlight w:val="none"/>
              </w:rPr>
            </w:pPr>
            <w:r>
              <w:rPr>
                <w:rFonts w:hint="eastAsia" w:ascii="宋体" w:hAnsi="宋体" w:cs="宋体"/>
                <w:color w:val="auto"/>
                <w:sz w:val="24"/>
                <w:highlight w:val="none"/>
              </w:rPr>
              <w:t>▲服务期：2024年12月至2025年10月</w:t>
            </w:r>
          </w:p>
          <w:p w14:paraId="3F83D480">
            <w:pPr>
              <w:spacing w:line="360" w:lineRule="auto"/>
              <w:rPr>
                <w:rFonts w:ascii="宋体" w:hAnsi="宋体" w:cs="宋体"/>
                <w:color w:val="auto"/>
                <w:sz w:val="24"/>
                <w:highlight w:val="none"/>
              </w:rPr>
            </w:pPr>
            <w:r>
              <w:rPr>
                <w:rFonts w:hint="eastAsia" w:ascii="宋体" w:hAnsi="宋体" w:cs="宋体"/>
                <w:color w:val="auto"/>
                <w:sz w:val="24"/>
                <w:highlight w:val="none"/>
              </w:rPr>
              <w:t>地点：湖州市</w:t>
            </w:r>
          </w:p>
        </w:tc>
      </w:tr>
      <w:tr w14:paraId="53D21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tcPr>
          <w:p w14:paraId="3DF6C836">
            <w:pPr>
              <w:rPr>
                <w:rFonts w:ascii="宋体" w:hAnsi="宋体" w:cs="宋体"/>
                <w:color w:val="auto"/>
                <w:sz w:val="24"/>
                <w:highlight w:val="none"/>
              </w:rPr>
            </w:pPr>
            <w:r>
              <w:rPr>
                <w:rFonts w:hint="eastAsia" w:ascii="宋体" w:hAnsi="宋体" w:cs="宋体"/>
                <w:color w:val="auto"/>
                <w:sz w:val="24"/>
                <w:highlight w:val="none"/>
              </w:rPr>
              <w:t>付款方式</w:t>
            </w:r>
          </w:p>
        </w:tc>
        <w:tc>
          <w:tcPr>
            <w:tcW w:w="8505" w:type="dxa"/>
            <w:tcBorders>
              <w:top w:val="single" w:color="auto" w:sz="4" w:space="0"/>
              <w:left w:val="single" w:color="auto" w:sz="4" w:space="0"/>
              <w:bottom w:val="single" w:color="auto" w:sz="4" w:space="0"/>
              <w:right w:val="single" w:color="auto" w:sz="4" w:space="0"/>
            </w:tcBorders>
          </w:tcPr>
          <w:p w14:paraId="2869174F">
            <w:pPr>
              <w:spacing w:line="360" w:lineRule="auto"/>
              <w:rPr>
                <w:color w:val="auto"/>
                <w:highlight w:val="none"/>
              </w:rPr>
            </w:pPr>
            <w:r>
              <w:rPr>
                <w:rFonts w:hint="eastAsia" w:ascii="宋体" w:hAnsi="宋体" w:cs="宋体"/>
                <w:color w:val="auto"/>
                <w:sz w:val="24"/>
                <w:highlight w:val="none"/>
              </w:rPr>
              <w:t>▲根据《保障中小企业款项支付条例》</w:t>
            </w:r>
            <w:r>
              <w:rPr>
                <w:rFonts w:ascii="宋体" w:hAnsi="宋体" w:cs="宋体"/>
                <w:color w:val="auto"/>
                <w:sz w:val="24"/>
                <w:highlight w:val="none"/>
              </w:rPr>
              <w:t>、</w:t>
            </w:r>
            <w:r>
              <w:rPr>
                <w:rFonts w:hint="eastAsia" w:ascii="宋体" w:hAnsi="宋体" w:cs="宋体"/>
                <w:color w:val="auto"/>
                <w:sz w:val="24"/>
                <w:highlight w:val="none"/>
              </w:rPr>
              <w:t>省财政厅《关于坚决打赢疫情防控阻击战进一步做好政府采购资金支持企业发展工作的通知》（浙财采监【2022】3号）要求，制定如下付款方式：项目分3次付款。一是合同签订并具备实施条件后7个工作日内，支付合同金额50%作为预付款；二是项目启动后根据工作进展比例付款；三是项目评审通过后付清余款。</w:t>
            </w:r>
          </w:p>
          <w:p w14:paraId="0F3C594D">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若成交供应商明确表示无需预付款或者主动要求降低预付款比例的，采购人可不适用前述规定。</w:t>
            </w:r>
          </w:p>
        </w:tc>
      </w:tr>
    </w:tbl>
    <w:p w14:paraId="35F7A304">
      <w:pPr>
        <w:pStyle w:val="2"/>
        <w:spacing w:after="0" w:line="360" w:lineRule="auto"/>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采购标的对应的中小企业划分标准所属行业</w:t>
      </w:r>
      <w:r>
        <w:rPr>
          <w:rFonts w:hint="eastAsia" w:ascii="宋体" w:hAnsi="宋体" w:cs="宋体"/>
          <w:b/>
          <w:color w:val="auto"/>
          <w:kern w:val="0"/>
          <w:sz w:val="24"/>
          <w:szCs w:val="22"/>
          <w:highlight w:val="none"/>
        </w:rPr>
        <w:t>为其他未列明行业。</w:t>
      </w:r>
    </w:p>
    <w:p w14:paraId="66DD436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14:paraId="4695425E">
      <w:pPr>
        <w:pStyle w:val="2"/>
        <w:rPr>
          <w:color w:val="auto"/>
          <w:highlight w:val="none"/>
        </w:rPr>
      </w:pPr>
      <w:r>
        <w:rPr>
          <w:color w:val="auto"/>
          <w:highlight w:val="none"/>
        </w:rPr>
        <w:br w:type="page"/>
      </w:r>
    </w:p>
    <w:p w14:paraId="5138F1FF">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13EB5412">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3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1BB89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7D40B598">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5232768C">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4439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0A634B95">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5CF5EADB">
            <w:pPr>
              <w:widowControl/>
              <w:jc w:val="left"/>
              <w:rPr>
                <w:rFonts w:ascii="宋体" w:hAnsi="宋体"/>
                <w:color w:val="auto"/>
                <w:sz w:val="24"/>
                <w:highlight w:val="none"/>
              </w:rPr>
            </w:pPr>
            <w:r>
              <w:rPr>
                <w:rFonts w:hint="eastAsia" w:ascii="宋体" w:hAnsi="宋体"/>
                <w:color w:val="auto"/>
                <w:sz w:val="24"/>
                <w:highlight w:val="none"/>
              </w:rPr>
              <w:t>项目名称：湖州市森林资源高水平保护与高质量发展研究项目</w:t>
            </w:r>
          </w:p>
        </w:tc>
      </w:tr>
      <w:tr w14:paraId="2C54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630D79B">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197DDE7B">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668B8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23CE44F1">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153ABB9C">
            <w:pPr>
              <w:widowControl/>
              <w:jc w:val="left"/>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.不论投标结果如何，投标人均应自行承担所有与投标有关的全部费用。3.本项目招标代理服务费收取人民币壹万零陆佰贰拾</w:t>
            </w:r>
            <w:r>
              <w:rPr>
                <w:rFonts w:hint="eastAsia" w:ascii="宋体" w:hAnsi="宋体" w:cs="宋体"/>
                <w:color w:val="auto"/>
                <w:sz w:val="24"/>
                <w:highlight w:val="none"/>
              </w:rPr>
              <w:t>元整（￥10620.00）</w:t>
            </w:r>
            <w:r>
              <w:rPr>
                <w:rFonts w:hint="eastAsia" w:ascii="宋体" w:hAnsi="宋体"/>
                <w:color w:val="auto"/>
                <w:sz w:val="24"/>
                <w:highlight w:val="none"/>
              </w:rPr>
              <w:t>，由中标人全额支付。</w:t>
            </w:r>
          </w:p>
        </w:tc>
      </w:tr>
      <w:tr w14:paraId="09D92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53D419C">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249EA83C">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14:paraId="70F88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189F6E0A">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52300DA2">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03A8F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2BA4704E">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40B7BD7A">
            <w:pPr>
              <w:widowControl/>
              <w:jc w:val="left"/>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日17:00前，以书面形式要求招标采购单位作出书面解释、澄清或者向招标采购单位提出书面质疑；招标采购单位将于2024年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日前组织答疑；答疑内容是招标文件的组成部分，将在网上发布补充（答疑、澄清）文件，潜在投标人应自行关注网站公告，招标人不再一一通知。投标人因自身贻误行为导致投标失败的，责任自负。</w:t>
            </w:r>
          </w:p>
        </w:tc>
      </w:tr>
      <w:tr w14:paraId="6592E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6A76B5FA">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0DE1E53E">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1A8A38B5">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6B0C4F63">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20C29A09">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5379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16C8802A">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5585609A">
            <w:pPr>
              <w:widowControl/>
              <w:jc w:val="left"/>
              <w:rPr>
                <w:rFonts w:ascii="宋体" w:hAnsi="宋体"/>
                <w:color w:val="auto"/>
                <w:sz w:val="24"/>
                <w:highlight w:val="none"/>
              </w:rPr>
            </w:pPr>
            <w:r>
              <w:rPr>
                <w:rFonts w:hint="eastAsia" w:ascii="宋体" w:hAnsi="宋体"/>
                <w:color w:val="auto"/>
                <w:sz w:val="24"/>
                <w:highlight w:val="none"/>
              </w:rPr>
              <w:t>投标文件份数：1、“电子加密投标文件”：在线上传递交、一份。2、 “备份投标文件”：一份。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w:t>
            </w:r>
            <w:r>
              <w:rPr>
                <w:rFonts w:hint="eastAsia" w:ascii="宋体" w:hAnsi="宋体"/>
                <w:color w:val="auto"/>
                <w:sz w:val="24"/>
                <w:highlight w:val="none"/>
                <w:lang w:eastAsia="zh-CN"/>
              </w:rPr>
              <w:t>（</w:t>
            </w:r>
            <w:r>
              <w:rPr>
                <w:rFonts w:ascii="宋体" w:hAnsi="宋体"/>
                <w:color w:val="auto"/>
                <w:sz w:val="24"/>
                <w:highlight w:val="none"/>
              </w:rPr>
              <w:t>以U盘形式存储提供</w:t>
            </w:r>
            <w:r>
              <w:rPr>
                <w:rFonts w:hint="eastAsia" w:ascii="宋体" w:hAnsi="宋体"/>
                <w:color w:val="auto"/>
                <w:sz w:val="24"/>
                <w:highlight w:val="none"/>
              </w:rPr>
              <w:t>）</w:t>
            </w:r>
            <w:r>
              <w:rPr>
                <w:rFonts w:ascii="宋体" w:hAnsi="宋体"/>
                <w:color w:val="auto"/>
                <w:sz w:val="24"/>
                <w:highlight w:val="none"/>
              </w:rPr>
              <w:t>。U盘盘面上粘贴标签，标注单位名称，装入一个外包封袋中进行邮寄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olor w:val="auto"/>
                <w:sz w:val="24"/>
                <w:highlight w:val="none"/>
              </w:rPr>
              <w:fldChar w:fldCharType="end"/>
            </w:r>
            <w:r>
              <w:rPr>
                <w:rFonts w:hint="eastAsia" w:ascii="宋体" w:hAnsi="宋体"/>
                <w:color w:val="auto"/>
                <w:sz w:val="24"/>
                <w:highlight w:val="none"/>
              </w:rPr>
              <w:t>11:30时前准时送达，拒绝到付。以收件人实际签收时间为准，逾期送达的将拒绝接收。</w:t>
            </w:r>
          </w:p>
        </w:tc>
      </w:tr>
      <w:tr w14:paraId="5060F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1AF4117F">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16697672">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60957A1D">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3463A38F">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6873889">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6ACC9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74A860D3">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00BD06B">
            <w:pPr>
              <w:widowControl/>
              <w:jc w:val="left"/>
              <w:rPr>
                <w:rFonts w:ascii="宋体" w:hAnsi="宋体"/>
                <w:color w:val="auto"/>
                <w:sz w:val="24"/>
                <w:highlight w:val="none"/>
              </w:rPr>
            </w:pPr>
            <w:r>
              <w:rPr>
                <w:rFonts w:hint="eastAsia" w:ascii="宋体" w:hAnsi="宋体"/>
                <w:color w:val="auto"/>
                <w:sz w:val="24"/>
                <w:highlight w:val="none"/>
              </w:rPr>
              <w:t>开标时间及地点：2024年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s="仿宋"/>
                <w:color w:val="auto"/>
                <w:sz w:val="24"/>
                <w:highlight w:val="none"/>
              </w:rPr>
              <w:t>14点00分</w:t>
            </w:r>
            <w:r>
              <w:rPr>
                <w:rFonts w:hint="eastAsia" w:ascii="宋体" w:hAnsi="宋体"/>
                <w:color w:val="auto"/>
                <w:sz w:val="24"/>
                <w:highlight w:val="none"/>
              </w:rPr>
              <w:t>（北京时间）</w:t>
            </w:r>
          </w:p>
          <w:p w14:paraId="385990A5">
            <w:pPr>
              <w:widowControl/>
              <w:jc w:val="left"/>
              <w:rPr>
                <w:rFonts w:ascii="宋体" w:hAnsi="宋体"/>
                <w:color w:val="auto"/>
                <w:sz w:val="24"/>
                <w:highlight w:val="none"/>
              </w:rPr>
            </w:pPr>
            <w:r>
              <w:rPr>
                <w:rFonts w:hint="eastAsia" w:ascii="宋体" w:hAnsi="宋体"/>
                <w:color w:val="auto"/>
                <w:sz w:val="24"/>
                <w:highlight w:val="none"/>
              </w:rPr>
              <w:t>浙江省湖州市公共资源交易中心二楼开标室（湖州市仁皇山片区金盖山路</w:t>
            </w:r>
            <w:r>
              <w:rPr>
                <w:rFonts w:ascii="宋体" w:hAnsi="宋体"/>
                <w:color w:val="auto"/>
                <w:sz w:val="24"/>
                <w:highlight w:val="none"/>
              </w:rPr>
              <w:t>66</w:t>
            </w:r>
            <w:r>
              <w:rPr>
                <w:rFonts w:hint="eastAsia" w:ascii="宋体" w:hAnsi="宋体"/>
                <w:color w:val="auto"/>
                <w:sz w:val="24"/>
                <w:highlight w:val="none"/>
              </w:rPr>
              <w:t>号</w:t>
            </w:r>
            <w:r>
              <w:rPr>
                <w:rFonts w:ascii="宋体" w:hAnsi="宋体"/>
                <w:color w:val="auto"/>
                <w:sz w:val="24"/>
                <w:highlight w:val="none"/>
              </w:rPr>
              <w:t>2</w:t>
            </w:r>
            <w:r>
              <w:rPr>
                <w:rFonts w:hint="eastAsia" w:ascii="宋体" w:hAnsi="宋体"/>
                <w:color w:val="auto"/>
                <w:sz w:val="24"/>
                <w:highlight w:val="none"/>
              </w:rPr>
              <w:t>号楼，具体详见二楼大厅公告栏），供应商应在投标截止时间前登入“政府采购云平台（www.zcygov.cn）”在线参与开标，并完成CA锁在线解密投标文件等相关工作。</w:t>
            </w:r>
          </w:p>
        </w:tc>
      </w:tr>
      <w:tr w14:paraId="250FA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51267358">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5DB84EE">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5171C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2C468030">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2E1E6D9E">
            <w:pPr>
              <w:widowControl/>
              <w:jc w:val="left"/>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rFonts w:hint="eastAsia" w:ascii="宋体" w:hAnsi="宋体"/>
                <w:color w:val="auto"/>
                <w:sz w:val="24"/>
                <w:highlight w:val="none"/>
                <w:lang w:eastAsia="zh-CN"/>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hint="eastAsia" w:ascii="宋体" w:hAnsi="宋体"/>
                <w:color w:val="auto"/>
                <w:sz w:val="24"/>
                <w:highlight w:val="none"/>
                <w:lang w:eastAsia="zh-CN"/>
              </w:rPr>
              <w:t>）</w:t>
            </w:r>
            <w:r>
              <w:rPr>
                <w:rFonts w:hint="eastAsia" w:ascii="宋体" w:hAnsi="宋体"/>
                <w:color w:val="auto"/>
                <w:sz w:val="24"/>
                <w:highlight w:val="none"/>
              </w:rPr>
              <w:t>、</w:t>
            </w:r>
            <w:r>
              <w:rPr>
                <w:rFonts w:ascii="宋体" w:hAnsi="宋体"/>
                <w:color w:val="auto"/>
                <w:sz w:val="24"/>
                <w:highlight w:val="none"/>
              </w:rPr>
              <w:t>湖州市公共资源交易信息网</w:t>
            </w:r>
            <w:r>
              <w:rPr>
                <w:rFonts w:hint="eastAsia" w:ascii="宋体" w:hAnsi="宋体" w:cs="宋体"/>
                <w:color w:val="auto"/>
                <w:sz w:val="24"/>
                <w:highlight w:val="none"/>
              </w:rPr>
              <w:t>http:// ggzyjy.huzhou.gov.cn/</w:t>
            </w:r>
            <w:r>
              <w:rPr>
                <w:rFonts w:hint="eastAsia" w:ascii="宋体" w:hAnsi="宋体"/>
                <w:color w:val="auto"/>
                <w:sz w:val="24"/>
                <w:highlight w:val="none"/>
              </w:rPr>
              <w:t>等网站。</w:t>
            </w:r>
          </w:p>
        </w:tc>
      </w:tr>
      <w:tr w14:paraId="0A9CF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1F30E434">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37C94CF1">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00087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22049FA6">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736EAB1E">
            <w:pPr>
              <w:widowControl/>
              <w:jc w:val="left"/>
              <w:rPr>
                <w:rFonts w:ascii="宋体" w:hAnsi="宋体"/>
                <w:color w:val="auto"/>
                <w:sz w:val="24"/>
                <w:highlight w:val="none"/>
              </w:rPr>
            </w:pPr>
            <w:r>
              <w:rPr>
                <w:rFonts w:hint="eastAsia" w:ascii="宋体" w:hAnsi="宋体"/>
                <w:color w:val="auto"/>
                <w:sz w:val="24"/>
                <w:highlight w:val="none"/>
              </w:rPr>
              <w:t>履约保证金：无</w:t>
            </w:r>
          </w:p>
        </w:tc>
      </w:tr>
      <w:tr w14:paraId="302E3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22253FF">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250F0AA7">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3138A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03A44922">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4111F289">
            <w:pPr>
              <w:widowControl/>
              <w:jc w:val="left"/>
              <w:rPr>
                <w:rFonts w:ascii="宋体" w:hAnsi="宋体"/>
                <w:color w:val="auto"/>
                <w:sz w:val="24"/>
                <w:highlight w:val="none"/>
              </w:rPr>
            </w:pPr>
            <w:r>
              <w:rPr>
                <w:rFonts w:hint="eastAsia" w:ascii="宋体" w:hAnsi="宋体"/>
                <w:color w:val="auto"/>
                <w:sz w:val="24"/>
                <w:highlight w:val="none"/>
              </w:rPr>
              <w:t>付款方式：采购人自行支付</w:t>
            </w:r>
          </w:p>
        </w:tc>
      </w:tr>
      <w:tr w14:paraId="604C4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6E2F98A1">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2EA3F395">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2134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0A1C8F48">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40FC4648">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招标单位：湖州市自然资源和规划局</w:t>
            </w:r>
            <w:r>
              <w:rPr>
                <w:rFonts w:hint="eastAsia" w:ascii="宋体" w:hAnsi="宋体" w:cs="Arial"/>
                <w:color w:val="auto"/>
                <w:sz w:val="24"/>
                <w:highlight w:val="none"/>
              </w:rPr>
              <w:t xml:space="preserve"> </w:t>
            </w:r>
          </w:p>
        </w:tc>
      </w:tr>
      <w:tr w14:paraId="1EDDB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252AA752">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49ACBEA2">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2D8A9E65">
      <w:pPr>
        <w:pStyle w:val="19"/>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14:paraId="0C5EFBDC">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56994E5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本招标文件适用于湖州市森林资源高水平保护与高质量发展研究项目的招标、评标、定标、验收、合同履约、付款等（法律、法规另有规定的，从其规定）。</w:t>
      </w:r>
    </w:p>
    <w:p w14:paraId="676B2754">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2A48D97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（湖州市自然资源和规划局）</w:t>
      </w:r>
      <w:r>
        <w:rPr>
          <w:rFonts w:ascii="宋体" w:hAnsi="宋体"/>
          <w:color w:val="auto"/>
          <w:sz w:val="24"/>
          <w:highlight w:val="none"/>
        </w:rPr>
        <w:t>。</w:t>
      </w:r>
    </w:p>
    <w:p w14:paraId="42F05F1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4E354D9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rPr>
        <w:t>及其他有关</w:t>
      </w:r>
      <w:r>
        <w:rPr>
          <w:rFonts w:ascii="宋体" w:hAnsi="宋体"/>
          <w:color w:val="auto"/>
          <w:sz w:val="24"/>
          <w:highlight w:val="none"/>
        </w:rPr>
        <w:t>技术资料和材料。</w:t>
      </w:r>
    </w:p>
    <w:p w14:paraId="217FADAE">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24FA66C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07FE3FD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410DD17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11B62475">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3CEA847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344100A9">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5F841A62">
      <w:pPr>
        <w:pStyle w:val="15"/>
        <w:snapToGrid w:val="0"/>
        <w:spacing w:line="360" w:lineRule="auto"/>
        <w:ind w:firstLine="58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795A66CD">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344BD37F">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587EF52A">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2.本项目招标代理服务费收取人民币壹万零陆佰贰拾</w:t>
      </w:r>
      <w:r>
        <w:rPr>
          <w:rFonts w:hint="eastAsia" w:ascii="宋体" w:hAnsi="宋体" w:cs="宋体"/>
          <w:color w:val="auto"/>
          <w:sz w:val="24"/>
          <w:highlight w:val="none"/>
        </w:rPr>
        <w:t>元整（￥10620 .00）</w:t>
      </w:r>
      <w:r>
        <w:rPr>
          <w:rFonts w:hint="eastAsia" w:ascii="宋体" w:hAnsi="宋体"/>
          <w:color w:val="auto"/>
          <w:sz w:val="24"/>
          <w:highlight w:val="none"/>
        </w:rPr>
        <w:t>，由中标人全额支付。</w:t>
      </w:r>
    </w:p>
    <w:p w14:paraId="6F982254">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2152A5EC">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1.本项目接受联合体投标。</w:t>
      </w:r>
    </w:p>
    <w:p w14:paraId="008244AA">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14:paraId="347C214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14:paraId="5949964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w:t>
      </w:r>
      <w:bookmarkStart w:id="2" w:name="_GoBack"/>
      <w:bookmarkEnd w:id="2"/>
      <w:r>
        <w:rPr>
          <w:rFonts w:hint="eastAsia" w:ascii="宋体" w:hAnsi="宋体"/>
          <w:color w:val="auto"/>
          <w:sz w:val="24"/>
          <w:highlight w:val="none"/>
        </w:rPr>
        <w:t>联合体各方应签订共同投标协议，明确约定各方拟承担的工作和责任，并将该共同投标协议随投标文件一并提交采购人；</w:t>
      </w:r>
    </w:p>
    <w:p w14:paraId="3AA6210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14:paraId="2BDAE0C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4）联合体的各方应共同推荐一名联合体主办人，由联合体各方各提交一份授权书，证明其主办人资格，该授权书作为投标文件的组成部分一并提交采购人；</w:t>
      </w:r>
    </w:p>
    <w:p w14:paraId="181C880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5）除非另有规定或说明，本须知中“投标人”一词亦指联合体各方。</w:t>
      </w:r>
    </w:p>
    <w:p w14:paraId="634936D8">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41F4D9AC">
      <w:pPr>
        <w:snapToGrid w:val="0"/>
        <w:spacing w:line="360" w:lineRule="auto"/>
        <w:ind w:firstLine="480" w:firstLineChars="200"/>
        <w:rPr>
          <w:rFonts w:ascii="宋体" w:hAnsi="宋体" w:cs="宋体"/>
          <w:color w:val="auto"/>
          <w:kern w:val="0"/>
          <w:sz w:val="24"/>
          <w:szCs w:val="20"/>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57F10AFD">
      <w:pPr>
        <w:snapToGrid w:val="0"/>
        <w:spacing w:line="360" w:lineRule="auto"/>
        <w:ind w:firstLine="480" w:firstLineChars="200"/>
        <w:rPr>
          <w:rFonts w:ascii="宋体" w:hAnsi="宋体"/>
          <w:color w:val="auto"/>
          <w:sz w:val="24"/>
          <w:szCs w:val="20"/>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本项目可以分包</w:t>
      </w:r>
      <w:r>
        <w:rPr>
          <w:rFonts w:hint="eastAsia" w:ascii="宋体" w:hAnsi="宋体" w:cs="宋体"/>
          <w:color w:val="auto"/>
          <w:kern w:val="0"/>
          <w:sz w:val="24"/>
          <w:highlight w:val="none"/>
        </w:rPr>
        <w:t>。</w:t>
      </w:r>
    </w:p>
    <w:p w14:paraId="6FAB1A58">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2958D917">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0C66C549">
      <w:pPr>
        <w:pStyle w:val="19"/>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投标人投标所使用的资格、信誉、荣誉、业绩与企业认证必须为本法人所拥有。投标人投标所使用的采购项目实施人员必须为本法人员工（或必须为本法人或控股公司正式员工）。</w:t>
      </w:r>
    </w:p>
    <w:p w14:paraId="58FC29FC">
      <w:pPr>
        <w:pStyle w:val="19"/>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投标人应仔细阅读招标文件的所有内容，按照招标文件的要求提交投标文件，并对所提供的全部资料的真实性承担法律责任。</w:t>
      </w:r>
    </w:p>
    <w:p w14:paraId="0CC4E15D">
      <w:pPr>
        <w:pStyle w:val="19"/>
        <w:snapToGrid w:val="0"/>
        <w:spacing w:beforeLines="0" w:afterLines="0" w:line="360" w:lineRule="auto"/>
        <w:ind w:left="2" w:leftChars="1" w:firstLine="480" w:firstLineChars="200"/>
        <w:rPr>
          <w:rFonts w:hAnsi="宋体"/>
          <w:b/>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投标人在投标活动中提供任何虚假材料</w:t>
      </w:r>
      <w:r>
        <w:rPr>
          <w:rFonts w:hint="eastAsia" w:hAnsi="宋体"/>
          <w:color w:val="auto"/>
          <w:highlight w:val="none"/>
        </w:rPr>
        <w:t>，</w:t>
      </w:r>
      <w:r>
        <w:rPr>
          <w:rFonts w:hAnsi="宋体"/>
          <w:color w:val="auto"/>
          <w:highlight w:val="none"/>
        </w:rPr>
        <w:t>其投标无效，并报监管部门查处；中标后发现的</w:t>
      </w:r>
      <w:r>
        <w:rPr>
          <w:rFonts w:hint="eastAsia" w:hAnsi="宋体"/>
          <w:color w:val="auto"/>
          <w:highlight w:val="none"/>
        </w:rPr>
        <w:t>，</w:t>
      </w:r>
      <w:r>
        <w:rPr>
          <w:rFonts w:hAnsi="宋体"/>
          <w:color w:val="auto"/>
          <w:highlight w:val="none"/>
        </w:rPr>
        <w:t>中标人须依照《中华人民共和国消费者权益保护法》第49条之规定双倍赔偿采购人</w:t>
      </w:r>
      <w:r>
        <w:rPr>
          <w:rFonts w:hint="eastAsia" w:hAnsi="宋体"/>
          <w:color w:val="auto"/>
          <w:highlight w:val="none"/>
        </w:rPr>
        <w:t>，</w:t>
      </w:r>
      <w:r>
        <w:rPr>
          <w:rFonts w:hAnsi="宋体"/>
          <w:color w:val="auto"/>
          <w:highlight w:val="none"/>
        </w:rPr>
        <w:t>且民事赔偿并不免除违法投标人的行政与刑事责任。</w:t>
      </w:r>
    </w:p>
    <w:p w14:paraId="1337622D">
      <w:pPr>
        <w:pStyle w:val="19"/>
        <w:snapToGrid w:val="0"/>
        <w:spacing w:beforeLines="0" w:afterLines="0" w:line="360" w:lineRule="auto"/>
        <w:ind w:firstLine="472" w:firstLineChars="196"/>
        <w:outlineLvl w:val="1"/>
        <w:rPr>
          <w:rFonts w:hAnsi="宋体"/>
          <w:b/>
          <w:bCs/>
          <w:color w:val="auto"/>
          <w:highlight w:val="none"/>
        </w:rPr>
      </w:pPr>
      <w:r>
        <w:rPr>
          <w:rFonts w:hAnsi="宋体"/>
          <w:b/>
          <w:bCs/>
          <w:color w:val="auto"/>
          <w:highlight w:val="none"/>
        </w:rPr>
        <w:t>（九）质疑和投诉</w:t>
      </w:r>
    </w:p>
    <w:p w14:paraId="5076D665">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highlight w:val="none"/>
        </w:rPr>
        <w:t>以书面形式向采购人、采购代理机构提出质疑</w:t>
      </w:r>
      <w:r>
        <w:rPr>
          <w:rFonts w:hint="eastAsia" w:hAnsi="宋体"/>
          <w:color w:val="auto"/>
          <w:highlight w:val="none"/>
        </w:rPr>
        <w:t>，并电话联系代理公司，由代理公司书面回复“已知悉”，否则代理公司有权不予认可该质疑</w:t>
      </w:r>
      <w:r>
        <w:rPr>
          <w:rFonts w:hAnsi="宋体"/>
          <w:color w:val="auto"/>
          <w:highlight w:val="none"/>
        </w:rPr>
        <w:t>。</w:t>
      </w:r>
    </w:p>
    <w:p w14:paraId="42F47AC9">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供应商在法定质疑期内一次性提出针对同一采购程序环节的质疑。</w:t>
      </w:r>
    </w:p>
    <w:p w14:paraId="4AC38C5A">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17A0F628">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2.供应商提出质疑应当提交质疑函和必要的证明材料。质疑函应当包括下列内容：</w:t>
      </w:r>
    </w:p>
    <w:p w14:paraId="21820450">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1）供应商的姓名或者名称、地址、邮编、联系人及联系电话；</w:t>
      </w:r>
    </w:p>
    <w:p w14:paraId="3A4A4F49">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2）质疑项目的名称、编号；</w:t>
      </w:r>
    </w:p>
    <w:p w14:paraId="547C7E39">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3）具体、明确的质疑事项和与质疑事项相关的请求；</w:t>
      </w:r>
    </w:p>
    <w:p w14:paraId="24909CAA">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47BD713D">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5）必要的法律依据；</w:t>
      </w:r>
    </w:p>
    <w:p w14:paraId="1F953F50">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6）提出质疑的日期。</w:t>
      </w:r>
    </w:p>
    <w:p w14:paraId="14967A7C">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3.投诉人提起投诉应当符合下列条件：</w:t>
      </w:r>
    </w:p>
    <w:p w14:paraId="518195D5">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1）提起投诉前已依法进行质疑；</w:t>
      </w:r>
    </w:p>
    <w:p w14:paraId="5A1EA3F8">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2）投诉书内容符合本办法的规定；</w:t>
      </w:r>
    </w:p>
    <w:p w14:paraId="653CD801">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3）在投诉有效期限内提起投诉；</w:t>
      </w:r>
    </w:p>
    <w:p w14:paraId="7C89AF13">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4）同一投诉事项未经财政部门投诉处理；</w:t>
      </w:r>
    </w:p>
    <w:p w14:paraId="2E3321EA">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5）财政部规定的其他条件。</w:t>
      </w:r>
    </w:p>
    <w:p w14:paraId="31ECB783">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4.投诉人投诉时，应当提交投诉书和必要的证明材料，并按照被投诉采购人、采购代理机构和与投诉事项有关的供应商数量提供投诉书的副本。投诉书应当包括下列内容：</w:t>
      </w:r>
    </w:p>
    <w:p w14:paraId="1F3BDC52">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1）投诉人和被投诉人的姓名或者名称、通讯地址、邮编、联系人及联系电话；</w:t>
      </w:r>
    </w:p>
    <w:p w14:paraId="650DF6B9">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2）质疑和质疑答复情况说明及相关证明材料；</w:t>
      </w:r>
    </w:p>
    <w:p w14:paraId="694C13E3">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3）具体、明确的投诉事项和与投诉事项相关的投诉请求；</w:t>
      </w:r>
    </w:p>
    <w:p w14:paraId="1B04F54B">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72286A2B">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5）法律依据；</w:t>
      </w:r>
    </w:p>
    <w:p w14:paraId="41C7E5DC">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6）提起投诉的日期。</w:t>
      </w:r>
    </w:p>
    <w:p w14:paraId="6FDCACA4">
      <w:pPr>
        <w:pStyle w:val="19"/>
        <w:snapToGrid w:val="0"/>
        <w:spacing w:beforeLines="0" w:afterLines="0" w:line="360" w:lineRule="auto"/>
        <w:ind w:left="2" w:leftChars="1" w:firstLine="480" w:firstLineChars="200"/>
        <w:rPr>
          <w:rFonts w:hAnsi="宋体"/>
          <w:color w:val="auto"/>
          <w:highlight w:val="none"/>
        </w:rPr>
      </w:pPr>
      <w:r>
        <w:rPr>
          <w:rFonts w:hAnsi="宋体"/>
          <w:color w:val="auto"/>
          <w:highlight w:val="none"/>
        </w:rPr>
        <w:t>质疑供应商对采购人、采购代理机构的答复不满意，或者采购人、采购代理机构未在规定时间内作出答复的，可以在答复期满后15个工作日内向本办法第六条规定的财政部门提起投诉。</w:t>
      </w:r>
    </w:p>
    <w:p w14:paraId="5B9BB248">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71609B3E">
      <w:pPr>
        <w:pStyle w:val="19"/>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5.质疑函须采用财政部发布的政府采购供应商质疑函范本（参考样式可从</w:t>
      </w:r>
      <w:r>
        <w:rPr>
          <w:rFonts w:hAnsi="宋体"/>
          <w:color w:val="auto"/>
          <w:highlight w:val="none"/>
        </w:rPr>
        <w:t>浙江政府采购网下载专区下载</w:t>
      </w:r>
      <w:r>
        <w:rPr>
          <w:rFonts w:hint="eastAsia" w:hAnsi="宋体"/>
          <w:color w:val="auto"/>
          <w:highlight w:val="none"/>
        </w:rPr>
        <w:t>），否则采购代理机构有权要求质疑供应商改正后重新提出。</w:t>
      </w:r>
    </w:p>
    <w:p w14:paraId="2E7E37A5">
      <w:pPr>
        <w:pStyle w:val="19"/>
        <w:snapToGrid w:val="0"/>
        <w:spacing w:beforeLines="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二  招标文件</w:t>
      </w:r>
    </w:p>
    <w:p w14:paraId="6AC4F4BE">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（一）招标文件的构成。本招标文件由以下部分组成：</w:t>
      </w:r>
    </w:p>
    <w:p w14:paraId="2C9E4043">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0B20FB5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08E2CC6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78F88AA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2664A87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70A5742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2A99A519">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7A355ABD">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14:paraId="2E8A5DC9">
      <w:pPr>
        <w:pStyle w:val="28"/>
        <w:spacing w:line="360" w:lineRule="auto"/>
        <w:rPr>
          <w:rFonts w:ascii="宋体" w:eastAsia="宋体"/>
          <w:color w:val="auto"/>
          <w:szCs w:val="20"/>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44109D77">
      <w:pPr>
        <w:pStyle w:val="9"/>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p>
    <w:p w14:paraId="4FF60E55">
      <w:pPr>
        <w:pStyle w:val="19"/>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bCs/>
          <w:color w:val="auto"/>
          <w:highlight w:val="none"/>
        </w:rPr>
        <w:t>投标人应认真阅读本招标文件，发现其中有误或有不合理要求的，投标人必须在</w:t>
      </w:r>
      <w:r>
        <w:rPr>
          <w:rFonts w:hint="eastAsia" w:hAnsi="宋体"/>
          <w:color w:val="auto"/>
          <w:highlight w:val="none"/>
          <w:u w:val="single"/>
        </w:rPr>
        <w:t>2024  年</w:t>
      </w:r>
      <w:r>
        <w:rPr>
          <w:rFonts w:hint="eastAsia" w:hAnsi="宋体"/>
          <w:color w:val="auto"/>
          <w:highlight w:val="none"/>
          <w:u w:val="single"/>
          <w:lang w:val="en-US" w:eastAsia="zh-CN"/>
        </w:rPr>
        <w:t>11</w:t>
      </w:r>
      <w:r>
        <w:rPr>
          <w:rFonts w:hint="eastAsia" w:hAnsi="宋体"/>
          <w:color w:val="auto"/>
          <w:highlight w:val="none"/>
          <w:u w:val="single"/>
        </w:rPr>
        <w:t>月</w:t>
      </w:r>
      <w:r>
        <w:rPr>
          <w:rFonts w:hint="eastAsia" w:hAnsi="宋体"/>
          <w:color w:val="auto"/>
          <w:highlight w:val="none"/>
          <w:u w:val="single"/>
          <w:lang w:val="en-US" w:eastAsia="zh-CN"/>
        </w:rPr>
        <w:t>25</w:t>
      </w:r>
      <w:r>
        <w:rPr>
          <w:rFonts w:hint="eastAsia" w:hAnsi="宋体"/>
          <w:color w:val="auto"/>
          <w:highlight w:val="none"/>
          <w:u w:val="single"/>
        </w:rPr>
        <w:t>日</w:t>
      </w:r>
      <w:r>
        <w:rPr>
          <w:rFonts w:hint="eastAsia" w:hAnsi="宋体"/>
          <w:bCs/>
          <w:color w:val="auto"/>
          <w:highlight w:val="none"/>
        </w:rPr>
        <w:t>17：00</w:t>
      </w:r>
      <w:r>
        <w:rPr>
          <w:rFonts w:hAnsi="宋体"/>
          <w:bCs/>
          <w:color w:val="auto"/>
          <w:highlight w:val="none"/>
        </w:rPr>
        <w:t>前以书面形式要求招标采购单位澄清</w:t>
      </w:r>
      <w:r>
        <w:rPr>
          <w:rFonts w:hAnsi="宋体"/>
          <w:color w:val="auto"/>
          <w:highlight w:val="none"/>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14:paraId="240C1FE1">
      <w:pPr>
        <w:pStyle w:val="19"/>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采购代理机构必须以书面形式答复投标人要求澄清的问题，并将不包含问题来源的答复书面通知所有购买招标文件的投标人；除书面答复以外的其他澄清方式及澄清内容均无效。</w:t>
      </w:r>
    </w:p>
    <w:p w14:paraId="68462DFB">
      <w:pPr>
        <w:pStyle w:val="19"/>
        <w:snapToGrid w:val="0"/>
        <w:spacing w:beforeLines="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52C868B0">
      <w:pPr>
        <w:pStyle w:val="19"/>
        <w:snapToGrid w:val="0"/>
        <w:spacing w:beforeLines="0" w:afterLines="0" w:line="360" w:lineRule="auto"/>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14:paraId="5BB3615D">
      <w:pPr>
        <w:pStyle w:val="19"/>
        <w:snapToGrid w:val="0"/>
        <w:spacing w:beforeLines="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三、投标文件的编制</w:t>
      </w:r>
    </w:p>
    <w:p w14:paraId="00DA89CD">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10171699">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2"/>
          <w:szCs w:val="22"/>
          <w:highlight w:val="none"/>
        </w:rPr>
        <w:t>《</w:t>
      </w:r>
      <w:r>
        <w:rPr>
          <w:rFonts w:hint="eastAsia" w:ascii="宋体" w:hAnsi="宋体"/>
          <w:color w:val="auto"/>
          <w:sz w:val="24"/>
          <w:highlight w:val="none"/>
        </w:rPr>
        <w:t>资格文件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技术/资信/商务文件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投标报价</w:t>
      </w:r>
      <w:r>
        <w:rPr>
          <w:rFonts w:hint="eastAsia" w:ascii="宋体" w:hAnsi="宋体" w:cs="宋体"/>
          <w:color w:val="auto"/>
          <w:sz w:val="22"/>
          <w:szCs w:val="22"/>
          <w:highlight w:val="none"/>
        </w:rPr>
        <w:t>》</w:t>
      </w:r>
      <w:r>
        <w:rPr>
          <w:rFonts w:hint="eastAsia" w:ascii="宋体" w:hAnsi="宋体"/>
          <w:color w:val="auto"/>
          <w:sz w:val="24"/>
          <w:highlight w:val="none"/>
        </w:rPr>
        <w:t>文件三部分组成。（电子投标文件中所盖公章均采用CA签章）。</w:t>
      </w:r>
    </w:p>
    <w:p w14:paraId="1281CD92">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r>
        <w:rPr>
          <w:rFonts w:hint="eastAsia" w:ascii="宋体" w:hAnsi="宋体"/>
          <w:b/>
          <w:color w:val="auto"/>
          <w:sz w:val="24"/>
          <w:highlight w:val="none"/>
        </w:rPr>
        <w:t>如</w:t>
      </w:r>
      <w:r>
        <w:rPr>
          <w:rFonts w:ascii="宋体" w:hAnsi="宋体"/>
          <w:b/>
          <w:color w:val="auto"/>
          <w:sz w:val="24"/>
          <w:highlight w:val="none"/>
        </w:rPr>
        <w:t>组成联合体</w:t>
      </w:r>
      <w:r>
        <w:rPr>
          <w:rFonts w:hint="eastAsia" w:ascii="宋体" w:hAnsi="宋体"/>
          <w:b/>
          <w:color w:val="auto"/>
          <w:sz w:val="24"/>
          <w:highlight w:val="none"/>
        </w:rPr>
        <w:t>投标</w:t>
      </w:r>
      <w:r>
        <w:rPr>
          <w:rFonts w:ascii="宋体" w:hAnsi="宋体"/>
          <w:b/>
          <w:color w:val="auto"/>
          <w:sz w:val="24"/>
          <w:highlight w:val="none"/>
        </w:rPr>
        <w:t>的，</w:t>
      </w:r>
      <w:r>
        <w:rPr>
          <w:rFonts w:hint="eastAsia" w:ascii="宋体" w:hAnsi="宋体"/>
          <w:b/>
          <w:color w:val="auto"/>
          <w:sz w:val="24"/>
          <w:highlight w:val="none"/>
        </w:rPr>
        <w:t>需提供</w:t>
      </w:r>
      <w:r>
        <w:rPr>
          <w:rFonts w:ascii="宋体" w:hAnsi="宋体"/>
          <w:b/>
          <w:color w:val="auto"/>
          <w:sz w:val="24"/>
          <w:highlight w:val="none"/>
        </w:rPr>
        <w:t>联合体各方</w:t>
      </w:r>
      <w:r>
        <w:rPr>
          <w:rFonts w:hint="eastAsia" w:ascii="宋体" w:hAnsi="宋体"/>
          <w:b/>
          <w:color w:val="auto"/>
          <w:sz w:val="24"/>
          <w:highlight w:val="none"/>
        </w:rPr>
        <w:t>资料）</w:t>
      </w:r>
    </w:p>
    <w:p w14:paraId="5ABAE36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r>
        <w:rPr>
          <w:rFonts w:hint="eastAsia" w:ascii="宋体" w:hAnsi="宋体"/>
          <w:color w:val="auto"/>
          <w:sz w:val="24"/>
          <w:highlight w:val="none"/>
        </w:rPr>
        <w:t>）</w:t>
      </w:r>
      <w:r>
        <w:rPr>
          <w:rFonts w:ascii="宋体" w:hAnsi="宋体"/>
          <w:color w:val="auto"/>
          <w:sz w:val="24"/>
          <w:highlight w:val="none"/>
        </w:rPr>
        <w:t>；</w:t>
      </w:r>
    </w:p>
    <w:p w14:paraId="1B884771">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（2）投标人基本情况介绍；</w:t>
      </w:r>
    </w:p>
    <w:p w14:paraId="33B10C7B">
      <w:pPr>
        <w:spacing w:line="360" w:lineRule="auto"/>
        <w:ind w:firstLine="470" w:firstLineChars="196"/>
        <w:jc w:val="left"/>
        <w:rPr>
          <w:color w:val="auto"/>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r>
        <w:rPr>
          <w:rFonts w:ascii="宋体" w:hAnsi="宋体"/>
          <w:color w:val="auto"/>
          <w:sz w:val="24"/>
          <w:highlight w:val="none"/>
        </w:rPr>
        <w:t>格式见附件</w:t>
      </w:r>
      <w:r>
        <w:rPr>
          <w:rFonts w:hint="eastAsia" w:ascii="宋体" w:hAnsi="宋体"/>
          <w:color w:val="auto"/>
          <w:sz w:val="24"/>
          <w:highlight w:val="none"/>
        </w:rPr>
        <w:t>）</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（如</w:t>
      </w:r>
      <w:r>
        <w:rPr>
          <w:rFonts w:ascii="Calibri" w:hAnsi="Calibri"/>
          <w:snapToGrid w:val="0"/>
          <w:color w:val="auto"/>
          <w:sz w:val="24"/>
          <w:highlight w:val="none"/>
        </w:rPr>
        <w:t>组成联合体</w:t>
      </w:r>
      <w:r>
        <w:rPr>
          <w:rFonts w:hint="eastAsia"/>
          <w:snapToGrid w:val="0"/>
          <w:color w:val="auto"/>
          <w:sz w:val="24"/>
          <w:highlight w:val="none"/>
        </w:rPr>
        <w:t>投标</w:t>
      </w:r>
      <w:r>
        <w:rPr>
          <w:rFonts w:ascii="Calibri" w:hAnsi="Calibri"/>
          <w:snapToGrid w:val="0"/>
          <w:color w:val="auto"/>
          <w:sz w:val="24"/>
          <w:highlight w:val="none"/>
        </w:rPr>
        <w:t>的，</w:t>
      </w:r>
      <w:r>
        <w:rPr>
          <w:rFonts w:hint="eastAsia" w:ascii="宋体" w:hAnsi="宋体"/>
          <w:color w:val="auto"/>
          <w:sz w:val="24"/>
          <w:highlight w:val="none"/>
        </w:rPr>
        <w:t>联合体各方各提交一份联合体主办人授权书）；</w:t>
      </w:r>
    </w:p>
    <w:p w14:paraId="5BAC93B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4069DC6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（5）有效的营业执照副本（复印件各一份）；</w:t>
      </w:r>
    </w:p>
    <w:p w14:paraId="5A889B23">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（6）近二年度（2022和2023年）企业的财务报表或银行资信证明（复印件一份）；</w:t>
      </w:r>
    </w:p>
    <w:p w14:paraId="22ADD0E4">
      <w:pPr>
        <w:spacing w:line="360" w:lineRule="auto"/>
        <w:ind w:firstLine="470" w:firstLineChars="196"/>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1183DBCA">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（8）联合体各方共同投标协议（如有，格式自拟）。</w:t>
      </w:r>
    </w:p>
    <w:p w14:paraId="5DCB2042">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 xml:space="preserve"> 技术文件</w:t>
      </w:r>
    </w:p>
    <w:p w14:paraId="6C8F609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对本项目的理解与分析</w:t>
      </w:r>
      <w:r>
        <w:rPr>
          <w:rFonts w:hint="eastAsia" w:ascii="宋体" w:hAnsi="宋体" w:cs="宋体"/>
          <w:color w:val="auto"/>
          <w:kern w:val="0"/>
          <w:sz w:val="24"/>
          <w:highlight w:val="none"/>
        </w:rPr>
        <w:t>；</w:t>
      </w:r>
    </w:p>
    <w:p w14:paraId="305A22D6">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项目实施技术方案</w:t>
      </w:r>
      <w:r>
        <w:rPr>
          <w:rFonts w:ascii="宋体" w:hAnsi="宋体"/>
          <w:color w:val="auto"/>
          <w:sz w:val="24"/>
          <w:highlight w:val="none"/>
        </w:rPr>
        <w:t>；</w:t>
      </w:r>
    </w:p>
    <w:p w14:paraId="7AD4599B">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s="宋体"/>
          <w:color w:val="auto"/>
          <w:sz w:val="24"/>
          <w:highlight w:val="none"/>
        </w:rPr>
        <w:t>关键点或难点分析和解决措施；</w:t>
      </w:r>
    </w:p>
    <w:p w14:paraId="643A2953">
      <w:pPr>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s="宋体"/>
          <w:color w:val="auto"/>
          <w:sz w:val="24"/>
          <w:highlight w:val="none"/>
        </w:rPr>
        <w:t>项目质量保证措施；</w:t>
      </w:r>
    </w:p>
    <w:p w14:paraId="162D1188">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Ansi="宋体" w:cs="宋体"/>
          <w:color w:val="auto"/>
          <w:sz w:val="24"/>
          <w:highlight w:val="none"/>
        </w:rPr>
        <w:t>项目进度安排</w:t>
      </w:r>
      <w:r>
        <w:rPr>
          <w:rFonts w:hint="eastAsia" w:hAnsi="宋体" w:cs="宋体"/>
          <w:color w:val="auto"/>
          <w:sz w:val="24"/>
          <w:highlight w:val="none"/>
        </w:rPr>
        <w:t>；</w:t>
      </w:r>
    </w:p>
    <w:p w14:paraId="234DCF58">
      <w:pPr>
        <w:snapToGri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（6</w:t>
      </w:r>
      <w:r>
        <w:rPr>
          <w:rFonts w:hAnsi="宋体" w:cs="宋体"/>
          <w:color w:val="auto"/>
          <w:sz w:val="24"/>
          <w:highlight w:val="none"/>
        </w:rPr>
        <w:t>）</w:t>
      </w:r>
      <w:r>
        <w:rPr>
          <w:rFonts w:hint="eastAsia" w:hAnsi="宋体" w:cs="宋体"/>
          <w:color w:val="auto"/>
          <w:sz w:val="24"/>
          <w:highlight w:val="none"/>
        </w:rPr>
        <w:t>应急处理预案；</w:t>
      </w:r>
    </w:p>
    <w:p w14:paraId="451BAC03">
      <w:pPr>
        <w:snapToGri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（7</w:t>
      </w:r>
      <w:r>
        <w:rPr>
          <w:rFonts w:hAnsi="宋体" w:cs="宋体"/>
          <w:color w:val="auto"/>
          <w:sz w:val="24"/>
          <w:highlight w:val="none"/>
        </w:rPr>
        <w:t>）</w:t>
      </w:r>
      <w:r>
        <w:rPr>
          <w:rFonts w:hint="eastAsia" w:hAnsi="宋体" w:cs="宋体"/>
          <w:color w:val="auto"/>
          <w:sz w:val="24"/>
          <w:highlight w:val="none"/>
        </w:rPr>
        <w:t>技术响应表；</w:t>
      </w:r>
    </w:p>
    <w:p w14:paraId="791B0653">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（8）</w:t>
      </w:r>
      <w:r>
        <w:rPr>
          <w:rFonts w:hAnsi="宋体" w:cs="宋体"/>
          <w:color w:val="auto"/>
          <w:sz w:val="24"/>
          <w:highlight w:val="none"/>
        </w:rPr>
        <w:t>项目实施人员一览表</w:t>
      </w:r>
      <w:r>
        <w:rPr>
          <w:rFonts w:hint="eastAsia" w:hAnsi="宋体" w:cs="宋体"/>
          <w:color w:val="auto"/>
          <w:sz w:val="24"/>
          <w:highlight w:val="none"/>
        </w:rPr>
        <w:t>；</w:t>
      </w:r>
    </w:p>
    <w:p w14:paraId="6A08C38D">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（9）投标人对本项目的合理化建议</w:t>
      </w:r>
      <w:r>
        <w:rPr>
          <w:rFonts w:hint="eastAsia" w:ascii="宋体" w:hAnsi="宋体"/>
          <w:color w:val="auto"/>
          <w:sz w:val="24"/>
          <w:highlight w:val="none"/>
        </w:rPr>
        <w:t>；</w:t>
      </w:r>
    </w:p>
    <w:p w14:paraId="46D80BD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6A1C4CA4">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284928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1AD5734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）权威认证证书（如有）；</w:t>
      </w:r>
    </w:p>
    <w:p w14:paraId="4AD81DE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14:paraId="280E1AD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（14）投标人认为可以证明其能力或业绩的其他材料；</w:t>
      </w:r>
    </w:p>
    <w:p w14:paraId="601D51C0">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3ECB6B4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（15）商务响应表（格式见附件）；</w:t>
      </w:r>
    </w:p>
    <w:p w14:paraId="264B2A2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）服务承诺；</w:t>
      </w:r>
    </w:p>
    <w:p w14:paraId="3B22272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17</w:t>
      </w:r>
      <w:r>
        <w:rPr>
          <w:rFonts w:ascii="宋体" w:hAnsi="宋体"/>
          <w:color w:val="auto"/>
          <w:sz w:val="24"/>
          <w:highlight w:val="none"/>
        </w:rPr>
        <w:t>）</w:t>
      </w:r>
      <w:r>
        <w:rPr>
          <w:rFonts w:hint="eastAsia" w:ascii="宋体" w:hAnsi="宋体"/>
          <w:color w:val="auto"/>
          <w:sz w:val="24"/>
          <w:highlight w:val="none"/>
        </w:rPr>
        <w:t>培训方案</w:t>
      </w:r>
      <w:r>
        <w:rPr>
          <w:rFonts w:ascii="宋体" w:hAnsi="宋体"/>
          <w:color w:val="auto"/>
          <w:sz w:val="24"/>
          <w:highlight w:val="none"/>
        </w:rPr>
        <w:t>；</w:t>
      </w:r>
    </w:p>
    <w:p w14:paraId="3EF0687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）响应时间；</w:t>
      </w:r>
    </w:p>
    <w:p w14:paraId="7087A32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w:t>
      </w:r>
      <w:r>
        <w:rPr>
          <w:rFonts w:hint="eastAsia" w:ascii="宋体" w:hAnsi="宋体"/>
          <w:color w:val="auto"/>
          <w:sz w:val="24"/>
          <w:highlight w:val="none"/>
        </w:rPr>
        <w:t>信用承诺书；</w:t>
      </w:r>
    </w:p>
    <w:p w14:paraId="055C3D6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w:t>
      </w:r>
      <w:r>
        <w:rPr>
          <w:rFonts w:hint="eastAsia" w:ascii="宋体" w:hAnsi="宋体"/>
          <w:color w:val="auto"/>
          <w:sz w:val="24"/>
          <w:highlight w:val="none"/>
        </w:rPr>
        <w:t>技术、商务、资信及其他分自评表。</w:t>
      </w:r>
    </w:p>
    <w:p w14:paraId="11C9222E">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64A1DE83">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2883F3CE">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s="仿宋"/>
          <w:color w:val="auto"/>
          <w:sz w:val="24"/>
          <w:highlight w:val="none"/>
        </w:rPr>
        <w:t>中小企业声明函（如有，格式见附件）；</w:t>
      </w:r>
    </w:p>
    <w:p w14:paraId="21B03F93">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 xml:space="preserve">（3）残疾人福利企业声明函（如有，格式见附件）； </w:t>
      </w:r>
    </w:p>
    <w:p w14:paraId="62C2676F">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（4）属于监狱企业的证明文件（如有）；</w:t>
      </w:r>
    </w:p>
    <w:p w14:paraId="3EF0B8F0">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s="仿宋"/>
          <w:color w:val="auto"/>
          <w:sz w:val="24"/>
          <w:highlight w:val="none"/>
        </w:rPr>
        <w:t>联合体各方共同投标协议或分包意向协议（如有，格式自拟）</w:t>
      </w:r>
    </w:p>
    <w:p w14:paraId="620E4B19">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3988D681">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（7）招标代理费承诺函；</w:t>
      </w:r>
    </w:p>
    <w:p w14:paraId="50B097A6">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开标一览表（格式见附件）</w:t>
      </w:r>
      <w:r>
        <w:rPr>
          <w:rFonts w:hint="eastAsia" w:ascii="宋体" w:hAnsi="宋体"/>
          <w:color w:val="auto"/>
          <w:sz w:val="24"/>
          <w:highlight w:val="none"/>
        </w:rPr>
        <w:t>。</w:t>
      </w:r>
    </w:p>
    <w:p w14:paraId="517ADFC8">
      <w:pPr>
        <w:pStyle w:val="30"/>
        <w:widowControl w:val="0"/>
        <w:spacing w:before="0" w:afterLines="0" w:line="360" w:lineRule="auto"/>
        <w:ind w:firstLine="482" w:firstLineChars="200"/>
        <w:rPr>
          <w:b/>
          <w:bCs/>
          <w:color w:val="auto"/>
          <w:highlight w:val="none"/>
        </w:rPr>
      </w:pPr>
      <w:r>
        <w:rPr>
          <w:b/>
          <w:color w:val="auto"/>
          <w:highlight w:val="none"/>
        </w:rPr>
        <w:t>▲</w:t>
      </w:r>
      <w:r>
        <w:rPr>
          <w:b/>
          <w:bCs/>
          <w:color w:val="auto"/>
          <w:highlight w:val="none"/>
        </w:rPr>
        <w:t>注：法定代表人授权委托书、投标声明书、投标函、开标一览表必须由法定代表人签名并加盖单位公章。</w:t>
      </w:r>
    </w:p>
    <w:p w14:paraId="0D662A3F">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08C3FBEC">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19C4A1E">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43F9DD8D">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2DEE3C08">
      <w:pPr>
        <w:snapToGrid w:val="0"/>
        <w:spacing w:line="360" w:lineRule="auto"/>
        <w:ind w:firstLine="411" w:firstLineChars="196"/>
        <w:jc w:val="left"/>
        <w:outlineLvl w:val="0"/>
        <w:rPr>
          <w:rFonts w:ascii="宋体" w:hAnsi="宋体"/>
          <w:b/>
          <w:color w:val="auto"/>
          <w:sz w:val="24"/>
          <w:highlight w:val="none"/>
        </w:rPr>
      </w:pPr>
      <w:r>
        <w:rPr>
          <w:rFonts w:hAnsi="宋体"/>
          <w:color w:val="auto"/>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投标报价应按招标文件中相关附表格式填写。</w:t>
      </w:r>
      <w:r>
        <w:rPr>
          <w:rFonts w:hint="eastAsia" w:ascii="宋体" w:hAnsi="宋体"/>
          <w:color w:val="auto"/>
          <w:sz w:val="24"/>
          <w:highlight w:val="none"/>
        </w:rPr>
        <w:t>投标人在填报投标项目报价明细表时必须按照采购需求货物清单内容逐项报价，不得随意更改序号、货物名称、单位、数量。否则作无效标处理。</w:t>
      </w:r>
    </w:p>
    <w:p w14:paraId="1EF60366">
      <w:pPr>
        <w:pStyle w:val="19"/>
        <w:snapToGrid w:val="0"/>
        <w:spacing w:beforeLines="0" w:afterLines="0" w:line="360" w:lineRule="auto"/>
        <w:ind w:firstLine="480" w:firstLineChars="200"/>
        <w:jc w:val="left"/>
        <w:rPr>
          <w:rFonts w:hAnsi="宋体"/>
          <w:color w:val="auto"/>
          <w:highlight w:val="none"/>
        </w:rPr>
      </w:pPr>
      <w:r>
        <w:rPr>
          <w:rFonts w:hAnsi="宋体"/>
          <w:color w:val="auto"/>
          <w:highlight w:val="none"/>
        </w:rPr>
        <w:t>▲2</w:t>
      </w:r>
      <w:r>
        <w:rPr>
          <w:rFonts w:hint="eastAsia" w:hAnsi="宋体"/>
          <w:color w:val="auto"/>
          <w:highlight w:val="none"/>
        </w:rPr>
        <w:t>.</w:t>
      </w:r>
      <w:r>
        <w:rPr>
          <w:rFonts w:hint="eastAsia" w:hAnsi="宋体" w:cs="宋体"/>
          <w:color w:val="auto"/>
          <w:highlight w:val="none"/>
        </w:rPr>
        <w:t xml:space="preserve"> 投标报价是履行合同的最终价格，完成项目的各种费用及必要的保险费用和各项税金等所有费用的总和，其市场风险由投标人承担</w:t>
      </w:r>
      <w:r>
        <w:rPr>
          <w:rFonts w:hAnsi="宋体"/>
          <w:color w:val="auto"/>
          <w:highlight w:val="none"/>
        </w:rPr>
        <w:t>。</w:t>
      </w:r>
    </w:p>
    <w:p w14:paraId="24FB998E">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7F93D635">
      <w:pPr>
        <w:pStyle w:val="9"/>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（四）投标文件的有效期</w:t>
      </w:r>
    </w:p>
    <w:p w14:paraId="67AE3809">
      <w:pPr>
        <w:pStyle w:val="9"/>
        <w:widowControl w:val="0"/>
        <w:tabs>
          <w:tab w:val="clear" w:pos="454"/>
        </w:tabs>
        <w:snapToGrid w:val="0"/>
        <w:spacing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hint="eastAsia" w:ascii="宋体" w:hAnsi="宋体"/>
          <w:color w:val="auto"/>
          <w:szCs w:val="24"/>
          <w:highlight w:val="none"/>
          <w:u w:val="single"/>
        </w:rPr>
        <w:t>120</w:t>
      </w:r>
      <w:r>
        <w:rPr>
          <w:rFonts w:ascii="宋体" w:hAnsi="宋体"/>
          <w:color w:val="auto"/>
          <w:szCs w:val="24"/>
          <w:highlight w:val="none"/>
        </w:rPr>
        <w:t>天投标</w:t>
      </w:r>
      <w:r>
        <w:rPr>
          <w:rFonts w:hint="eastAsia" w:ascii="宋体" w:hAnsi="宋体"/>
          <w:color w:val="auto"/>
          <w:szCs w:val="24"/>
          <w:highlight w:val="none"/>
        </w:rPr>
        <w:t>文件</w:t>
      </w:r>
      <w:r>
        <w:rPr>
          <w:rFonts w:ascii="宋体" w:hAnsi="宋体"/>
          <w:color w:val="auto"/>
          <w:szCs w:val="24"/>
          <w:highlight w:val="none"/>
        </w:rPr>
        <w:t>应保持有效。有效期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14:paraId="664D641E">
      <w:pPr>
        <w:pStyle w:val="9"/>
        <w:widowControl w:val="0"/>
        <w:tabs>
          <w:tab w:val="clear" w:pos="454"/>
        </w:tabs>
        <w:snapToGrid w:val="0"/>
        <w:spacing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14:paraId="725DF98C">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投标人可拒绝接受延期要求。同意延长有效期的投标人不能修改投标文件。</w:t>
      </w:r>
    </w:p>
    <w:p w14:paraId="0A408F2C">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7952A34E">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75ED641E">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7B39F40C">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161EF9E2">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6598A90A">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5437597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105E8805">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1DAE832F">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0B250D40">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4BA38078">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63D67ABC">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19E32A0D">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47A4946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49DE0E29">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13306628">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1D163349">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6CD6763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513A1649">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F41A16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7DD5EAD3">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2E87F3D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0CD773FE">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653B34D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B657E6C">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在资格审查、符合性审查和商务评审时，如发现下列情形之一的，投标文件将被视为无效：</w:t>
      </w:r>
    </w:p>
    <w:p w14:paraId="51E83336">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hint="eastAsia" w:ascii="宋体" w:hAnsi="宋体"/>
          <w:bCs/>
          <w:color w:val="auto"/>
          <w:sz w:val="24"/>
          <w:highlight w:val="none"/>
        </w:rPr>
        <w:t>资质条件不符合招标文件要求的；</w:t>
      </w:r>
    </w:p>
    <w:p w14:paraId="23F1DA59">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）投标文件无法定代表人签字</w:t>
      </w:r>
      <w:r>
        <w:rPr>
          <w:rFonts w:hint="eastAsia" w:ascii="宋体" w:hAnsi="宋体"/>
          <w:bCs/>
          <w:color w:val="auto"/>
          <w:sz w:val="24"/>
          <w:highlight w:val="none"/>
        </w:rPr>
        <w:t>，</w:t>
      </w:r>
      <w:r>
        <w:rPr>
          <w:rFonts w:ascii="宋体" w:hAnsi="宋体"/>
          <w:bCs/>
          <w:color w:val="auto"/>
          <w:sz w:val="24"/>
          <w:highlight w:val="none"/>
        </w:rPr>
        <w:t>或未</w:t>
      </w:r>
      <w:r>
        <w:rPr>
          <w:rFonts w:hint="eastAsia" w:ascii="宋体" w:hAnsi="宋体"/>
          <w:bCs/>
          <w:color w:val="auto"/>
          <w:sz w:val="24"/>
          <w:highlight w:val="none"/>
        </w:rPr>
        <w:t>提供法定代表人授权委托书、投标声明书或者填写项目不齐全的；</w:t>
      </w:r>
    </w:p>
    <w:p w14:paraId="2D2E727F">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投标代表人未能出具身份证明或与法定代表人授权委托人身份不符的；</w:t>
      </w:r>
    </w:p>
    <w:p w14:paraId="093CF101">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4</w:t>
      </w:r>
      <w:r>
        <w:rPr>
          <w:rFonts w:hAnsi="宋体"/>
          <w:bCs/>
          <w:color w:val="auto"/>
          <w:spacing w:val="0"/>
          <w:sz w:val="24"/>
          <w:szCs w:val="24"/>
          <w:highlight w:val="none"/>
        </w:rPr>
        <w:t>）投标文件格式不规范、项目不齐全或者内容虚假的；</w:t>
      </w:r>
    </w:p>
    <w:p w14:paraId="2DE83DBA">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5</w:t>
      </w:r>
      <w:r>
        <w:rPr>
          <w:rFonts w:hAnsi="宋体"/>
          <w:bCs/>
          <w:color w:val="auto"/>
          <w:spacing w:val="0"/>
          <w:sz w:val="24"/>
          <w:szCs w:val="24"/>
          <w:highlight w:val="none"/>
        </w:rPr>
        <w:t>）投标文件的实质性内容未使用中文表述、意思表述不明确、前后矛盾或者使用计量单位不符合招标文件要求的（经评标委员会认定</w:t>
      </w:r>
      <w:r>
        <w:rPr>
          <w:rFonts w:hint="eastAsia" w:hAnsi="宋体"/>
          <w:bCs/>
          <w:color w:val="auto"/>
          <w:spacing w:val="0"/>
          <w:sz w:val="24"/>
          <w:szCs w:val="24"/>
          <w:highlight w:val="none"/>
        </w:rPr>
        <w:t>并</w:t>
      </w:r>
      <w:r>
        <w:rPr>
          <w:rFonts w:hAnsi="宋体"/>
          <w:bCs/>
          <w:color w:val="auto"/>
          <w:spacing w:val="0"/>
          <w:sz w:val="24"/>
          <w:szCs w:val="24"/>
          <w:highlight w:val="none"/>
        </w:rPr>
        <w:t>允许其当场更正的笔误除外）</w:t>
      </w:r>
      <w:r>
        <w:rPr>
          <w:rFonts w:hint="eastAsia" w:hAnsi="宋体"/>
          <w:bCs/>
          <w:color w:val="auto"/>
          <w:spacing w:val="0"/>
          <w:sz w:val="24"/>
          <w:szCs w:val="24"/>
          <w:highlight w:val="none"/>
        </w:rPr>
        <w:t>；</w:t>
      </w:r>
    </w:p>
    <w:p w14:paraId="5A1C6C15">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6</w:t>
      </w:r>
      <w:r>
        <w:rPr>
          <w:rFonts w:hAnsi="宋体"/>
          <w:bCs/>
          <w:color w:val="auto"/>
          <w:spacing w:val="0"/>
          <w:sz w:val="24"/>
          <w:szCs w:val="24"/>
          <w:highlight w:val="none"/>
        </w:rPr>
        <w:t>）投标有效期、工期、质保期、</w:t>
      </w:r>
      <w:r>
        <w:rPr>
          <w:rFonts w:hint="eastAsia" w:hAnsi="宋体"/>
          <w:bCs/>
          <w:color w:val="auto"/>
          <w:spacing w:val="0"/>
          <w:sz w:val="24"/>
          <w:szCs w:val="24"/>
          <w:highlight w:val="none"/>
        </w:rPr>
        <w:t>服务期</w:t>
      </w:r>
      <w:r>
        <w:rPr>
          <w:rFonts w:hAnsi="宋体"/>
          <w:bCs/>
          <w:color w:val="auto"/>
          <w:spacing w:val="0"/>
          <w:sz w:val="24"/>
          <w:szCs w:val="24"/>
          <w:highlight w:val="none"/>
        </w:rPr>
        <w:t>等商务条款不能满足招标文件要求的；</w:t>
      </w:r>
    </w:p>
    <w:p w14:paraId="1D5EB811">
      <w:pPr>
        <w:pStyle w:val="15"/>
        <w:snapToGrid w:val="0"/>
        <w:spacing w:line="360" w:lineRule="auto"/>
        <w:ind w:firstLine="470" w:firstLineChars="196"/>
        <w:rPr>
          <w:color w:val="auto"/>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7</w:t>
      </w:r>
      <w:r>
        <w:rPr>
          <w:rFonts w:hAnsi="宋体"/>
          <w:bCs/>
          <w:color w:val="auto"/>
          <w:spacing w:val="0"/>
          <w:sz w:val="24"/>
          <w:szCs w:val="24"/>
          <w:highlight w:val="none"/>
        </w:rPr>
        <w:t>）</w:t>
      </w:r>
      <w:r>
        <w:rPr>
          <w:rFonts w:hint="eastAsia" w:hAnsi="宋体"/>
          <w:bCs/>
          <w:color w:val="auto"/>
          <w:spacing w:val="0"/>
          <w:sz w:val="24"/>
          <w:szCs w:val="24"/>
          <w:highlight w:val="none"/>
        </w:rPr>
        <w:t>未实质性</w:t>
      </w:r>
      <w:r>
        <w:rPr>
          <w:rFonts w:hAnsi="宋体"/>
          <w:bCs/>
          <w:color w:val="auto"/>
          <w:spacing w:val="0"/>
          <w:sz w:val="24"/>
          <w:szCs w:val="24"/>
          <w:highlight w:val="none"/>
        </w:rPr>
        <w:t>响应招标文件要求或者投标文件有招标方不能接受</w:t>
      </w:r>
      <w:r>
        <w:rPr>
          <w:color w:val="auto"/>
          <w:sz w:val="24"/>
          <w:szCs w:val="24"/>
          <w:highlight w:val="none"/>
        </w:rPr>
        <w:t>的附加条件的；</w:t>
      </w:r>
    </w:p>
    <w:p w14:paraId="3ABA32CE">
      <w:pPr>
        <w:pStyle w:val="15"/>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w:t>
      </w:r>
      <w:r>
        <w:rPr>
          <w:rFonts w:hint="eastAsia" w:hAnsi="宋体"/>
          <w:b/>
          <w:bCs/>
          <w:color w:val="auto"/>
          <w:sz w:val="24"/>
          <w:szCs w:val="24"/>
          <w:highlight w:val="none"/>
        </w:rPr>
        <w:t>.</w:t>
      </w:r>
      <w:r>
        <w:rPr>
          <w:rFonts w:hAnsi="宋体"/>
          <w:b/>
          <w:bCs/>
          <w:color w:val="auto"/>
          <w:sz w:val="24"/>
          <w:szCs w:val="24"/>
          <w:highlight w:val="none"/>
        </w:rPr>
        <w:t>在技术评审时，如发现下列情形之一的，投标文件将被视为无效：</w:t>
      </w:r>
    </w:p>
    <w:p w14:paraId="250C6950">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1）未提供或未如实提供投标货物的技术参数，或者投标文件标明的响应或偏离与事实不符或虚假投标的；</w:t>
      </w:r>
    </w:p>
    <w:p w14:paraId="5B823A8F">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（2）明显不符合招标文件</w:t>
      </w:r>
      <w:r>
        <w:rPr>
          <w:rFonts w:hint="eastAsia" w:hAnsi="Times New Roman"/>
          <w:color w:val="auto"/>
          <w:spacing w:val="0"/>
          <w:sz w:val="24"/>
          <w:szCs w:val="24"/>
          <w:highlight w:val="none"/>
        </w:rPr>
        <w:t>要求</w:t>
      </w:r>
      <w:r>
        <w:rPr>
          <w:rFonts w:hAnsi="Times New Roman"/>
          <w:color w:val="auto"/>
          <w:spacing w:val="0"/>
          <w:sz w:val="24"/>
          <w:szCs w:val="24"/>
          <w:highlight w:val="none"/>
        </w:rPr>
        <w:t>的规格型号、质量标准，或者</w:t>
      </w:r>
      <w:r>
        <w:rPr>
          <w:rFonts w:hint="eastAsia" w:hAnsi="Times New Roman"/>
          <w:color w:val="auto"/>
          <w:spacing w:val="0"/>
          <w:sz w:val="24"/>
          <w:szCs w:val="24"/>
          <w:highlight w:val="none"/>
        </w:rPr>
        <w:t>与</w:t>
      </w:r>
      <w:r>
        <w:rPr>
          <w:rFonts w:hAnsi="Times New Roman"/>
          <w:color w:val="auto"/>
          <w:spacing w:val="0"/>
          <w:sz w:val="24"/>
          <w:szCs w:val="24"/>
          <w:highlight w:val="none"/>
        </w:rPr>
        <w:t>招标文件中标“▲”的技术指标、主要功能项目发生实质性偏离的；</w:t>
      </w:r>
    </w:p>
    <w:p w14:paraId="2E27D48B">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（3）投标技术方案不明确，存在一个或一个以上备选（替代）投标方案的；</w:t>
      </w:r>
    </w:p>
    <w:p w14:paraId="341DA5AA">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（4）</w:t>
      </w:r>
      <w:r>
        <w:rPr>
          <w:rFonts w:hint="eastAsia" w:hAnsi="Times New Roman"/>
          <w:color w:val="auto"/>
          <w:spacing w:val="0"/>
          <w:sz w:val="24"/>
          <w:szCs w:val="24"/>
          <w:highlight w:val="none"/>
        </w:rPr>
        <w:t>与其他参加本次投标供应商的投标文件（技术文件）的文字表述内容相同连续20行以上或者差错相同2处以上的；</w:t>
      </w:r>
    </w:p>
    <w:p w14:paraId="719B419C">
      <w:pPr>
        <w:pStyle w:val="15"/>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3</w:t>
      </w:r>
      <w:r>
        <w:rPr>
          <w:rFonts w:hint="eastAsia" w:hAnsi="宋体"/>
          <w:b/>
          <w:bCs/>
          <w:color w:val="auto"/>
          <w:sz w:val="24"/>
          <w:szCs w:val="24"/>
          <w:highlight w:val="none"/>
        </w:rPr>
        <w:t>.</w:t>
      </w:r>
      <w:r>
        <w:rPr>
          <w:rFonts w:hAnsi="宋体"/>
          <w:b/>
          <w:bCs/>
          <w:color w:val="auto"/>
          <w:sz w:val="24"/>
          <w:szCs w:val="24"/>
          <w:highlight w:val="none"/>
        </w:rPr>
        <w:t>在报价评审时，如发现下列情形之一的，投标文件将被视为无效：</w:t>
      </w:r>
    </w:p>
    <w:p w14:paraId="304C3200">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1）未采用人民币报价或者未按照招标文件标明的币种报价的；</w:t>
      </w:r>
    </w:p>
    <w:p w14:paraId="70EB104D">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2）报价超出最高限价的</w:t>
      </w:r>
      <w:r>
        <w:rPr>
          <w:rFonts w:hint="eastAsia" w:hAnsi="宋体"/>
          <w:color w:val="auto"/>
          <w:sz w:val="24"/>
          <w:szCs w:val="24"/>
          <w:highlight w:val="none"/>
        </w:rPr>
        <w:t>；</w:t>
      </w:r>
    </w:p>
    <w:p w14:paraId="24043339">
      <w:pPr>
        <w:pStyle w:val="15"/>
        <w:snapToGrid w:val="0"/>
        <w:spacing w:line="360" w:lineRule="auto"/>
        <w:ind w:firstLine="464" w:firstLineChars="200"/>
        <w:rPr>
          <w:rFonts w:hAnsi="宋体"/>
          <w:color w:val="auto"/>
          <w:sz w:val="24"/>
          <w:szCs w:val="24"/>
          <w:highlight w:val="none"/>
        </w:rPr>
      </w:pPr>
      <w:r>
        <w:rPr>
          <w:rFonts w:hint="eastAsia" w:hAnsi="宋体"/>
          <w:color w:val="auto"/>
          <w:sz w:val="24"/>
          <w:szCs w:val="24"/>
          <w:highlight w:val="none"/>
        </w:rPr>
        <w:t>（3） 投标报价具有选择性，或者开标价格与投标文件承诺的优惠（折扣）价格不一致的；</w:t>
      </w:r>
    </w:p>
    <w:p w14:paraId="6AD4F413">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w:t>
      </w:r>
      <w:r>
        <w:rPr>
          <w:rFonts w:hAnsi="宋体"/>
          <w:b/>
          <w:color w:val="auto"/>
          <w:sz w:val="24"/>
          <w:szCs w:val="24"/>
          <w:highlight w:val="none"/>
        </w:rPr>
        <w:t>被拒绝的投标文件为无效。</w:t>
      </w:r>
    </w:p>
    <w:p w14:paraId="72A8AB91">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5.仅提供备份投标文件的无效。</w:t>
      </w:r>
    </w:p>
    <w:p w14:paraId="74F30ADB">
      <w:pPr>
        <w:pStyle w:val="15"/>
        <w:snapToGrid w:val="0"/>
        <w:spacing w:line="360" w:lineRule="auto"/>
        <w:ind w:firstLine="457" w:firstLineChars="196"/>
        <w:outlineLvl w:val="1"/>
        <w:rPr>
          <w:rFonts w:hAnsi="宋体"/>
          <w:b/>
          <w:snapToGrid w:val="0"/>
          <w:color w:val="auto"/>
          <w:sz w:val="24"/>
          <w:szCs w:val="24"/>
          <w:highlight w:val="none"/>
        </w:rPr>
      </w:pPr>
      <w:r>
        <w:rPr>
          <w:rFonts w:hint="eastAsia" w:hAnsi="宋体"/>
          <w:b/>
          <w:color w:val="auto"/>
          <w:sz w:val="24"/>
          <w:szCs w:val="24"/>
          <w:highlight w:val="none"/>
        </w:rPr>
        <w:t>四、开标</w:t>
      </w:r>
    </w:p>
    <w:p w14:paraId="7AB7E0B3">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（一）开标准备</w:t>
      </w:r>
    </w:p>
    <w:p w14:paraId="624B345D">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1.组织机构将按照招标文件规定的时间通过“政府采购云平台”组织开标、开启投标文件，所有供应商均应当准时在线参加。</w:t>
      </w:r>
    </w:p>
    <w:p w14:paraId="670E98FE">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 按照“不见面、少接触”的原则，本项目原则上采取“不见面”形式进行开评标活动，法定代表人或其授权代表无须到场，在线响应即可（通过指定的电子邮箱、传真等）。</w:t>
      </w:r>
    </w:p>
    <w:p w14:paraId="2D96AADE">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（二） 开标程序：</w:t>
      </w:r>
    </w:p>
    <w:p w14:paraId="493778D0">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1.开标的准备工作由采购组织机构负责落实；</w:t>
      </w:r>
    </w:p>
    <w:p w14:paraId="2D29F0A9">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B4065A0">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（三）开标流程</w:t>
      </w:r>
    </w:p>
    <w:p w14:paraId="55B815C6">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1BEC74C">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2.投标文件解密结束；</w:t>
      </w:r>
    </w:p>
    <w:p w14:paraId="20CDF21F">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3.开启投标文件，进入资格审查；</w:t>
      </w:r>
    </w:p>
    <w:p w14:paraId="680564C6">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4.开启资格审查通过的投标供应商的商务技术文件进入符合性审查、商务技术评审；</w:t>
      </w:r>
    </w:p>
    <w:p w14:paraId="52AD6982">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1）符合性审查、商务技术评审结束后，公布符合性审查、商务技术评审无效供应商名称及理由；公布经商务技术评审后有效投标供应商的名单，同时公布其商务技术部分得分情况。</w:t>
      </w:r>
    </w:p>
    <w:p w14:paraId="40EE7C65">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7744CB18">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3）公布报价部分得分情况；</w:t>
      </w:r>
    </w:p>
    <w:p w14:paraId="49A8BDEA">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4）评审结束后，公布中标（成交）候选供应商名单等。</w:t>
      </w:r>
    </w:p>
    <w:p w14:paraId="6F3D8205">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5）开标结束。</w:t>
      </w:r>
    </w:p>
    <w:p w14:paraId="09C9350A">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特别说明：如遇“政府采购云平台”电子化开标或评审程序调整的，按调整后程序执行。</w:t>
      </w:r>
      <w:bookmarkStart w:id="0" w:name="_Toc33194393"/>
      <w:bookmarkStart w:id="1" w:name="_Toc24550037"/>
    </w:p>
    <w:p w14:paraId="0F00BBA8">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（四）投标供应商资格审查</w:t>
      </w:r>
      <w:bookmarkEnd w:id="0"/>
      <w:bookmarkEnd w:id="1"/>
    </w:p>
    <w:p w14:paraId="07C1FA2A">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C85663C">
      <w:pPr>
        <w:pStyle w:val="19"/>
        <w:snapToGrid w:val="0"/>
        <w:spacing w:beforeLines="0" w:afterLines="0" w:line="360" w:lineRule="auto"/>
        <w:ind w:firstLine="480" w:firstLineChars="200"/>
        <w:rPr>
          <w:rFonts w:hAnsi="宋体"/>
          <w:color w:val="auto"/>
          <w:highlight w:val="none"/>
        </w:rPr>
      </w:pPr>
      <w:r>
        <w:rPr>
          <w:rFonts w:hint="eastAsia" w:hAnsi="宋体"/>
          <w:color w:val="auto"/>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06AAE51">
      <w:pPr>
        <w:pStyle w:val="19"/>
        <w:snapToGrid w:val="0"/>
        <w:spacing w:beforeLines="0" w:afterLines="0" w:line="360" w:lineRule="auto"/>
        <w:ind w:firstLine="480" w:firstLineChars="200"/>
        <w:rPr>
          <w:rFonts w:hAnsi="宋体"/>
          <w:bCs/>
          <w:color w:val="auto"/>
          <w:highlight w:val="none"/>
        </w:rPr>
      </w:pPr>
      <w:r>
        <w:rPr>
          <w:rFonts w:hint="eastAsia" w:hAnsi="宋体"/>
          <w:color w:val="auto"/>
          <w:highlight w:val="none"/>
        </w:rPr>
        <w:t>3.单位负责人为同一人或者存在直接控股、管理关系的不同供应商参加同一合同项下的政府采购活动的，相关投标供应商均作资格无效处理。</w:t>
      </w:r>
    </w:p>
    <w:p w14:paraId="69FA8FF6">
      <w:pPr>
        <w:pStyle w:val="19"/>
        <w:snapToGrid w:val="0"/>
        <w:spacing w:beforeLines="0" w:afterLines="0" w:line="360" w:lineRule="auto"/>
        <w:ind w:left="84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14:paraId="756FC6CA">
      <w:pPr>
        <w:pStyle w:val="19"/>
        <w:snapToGrid w:val="0"/>
        <w:spacing w:beforeLines="0" w:afterLines="0" w:line="360" w:lineRule="auto"/>
        <w:ind w:left="720" w:leftChars="228" w:hanging="241" w:hangingChars="100"/>
        <w:rPr>
          <w:rFonts w:hAnsi="宋体"/>
          <w:b/>
          <w:color w:val="auto"/>
          <w:highlight w:val="none"/>
        </w:rPr>
      </w:pPr>
      <w:r>
        <w:rPr>
          <w:rFonts w:hAnsi="宋体"/>
          <w:b/>
          <w:color w:val="auto"/>
          <w:highlight w:val="none"/>
        </w:rPr>
        <w:t>（一）组建评标委员会</w:t>
      </w:r>
    </w:p>
    <w:p w14:paraId="1707A062">
      <w:pPr>
        <w:pStyle w:val="19"/>
        <w:snapToGrid w:val="0"/>
        <w:spacing w:beforeLines="0" w:afterLines="0" w:line="360" w:lineRule="auto"/>
        <w:ind w:firstLine="480" w:firstLineChars="200"/>
        <w:rPr>
          <w:rFonts w:hAnsi="宋体"/>
          <w:color w:val="auto"/>
          <w:highlight w:val="none"/>
        </w:rPr>
      </w:pPr>
      <w:r>
        <w:rPr>
          <w:rFonts w:hAnsi="宋体"/>
          <w:color w:val="auto"/>
          <w:highlight w:val="none"/>
        </w:rPr>
        <w:t>本项目评标委员会由政府</w:t>
      </w:r>
      <w:r>
        <w:rPr>
          <w:rFonts w:hint="eastAsia" w:hAnsi="宋体"/>
          <w:color w:val="auto"/>
          <w:highlight w:val="none"/>
        </w:rPr>
        <w:t>采购评审专家</w:t>
      </w:r>
      <w:r>
        <w:rPr>
          <w:rFonts w:hAnsi="宋体"/>
          <w:color w:val="auto"/>
          <w:highlight w:val="none"/>
          <w:u w:val="single"/>
        </w:rPr>
        <w:t xml:space="preserve"> 4 </w:t>
      </w:r>
      <w:r>
        <w:rPr>
          <w:rFonts w:hint="eastAsia" w:hAnsi="宋体"/>
          <w:color w:val="auto"/>
          <w:highlight w:val="none"/>
        </w:rPr>
        <w:t>人和采购人代表</w:t>
      </w:r>
      <w:r>
        <w:rPr>
          <w:rFonts w:hAnsi="宋体"/>
          <w:color w:val="auto"/>
          <w:highlight w:val="none"/>
          <w:u w:val="single"/>
        </w:rPr>
        <w:t xml:space="preserve"> 1</w:t>
      </w:r>
      <w:r>
        <w:rPr>
          <w:rFonts w:hint="eastAsia" w:hAnsi="宋体"/>
          <w:color w:val="auto"/>
          <w:highlight w:val="none"/>
        </w:rPr>
        <w:t>人，共</w:t>
      </w:r>
      <w:r>
        <w:rPr>
          <w:rFonts w:hAnsi="宋体"/>
          <w:color w:val="auto"/>
          <w:highlight w:val="none"/>
          <w:u w:val="single"/>
        </w:rPr>
        <w:t xml:space="preserve"> 5</w:t>
      </w:r>
      <w:r>
        <w:rPr>
          <w:rFonts w:hint="eastAsia" w:hAnsi="宋体"/>
          <w:color w:val="auto"/>
          <w:highlight w:val="none"/>
        </w:rPr>
        <w:t>人组成。</w:t>
      </w:r>
    </w:p>
    <w:p w14:paraId="56845818">
      <w:pPr>
        <w:pStyle w:val="19"/>
        <w:snapToGrid w:val="0"/>
        <w:spacing w:beforeLines="0" w:afterLines="0" w:line="360" w:lineRule="auto"/>
        <w:ind w:firstLine="482" w:firstLineChars="200"/>
        <w:rPr>
          <w:rFonts w:hAnsi="宋体"/>
          <w:b/>
          <w:color w:val="auto"/>
          <w:highlight w:val="none"/>
        </w:rPr>
      </w:pPr>
      <w:r>
        <w:rPr>
          <w:rFonts w:hAnsi="宋体"/>
          <w:b/>
          <w:color w:val="auto"/>
          <w:highlight w:val="none"/>
        </w:rPr>
        <w:t>（二）评标的方式</w:t>
      </w:r>
    </w:p>
    <w:p w14:paraId="2F7F14BB">
      <w:pPr>
        <w:pStyle w:val="19"/>
        <w:snapToGrid w:val="0"/>
        <w:spacing w:beforeLines="0" w:afterLines="0" w:line="360" w:lineRule="auto"/>
        <w:ind w:left="719" w:leftChars="228" w:hanging="240" w:hangingChars="100"/>
        <w:rPr>
          <w:rFonts w:hAnsi="宋体"/>
          <w:color w:val="auto"/>
          <w:highlight w:val="none"/>
        </w:rPr>
      </w:pPr>
      <w:r>
        <w:rPr>
          <w:rFonts w:hAnsi="宋体"/>
          <w:color w:val="auto"/>
          <w:highlight w:val="none"/>
        </w:rPr>
        <w:t>本项目采用不公开方式评标，评标的依据为招标文件和投标文件。</w:t>
      </w:r>
    </w:p>
    <w:p w14:paraId="109DFF37">
      <w:pPr>
        <w:pStyle w:val="19"/>
        <w:snapToGrid w:val="0"/>
        <w:spacing w:beforeLines="0" w:afterLines="0" w:line="360" w:lineRule="auto"/>
        <w:ind w:left="720" w:leftChars="228" w:hanging="241" w:hangingChars="100"/>
        <w:rPr>
          <w:rFonts w:hAnsi="宋体"/>
          <w:b/>
          <w:bCs/>
          <w:color w:val="auto"/>
          <w:highlight w:val="none"/>
        </w:rPr>
      </w:pPr>
      <w:r>
        <w:rPr>
          <w:rFonts w:hAnsi="宋体"/>
          <w:b/>
          <w:color w:val="auto"/>
          <w:highlight w:val="none"/>
        </w:rPr>
        <w:t>（三）</w:t>
      </w:r>
      <w:r>
        <w:rPr>
          <w:rFonts w:hAnsi="宋体"/>
          <w:b/>
          <w:bCs/>
          <w:color w:val="auto"/>
          <w:highlight w:val="none"/>
        </w:rPr>
        <w:t>评标程序</w:t>
      </w:r>
    </w:p>
    <w:p w14:paraId="4E71FF6D">
      <w:pPr>
        <w:pStyle w:val="19"/>
        <w:snapToGrid w:val="0"/>
        <w:spacing w:beforeLines="0" w:afterLines="0" w:line="360" w:lineRule="auto"/>
        <w:ind w:firstLine="470" w:firstLineChars="196"/>
        <w:rPr>
          <w:rFonts w:hAnsi="宋体"/>
          <w:color w:val="auto"/>
          <w:highlight w:val="none"/>
        </w:rPr>
      </w:pPr>
      <w:r>
        <w:rPr>
          <w:rFonts w:hint="eastAsia" w:hAnsi="宋体"/>
          <w:color w:val="auto"/>
          <w:highlight w:val="none"/>
        </w:rPr>
        <w:t>1.对所有通过资格审查的投标供应商的投标文件进行初步审查，审查、评价投标文件是否符合招标文件的商务、技术、服务等实质性要求。</w:t>
      </w:r>
    </w:p>
    <w:p w14:paraId="18CCB2AC">
      <w:pPr>
        <w:pStyle w:val="19"/>
        <w:snapToGrid w:val="0"/>
        <w:spacing w:beforeLines="0" w:afterLines="0" w:line="360" w:lineRule="auto"/>
        <w:ind w:firstLine="470" w:firstLineChars="196"/>
        <w:rPr>
          <w:rFonts w:hAnsi="宋体"/>
          <w:color w:val="auto"/>
          <w:highlight w:val="none"/>
        </w:rPr>
      </w:pPr>
      <w:r>
        <w:rPr>
          <w:rFonts w:hint="eastAsia" w:hAnsi="宋体"/>
          <w:color w:val="auto"/>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69844337">
      <w:pPr>
        <w:pStyle w:val="19"/>
        <w:snapToGrid w:val="0"/>
        <w:spacing w:beforeLines="0" w:afterLines="0" w:line="360" w:lineRule="auto"/>
        <w:ind w:firstLine="470" w:firstLineChars="196"/>
        <w:rPr>
          <w:rFonts w:hAnsi="宋体"/>
          <w:color w:val="auto"/>
          <w:highlight w:val="none"/>
        </w:rPr>
      </w:pPr>
      <w:r>
        <w:rPr>
          <w:rFonts w:hint="eastAsia" w:hAnsi="宋体"/>
          <w:color w:val="auto"/>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37E2BA22">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2E8D5D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1132823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20D6FA0">
      <w:pPr>
        <w:snapToGrid w:val="0"/>
        <w:spacing w:line="360" w:lineRule="auto"/>
        <w:ind w:firstLine="482" w:firstLineChars="200"/>
        <w:rPr>
          <w:b/>
          <w:color w:val="auto"/>
          <w:sz w:val="24"/>
          <w:highlight w:val="none"/>
        </w:rPr>
      </w:pPr>
      <w:r>
        <w:rPr>
          <w:b/>
          <w:color w:val="auto"/>
          <w:sz w:val="24"/>
          <w:highlight w:val="none"/>
        </w:rPr>
        <w:t>（五）错误修正</w:t>
      </w:r>
    </w:p>
    <w:p w14:paraId="4671FC3D">
      <w:pPr>
        <w:pStyle w:val="19"/>
        <w:snapToGrid w:val="0"/>
        <w:spacing w:beforeLines="0" w:afterLines="0" w:line="360" w:lineRule="auto"/>
        <w:ind w:firstLine="470" w:firstLineChars="196"/>
        <w:rPr>
          <w:color w:val="auto"/>
          <w:highlight w:val="none"/>
        </w:rPr>
      </w:pPr>
      <w:r>
        <w:rPr>
          <w:color w:val="auto"/>
          <w:highlight w:val="none"/>
        </w:rPr>
        <w:t>投标文件如果出现计算或表达上的错误，修正错误的原则如下：</w:t>
      </w:r>
    </w:p>
    <w:p w14:paraId="0123300D">
      <w:pPr>
        <w:pStyle w:val="19"/>
        <w:snapToGrid w:val="0"/>
        <w:spacing w:beforeLines="0" w:afterLines="0" w:line="360" w:lineRule="auto"/>
        <w:ind w:firstLine="470" w:firstLineChars="196"/>
        <w:rPr>
          <w:color w:val="auto"/>
          <w:highlight w:val="none"/>
        </w:rPr>
      </w:pPr>
      <w:r>
        <w:rPr>
          <w:color w:val="auto"/>
          <w:highlight w:val="none"/>
        </w:rPr>
        <w:t>1</w:t>
      </w:r>
      <w:r>
        <w:rPr>
          <w:rFonts w:hint="eastAsia"/>
          <w:color w:val="auto"/>
          <w:highlight w:val="none"/>
        </w:rPr>
        <w:t>.开标一览表总价与投标报价明细表汇总数不一致的，以开标一览表为准；</w:t>
      </w:r>
    </w:p>
    <w:p w14:paraId="09144BF9">
      <w:pPr>
        <w:pStyle w:val="19"/>
        <w:snapToGrid w:val="0"/>
        <w:spacing w:beforeLines="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投标文件的大写金额和小写金额不一致的，以大写金额为准；</w:t>
      </w:r>
    </w:p>
    <w:p w14:paraId="11366AC1">
      <w:pPr>
        <w:pStyle w:val="19"/>
        <w:snapToGrid w:val="0"/>
        <w:spacing w:beforeLines="0" w:afterLines="0" w:line="360" w:lineRule="auto"/>
        <w:ind w:firstLine="470" w:firstLineChars="196"/>
        <w:rPr>
          <w:color w:val="auto"/>
          <w:highlight w:val="none"/>
        </w:rPr>
      </w:pPr>
      <w:r>
        <w:rPr>
          <w:color w:val="auto"/>
          <w:highlight w:val="none"/>
        </w:rPr>
        <w:t>3</w:t>
      </w:r>
      <w:r>
        <w:rPr>
          <w:rFonts w:hint="eastAsia"/>
          <w:color w:val="auto"/>
          <w:highlight w:val="none"/>
        </w:rPr>
        <w:t>.</w:t>
      </w:r>
      <w:r>
        <w:rPr>
          <w:color w:val="auto"/>
          <w:highlight w:val="none"/>
        </w:rPr>
        <w:t>总价金额与按单价汇总金额不一致的，以单价金额计算结果为准；</w:t>
      </w:r>
    </w:p>
    <w:p w14:paraId="1A0F33D1">
      <w:pPr>
        <w:pStyle w:val="19"/>
        <w:snapToGrid w:val="0"/>
        <w:spacing w:beforeLines="0" w:afterLines="0" w:line="360" w:lineRule="auto"/>
        <w:ind w:firstLine="470" w:firstLineChars="196"/>
        <w:rPr>
          <w:color w:val="auto"/>
          <w:highlight w:val="none"/>
        </w:rPr>
      </w:pPr>
      <w:r>
        <w:rPr>
          <w:color w:val="auto"/>
          <w:highlight w:val="none"/>
        </w:rPr>
        <w:t>4</w:t>
      </w:r>
      <w:r>
        <w:rPr>
          <w:rFonts w:hint="eastAsia"/>
          <w:color w:val="auto"/>
          <w:highlight w:val="none"/>
        </w:rPr>
        <w:t>.</w:t>
      </w:r>
      <w:r>
        <w:rPr>
          <w:color w:val="auto"/>
          <w:highlight w:val="none"/>
        </w:rPr>
        <w:t>对不同文字文本投标文件的解释发生异议的，以中文文本为准。</w:t>
      </w:r>
    </w:p>
    <w:p w14:paraId="7A0D3B1A">
      <w:pPr>
        <w:pStyle w:val="19"/>
        <w:snapToGrid w:val="0"/>
        <w:spacing w:beforeLines="0" w:afterLines="0" w:line="360" w:lineRule="auto"/>
        <w:ind w:firstLine="482" w:firstLineChars="200"/>
        <w:rPr>
          <w:rFonts w:hAnsi="宋体"/>
          <w:b/>
          <w:bCs/>
          <w:color w:val="auto"/>
          <w:highlight w:val="none"/>
        </w:rPr>
      </w:pPr>
      <w:r>
        <w:rPr>
          <w:rFonts w:hAnsi="宋体"/>
          <w:b/>
          <w:bCs/>
          <w:color w:val="auto"/>
          <w:highlight w:val="none"/>
        </w:rPr>
        <w:t>按上述修正错误的原则及方法调整或修正投标文件的投标报价，投标人同意</w:t>
      </w:r>
      <w:r>
        <w:rPr>
          <w:rFonts w:hint="eastAsia" w:hAnsi="宋体"/>
          <w:b/>
          <w:bCs/>
          <w:color w:val="auto"/>
          <w:highlight w:val="none"/>
        </w:rPr>
        <w:t>并签字确认</w:t>
      </w:r>
      <w:r>
        <w:rPr>
          <w:rFonts w:hAnsi="宋体"/>
          <w:b/>
          <w:bCs/>
          <w:color w:val="auto"/>
          <w:highlight w:val="none"/>
        </w:rPr>
        <w:t>后，调整后的投标报价对投标人具有约束作用。如果投标人不接受修正后的报价，则其投标将</w:t>
      </w:r>
      <w:r>
        <w:rPr>
          <w:rFonts w:hint="eastAsia" w:hAnsi="宋体"/>
          <w:b/>
          <w:bCs/>
          <w:color w:val="auto"/>
          <w:highlight w:val="none"/>
        </w:rPr>
        <w:t>作为无效投标处理</w:t>
      </w:r>
      <w:r>
        <w:rPr>
          <w:rFonts w:hAnsi="宋体"/>
          <w:b/>
          <w:bCs/>
          <w:color w:val="auto"/>
          <w:highlight w:val="none"/>
        </w:rPr>
        <w:t>。</w:t>
      </w:r>
    </w:p>
    <w:p w14:paraId="704EF36E">
      <w:pPr>
        <w:pStyle w:val="19"/>
        <w:tabs>
          <w:tab w:val="left" w:pos="630"/>
        </w:tabs>
        <w:snapToGrid w:val="0"/>
        <w:spacing w:beforeLines="0" w:afterLines="0" w:line="360" w:lineRule="auto"/>
        <w:ind w:firstLine="472" w:firstLineChars="196"/>
        <w:rPr>
          <w:rFonts w:hAnsi="宋体"/>
          <w:b/>
          <w:color w:val="auto"/>
          <w:highlight w:val="none"/>
        </w:rPr>
      </w:pPr>
      <w:r>
        <w:rPr>
          <w:rFonts w:hAnsi="宋体"/>
          <w:b/>
          <w:color w:val="auto"/>
          <w:highlight w:val="none"/>
        </w:rPr>
        <w:t>（六）评标原则和评标办法</w:t>
      </w:r>
    </w:p>
    <w:p w14:paraId="4971E7B1">
      <w:pPr>
        <w:pStyle w:val="19"/>
        <w:snapToGrid w:val="0"/>
        <w:spacing w:beforeLines="0" w:afterLines="0" w:line="360" w:lineRule="auto"/>
        <w:ind w:firstLine="470" w:firstLineChars="196"/>
        <w:rPr>
          <w:color w:val="auto"/>
          <w:highlight w:val="none"/>
        </w:rPr>
      </w:pPr>
      <w:r>
        <w:rPr>
          <w:color w:val="auto"/>
          <w:highlight w:val="none"/>
        </w:rPr>
        <w:t>1</w:t>
      </w:r>
      <w:r>
        <w:rPr>
          <w:rFonts w:hint="eastAsia"/>
          <w:color w:val="auto"/>
          <w:highlight w:val="none"/>
        </w:rPr>
        <w:t>.</w:t>
      </w:r>
      <w:r>
        <w:rPr>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91409EB">
      <w:pPr>
        <w:pStyle w:val="19"/>
        <w:snapToGrid w:val="0"/>
        <w:spacing w:beforeLines="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评标办法。本项目评标办法是本项目采取综合评分法，具体评标内容及评分标准等详见《第四章：评标办法及评分标准》。</w:t>
      </w:r>
    </w:p>
    <w:p w14:paraId="23F08617">
      <w:pPr>
        <w:pStyle w:val="19"/>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（七）废标</w:t>
      </w:r>
    </w:p>
    <w:p w14:paraId="556DBFA3">
      <w:pPr>
        <w:pStyle w:val="19"/>
        <w:snapToGrid w:val="0"/>
        <w:spacing w:beforeLines="0" w:afterLines="0" w:line="360" w:lineRule="auto"/>
        <w:ind w:firstLine="470" w:firstLineChars="196"/>
        <w:rPr>
          <w:color w:val="auto"/>
          <w:highlight w:val="none"/>
        </w:rPr>
      </w:pPr>
      <w:r>
        <w:rPr>
          <w:rFonts w:hint="eastAsia"/>
          <w:color w:val="auto"/>
          <w:highlight w:val="none"/>
        </w:rPr>
        <w:t>在采购中，出现下列情形之一的，应予废标：</w:t>
      </w:r>
    </w:p>
    <w:p w14:paraId="0578EC4B">
      <w:pPr>
        <w:pStyle w:val="19"/>
        <w:snapToGrid w:val="0"/>
        <w:spacing w:beforeLines="0" w:afterLines="0" w:line="360" w:lineRule="auto"/>
        <w:ind w:firstLine="470" w:firstLineChars="196"/>
        <w:rPr>
          <w:color w:val="auto"/>
          <w:highlight w:val="none"/>
        </w:rPr>
      </w:pPr>
      <w:r>
        <w:rPr>
          <w:rFonts w:hint="eastAsia"/>
          <w:color w:val="auto"/>
          <w:highlight w:val="none"/>
        </w:rPr>
        <w:t>1.符合专业条件的供应商或者对招标文件作实质响应的供应商不足3家的；</w:t>
      </w:r>
    </w:p>
    <w:p w14:paraId="37340333">
      <w:pPr>
        <w:pStyle w:val="19"/>
        <w:snapToGrid w:val="0"/>
        <w:spacing w:beforeLines="0" w:afterLines="0" w:line="360" w:lineRule="auto"/>
        <w:ind w:firstLine="470" w:firstLineChars="196"/>
        <w:rPr>
          <w:color w:val="auto"/>
          <w:highlight w:val="none"/>
        </w:rPr>
      </w:pPr>
      <w:r>
        <w:rPr>
          <w:rFonts w:hint="eastAsia"/>
          <w:color w:val="auto"/>
          <w:highlight w:val="none"/>
        </w:rPr>
        <w:t>2.出现影响采购公正的违法、违规行为的；</w:t>
      </w:r>
    </w:p>
    <w:p w14:paraId="7D8C98AC">
      <w:pPr>
        <w:pStyle w:val="19"/>
        <w:snapToGrid w:val="0"/>
        <w:spacing w:beforeLines="0" w:afterLines="0" w:line="360" w:lineRule="auto"/>
        <w:ind w:firstLine="470" w:firstLineChars="196"/>
        <w:rPr>
          <w:color w:val="auto"/>
          <w:highlight w:val="none"/>
        </w:rPr>
      </w:pPr>
      <w:r>
        <w:rPr>
          <w:rFonts w:hint="eastAsia"/>
          <w:color w:val="auto"/>
          <w:highlight w:val="none"/>
        </w:rPr>
        <w:t>3.报价均超过预算，不能支付的；</w:t>
      </w:r>
    </w:p>
    <w:p w14:paraId="3768D040">
      <w:pPr>
        <w:pStyle w:val="19"/>
        <w:snapToGrid w:val="0"/>
        <w:spacing w:beforeLines="0" w:afterLines="0" w:line="360" w:lineRule="auto"/>
        <w:ind w:firstLine="470" w:firstLineChars="196"/>
        <w:rPr>
          <w:color w:val="auto"/>
          <w:highlight w:val="none"/>
        </w:rPr>
      </w:pPr>
      <w:r>
        <w:rPr>
          <w:rFonts w:hint="eastAsia"/>
          <w:color w:val="auto"/>
          <w:highlight w:val="none"/>
        </w:rPr>
        <w:t>4.因重大变故，采购任务取消的。</w:t>
      </w:r>
    </w:p>
    <w:p w14:paraId="0CE5EC92">
      <w:pPr>
        <w:pStyle w:val="19"/>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（八）可中止电子交易活动的情形</w:t>
      </w:r>
    </w:p>
    <w:p w14:paraId="32B74335">
      <w:pPr>
        <w:pStyle w:val="19"/>
        <w:snapToGrid w:val="0"/>
        <w:spacing w:beforeLines="0" w:afterLines="0" w:line="360" w:lineRule="auto"/>
        <w:ind w:firstLine="470" w:firstLineChars="196"/>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14:paraId="23CC7FF6">
      <w:pPr>
        <w:pStyle w:val="19"/>
        <w:snapToGrid w:val="0"/>
        <w:spacing w:beforeLines="0" w:afterLines="0" w:line="360" w:lineRule="auto"/>
        <w:ind w:firstLine="470" w:firstLineChars="196"/>
        <w:rPr>
          <w:color w:val="auto"/>
          <w:highlight w:val="none"/>
        </w:rPr>
      </w:pPr>
      <w:r>
        <w:rPr>
          <w:rFonts w:hint="eastAsia"/>
          <w:color w:val="auto"/>
          <w:highlight w:val="none"/>
        </w:rPr>
        <w:t>1、电子交易平台发生故障而无法登录访问的；</w:t>
      </w:r>
    </w:p>
    <w:p w14:paraId="0D2A9CF1">
      <w:pPr>
        <w:pStyle w:val="19"/>
        <w:snapToGrid w:val="0"/>
        <w:spacing w:beforeLines="0" w:afterLines="0" w:line="360" w:lineRule="auto"/>
        <w:ind w:firstLine="470" w:firstLineChars="196"/>
        <w:rPr>
          <w:color w:val="auto"/>
          <w:highlight w:val="none"/>
        </w:rPr>
      </w:pPr>
      <w:r>
        <w:rPr>
          <w:rFonts w:hint="eastAsia"/>
          <w:color w:val="auto"/>
          <w:highlight w:val="none"/>
        </w:rPr>
        <w:t>2、电子交易平台应用或数据库出现错误，不能进行正常操作的；</w:t>
      </w:r>
    </w:p>
    <w:p w14:paraId="0AA9D0B4">
      <w:pPr>
        <w:pStyle w:val="19"/>
        <w:snapToGrid w:val="0"/>
        <w:spacing w:beforeLines="0" w:afterLines="0" w:line="360" w:lineRule="auto"/>
        <w:ind w:firstLine="470" w:firstLineChars="196"/>
        <w:rPr>
          <w:color w:val="auto"/>
          <w:highlight w:val="none"/>
        </w:rPr>
      </w:pPr>
      <w:r>
        <w:rPr>
          <w:rFonts w:hint="eastAsia"/>
          <w:color w:val="auto"/>
          <w:highlight w:val="none"/>
        </w:rPr>
        <w:t>3、电子交易平台发现严重安全漏洞，有潜在泄密危险的；</w:t>
      </w:r>
    </w:p>
    <w:p w14:paraId="1DA74D9E">
      <w:pPr>
        <w:pStyle w:val="19"/>
        <w:snapToGrid w:val="0"/>
        <w:spacing w:beforeLines="0" w:afterLines="0" w:line="360" w:lineRule="auto"/>
        <w:ind w:firstLine="470" w:firstLineChars="196"/>
        <w:rPr>
          <w:color w:val="auto"/>
          <w:highlight w:val="none"/>
        </w:rPr>
      </w:pPr>
      <w:r>
        <w:rPr>
          <w:rFonts w:hint="eastAsia"/>
          <w:color w:val="auto"/>
          <w:highlight w:val="none"/>
        </w:rPr>
        <w:t>4、病毒发作导致不能进行正常操作的；</w:t>
      </w:r>
    </w:p>
    <w:p w14:paraId="090139B2">
      <w:pPr>
        <w:pStyle w:val="19"/>
        <w:snapToGrid w:val="0"/>
        <w:spacing w:beforeLines="0" w:afterLines="0" w:line="360" w:lineRule="auto"/>
        <w:ind w:firstLine="470" w:firstLineChars="196"/>
        <w:rPr>
          <w:color w:val="auto"/>
          <w:highlight w:val="none"/>
        </w:rPr>
      </w:pPr>
      <w:r>
        <w:rPr>
          <w:rFonts w:hint="eastAsia"/>
          <w:color w:val="auto"/>
          <w:highlight w:val="none"/>
        </w:rPr>
        <w:t>5、其他无法保证电子交易的公平、公正和安全的情况。</w:t>
      </w:r>
    </w:p>
    <w:p w14:paraId="21F4015A">
      <w:pPr>
        <w:pStyle w:val="19"/>
        <w:snapToGrid w:val="0"/>
        <w:spacing w:beforeLines="0" w:afterLines="0" w:line="360" w:lineRule="auto"/>
        <w:ind w:firstLine="470" w:firstLineChars="196"/>
        <w:rPr>
          <w:color w:val="auto"/>
          <w:highlight w:val="none"/>
        </w:rPr>
      </w:pPr>
      <w:r>
        <w:rPr>
          <w:rFonts w:hint="eastAsia"/>
          <w:color w:val="auto"/>
          <w:highlight w:val="none"/>
        </w:rPr>
        <w:t>出现前款规定情形，不影响采购公平、公正性的，采购组织机构可以待上述情形消除后继续组织电子交易活动；影响或可能影响采购公平、公正性的，应当重新采购。</w:t>
      </w:r>
    </w:p>
    <w:p w14:paraId="33F7B546">
      <w:pPr>
        <w:pStyle w:val="19"/>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六、定标</w:t>
      </w:r>
    </w:p>
    <w:p w14:paraId="314F27D2">
      <w:pPr>
        <w:pStyle w:val="19"/>
        <w:snapToGrid w:val="0"/>
        <w:spacing w:beforeLines="0" w:afterLines="0" w:line="360" w:lineRule="auto"/>
        <w:ind w:firstLine="472" w:firstLineChars="196"/>
        <w:rPr>
          <w:b/>
          <w:bCs/>
          <w:color w:val="auto"/>
          <w:highlight w:val="none"/>
        </w:rPr>
      </w:pPr>
      <w:r>
        <w:rPr>
          <w:rFonts w:hint="eastAsia"/>
          <w:b/>
          <w:bCs/>
          <w:color w:val="auto"/>
          <w:highlight w:val="none"/>
        </w:rPr>
        <w:t>（一）确定中标人。</w:t>
      </w:r>
      <w:r>
        <w:rPr>
          <w:rFonts w:hint="eastAsia" w:hAnsi="宋体"/>
          <w:b/>
          <w:color w:val="auto"/>
          <w:highlight w:val="none"/>
        </w:rPr>
        <w:t>本项目由采购人授权评标委员会确定中标人。</w:t>
      </w:r>
    </w:p>
    <w:p w14:paraId="6C6A2CBB">
      <w:pPr>
        <w:pStyle w:val="19"/>
        <w:snapToGrid w:val="0"/>
        <w:spacing w:beforeLines="0" w:afterLines="0" w:line="360" w:lineRule="auto"/>
        <w:ind w:firstLine="470" w:firstLineChars="196"/>
        <w:rPr>
          <w:color w:val="auto"/>
          <w:highlight w:val="none"/>
        </w:rPr>
      </w:pPr>
      <w:r>
        <w:rPr>
          <w:rFonts w:hint="eastAsia"/>
          <w:color w:val="auto"/>
          <w:highlight w:val="none"/>
        </w:rPr>
        <w:t>1.采购人在收到评标报告后五个工作日内，依法确认中标供应商。</w:t>
      </w:r>
    </w:p>
    <w:p w14:paraId="69751218">
      <w:pPr>
        <w:pStyle w:val="19"/>
        <w:snapToGrid w:val="0"/>
        <w:spacing w:beforeLines="0" w:afterLines="0" w:line="360" w:lineRule="auto"/>
        <w:ind w:firstLine="470" w:firstLineChars="196"/>
        <w:rPr>
          <w:color w:val="auto"/>
          <w:highlight w:val="none"/>
        </w:rPr>
      </w:pPr>
      <w:r>
        <w:rPr>
          <w:rFonts w:hint="eastAsia"/>
          <w:color w:val="auto"/>
          <w:highlight w:val="none"/>
        </w:rPr>
        <w:t>2.中标供应商确定后，中标结果在财政部门指定的政府采购信息发布媒体上公告。</w:t>
      </w:r>
    </w:p>
    <w:p w14:paraId="228EE8D5">
      <w:pPr>
        <w:pStyle w:val="19"/>
        <w:snapToGrid w:val="0"/>
        <w:spacing w:beforeLines="0" w:afterLines="0" w:line="360" w:lineRule="auto"/>
        <w:ind w:firstLine="470" w:firstLineChars="196"/>
        <w:rPr>
          <w:color w:val="auto"/>
          <w:highlight w:val="none"/>
        </w:rPr>
      </w:pPr>
      <w:r>
        <w:rPr>
          <w:rFonts w:hint="eastAsia"/>
          <w:color w:val="auto"/>
          <w:highlight w:val="none"/>
        </w:rPr>
        <w:t>3.在发布公告的同时，招标采购单位向中标供应商发出中标通知书，中标通知书对采购人和中标供应商具有同等法律效力。</w:t>
      </w:r>
    </w:p>
    <w:p w14:paraId="634AD69D">
      <w:pPr>
        <w:pStyle w:val="19"/>
        <w:snapToGrid w:val="0"/>
        <w:spacing w:beforeLines="0" w:afterLines="0" w:line="360" w:lineRule="auto"/>
        <w:ind w:firstLine="472" w:firstLineChars="196"/>
        <w:rPr>
          <w:b/>
          <w:color w:val="auto"/>
          <w:highlight w:val="none"/>
        </w:rPr>
      </w:pPr>
      <w:r>
        <w:rPr>
          <w:rFonts w:hint="eastAsia"/>
          <w:b/>
          <w:color w:val="auto"/>
          <w:highlight w:val="none"/>
        </w:rPr>
        <w:t>4根据浙江省财政厅《</w:t>
      </w:r>
      <w:r>
        <w:rPr>
          <w:b/>
          <w:color w:val="auto"/>
          <w:highlight w:val="none"/>
        </w:rPr>
        <w:t>关于印发浙江省政府采购供应商注册及诚信管理暂行办法的通知</w:t>
      </w:r>
      <w:r>
        <w:rPr>
          <w:rFonts w:hint="eastAsia"/>
          <w:b/>
          <w:color w:val="auto"/>
          <w:highlight w:val="none"/>
        </w:rPr>
        <w:t>》[</w:t>
      </w:r>
      <w:r>
        <w:rPr>
          <w:b/>
          <w:color w:val="auto"/>
          <w:highlight w:val="none"/>
        </w:rPr>
        <w:t>浙财采监字〔2009〕28号</w:t>
      </w:r>
      <w:r>
        <w:rPr>
          <w:rFonts w:hint="eastAsia"/>
          <w:b/>
          <w:color w:val="auto"/>
          <w:highlight w:val="none"/>
        </w:rPr>
        <w:t>]精神，中标供应商在领取中标通知书前，必须在《浙江政府采购网》上完成供应商的注册工作，经初审、终审及公示后方可正式领取中标通知书。</w:t>
      </w:r>
    </w:p>
    <w:p w14:paraId="43448579">
      <w:pPr>
        <w:pStyle w:val="19"/>
        <w:snapToGrid w:val="0"/>
        <w:spacing w:beforeLines="0" w:afterLines="0" w:line="360" w:lineRule="auto"/>
        <w:ind w:firstLine="470" w:firstLineChars="196"/>
        <w:rPr>
          <w:color w:val="auto"/>
          <w:highlight w:val="none"/>
        </w:rPr>
      </w:pPr>
      <w:r>
        <w:rPr>
          <w:rFonts w:hint="eastAsia"/>
          <w:color w:val="auto"/>
          <w:highlight w:val="none"/>
        </w:rPr>
        <w:t>5.中标通知书发出后，采购人改变中标结果，或者中标供应商放弃中标，应当承担相应的法律责任。</w:t>
      </w:r>
    </w:p>
    <w:p w14:paraId="044F9D2C">
      <w:pPr>
        <w:pStyle w:val="19"/>
        <w:snapToGrid w:val="0"/>
        <w:spacing w:beforeLines="0" w:afterLines="0" w:line="360" w:lineRule="auto"/>
        <w:ind w:firstLine="470" w:firstLineChars="196"/>
        <w:rPr>
          <w:color w:val="auto"/>
          <w:highlight w:val="none"/>
        </w:rPr>
      </w:pPr>
      <w:r>
        <w:rPr>
          <w:rFonts w:hint="eastAsia"/>
          <w:color w:val="auto"/>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5AA162E7">
      <w:pPr>
        <w:pStyle w:val="19"/>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（二）中标通知书</w:t>
      </w:r>
    </w:p>
    <w:p w14:paraId="5757E431">
      <w:pPr>
        <w:pStyle w:val="19"/>
        <w:snapToGrid w:val="0"/>
        <w:spacing w:beforeLines="0" w:afterLines="0" w:line="360" w:lineRule="auto"/>
        <w:ind w:firstLine="470" w:firstLineChars="196"/>
        <w:rPr>
          <w:color w:val="auto"/>
          <w:highlight w:val="none"/>
        </w:rPr>
      </w:pPr>
      <w:r>
        <w:rPr>
          <w:rFonts w:hint="eastAsia"/>
          <w:color w:val="auto"/>
          <w:highlight w:val="none"/>
        </w:rPr>
        <w:t>1.确定中标供应商后，招标采购单位将以书面形式发出中标通知书，通知中标的投标人其投标被接受。</w:t>
      </w:r>
    </w:p>
    <w:p w14:paraId="7DF5C924">
      <w:pPr>
        <w:pStyle w:val="19"/>
        <w:snapToGrid w:val="0"/>
        <w:spacing w:beforeLines="0" w:afterLines="0" w:line="360" w:lineRule="auto"/>
        <w:ind w:firstLine="470" w:firstLineChars="196"/>
        <w:rPr>
          <w:color w:val="auto"/>
          <w:highlight w:val="none"/>
        </w:rPr>
      </w:pPr>
      <w:r>
        <w:rPr>
          <w:rFonts w:hint="eastAsia"/>
          <w:color w:val="auto"/>
          <w:highlight w:val="none"/>
        </w:rPr>
        <w:t>2.中标通知书为双方签订合同的依据。</w:t>
      </w:r>
    </w:p>
    <w:p w14:paraId="3F9FDCDA">
      <w:pPr>
        <w:pStyle w:val="19"/>
        <w:snapToGrid w:val="0"/>
        <w:spacing w:beforeLines="0" w:afterLines="0" w:line="360" w:lineRule="auto"/>
        <w:ind w:firstLine="470" w:firstLineChars="196"/>
        <w:rPr>
          <w:color w:val="auto"/>
          <w:highlight w:val="none"/>
        </w:rPr>
      </w:pPr>
      <w:r>
        <w:rPr>
          <w:rFonts w:hint="eastAsia"/>
          <w:color w:val="auto"/>
          <w:highlight w:val="none"/>
        </w:rPr>
        <w:t>3.中标供应商应根据中标通知书中规定的时间内，由法定代表人或其授权代理人与采购人签订合同。</w:t>
      </w:r>
    </w:p>
    <w:p w14:paraId="5081A435">
      <w:pPr>
        <w:pStyle w:val="19"/>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七、合同授予</w:t>
      </w:r>
    </w:p>
    <w:p w14:paraId="0A88AD4E">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14:paraId="68E8D8F7">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69F440E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14:paraId="729D5781">
      <w:pPr>
        <w:pStyle w:val="19"/>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14:paraId="4E608CF8">
      <w:pPr>
        <w:pStyle w:val="19"/>
        <w:snapToGrid w:val="0"/>
        <w:spacing w:beforeLines="0" w:afterLines="0" w:line="360" w:lineRule="auto"/>
        <w:ind w:firstLine="470" w:firstLineChars="196"/>
        <w:outlineLvl w:val="1"/>
        <w:rPr>
          <w:rFonts w:hAnsi="宋体"/>
          <w:color w:val="auto"/>
          <w:highlight w:val="none"/>
        </w:rPr>
      </w:pPr>
      <w:r>
        <w:rPr>
          <w:rFonts w:hint="eastAsia" w:hAnsi="宋体"/>
          <w:color w:val="auto"/>
          <w:highlight w:val="none"/>
        </w:rPr>
        <w:t>无</w:t>
      </w:r>
    </w:p>
    <w:p w14:paraId="04B4A673">
      <w:pPr>
        <w:pStyle w:val="19"/>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（三）其他</w:t>
      </w:r>
    </w:p>
    <w:p w14:paraId="28FC23F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65CFC20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21D5ACAC">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559BC2B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31EBD430">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00FE667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64A8DA4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78DA16E2">
      <w:pPr>
        <w:pStyle w:val="19"/>
        <w:snapToGrid w:val="0"/>
        <w:spacing w:beforeLines="0" w:afterLines="0" w:line="360" w:lineRule="auto"/>
        <w:ind w:firstLine="470" w:firstLineChars="196"/>
        <w:outlineLvl w:val="1"/>
        <w:rPr>
          <w:rFonts w:hAnsi="宋体"/>
          <w:color w:val="auto"/>
          <w:highlight w:val="none"/>
        </w:rPr>
      </w:pPr>
    </w:p>
    <w:p w14:paraId="1A1A055F">
      <w:pPr>
        <w:pStyle w:val="19"/>
        <w:snapToGrid w:val="0"/>
        <w:spacing w:beforeLines="0" w:afterLines="0" w:line="360" w:lineRule="auto"/>
        <w:ind w:firstLine="470" w:firstLineChars="196"/>
        <w:outlineLvl w:val="1"/>
        <w:rPr>
          <w:rFonts w:hAnsi="宋体"/>
          <w:color w:val="auto"/>
          <w:highlight w:val="none"/>
        </w:rPr>
      </w:pPr>
    </w:p>
    <w:p w14:paraId="16800532">
      <w:pPr>
        <w:pStyle w:val="19"/>
        <w:snapToGrid w:val="0"/>
        <w:spacing w:beforeLines="0" w:afterLines="0" w:line="360" w:lineRule="auto"/>
        <w:ind w:firstLine="470" w:firstLineChars="196"/>
        <w:outlineLvl w:val="1"/>
        <w:rPr>
          <w:rFonts w:hAnsi="宋体"/>
          <w:color w:val="auto"/>
          <w:highlight w:val="none"/>
        </w:rPr>
      </w:pPr>
    </w:p>
    <w:p w14:paraId="1F923E3F">
      <w:pPr>
        <w:pStyle w:val="19"/>
        <w:snapToGrid w:val="0"/>
        <w:spacing w:beforeLines="0" w:afterLines="0" w:line="360" w:lineRule="auto"/>
        <w:ind w:firstLine="470" w:firstLineChars="196"/>
        <w:outlineLvl w:val="1"/>
        <w:rPr>
          <w:rFonts w:hAnsi="宋体"/>
          <w:color w:val="auto"/>
          <w:highlight w:val="none"/>
        </w:rPr>
      </w:pPr>
    </w:p>
    <w:p w14:paraId="7357A0DA">
      <w:pPr>
        <w:pStyle w:val="19"/>
        <w:snapToGrid w:val="0"/>
        <w:spacing w:beforeLines="0" w:afterLines="0" w:line="360" w:lineRule="auto"/>
        <w:ind w:firstLine="470" w:firstLineChars="196"/>
        <w:outlineLvl w:val="1"/>
        <w:rPr>
          <w:rFonts w:hAnsi="宋体"/>
          <w:color w:val="auto"/>
          <w:highlight w:val="none"/>
        </w:rPr>
      </w:pPr>
    </w:p>
    <w:p w14:paraId="369534CE">
      <w:pPr>
        <w:pStyle w:val="19"/>
        <w:snapToGrid w:val="0"/>
        <w:spacing w:beforeLines="0" w:afterLines="0" w:line="360" w:lineRule="auto"/>
        <w:ind w:firstLine="470" w:firstLineChars="196"/>
        <w:outlineLvl w:val="1"/>
        <w:rPr>
          <w:rFonts w:hAnsi="宋体"/>
          <w:color w:val="auto"/>
          <w:highlight w:val="none"/>
        </w:rPr>
      </w:pPr>
    </w:p>
    <w:p w14:paraId="256F8D49">
      <w:pPr>
        <w:pStyle w:val="19"/>
        <w:snapToGrid w:val="0"/>
        <w:spacing w:beforeLines="0" w:afterLines="0" w:line="360" w:lineRule="auto"/>
        <w:ind w:firstLine="470" w:firstLineChars="196"/>
        <w:outlineLvl w:val="1"/>
        <w:rPr>
          <w:rFonts w:hAnsi="宋体"/>
          <w:color w:val="auto"/>
          <w:highlight w:val="none"/>
        </w:rPr>
      </w:pPr>
    </w:p>
    <w:p w14:paraId="70EFCEB2">
      <w:pPr>
        <w:pStyle w:val="19"/>
        <w:snapToGrid w:val="0"/>
        <w:spacing w:beforeLines="0" w:afterLines="0" w:line="360" w:lineRule="auto"/>
        <w:ind w:firstLine="470" w:firstLineChars="196"/>
        <w:outlineLvl w:val="1"/>
        <w:rPr>
          <w:rFonts w:hAnsi="宋体"/>
          <w:color w:val="auto"/>
          <w:highlight w:val="none"/>
        </w:rPr>
      </w:pPr>
    </w:p>
    <w:p w14:paraId="204564DE">
      <w:pPr>
        <w:pStyle w:val="19"/>
        <w:snapToGrid w:val="0"/>
        <w:spacing w:beforeLines="0" w:afterLines="0" w:line="360" w:lineRule="auto"/>
        <w:ind w:firstLine="470" w:firstLineChars="196"/>
        <w:outlineLvl w:val="1"/>
        <w:rPr>
          <w:rFonts w:hAnsi="宋体"/>
          <w:color w:val="auto"/>
          <w:highlight w:val="none"/>
        </w:rPr>
      </w:pPr>
    </w:p>
    <w:p w14:paraId="010764F0">
      <w:pPr>
        <w:pStyle w:val="19"/>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14:paraId="7E59B989">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湖州市森林资源高水平保护与高质量发展研究项目</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699C6B08">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湖州市森林资源高水平保护与高质量发展研究项目</w:t>
      </w:r>
      <w:r>
        <w:rPr>
          <w:rFonts w:hint="eastAsia" w:ascii="宋体" w:hAnsi="宋体"/>
          <w:bCs/>
          <w:color w:val="auto"/>
          <w:sz w:val="24"/>
          <w:szCs w:val="48"/>
          <w:highlight w:val="none"/>
        </w:rPr>
        <w:t>的评标。</w:t>
      </w:r>
    </w:p>
    <w:p w14:paraId="622DF613">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3C5213AD">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总分为100分，包含：价格分（10分）、</w:t>
      </w:r>
      <w:r>
        <w:rPr>
          <w:rFonts w:hint="eastAsia" w:ascii="宋体" w:hAnsi="宋体"/>
          <w:b/>
          <w:bCs/>
          <w:color w:val="auto"/>
          <w:sz w:val="24"/>
          <w:highlight w:val="none"/>
        </w:rPr>
        <w:t>技术、商务、资信及其他分（</w:t>
      </w:r>
      <w:r>
        <w:rPr>
          <w:rFonts w:hint="eastAsia" w:ascii="宋体" w:hAnsi="宋体"/>
          <w:b/>
          <w:color w:val="auto"/>
          <w:sz w:val="24"/>
          <w:highlight w:val="none"/>
        </w:rPr>
        <w:t>90分）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p>
    <w:p w14:paraId="69D5329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综合得分=价格分+（技术分+商务、资信及其他分）</w:t>
      </w:r>
    </w:p>
    <w:p w14:paraId="13C9B778">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6CF97B57">
      <w:pPr>
        <w:pStyle w:val="15"/>
        <w:spacing w:line="360" w:lineRule="auto"/>
        <w:ind w:firstLine="466" w:firstLineChars="200"/>
        <w:rPr>
          <w:rFonts w:hAnsi="宋体"/>
          <w:b/>
          <w:bCs/>
          <w:color w:val="auto"/>
          <w:sz w:val="24"/>
          <w:highlight w:val="none"/>
        </w:rPr>
      </w:pPr>
      <w:r>
        <w:rPr>
          <w:rFonts w:hint="eastAsia" w:hAnsi="宋体"/>
          <w:b/>
          <w:color w:val="auto"/>
          <w:sz w:val="24"/>
          <w:highlight w:val="none"/>
        </w:rPr>
        <w:t>（一）</w:t>
      </w:r>
      <w:r>
        <w:rPr>
          <w:rFonts w:hint="eastAsia" w:hAnsi="宋体"/>
          <w:b/>
          <w:bCs/>
          <w:color w:val="auto"/>
          <w:sz w:val="24"/>
          <w:highlight w:val="none"/>
        </w:rPr>
        <w:t>价格分（10分）</w:t>
      </w:r>
    </w:p>
    <w:p w14:paraId="2851AC64">
      <w:pPr>
        <w:pStyle w:val="15"/>
        <w:spacing w:line="360" w:lineRule="auto"/>
        <w:ind w:firstLine="464"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采用低价优先法计算，即满足招标文件要求且投标价格最低的投标报价为评标基准价，其他投标人的价格分按照下列公式计算：</w:t>
      </w:r>
    </w:p>
    <w:p w14:paraId="40AC388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价格分=（评标基准价/投标报价）×10%×100</w:t>
      </w:r>
    </w:p>
    <w:p w14:paraId="4A156844">
      <w:pPr>
        <w:spacing w:line="360" w:lineRule="auto"/>
        <w:ind w:firstLine="457" w:firstLineChars="196"/>
        <w:jc w:val="left"/>
        <w:rPr>
          <w:rFonts w:ascii="宋体" w:hAnsi="宋体"/>
          <w:b/>
          <w:bCs/>
          <w:color w:val="auto"/>
          <w:spacing w:val="-4"/>
          <w:sz w:val="24"/>
          <w:highlight w:val="none"/>
        </w:rPr>
      </w:pPr>
      <w:r>
        <w:rPr>
          <w:rFonts w:hint="eastAsia" w:ascii="宋体" w:hAnsi="宋体"/>
          <w:b/>
          <w:bCs/>
          <w:color w:val="auto"/>
          <w:spacing w:val="-4"/>
          <w:sz w:val="24"/>
          <w:highlight w:val="none"/>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和《浙江省财政厅关于进一步加大政府采购支持中小企业力度助力扎实稳住经济的通知》（浙财采监[2022]8号），对小微企业报价给予20%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6%给予扣除，用扣除后的价格参加评审（提供联合体各方共同投标协议或分包意向协议）。</w:t>
      </w:r>
    </w:p>
    <w:p w14:paraId="64B630B4">
      <w:pPr>
        <w:spacing w:line="360" w:lineRule="auto"/>
        <w:ind w:firstLine="466" w:firstLineChars="200"/>
        <w:rPr>
          <w:rFonts w:ascii="宋体" w:hAnsi="宋体"/>
          <w:bCs/>
          <w:color w:val="auto"/>
          <w:spacing w:val="-4"/>
          <w:sz w:val="24"/>
          <w:highlight w:val="none"/>
        </w:rPr>
      </w:pPr>
      <w:r>
        <w:rPr>
          <w:rFonts w:hint="eastAsia" w:ascii="宋体" w:hAnsi="宋体"/>
          <w:b/>
          <w:bCs/>
          <w:color w:val="auto"/>
          <w:spacing w:val="-4"/>
          <w:sz w:val="24"/>
          <w:highlight w:val="none"/>
        </w:rPr>
        <w:t>2.本项目划分的行业为其他未列明行业</w:t>
      </w:r>
      <w:r>
        <w:rPr>
          <w:rFonts w:hint="eastAsia" w:ascii="宋体" w:hAnsi="宋体"/>
          <w:bCs/>
          <w:color w:val="auto"/>
          <w:spacing w:val="-4"/>
          <w:sz w:val="24"/>
          <w:highlight w:val="none"/>
        </w:rPr>
        <w:t>。投标人应自行根据《关于印发中小企业划型标准规定的通知》（工信部联企业〔2011〕300 号），确定：服务采购项目的</w:t>
      </w:r>
      <w:r>
        <w:rPr>
          <w:rFonts w:ascii="宋体" w:hAnsi="宋体"/>
          <w:bCs/>
          <w:color w:val="auto"/>
          <w:spacing w:val="-4"/>
          <w:sz w:val="24"/>
          <w:highlight w:val="none"/>
        </w:rPr>
        <w:t>服务</w:t>
      </w:r>
      <w:r>
        <w:rPr>
          <w:rFonts w:hint="eastAsia" w:ascii="宋体" w:hAnsi="宋体"/>
          <w:bCs/>
          <w:color w:val="auto"/>
          <w:spacing w:val="-4"/>
          <w:sz w:val="24"/>
          <w:highlight w:val="none"/>
        </w:rPr>
        <w:t>是否</w:t>
      </w:r>
      <w:r>
        <w:rPr>
          <w:rFonts w:ascii="宋体" w:hAnsi="宋体"/>
          <w:bCs/>
          <w:color w:val="auto"/>
          <w:spacing w:val="-4"/>
          <w:sz w:val="24"/>
          <w:highlight w:val="none"/>
        </w:rPr>
        <w:t>全部由符合政策要求的中小企业承接。</w:t>
      </w:r>
      <w:r>
        <w:rPr>
          <w:rFonts w:hint="eastAsia" w:ascii="宋体" w:hAnsi="宋体"/>
          <w:bCs/>
          <w:color w:val="auto"/>
          <w:spacing w:val="-4"/>
          <w:sz w:val="24"/>
          <w:highlight w:val="none"/>
        </w:rPr>
        <w:t>投标人根据实际情况填写《中小企业声明函》（格式见附件），作为供应商是否享受本项目价格扣除政策的依据。</w:t>
      </w:r>
    </w:p>
    <w:p w14:paraId="0D7F6EF7">
      <w:pPr>
        <w:spacing w:line="360" w:lineRule="auto"/>
        <w:ind w:firstLine="464" w:firstLineChars="200"/>
        <w:rPr>
          <w:rFonts w:ascii="宋体" w:hAnsi="宋体"/>
          <w:bCs/>
          <w:color w:val="auto"/>
          <w:spacing w:val="-4"/>
          <w:sz w:val="24"/>
          <w:highlight w:val="none"/>
        </w:rPr>
      </w:pPr>
      <w:r>
        <w:rPr>
          <w:rFonts w:ascii="宋体" w:hAnsi="宋体"/>
          <w:bCs/>
          <w:color w:val="auto"/>
          <w:spacing w:val="-4"/>
          <w:sz w:val="24"/>
          <w:highlight w:val="none"/>
        </w:rPr>
        <w:t>3</w:t>
      </w:r>
      <w:r>
        <w:rPr>
          <w:rFonts w:hint="eastAsia" w:ascii="宋体" w:hAnsi="宋体"/>
          <w:bCs/>
          <w:color w:val="auto"/>
          <w:spacing w:val="-4"/>
          <w:sz w:val="24"/>
          <w:highlight w:val="none"/>
        </w:rPr>
        <w:t>.根据《政府采购促进中小企业发展管理办法》（财库【2020】46号）第二十条规定，投标人</w:t>
      </w:r>
      <w:r>
        <w:rPr>
          <w:rFonts w:ascii="宋体" w:hAnsi="宋体"/>
          <w:bCs/>
          <w:color w:val="auto"/>
          <w:spacing w:val="-4"/>
          <w:sz w:val="24"/>
          <w:highlight w:val="none"/>
        </w:rPr>
        <w:t>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办法规定提供声明函内容不实的，属于提供虚假材料谋取中标、成交，依照《中华人民共和国政府采购法》等国家有关规定追究相应责任。适用招标投标法的政府采购工程建设项目，投标人按照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办法规定提供声明函内容不实的，属于弄虚作假骗取中标，依照《中华人民共和国招标投标法》等国家有关规定追究相应责任。</w:t>
      </w:r>
    </w:p>
    <w:p w14:paraId="30497E26">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4.监狱企业参加政府采购提供《监狱企业声明函》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及其相关的充分的证明材料的，视为小型、微型企业，享受小微企业政策扶持；监狱企业属于小型、微型企业的，不重复享受政策。</w:t>
      </w:r>
    </w:p>
    <w:p w14:paraId="73727E60">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5.残疾人福利性单位参加政府采购提供《残疾人福利性单位声明函》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，视为小型、微型企业，享受小微企业政策扶持；残疾人福利性单位属于小型、微型企业的，不重复享受政策。</w:t>
      </w:r>
    </w:p>
    <w:p w14:paraId="7AFC73C4">
      <w:pPr>
        <w:spacing w:line="360" w:lineRule="auto"/>
        <w:ind w:firstLine="466" w:firstLineChars="200"/>
        <w:rPr>
          <w:rFonts w:ascii="宋体" w:hAnsi="宋体"/>
          <w:color w:val="auto"/>
          <w:sz w:val="24"/>
          <w:highlight w:val="none"/>
        </w:rPr>
      </w:pPr>
      <w:r>
        <w:rPr>
          <w:rFonts w:hint="eastAsia" w:ascii="宋体" w:hAnsi="宋体"/>
          <w:b/>
          <w:bCs/>
          <w:color w:val="auto"/>
          <w:spacing w:val="-4"/>
          <w:sz w:val="24"/>
          <w:highlight w:val="none"/>
        </w:rPr>
        <w:t>上述计算扣除不累计计算，最高扣除20%</w:t>
      </w:r>
      <w:r>
        <w:rPr>
          <w:rFonts w:hint="eastAsia" w:ascii="宋体" w:hAnsi="宋体"/>
          <w:bCs/>
          <w:color w:val="auto"/>
          <w:sz w:val="24"/>
          <w:highlight w:val="none"/>
        </w:rPr>
        <w:t>；未提供以上相关材料的，均不给予价格计算扣除。</w:t>
      </w:r>
    </w:p>
    <w:p w14:paraId="479AACDD">
      <w:pPr>
        <w:spacing w:line="360" w:lineRule="auto"/>
        <w:ind w:firstLine="480" w:firstLineChars="200"/>
        <w:rPr>
          <w:rFonts w:ascii="宋体" w:hAnsi="宋体"/>
          <w:color w:val="auto"/>
          <w:sz w:val="24"/>
          <w:highlight w:val="none"/>
        </w:rPr>
      </w:pPr>
    </w:p>
    <w:p w14:paraId="323A201B">
      <w:pPr>
        <w:spacing w:line="360" w:lineRule="auto"/>
        <w:ind w:left="9094" w:leftChars="200" w:hanging="8674" w:hangingChars="3600"/>
        <w:jc w:val="left"/>
        <w:rPr>
          <w:rFonts w:ascii="宋体" w:hAnsi="宋体" w:cs="宋体"/>
          <w:b/>
          <w:bCs/>
          <w:color w:val="auto"/>
          <w:sz w:val="24"/>
          <w:highlight w:val="none"/>
        </w:rPr>
      </w:pPr>
      <w:r>
        <w:rPr>
          <w:rFonts w:hint="eastAsia" w:ascii="宋体" w:hAnsi="宋体"/>
          <w:b/>
          <w:bCs/>
          <w:color w:val="auto"/>
          <w:sz w:val="24"/>
          <w:highlight w:val="none"/>
        </w:rPr>
        <w:t>（二）技术、商务、资信及其他分（90分）</w:t>
      </w:r>
    </w:p>
    <w:tbl>
      <w:tblPr>
        <w:tblStyle w:val="34"/>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42"/>
        <w:gridCol w:w="6946"/>
        <w:gridCol w:w="1276"/>
      </w:tblGrid>
      <w:tr w14:paraId="06F6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0" w:type="dxa"/>
            <w:vAlign w:val="center"/>
          </w:tcPr>
          <w:p w14:paraId="60B2AB49">
            <w:pPr>
              <w:pStyle w:val="15"/>
              <w:spacing w:before="120" w:beforeLines="50" w:after="120" w:afterLines="50" w:line="360" w:lineRule="auto"/>
              <w:ind w:firstLine="0"/>
              <w:rPr>
                <w:rFonts w:hAnsi="宋体"/>
                <w:color w:val="auto"/>
                <w:sz w:val="24"/>
                <w:highlight w:val="none"/>
              </w:rPr>
            </w:pPr>
            <w:r>
              <w:rPr>
                <w:rFonts w:hAnsi="宋体"/>
                <w:color w:val="auto"/>
                <w:sz w:val="24"/>
                <w:highlight w:val="none"/>
              </w:rPr>
              <w:t>序号</w:t>
            </w:r>
          </w:p>
        </w:tc>
        <w:tc>
          <w:tcPr>
            <w:tcW w:w="8505" w:type="dxa"/>
            <w:gridSpan w:val="3"/>
            <w:vAlign w:val="center"/>
          </w:tcPr>
          <w:p w14:paraId="6821E591">
            <w:pPr>
              <w:pStyle w:val="15"/>
              <w:spacing w:before="120" w:beforeLines="50" w:after="120" w:afterLines="50" w:line="360" w:lineRule="auto"/>
              <w:jc w:val="center"/>
              <w:rPr>
                <w:rFonts w:hAnsi="宋体"/>
                <w:color w:val="auto"/>
                <w:sz w:val="24"/>
                <w:highlight w:val="none"/>
              </w:rPr>
            </w:pPr>
            <w:r>
              <w:rPr>
                <w:rFonts w:hint="eastAsia" w:hAnsi="宋体"/>
                <w:color w:val="auto"/>
                <w:sz w:val="24"/>
                <w:highlight w:val="none"/>
              </w:rPr>
              <w:t>评分内容</w:t>
            </w:r>
          </w:p>
        </w:tc>
        <w:tc>
          <w:tcPr>
            <w:tcW w:w="1276" w:type="dxa"/>
            <w:vAlign w:val="center"/>
          </w:tcPr>
          <w:p w14:paraId="3A7AD844">
            <w:pPr>
              <w:pStyle w:val="15"/>
              <w:spacing w:before="120" w:beforeLines="50" w:after="120" w:afterLines="50" w:line="360" w:lineRule="auto"/>
              <w:ind w:firstLine="0"/>
              <w:rPr>
                <w:rFonts w:hAnsi="宋体"/>
                <w:color w:val="auto"/>
                <w:sz w:val="24"/>
                <w:highlight w:val="none"/>
              </w:rPr>
            </w:pPr>
            <w:r>
              <w:rPr>
                <w:rFonts w:hint="eastAsia" w:hAnsi="宋体"/>
                <w:color w:val="auto"/>
                <w:sz w:val="24"/>
                <w:highlight w:val="none"/>
              </w:rPr>
              <w:t>分值范围</w:t>
            </w:r>
          </w:p>
        </w:tc>
      </w:tr>
      <w:tr w14:paraId="072C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15" w:type="dxa"/>
            <w:gridSpan w:val="4"/>
            <w:vAlign w:val="center"/>
          </w:tcPr>
          <w:p w14:paraId="3FCC5C47">
            <w:pPr>
              <w:pStyle w:val="15"/>
              <w:spacing w:before="120" w:beforeLines="50" w:after="120" w:afterLines="50" w:line="360" w:lineRule="auto"/>
              <w:ind w:left="126" w:leftChars="60"/>
              <w:jc w:val="center"/>
              <w:rPr>
                <w:rFonts w:hAnsi="宋体"/>
                <w:color w:val="auto"/>
                <w:sz w:val="24"/>
                <w:highlight w:val="none"/>
              </w:rPr>
            </w:pPr>
            <w:r>
              <w:rPr>
                <w:rFonts w:hint="eastAsia" w:hAnsi="宋体"/>
                <w:color w:val="auto"/>
                <w:sz w:val="24"/>
                <w:highlight w:val="none"/>
              </w:rPr>
              <w:t>技术部分</w:t>
            </w:r>
          </w:p>
        </w:tc>
        <w:tc>
          <w:tcPr>
            <w:tcW w:w="1276" w:type="dxa"/>
            <w:vAlign w:val="center"/>
          </w:tcPr>
          <w:p w14:paraId="152861DF">
            <w:pPr>
              <w:pStyle w:val="15"/>
              <w:spacing w:before="120" w:beforeLines="50" w:after="120" w:afterLines="50" w:line="360" w:lineRule="auto"/>
              <w:ind w:firstLine="348" w:firstLineChars="150"/>
              <w:rPr>
                <w:rFonts w:hAnsi="宋体"/>
                <w:color w:val="auto"/>
                <w:sz w:val="24"/>
                <w:highlight w:val="none"/>
              </w:rPr>
            </w:pPr>
            <w:r>
              <w:rPr>
                <w:rFonts w:hint="eastAsia" w:hAnsi="宋体"/>
                <w:color w:val="auto"/>
                <w:sz w:val="24"/>
                <w:highlight w:val="none"/>
              </w:rPr>
              <w:t>7</w:t>
            </w:r>
            <w:r>
              <w:rPr>
                <w:rFonts w:hint="eastAsia" w:hAnsi="宋体"/>
                <w:color w:val="auto"/>
                <w:sz w:val="24"/>
                <w:highlight w:val="none"/>
                <w:lang w:val="en-US" w:eastAsia="zh-CN"/>
              </w:rPr>
              <w:t>7</w:t>
            </w:r>
            <w:r>
              <w:rPr>
                <w:rFonts w:hint="eastAsia" w:hAnsi="宋体"/>
                <w:color w:val="auto"/>
                <w:sz w:val="24"/>
                <w:highlight w:val="none"/>
              </w:rPr>
              <w:t>分</w:t>
            </w:r>
          </w:p>
        </w:tc>
      </w:tr>
      <w:tr w14:paraId="5BA5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710" w:type="dxa"/>
            <w:vAlign w:val="center"/>
          </w:tcPr>
          <w:p w14:paraId="05976273">
            <w:pPr>
              <w:spacing w:line="360" w:lineRule="auto"/>
              <w:rPr>
                <w:rFonts w:ascii="宋体" w:cs="宋体"/>
                <w:color w:val="auto"/>
                <w:sz w:val="24"/>
                <w:highlight w:val="none"/>
              </w:rPr>
            </w:pPr>
            <w:r>
              <w:rPr>
                <w:rFonts w:ascii="宋体" w:cs="宋体"/>
                <w:color w:val="auto"/>
                <w:sz w:val="24"/>
                <w:highlight w:val="none"/>
              </w:rPr>
              <w:t>1</w:t>
            </w:r>
          </w:p>
        </w:tc>
        <w:tc>
          <w:tcPr>
            <w:tcW w:w="1417" w:type="dxa"/>
            <w:vAlign w:val="center"/>
          </w:tcPr>
          <w:p w14:paraId="2F56B5A0">
            <w:pPr>
              <w:widowControl/>
              <w:spacing w:line="360" w:lineRule="auto"/>
              <w:rPr>
                <w:rFonts w:ascii="宋体"/>
                <w:color w:val="auto"/>
                <w:sz w:val="24"/>
                <w:highlight w:val="none"/>
              </w:rPr>
            </w:pPr>
            <w:r>
              <w:rPr>
                <w:rFonts w:hint="eastAsia" w:ascii="宋体"/>
                <w:color w:val="auto"/>
                <w:sz w:val="24"/>
                <w:highlight w:val="none"/>
              </w:rPr>
              <w:t>对本项目的理解与分析</w:t>
            </w:r>
          </w:p>
        </w:tc>
        <w:tc>
          <w:tcPr>
            <w:tcW w:w="7088" w:type="dxa"/>
            <w:gridSpan w:val="2"/>
          </w:tcPr>
          <w:p w14:paraId="6A23CAF5">
            <w:pPr>
              <w:widowControl/>
              <w:spacing w:line="360" w:lineRule="auto"/>
              <w:rPr>
                <w:rFonts w:ascii="宋体"/>
                <w:color w:val="auto"/>
                <w:sz w:val="24"/>
                <w:highlight w:val="none"/>
              </w:rPr>
            </w:pPr>
            <w:r>
              <w:rPr>
                <w:rFonts w:hint="eastAsia" w:ascii="宋体"/>
                <w:color w:val="auto"/>
                <w:sz w:val="24"/>
                <w:highlight w:val="none"/>
              </w:rPr>
              <w:t>1.针对本项目的研究背景和意义、森林资源保护和发展现状情况、森林资源现状情况和存在问题的分析和理解。阐述科学、合理、完整，满足招标文件要求</w:t>
            </w:r>
            <w:r>
              <w:rPr>
                <w:rFonts w:ascii="宋体"/>
                <w:color w:val="auto"/>
                <w:sz w:val="24"/>
                <w:highlight w:val="none"/>
              </w:rPr>
              <w:t>，不漏项且有针对性得</w:t>
            </w:r>
            <w:r>
              <w:rPr>
                <w:rFonts w:hint="eastAsia" w:ascii="宋体"/>
                <w:color w:val="auto"/>
                <w:sz w:val="24"/>
                <w:highlight w:val="none"/>
                <w:lang w:val="en-US" w:eastAsia="zh-CN"/>
              </w:rPr>
              <w:t>6</w:t>
            </w:r>
            <w:r>
              <w:rPr>
                <w:rFonts w:ascii="宋体"/>
                <w:color w:val="auto"/>
                <w:sz w:val="24"/>
                <w:highlight w:val="none"/>
              </w:rPr>
              <w:t>分；提供的方案漏缺1项或2项，有针对性解释说明得</w:t>
            </w:r>
            <w:r>
              <w:rPr>
                <w:rFonts w:hint="eastAsia" w:ascii="宋体"/>
                <w:color w:val="auto"/>
                <w:sz w:val="24"/>
                <w:highlight w:val="none"/>
                <w:lang w:val="en-US" w:eastAsia="zh-CN"/>
              </w:rPr>
              <w:t>5</w:t>
            </w:r>
            <w:r>
              <w:rPr>
                <w:rFonts w:ascii="宋体"/>
                <w:color w:val="auto"/>
                <w:sz w:val="24"/>
                <w:highlight w:val="none"/>
              </w:rPr>
              <w:t>分；提供的方案基本全面，有针对性解释说明得</w:t>
            </w:r>
            <w:r>
              <w:rPr>
                <w:rFonts w:hint="eastAsia" w:ascii="宋体"/>
                <w:color w:val="auto"/>
                <w:sz w:val="24"/>
                <w:highlight w:val="none"/>
                <w:lang w:val="en-US" w:eastAsia="zh-CN"/>
              </w:rPr>
              <w:t>4</w:t>
            </w:r>
            <w:r>
              <w:rPr>
                <w:rFonts w:ascii="宋体"/>
                <w:color w:val="auto"/>
                <w:sz w:val="24"/>
                <w:highlight w:val="none"/>
              </w:rPr>
              <w:t>分；提供的方案不全面，有针对性解释说明得</w:t>
            </w:r>
            <w:r>
              <w:rPr>
                <w:rFonts w:hint="eastAsia" w:ascii="宋体"/>
                <w:color w:val="auto"/>
                <w:sz w:val="24"/>
                <w:highlight w:val="none"/>
                <w:lang w:val="en-US" w:eastAsia="zh-CN"/>
              </w:rPr>
              <w:t>2</w:t>
            </w:r>
            <w:r>
              <w:rPr>
                <w:rFonts w:ascii="宋体"/>
                <w:color w:val="auto"/>
                <w:sz w:val="24"/>
                <w:highlight w:val="none"/>
              </w:rPr>
              <w:t>分；提供的方案不全面，没有解释说明得</w:t>
            </w:r>
            <w:r>
              <w:rPr>
                <w:rFonts w:hint="eastAsia" w:ascii="宋体"/>
                <w:color w:val="auto"/>
                <w:sz w:val="24"/>
                <w:highlight w:val="none"/>
                <w:lang w:val="en-US" w:eastAsia="zh-CN"/>
              </w:rPr>
              <w:t>1</w:t>
            </w:r>
            <w:r>
              <w:rPr>
                <w:rFonts w:ascii="宋体"/>
                <w:color w:val="auto"/>
                <w:sz w:val="24"/>
                <w:highlight w:val="none"/>
              </w:rPr>
              <w:t>分；未提供不得分。</w:t>
            </w:r>
          </w:p>
        </w:tc>
        <w:tc>
          <w:tcPr>
            <w:tcW w:w="1276" w:type="dxa"/>
            <w:vAlign w:val="center"/>
          </w:tcPr>
          <w:p w14:paraId="697928F3">
            <w:pPr>
              <w:adjustRightInd w:val="0"/>
              <w:snapToGrid w:val="0"/>
              <w:spacing w:line="360" w:lineRule="auto"/>
              <w:jc w:val="center"/>
              <w:textAlignment w:val="center"/>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分</w:t>
            </w:r>
          </w:p>
        </w:tc>
      </w:tr>
      <w:tr w14:paraId="1D7D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2125E328">
            <w:pPr>
              <w:spacing w:line="360" w:lineRule="auto"/>
              <w:rPr>
                <w:rFonts w:ascii="宋体" w:cs="宋体"/>
                <w:color w:val="auto"/>
                <w:sz w:val="24"/>
                <w:highlight w:val="none"/>
              </w:rPr>
            </w:pPr>
            <w:r>
              <w:rPr>
                <w:rFonts w:hint="eastAsia" w:ascii="宋体" w:cs="宋体"/>
                <w:color w:val="auto"/>
                <w:sz w:val="24"/>
                <w:highlight w:val="none"/>
              </w:rPr>
              <w:t>2</w:t>
            </w:r>
          </w:p>
        </w:tc>
        <w:tc>
          <w:tcPr>
            <w:tcW w:w="1417" w:type="dxa"/>
            <w:vAlign w:val="center"/>
          </w:tcPr>
          <w:p w14:paraId="7A379DBE">
            <w:pPr>
              <w:widowControl/>
              <w:spacing w:line="360" w:lineRule="auto"/>
              <w:rPr>
                <w:rFonts w:ascii="宋体"/>
                <w:color w:val="auto"/>
                <w:sz w:val="24"/>
                <w:highlight w:val="none"/>
              </w:rPr>
            </w:pPr>
            <w:r>
              <w:rPr>
                <w:rFonts w:hint="eastAsia" w:ascii="宋体"/>
                <w:color w:val="auto"/>
                <w:sz w:val="24"/>
                <w:highlight w:val="none"/>
              </w:rPr>
              <w:t>项目实施</w:t>
            </w:r>
          </w:p>
          <w:p w14:paraId="55D39864">
            <w:pPr>
              <w:widowControl/>
              <w:spacing w:line="360" w:lineRule="auto"/>
              <w:rPr>
                <w:rFonts w:ascii="宋体"/>
                <w:color w:val="auto"/>
                <w:sz w:val="24"/>
                <w:highlight w:val="none"/>
              </w:rPr>
            </w:pPr>
            <w:r>
              <w:rPr>
                <w:rFonts w:hint="eastAsia" w:ascii="宋体"/>
                <w:color w:val="auto"/>
                <w:sz w:val="24"/>
                <w:highlight w:val="none"/>
              </w:rPr>
              <w:t>技术方案</w:t>
            </w:r>
          </w:p>
        </w:tc>
        <w:tc>
          <w:tcPr>
            <w:tcW w:w="7088" w:type="dxa"/>
            <w:gridSpan w:val="2"/>
          </w:tcPr>
          <w:p w14:paraId="1D669F4D">
            <w:pPr>
              <w:widowControl/>
              <w:spacing w:line="360" w:lineRule="auto"/>
              <w:rPr>
                <w:rFonts w:ascii="宋体"/>
                <w:color w:val="auto"/>
                <w:sz w:val="24"/>
                <w:highlight w:val="none"/>
              </w:rPr>
            </w:pPr>
            <w:r>
              <w:rPr>
                <w:rFonts w:hint="eastAsia" w:ascii="宋体"/>
                <w:bCs/>
                <w:color w:val="auto"/>
                <w:sz w:val="24"/>
                <w:highlight w:val="none"/>
              </w:rPr>
              <w:t>1.针对本项目的研究技术路线方法研究。</w:t>
            </w:r>
            <w:r>
              <w:rPr>
                <w:rFonts w:hint="eastAsia" w:ascii="宋体"/>
                <w:color w:val="auto"/>
                <w:sz w:val="24"/>
                <w:highlight w:val="none"/>
              </w:rPr>
              <w:t>阐述科学、合理、完整，满足招标文件要求</w:t>
            </w:r>
            <w:r>
              <w:rPr>
                <w:rFonts w:ascii="宋体"/>
                <w:color w:val="auto"/>
                <w:sz w:val="24"/>
                <w:highlight w:val="none"/>
              </w:rPr>
              <w:t>，不漏项且有针对性得</w:t>
            </w:r>
            <w:r>
              <w:rPr>
                <w:rFonts w:hint="eastAsia" w:ascii="宋体"/>
                <w:color w:val="auto"/>
                <w:sz w:val="24"/>
                <w:highlight w:val="none"/>
              </w:rPr>
              <w:t>6</w:t>
            </w:r>
            <w:r>
              <w:rPr>
                <w:rFonts w:ascii="宋体"/>
                <w:color w:val="auto"/>
                <w:sz w:val="24"/>
                <w:highlight w:val="none"/>
              </w:rPr>
              <w:t>分；提供的方案漏缺1项或2项，有针对性得</w:t>
            </w:r>
            <w:r>
              <w:rPr>
                <w:rFonts w:hint="eastAsia" w:ascii="宋体"/>
                <w:color w:val="auto"/>
                <w:sz w:val="24"/>
                <w:highlight w:val="none"/>
                <w:lang w:val="en-US" w:eastAsia="zh-CN"/>
              </w:rPr>
              <w:t>5</w:t>
            </w:r>
            <w:r>
              <w:rPr>
                <w:rFonts w:ascii="宋体"/>
                <w:color w:val="auto"/>
                <w:sz w:val="24"/>
                <w:highlight w:val="none"/>
              </w:rPr>
              <w:t>分；提供的方案基本全面，有针对性得</w:t>
            </w:r>
            <w:r>
              <w:rPr>
                <w:rFonts w:hint="eastAsia" w:ascii="宋体"/>
                <w:color w:val="auto"/>
                <w:sz w:val="24"/>
                <w:highlight w:val="none"/>
                <w:lang w:val="en-US" w:eastAsia="zh-CN"/>
              </w:rPr>
              <w:t>4</w:t>
            </w:r>
            <w:r>
              <w:rPr>
                <w:rFonts w:ascii="宋体"/>
                <w:color w:val="auto"/>
                <w:sz w:val="24"/>
                <w:highlight w:val="none"/>
              </w:rPr>
              <w:t>分；提供的方案不全面，有针对性得</w:t>
            </w:r>
            <w:r>
              <w:rPr>
                <w:rFonts w:hint="eastAsia" w:ascii="宋体"/>
                <w:color w:val="auto"/>
                <w:sz w:val="24"/>
                <w:highlight w:val="none"/>
                <w:lang w:val="en-US" w:eastAsia="zh-CN"/>
              </w:rPr>
              <w:t>2</w:t>
            </w:r>
            <w:r>
              <w:rPr>
                <w:rFonts w:ascii="宋体"/>
                <w:color w:val="auto"/>
                <w:sz w:val="24"/>
                <w:highlight w:val="none"/>
              </w:rPr>
              <w:t>分；提供的方案不全面，</w:t>
            </w:r>
            <w:r>
              <w:rPr>
                <w:rFonts w:hint="eastAsia" w:ascii="宋体"/>
                <w:color w:val="auto"/>
                <w:sz w:val="24"/>
                <w:highlight w:val="none"/>
              </w:rPr>
              <w:t>针对性不强</w:t>
            </w:r>
            <w:r>
              <w:rPr>
                <w:rFonts w:ascii="宋体"/>
                <w:color w:val="auto"/>
                <w:sz w:val="24"/>
                <w:highlight w:val="none"/>
              </w:rPr>
              <w:t>得1分；未提供不得分。</w:t>
            </w:r>
          </w:p>
          <w:p w14:paraId="2631EB46">
            <w:pPr>
              <w:widowControl/>
              <w:spacing w:line="360" w:lineRule="auto"/>
              <w:rPr>
                <w:rFonts w:ascii="宋体"/>
                <w:color w:val="auto"/>
                <w:sz w:val="24"/>
                <w:highlight w:val="none"/>
              </w:rPr>
            </w:pPr>
            <w:r>
              <w:rPr>
                <w:rFonts w:ascii="宋体"/>
                <w:bCs/>
                <w:color w:val="auto"/>
                <w:sz w:val="24"/>
                <w:highlight w:val="none"/>
              </w:rPr>
              <w:t>2.</w:t>
            </w:r>
            <w:r>
              <w:rPr>
                <w:rFonts w:hint="eastAsia" w:ascii="宋体"/>
                <w:bCs/>
                <w:color w:val="auto"/>
                <w:sz w:val="24"/>
                <w:highlight w:val="none"/>
              </w:rPr>
              <w:t>针对本项目阐述的森林保护与发展措施研究。</w:t>
            </w:r>
            <w:r>
              <w:rPr>
                <w:rFonts w:hint="eastAsia" w:ascii="宋体"/>
                <w:color w:val="auto"/>
                <w:sz w:val="24"/>
                <w:highlight w:val="none"/>
              </w:rPr>
              <w:t>阐述科学、合理、完整，满足招标文件要求</w:t>
            </w:r>
            <w:r>
              <w:rPr>
                <w:rFonts w:ascii="宋体"/>
                <w:color w:val="auto"/>
                <w:sz w:val="24"/>
                <w:highlight w:val="none"/>
              </w:rPr>
              <w:t>，不漏项且有针对性得</w:t>
            </w:r>
            <w:r>
              <w:rPr>
                <w:rFonts w:hint="eastAsia" w:ascii="宋体"/>
                <w:color w:val="auto"/>
                <w:sz w:val="24"/>
                <w:highlight w:val="none"/>
              </w:rPr>
              <w:t>6</w:t>
            </w:r>
            <w:r>
              <w:rPr>
                <w:rFonts w:ascii="宋体"/>
                <w:color w:val="auto"/>
                <w:sz w:val="24"/>
                <w:highlight w:val="none"/>
              </w:rPr>
              <w:t>分；提供的方案漏缺1项或2项，有针对性得</w:t>
            </w:r>
            <w:r>
              <w:rPr>
                <w:rFonts w:hint="eastAsia" w:ascii="宋体"/>
                <w:color w:val="auto"/>
                <w:sz w:val="24"/>
                <w:highlight w:val="none"/>
                <w:lang w:val="en-US" w:eastAsia="zh-CN"/>
              </w:rPr>
              <w:t>5</w:t>
            </w:r>
            <w:r>
              <w:rPr>
                <w:rFonts w:ascii="宋体"/>
                <w:color w:val="auto"/>
                <w:sz w:val="24"/>
                <w:highlight w:val="none"/>
              </w:rPr>
              <w:t>分；提供的方案基本全面，有针对性得</w:t>
            </w:r>
            <w:r>
              <w:rPr>
                <w:rFonts w:hint="eastAsia" w:ascii="宋体"/>
                <w:color w:val="auto"/>
                <w:sz w:val="24"/>
                <w:highlight w:val="none"/>
                <w:lang w:val="en-US" w:eastAsia="zh-CN"/>
              </w:rPr>
              <w:t>4</w:t>
            </w:r>
            <w:r>
              <w:rPr>
                <w:rFonts w:ascii="宋体"/>
                <w:color w:val="auto"/>
                <w:sz w:val="24"/>
                <w:highlight w:val="none"/>
              </w:rPr>
              <w:t>分；提供的方案不全面，有针对性得</w:t>
            </w:r>
            <w:r>
              <w:rPr>
                <w:rFonts w:hint="eastAsia" w:ascii="宋体"/>
                <w:color w:val="auto"/>
                <w:sz w:val="24"/>
                <w:highlight w:val="none"/>
              </w:rPr>
              <w:t>2</w:t>
            </w:r>
            <w:r>
              <w:rPr>
                <w:rFonts w:ascii="宋体"/>
                <w:color w:val="auto"/>
                <w:sz w:val="24"/>
                <w:highlight w:val="none"/>
              </w:rPr>
              <w:t>分；提供的方案不全面，针对性</w:t>
            </w:r>
            <w:r>
              <w:rPr>
                <w:rFonts w:hint="eastAsia" w:ascii="宋体"/>
                <w:color w:val="auto"/>
                <w:sz w:val="24"/>
                <w:highlight w:val="none"/>
              </w:rPr>
              <w:t>不强</w:t>
            </w:r>
            <w:r>
              <w:rPr>
                <w:rFonts w:ascii="宋体"/>
                <w:color w:val="auto"/>
                <w:sz w:val="24"/>
                <w:highlight w:val="none"/>
              </w:rPr>
              <w:t>说明得1分；未提供不得分。</w:t>
            </w:r>
          </w:p>
          <w:p w14:paraId="4D80E494">
            <w:pPr>
              <w:widowControl/>
              <w:spacing w:line="360" w:lineRule="auto"/>
              <w:rPr>
                <w:rFonts w:ascii="宋体"/>
                <w:color w:val="auto"/>
                <w:sz w:val="24"/>
                <w:highlight w:val="none"/>
              </w:rPr>
            </w:pPr>
            <w:r>
              <w:rPr>
                <w:rFonts w:hint="eastAsia" w:ascii="宋体"/>
                <w:color w:val="auto"/>
                <w:sz w:val="24"/>
                <w:highlight w:val="none"/>
              </w:rPr>
              <w:t>3.针对本项目阐述的森林增长潜力空间分析及路径研究方法。阐述科学、合理、完整，满足招标文件要求</w:t>
            </w:r>
            <w:r>
              <w:rPr>
                <w:rFonts w:ascii="宋体"/>
                <w:color w:val="auto"/>
                <w:sz w:val="24"/>
                <w:highlight w:val="none"/>
              </w:rPr>
              <w:t>，不漏项且有针对性得</w:t>
            </w:r>
            <w:r>
              <w:rPr>
                <w:rFonts w:hint="eastAsia" w:ascii="宋体"/>
                <w:color w:val="auto"/>
                <w:sz w:val="24"/>
                <w:highlight w:val="none"/>
                <w:lang w:val="en-US" w:eastAsia="zh-CN"/>
              </w:rPr>
              <w:t>6</w:t>
            </w:r>
            <w:r>
              <w:rPr>
                <w:rFonts w:ascii="宋体"/>
                <w:color w:val="auto"/>
                <w:sz w:val="24"/>
                <w:highlight w:val="none"/>
              </w:rPr>
              <w:t>分；提供的方案漏缺1项或2项，有针对性得</w:t>
            </w:r>
            <w:r>
              <w:rPr>
                <w:rFonts w:hint="eastAsia" w:ascii="宋体"/>
                <w:color w:val="auto"/>
                <w:sz w:val="24"/>
                <w:highlight w:val="none"/>
                <w:lang w:val="en-US" w:eastAsia="zh-CN"/>
              </w:rPr>
              <w:t>5</w:t>
            </w:r>
            <w:r>
              <w:rPr>
                <w:rFonts w:ascii="宋体"/>
                <w:color w:val="auto"/>
                <w:sz w:val="24"/>
                <w:highlight w:val="none"/>
              </w:rPr>
              <w:t>分；提供的方案基本全面，有针对性得</w:t>
            </w:r>
            <w:r>
              <w:rPr>
                <w:rFonts w:hint="eastAsia" w:ascii="宋体"/>
                <w:color w:val="auto"/>
                <w:sz w:val="24"/>
                <w:highlight w:val="none"/>
              </w:rPr>
              <w:t>4</w:t>
            </w:r>
            <w:r>
              <w:rPr>
                <w:rFonts w:ascii="宋体"/>
                <w:color w:val="auto"/>
                <w:sz w:val="24"/>
                <w:highlight w:val="none"/>
              </w:rPr>
              <w:t>分；提供的方案不全面，有针对性得</w:t>
            </w:r>
            <w:r>
              <w:rPr>
                <w:rFonts w:hint="eastAsia" w:ascii="宋体"/>
                <w:color w:val="auto"/>
                <w:sz w:val="24"/>
                <w:highlight w:val="none"/>
              </w:rPr>
              <w:t>2</w:t>
            </w:r>
            <w:r>
              <w:rPr>
                <w:rFonts w:ascii="宋体"/>
                <w:color w:val="auto"/>
                <w:sz w:val="24"/>
                <w:highlight w:val="none"/>
              </w:rPr>
              <w:t>分；提供的方案不全面，</w:t>
            </w:r>
            <w:r>
              <w:rPr>
                <w:rFonts w:hint="eastAsia" w:ascii="宋体"/>
                <w:color w:val="auto"/>
                <w:sz w:val="24"/>
                <w:highlight w:val="none"/>
              </w:rPr>
              <w:t>针对性不强</w:t>
            </w:r>
            <w:r>
              <w:rPr>
                <w:rFonts w:ascii="宋体"/>
                <w:color w:val="auto"/>
                <w:sz w:val="24"/>
                <w:highlight w:val="none"/>
              </w:rPr>
              <w:t>得1分；未提供不得分。</w:t>
            </w:r>
          </w:p>
        </w:tc>
        <w:tc>
          <w:tcPr>
            <w:tcW w:w="1276" w:type="dxa"/>
            <w:vAlign w:val="center"/>
          </w:tcPr>
          <w:p w14:paraId="342D57E0">
            <w:pPr>
              <w:adjustRightInd w:val="0"/>
              <w:snapToGrid w:val="0"/>
              <w:spacing w:line="360" w:lineRule="auto"/>
              <w:jc w:val="center"/>
              <w:textAlignment w:val="center"/>
              <w:rPr>
                <w:rFonts w:ascii="宋体"/>
                <w:color w:val="auto"/>
                <w:sz w:val="24"/>
                <w:highlight w:val="none"/>
              </w:rPr>
            </w:pPr>
            <w:r>
              <w:rPr>
                <w:rFonts w:hint="eastAsia" w:ascii="宋体"/>
                <w:color w:val="auto"/>
                <w:sz w:val="24"/>
                <w:highlight w:val="none"/>
                <w:lang w:val="en-US" w:eastAsia="zh-CN"/>
              </w:rPr>
              <w:t>18</w:t>
            </w:r>
            <w:r>
              <w:rPr>
                <w:rFonts w:hint="eastAsia" w:ascii="宋体"/>
                <w:color w:val="auto"/>
                <w:sz w:val="24"/>
                <w:highlight w:val="none"/>
              </w:rPr>
              <w:t>分</w:t>
            </w:r>
          </w:p>
        </w:tc>
      </w:tr>
      <w:tr w14:paraId="7AB0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0FE1DA64">
            <w:pPr>
              <w:spacing w:line="360" w:lineRule="auto"/>
              <w:rPr>
                <w:rFonts w:ascii="宋体" w:cs="宋体"/>
                <w:color w:val="auto"/>
                <w:sz w:val="24"/>
                <w:highlight w:val="none"/>
              </w:rPr>
            </w:pPr>
            <w:r>
              <w:rPr>
                <w:rFonts w:hint="eastAsia" w:ascii="宋体" w:cs="宋体"/>
                <w:color w:val="auto"/>
                <w:sz w:val="24"/>
                <w:highlight w:val="none"/>
              </w:rPr>
              <w:t>3</w:t>
            </w:r>
          </w:p>
        </w:tc>
        <w:tc>
          <w:tcPr>
            <w:tcW w:w="1417" w:type="dxa"/>
            <w:vAlign w:val="center"/>
          </w:tcPr>
          <w:p w14:paraId="7A1D1002">
            <w:pPr>
              <w:widowControl/>
              <w:spacing w:line="360" w:lineRule="auto"/>
              <w:rPr>
                <w:rFonts w:ascii="宋体"/>
                <w:color w:val="auto"/>
                <w:sz w:val="24"/>
                <w:highlight w:val="none"/>
              </w:rPr>
            </w:pPr>
            <w:r>
              <w:rPr>
                <w:rFonts w:hint="eastAsia" w:ascii="宋体"/>
                <w:color w:val="auto"/>
                <w:sz w:val="24"/>
                <w:highlight w:val="none"/>
              </w:rPr>
              <w:t>关键点或难点分析和解决措施</w:t>
            </w:r>
          </w:p>
        </w:tc>
        <w:tc>
          <w:tcPr>
            <w:tcW w:w="7088" w:type="dxa"/>
            <w:gridSpan w:val="2"/>
          </w:tcPr>
          <w:p w14:paraId="001FA2CA">
            <w:pPr>
              <w:widowControl/>
              <w:spacing w:line="360" w:lineRule="auto"/>
              <w:rPr>
                <w:rFonts w:ascii="宋体"/>
                <w:color w:val="auto"/>
                <w:sz w:val="24"/>
                <w:highlight w:val="none"/>
              </w:rPr>
            </w:pPr>
            <w:r>
              <w:rPr>
                <w:rFonts w:hint="eastAsia" w:ascii="宋体"/>
                <w:bCs/>
                <w:color w:val="auto"/>
                <w:sz w:val="24"/>
                <w:highlight w:val="none"/>
              </w:rPr>
              <w:t>1.针对本项目的技术关键点或难点进行分析。</w:t>
            </w:r>
            <w:r>
              <w:rPr>
                <w:rFonts w:hint="eastAsia" w:ascii="宋体"/>
                <w:color w:val="auto"/>
                <w:sz w:val="24"/>
                <w:highlight w:val="none"/>
              </w:rPr>
              <w:t>阐述科学、合理、完整，满足招标文件要求</w:t>
            </w:r>
            <w:r>
              <w:rPr>
                <w:rFonts w:ascii="宋体"/>
                <w:color w:val="auto"/>
                <w:sz w:val="24"/>
                <w:highlight w:val="none"/>
              </w:rPr>
              <w:t>，不漏项且有针对性得</w:t>
            </w:r>
            <w:r>
              <w:rPr>
                <w:rFonts w:hint="eastAsia" w:ascii="宋体"/>
                <w:color w:val="auto"/>
                <w:sz w:val="24"/>
                <w:highlight w:val="none"/>
                <w:lang w:val="en-US" w:eastAsia="zh-CN"/>
              </w:rPr>
              <w:t>6</w:t>
            </w:r>
            <w:r>
              <w:rPr>
                <w:rFonts w:ascii="宋体"/>
                <w:color w:val="auto"/>
                <w:sz w:val="24"/>
                <w:highlight w:val="none"/>
              </w:rPr>
              <w:t>分；提供的方案漏缺1项或2项，有针对性得</w:t>
            </w:r>
            <w:r>
              <w:rPr>
                <w:rFonts w:hint="eastAsia" w:ascii="宋体"/>
                <w:color w:val="auto"/>
                <w:sz w:val="24"/>
                <w:highlight w:val="none"/>
                <w:lang w:val="en-US" w:eastAsia="zh-CN"/>
              </w:rPr>
              <w:t>5</w:t>
            </w:r>
            <w:r>
              <w:rPr>
                <w:rFonts w:ascii="宋体"/>
                <w:color w:val="auto"/>
                <w:sz w:val="24"/>
                <w:highlight w:val="none"/>
              </w:rPr>
              <w:t>分；提供的方案基本全面，有针对性得</w:t>
            </w:r>
            <w:r>
              <w:rPr>
                <w:rFonts w:hint="eastAsia" w:ascii="宋体"/>
                <w:color w:val="auto"/>
                <w:sz w:val="24"/>
                <w:highlight w:val="none"/>
                <w:lang w:val="en-US" w:eastAsia="zh-CN"/>
              </w:rPr>
              <w:t>4</w:t>
            </w:r>
            <w:r>
              <w:rPr>
                <w:rFonts w:ascii="宋体"/>
                <w:color w:val="auto"/>
                <w:sz w:val="24"/>
                <w:highlight w:val="none"/>
              </w:rPr>
              <w:t>分；提供的方案不全面，有针对性得</w:t>
            </w:r>
            <w:r>
              <w:rPr>
                <w:rFonts w:hint="eastAsia" w:ascii="宋体"/>
                <w:color w:val="auto"/>
                <w:sz w:val="24"/>
                <w:highlight w:val="none"/>
              </w:rPr>
              <w:t>2</w:t>
            </w:r>
            <w:r>
              <w:rPr>
                <w:rFonts w:ascii="宋体"/>
                <w:color w:val="auto"/>
                <w:sz w:val="24"/>
                <w:highlight w:val="none"/>
              </w:rPr>
              <w:t>分；提供的方案不全面，</w:t>
            </w:r>
            <w:r>
              <w:rPr>
                <w:rFonts w:hint="eastAsia" w:ascii="宋体"/>
                <w:color w:val="auto"/>
                <w:sz w:val="24"/>
                <w:highlight w:val="none"/>
              </w:rPr>
              <w:t>针对性不强</w:t>
            </w:r>
            <w:r>
              <w:rPr>
                <w:rFonts w:ascii="宋体"/>
                <w:color w:val="auto"/>
                <w:sz w:val="24"/>
                <w:highlight w:val="none"/>
              </w:rPr>
              <w:t>得1分；未提供不得分。</w:t>
            </w:r>
          </w:p>
          <w:p w14:paraId="4055284A">
            <w:pPr>
              <w:widowControl/>
              <w:spacing w:line="360" w:lineRule="auto"/>
              <w:rPr>
                <w:rFonts w:ascii="宋体"/>
                <w:color w:val="auto"/>
                <w:sz w:val="24"/>
                <w:highlight w:val="none"/>
              </w:rPr>
            </w:pPr>
            <w:r>
              <w:rPr>
                <w:rFonts w:hint="eastAsia" w:ascii="宋体"/>
                <w:bCs/>
                <w:color w:val="auto"/>
                <w:sz w:val="24"/>
                <w:highlight w:val="none"/>
              </w:rPr>
              <w:t>2.针对本项目的技术关键点或难点提出具有切实可行的解决措施。</w:t>
            </w:r>
            <w:r>
              <w:rPr>
                <w:rFonts w:hint="eastAsia" w:ascii="宋体"/>
                <w:color w:val="auto"/>
                <w:sz w:val="24"/>
                <w:highlight w:val="none"/>
              </w:rPr>
              <w:t>措施科学、合理、完整，满足招标文件要求</w:t>
            </w:r>
            <w:r>
              <w:rPr>
                <w:rFonts w:ascii="宋体"/>
                <w:color w:val="auto"/>
                <w:sz w:val="24"/>
                <w:highlight w:val="none"/>
              </w:rPr>
              <w:t>，不漏项且有针对性得</w:t>
            </w:r>
            <w:r>
              <w:rPr>
                <w:rFonts w:hint="eastAsia" w:ascii="宋体"/>
                <w:color w:val="auto"/>
                <w:sz w:val="24"/>
                <w:highlight w:val="none"/>
                <w:lang w:val="en-US" w:eastAsia="zh-CN"/>
              </w:rPr>
              <w:t>6</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漏缺1项或2项，有针对性得</w:t>
            </w:r>
            <w:r>
              <w:rPr>
                <w:rFonts w:hint="eastAsia" w:ascii="宋体"/>
                <w:color w:val="auto"/>
                <w:sz w:val="24"/>
                <w:highlight w:val="none"/>
                <w:lang w:val="en-US" w:eastAsia="zh-CN"/>
              </w:rPr>
              <w:t>5</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基本全面，有针对性得</w:t>
            </w:r>
            <w:r>
              <w:rPr>
                <w:rFonts w:hint="eastAsia" w:ascii="宋体"/>
                <w:color w:val="auto"/>
                <w:sz w:val="24"/>
                <w:highlight w:val="none"/>
                <w:lang w:val="en-US" w:eastAsia="zh-CN"/>
              </w:rPr>
              <w:t>4</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不全面，有针对性得</w:t>
            </w:r>
            <w:r>
              <w:rPr>
                <w:rFonts w:hint="eastAsia" w:ascii="宋体"/>
                <w:color w:val="auto"/>
                <w:sz w:val="24"/>
                <w:highlight w:val="none"/>
              </w:rPr>
              <w:t>2</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不全面，</w:t>
            </w:r>
            <w:r>
              <w:rPr>
                <w:rFonts w:hint="eastAsia" w:ascii="宋体"/>
                <w:color w:val="auto"/>
                <w:sz w:val="24"/>
                <w:highlight w:val="none"/>
              </w:rPr>
              <w:t>针对性不强</w:t>
            </w:r>
            <w:r>
              <w:rPr>
                <w:rFonts w:ascii="宋体"/>
                <w:color w:val="auto"/>
                <w:sz w:val="24"/>
                <w:highlight w:val="none"/>
              </w:rPr>
              <w:t>说明得1分；未提供不得分。</w:t>
            </w:r>
          </w:p>
        </w:tc>
        <w:tc>
          <w:tcPr>
            <w:tcW w:w="1276" w:type="dxa"/>
            <w:vAlign w:val="center"/>
          </w:tcPr>
          <w:p w14:paraId="623A5613">
            <w:pPr>
              <w:adjustRightInd w:val="0"/>
              <w:snapToGrid w:val="0"/>
              <w:spacing w:line="360" w:lineRule="auto"/>
              <w:jc w:val="center"/>
              <w:textAlignment w:val="center"/>
              <w:rPr>
                <w:rFonts w:ascii="宋体"/>
                <w:color w:val="auto"/>
                <w:sz w:val="24"/>
                <w:highlight w:val="none"/>
              </w:rPr>
            </w:pPr>
            <w:r>
              <w:rPr>
                <w:rFonts w:hint="eastAsia" w:ascii="宋体"/>
                <w:color w:val="auto"/>
                <w:sz w:val="24"/>
                <w:highlight w:val="none"/>
                <w:lang w:val="en-US" w:eastAsia="zh-CN"/>
              </w:rPr>
              <w:t>12</w:t>
            </w:r>
            <w:r>
              <w:rPr>
                <w:rFonts w:hint="eastAsia" w:ascii="宋体"/>
                <w:color w:val="auto"/>
                <w:sz w:val="24"/>
                <w:highlight w:val="none"/>
              </w:rPr>
              <w:t>分</w:t>
            </w:r>
          </w:p>
        </w:tc>
      </w:tr>
      <w:tr w14:paraId="1184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6DAE6375">
            <w:pPr>
              <w:spacing w:line="360" w:lineRule="auto"/>
              <w:rPr>
                <w:rFonts w:ascii="宋体" w:cs="宋体"/>
                <w:color w:val="auto"/>
                <w:sz w:val="24"/>
                <w:highlight w:val="none"/>
              </w:rPr>
            </w:pPr>
            <w:r>
              <w:rPr>
                <w:rFonts w:hint="eastAsia" w:ascii="宋体" w:cs="宋体"/>
                <w:color w:val="auto"/>
                <w:sz w:val="24"/>
                <w:highlight w:val="none"/>
              </w:rPr>
              <w:t>4</w:t>
            </w:r>
          </w:p>
        </w:tc>
        <w:tc>
          <w:tcPr>
            <w:tcW w:w="1417" w:type="dxa"/>
            <w:vAlign w:val="center"/>
          </w:tcPr>
          <w:p w14:paraId="204FB574">
            <w:pPr>
              <w:widowControl/>
              <w:spacing w:line="360" w:lineRule="auto"/>
              <w:rPr>
                <w:rFonts w:ascii="宋体"/>
                <w:color w:val="auto"/>
                <w:sz w:val="24"/>
                <w:highlight w:val="none"/>
              </w:rPr>
            </w:pPr>
            <w:r>
              <w:rPr>
                <w:rFonts w:hint="eastAsia" w:ascii="宋体"/>
                <w:color w:val="auto"/>
                <w:sz w:val="24"/>
                <w:highlight w:val="none"/>
              </w:rPr>
              <w:t>项目质量保证措施</w:t>
            </w:r>
          </w:p>
        </w:tc>
        <w:tc>
          <w:tcPr>
            <w:tcW w:w="7088" w:type="dxa"/>
            <w:gridSpan w:val="2"/>
          </w:tcPr>
          <w:p w14:paraId="23B790B6">
            <w:pPr>
              <w:widowControl/>
              <w:spacing w:line="360" w:lineRule="auto"/>
              <w:rPr>
                <w:rFonts w:ascii="宋体"/>
                <w:color w:val="auto"/>
                <w:sz w:val="24"/>
                <w:highlight w:val="none"/>
              </w:rPr>
            </w:pPr>
            <w:r>
              <w:rPr>
                <w:rFonts w:hint="eastAsia" w:ascii="宋体"/>
                <w:color w:val="auto"/>
                <w:sz w:val="24"/>
                <w:highlight w:val="none"/>
              </w:rPr>
              <w:t>质量保证体系完备周全，并具有切实可行的保证措施，措施科学、合理、完整，满足招标文件要求</w:t>
            </w:r>
            <w:r>
              <w:rPr>
                <w:rFonts w:ascii="宋体"/>
                <w:color w:val="auto"/>
                <w:sz w:val="24"/>
                <w:highlight w:val="none"/>
              </w:rPr>
              <w:t>，不漏项且有针对性得</w:t>
            </w:r>
            <w:r>
              <w:rPr>
                <w:rFonts w:hint="eastAsia" w:ascii="宋体"/>
                <w:color w:val="auto"/>
                <w:sz w:val="24"/>
                <w:highlight w:val="none"/>
                <w:lang w:val="en-US" w:eastAsia="zh-CN"/>
              </w:rPr>
              <w:t>6</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漏缺1项或2项，有针对性得</w:t>
            </w:r>
            <w:r>
              <w:rPr>
                <w:rFonts w:hint="eastAsia" w:ascii="宋体"/>
                <w:color w:val="auto"/>
                <w:sz w:val="24"/>
                <w:highlight w:val="none"/>
                <w:lang w:val="en-US" w:eastAsia="zh-CN"/>
              </w:rPr>
              <w:t>5</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基本全面，有针对性得</w:t>
            </w:r>
            <w:r>
              <w:rPr>
                <w:rFonts w:hint="eastAsia" w:ascii="宋体"/>
                <w:color w:val="auto"/>
                <w:sz w:val="24"/>
                <w:highlight w:val="none"/>
                <w:lang w:val="en-US" w:eastAsia="zh-CN"/>
              </w:rPr>
              <w:t>4</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不全面，针对性</w:t>
            </w:r>
            <w:r>
              <w:rPr>
                <w:rFonts w:hint="eastAsia" w:ascii="宋体"/>
                <w:color w:val="auto"/>
                <w:sz w:val="24"/>
                <w:highlight w:val="none"/>
              </w:rPr>
              <w:t>不强</w:t>
            </w:r>
            <w:r>
              <w:rPr>
                <w:rFonts w:ascii="宋体"/>
                <w:color w:val="auto"/>
                <w:sz w:val="24"/>
                <w:highlight w:val="none"/>
              </w:rPr>
              <w:t>得</w:t>
            </w:r>
            <w:r>
              <w:rPr>
                <w:rFonts w:hint="eastAsia" w:ascii="宋体"/>
                <w:color w:val="auto"/>
                <w:sz w:val="24"/>
                <w:highlight w:val="none"/>
              </w:rPr>
              <w:t>2</w:t>
            </w:r>
            <w:r>
              <w:rPr>
                <w:rFonts w:ascii="宋体"/>
                <w:color w:val="auto"/>
                <w:sz w:val="24"/>
                <w:highlight w:val="none"/>
              </w:rPr>
              <w:t>分；提供的</w:t>
            </w:r>
            <w:r>
              <w:rPr>
                <w:rFonts w:hint="eastAsia" w:ascii="宋体"/>
                <w:color w:val="auto"/>
                <w:sz w:val="24"/>
                <w:highlight w:val="none"/>
              </w:rPr>
              <w:t>措施</w:t>
            </w:r>
            <w:r>
              <w:rPr>
                <w:rFonts w:ascii="宋体"/>
                <w:color w:val="auto"/>
                <w:sz w:val="24"/>
                <w:highlight w:val="none"/>
              </w:rPr>
              <w:t>不全面得1分；未提供不得分。</w:t>
            </w:r>
          </w:p>
        </w:tc>
        <w:tc>
          <w:tcPr>
            <w:tcW w:w="1276" w:type="dxa"/>
            <w:vAlign w:val="center"/>
          </w:tcPr>
          <w:p w14:paraId="37A36728">
            <w:pPr>
              <w:widowControl/>
              <w:spacing w:line="360" w:lineRule="auto"/>
              <w:ind w:firstLine="240" w:firstLineChars="100"/>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分</w:t>
            </w:r>
          </w:p>
        </w:tc>
      </w:tr>
      <w:tr w14:paraId="409F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4D0ED65A">
            <w:pPr>
              <w:spacing w:line="360" w:lineRule="auto"/>
              <w:rPr>
                <w:rFonts w:ascii="宋体" w:cs="宋体"/>
                <w:color w:val="auto"/>
                <w:sz w:val="24"/>
                <w:highlight w:val="none"/>
              </w:rPr>
            </w:pPr>
            <w:r>
              <w:rPr>
                <w:rFonts w:hint="eastAsia" w:ascii="宋体" w:cs="宋体"/>
                <w:color w:val="auto"/>
                <w:sz w:val="24"/>
                <w:highlight w:val="none"/>
              </w:rPr>
              <w:t>5</w:t>
            </w:r>
          </w:p>
        </w:tc>
        <w:tc>
          <w:tcPr>
            <w:tcW w:w="1417" w:type="dxa"/>
            <w:vAlign w:val="center"/>
          </w:tcPr>
          <w:p w14:paraId="24176F21">
            <w:pPr>
              <w:widowControl/>
              <w:spacing w:line="360" w:lineRule="auto"/>
              <w:rPr>
                <w:rFonts w:ascii="宋体"/>
                <w:color w:val="auto"/>
                <w:sz w:val="24"/>
                <w:highlight w:val="none"/>
              </w:rPr>
            </w:pPr>
            <w:r>
              <w:rPr>
                <w:rFonts w:hint="eastAsia" w:ascii="宋体"/>
                <w:color w:val="auto"/>
                <w:sz w:val="24"/>
                <w:highlight w:val="none"/>
              </w:rPr>
              <w:t>项目进度安排计划</w:t>
            </w:r>
          </w:p>
        </w:tc>
        <w:tc>
          <w:tcPr>
            <w:tcW w:w="7088" w:type="dxa"/>
            <w:gridSpan w:val="2"/>
          </w:tcPr>
          <w:p w14:paraId="579C3047">
            <w:pPr>
              <w:widowControl/>
              <w:spacing w:line="360" w:lineRule="auto"/>
              <w:rPr>
                <w:rFonts w:hint="eastAsia" w:ascii="宋体"/>
                <w:color w:val="auto"/>
                <w:sz w:val="24"/>
                <w:highlight w:val="none"/>
              </w:rPr>
            </w:pPr>
            <w:r>
              <w:rPr>
                <w:rFonts w:hint="eastAsia" w:ascii="宋体"/>
                <w:color w:val="auto"/>
                <w:sz w:val="24"/>
                <w:highlight w:val="none"/>
              </w:rPr>
              <w:t>对项目进度安排计划科学、合理，关键时间节点把握科学准确。方案科学合理、针对性强且对本项目实施有推进作用的</w:t>
            </w:r>
            <w:r>
              <w:rPr>
                <w:rFonts w:ascii="宋体"/>
                <w:color w:val="auto"/>
                <w:sz w:val="24"/>
                <w:highlight w:val="none"/>
              </w:rPr>
              <w:t>得</w:t>
            </w:r>
            <w:r>
              <w:rPr>
                <w:rFonts w:hint="eastAsia" w:ascii="宋体"/>
                <w:color w:val="auto"/>
                <w:sz w:val="24"/>
                <w:highlight w:val="none"/>
                <w:lang w:val="en-US" w:eastAsia="zh-CN"/>
              </w:rPr>
              <w:t>3</w:t>
            </w:r>
            <w:r>
              <w:rPr>
                <w:rFonts w:ascii="宋体"/>
                <w:color w:val="auto"/>
                <w:sz w:val="24"/>
                <w:highlight w:val="none"/>
              </w:rPr>
              <w:t>分</w:t>
            </w:r>
            <w:r>
              <w:rPr>
                <w:rFonts w:hint="eastAsia" w:ascii="宋体"/>
                <w:color w:val="auto"/>
                <w:sz w:val="24"/>
                <w:highlight w:val="none"/>
              </w:rPr>
              <w:t>；方案科学合理，但针对性不强的</w:t>
            </w:r>
            <w:r>
              <w:rPr>
                <w:rFonts w:ascii="宋体"/>
                <w:color w:val="auto"/>
                <w:sz w:val="24"/>
                <w:highlight w:val="none"/>
              </w:rPr>
              <w:t>得</w:t>
            </w:r>
            <w:r>
              <w:rPr>
                <w:rFonts w:hint="eastAsia" w:ascii="宋体"/>
                <w:color w:val="auto"/>
                <w:sz w:val="24"/>
                <w:highlight w:val="none"/>
                <w:lang w:val="en-US" w:eastAsia="zh-CN"/>
              </w:rPr>
              <w:t>2</w:t>
            </w:r>
            <w:r>
              <w:rPr>
                <w:rFonts w:ascii="宋体"/>
                <w:color w:val="auto"/>
                <w:sz w:val="24"/>
                <w:highlight w:val="none"/>
              </w:rPr>
              <w:t>分</w:t>
            </w:r>
            <w:r>
              <w:rPr>
                <w:rFonts w:hint="eastAsia" w:ascii="宋体"/>
                <w:color w:val="auto"/>
                <w:sz w:val="24"/>
                <w:highlight w:val="none"/>
              </w:rPr>
              <w:t>；</w:t>
            </w:r>
            <w:r>
              <w:rPr>
                <w:rFonts w:hint="eastAsia" w:ascii="宋体"/>
                <w:color w:val="auto"/>
                <w:sz w:val="24"/>
                <w:highlight w:val="none"/>
                <w:lang w:eastAsia="zh-CN"/>
              </w:rPr>
              <w:t>方案不科学合理，且无针对性的得</w:t>
            </w:r>
            <w:r>
              <w:rPr>
                <w:rFonts w:hint="eastAsia" w:ascii="宋体"/>
                <w:color w:val="auto"/>
                <w:sz w:val="24"/>
                <w:highlight w:val="none"/>
                <w:lang w:val="en-US" w:eastAsia="zh-CN"/>
              </w:rPr>
              <w:t>1分，</w:t>
            </w:r>
            <w:r>
              <w:rPr>
                <w:rFonts w:ascii="宋体"/>
                <w:color w:val="auto"/>
                <w:sz w:val="24"/>
                <w:highlight w:val="none"/>
              </w:rPr>
              <w:t>未提供不得分。</w:t>
            </w:r>
          </w:p>
        </w:tc>
        <w:tc>
          <w:tcPr>
            <w:tcW w:w="1276" w:type="dxa"/>
            <w:vAlign w:val="center"/>
          </w:tcPr>
          <w:p w14:paraId="02F82C05">
            <w:pPr>
              <w:adjustRightInd w:val="0"/>
              <w:snapToGrid w:val="0"/>
              <w:spacing w:line="360" w:lineRule="auto"/>
              <w:jc w:val="center"/>
              <w:textAlignment w:val="center"/>
              <w:rPr>
                <w:rFonts w:ascii="宋体"/>
                <w:color w:val="auto"/>
                <w:sz w:val="24"/>
                <w:highlight w:val="none"/>
              </w:rPr>
            </w:pPr>
            <w:r>
              <w:rPr>
                <w:rFonts w:hint="eastAsia" w:ascii="宋体"/>
                <w:color w:val="auto"/>
                <w:sz w:val="24"/>
                <w:highlight w:val="none"/>
                <w:lang w:val="en-US" w:eastAsia="zh-CN"/>
              </w:rPr>
              <w:t>3</w:t>
            </w:r>
            <w:r>
              <w:rPr>
                <w:rFonts w:hint="eastAsia" w:ascii="宋体"/>
                <w:color w:val="auto"/>
                <w:sz w:val="24"/>
                <w:highlight w:val="none"/>
              </w:rPr>
              <w:t>分</w:t>
            </w:r>
          </w:p>
        </w:tc>
      </w:tr>
      <w:tr w14:paraId="618B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14:paraId="50207F94">
            <w:pPr>
              <w:spacing w:line="360" w:lineRule="auto"/>
              <w:rPr>
                <w:rFonts w:ascii="宋体" w:cs="宋体"/>
                <w:color w:val="auto"/>
                <w:sz w:val="24"/>
                <w:highlight w:val="none"/>
              </w:rPr>
            </w:pPr>
            <w:r>
              <w:rPr>
                <w:rFonts w:hint="eastAsia" w:ascii="宋体" w:cs="宋体"/>
                <w:color w:val="auto"/>
                <w:sz w:val="24"/>
                <w:highlight w:val="none"/>
              </w:rPr>
              <w:t>6</w:t>
            </w:r>
          </w:p>
        </w:tc>
        <w:tc>
          <w:tcPr>
            <w:tcW w:w="1417" w:type="dxa"/>
            <w:vAlign w:val="center"/>
          </w:tcPr>
          <w:p w14:paraId="4E94B619">
            <w:pPr>
              <w:widowControl/>
              <w:spacing w:line="360" w:lineRule="auto"/>
              <w:rPr>
                <w:rFonts w:ascii="宋体"/>
                <w:color w:val="auto"/>
                <w:sz w:val="24"/>
                <w:highlight w:val="none"/>
              </w:rPr>
            </w:pPr>
            <w:r>
              <w:rPr>
                <w:rFonts w:hint="eastAsia" w:ascii="宋体"/>
                <w:color w:val="auto"/>
                <w:sz w:val="24"/>
                <w:highlight w:val="none"/>
              </w:rPr>
              <w:t>应急处理预案</w:t>
            </w:r>
          </w:p>
        </w:tc>
        <w:tc>
          <w:tcPr>
            <w:tcW w:w="7088" w:type="dxa"/>
            <w:gridSpan w:val="2"/>
            <w:vAlign w:val="center"/>
          </w:tcPr>
          <w:p w14:paraId="3FE1BEEE">
            <w:pPr>
              <w:widowControl/>
              <w:spacing w:line="360" w:lineRule="auto"/>
              <w:rPr>
                <w:rFonts w:ascii="宋体"/>
                <w:color w:val="auto"/>
                <w:sz w:val="24"/>
                <w:highlight w:val="none"/>
              </w:rPr>
            </w:pPr>
            <w:r>
              <w:rPr>
                <w:rFonts w:hint="eastAsia" w:ascii="宋体"/>
                <w:color w:val="auto"/>
                <w:sz w:val="24"/>
                <w:highlight w:val="none"/>
              </w:rPr>
              <w:t>针对突发事件的应急处置方案的应急预案科学有效、可行性强，</w:t>
            </w:r>
            <w:r>
              <w:rPr>
                <w:rFonts w:ascii="宋体"/>
                <w:color w:val="auto"/>
                <w:sz w:val="24"/>
                <w:highlight w:val="none"/>
              </w:rPr>
              <w:t>不漏项且有针对性得4分；提供的</w:t>
            </w:r>
            <w:r>
              <w:rPr>
                <w:rFonts w:hint="eastAsia" w:ascii="宋体"/>
                <w:color w:val="auto"/>
                <w:sz w:val="24"/>
                <w:highlight w:val="none"/>
              </w:rPr>
              <w:t>措施</w:t>
            </w:r>
            <w:r>
              <w:rPr>
                <w:rFonts w:ascii="宋体"/>
                <w:color w:val="auto"/>
                <w:sz w:val="24"/>
                <w:highlight w:val="none"/>
              </w:rPr>
              <w:t>基本全面，有针对性得3分；提供的</w:t>
            </w:r>
            <w:r>
              <w:rPr>
                <w:rFonts w:hint="eastAsia" w:ascii="宋体"/>
                <w:color w:val="auto"/>
                <w:sz w:val="24"/>
                <w:highlight w:val="none"/>
              </w:rPr>
              <w:t>措施</w:t>
            </w:r>
            <w:r>
              <w:rPr>
                <w:rFonts w:ascii="宋体"/>
                <w:color w:val="auto"/>
                <w:sz w:val="24"/>
                <w:highlight w:val="none"/>
              </w:rPr>
              <w:t>不</w:t>
            </w:r>
            <w:r>
              <w:rPr>
                <w:rFonts w:hint="eastAsia" w:ascii="宋体"/>
                <w:color w:val="auto"/>
                <w:sz w:val="24"/>
                <w:highlight w:val="none"/>
              </w:rPr>
              <w:t>够</w:t>
            </w:r>
            <w:r>
              <w:rPr>
                <w:rFonts w:ascii="宋体"/>
                <w:color w:val="auto"/>
                <w:sz w:val="24"/>
                <w:highlight w:val="none"/>
              </w:rPr>
              <w:t>全面，针对性</w:t>
            </w:r>
            <w:r>
              <w:rPr>
                <w:rFonts w:hint="eastAsia" w:ascii="宋体"/>
                <w:color w:val="auto"/>
                <w:sz w:val="24"/>
                <w:highlight w:val="none"/>
              </w:rPr>
              <w:t>不强</w:t>
            </w:r>
            <w:r>
              <w:rPr>
                <w:rFonts w:ascii="宋体"/>
                <w:color w:val="auto"/>
                <w:sz w:val="24"/>
                <w:highlight w:val="none"/>
              </w:rPr>
              <w:t>得</w:t>
            </w:r>
            <w:r>
              <w:rPr>
                <w:rFonts w:hint="eastAsia" w:ascii="宋体"/>
                <w:color w:val="auto"/>
                <w:sz w:val="24"/>
                <w:highlight w:val="none"/>
                <w:lang w:val="en-US" w:eastAsia="zh-CN"/>
              </w:rPr>
              <w:t>1</w:t>
            </w:r>
            <w:r>
              <w:rPr>
                <w:rFonts w:ascii="宋体"/>
                <w:color w:val="auto"/>
                <w:sz w:val="24"/>
                <w:highlight w:val="none"/>
              </w:rPr>
              <w:t>分；未提供不得分。</w:t>
            </w:r>
          </w:p>
        </w:tc>
        <w:tc>
          <w:tcPr>
            <w:tcW w:w="1276" w:type="dxa"/>
            <w:vAlign w:val="center"/>
          </w:tcPr>
          <w:p w14:paraId="6BF56E50">
            <w:pPr>
              <w:widowControl/>
              <w:spacing w:line="360" w:lineRule="auto"/>
              <w:ind w:firstLine="240" w:firstLineChars="100"/>
              <w:rPr>
                <w:rFonts w:ascii="宋体"/>
                <w:color w:val="auto"/>
                <w:sz w:val="24"/>
                <w:highlight w:val="none"/>
              </w:rPr>
            </w:pPr>
            <w:r>
              <w:rPr>
                <w:rFonts w:ascii="宋体"/>
                <w:color w:val="auto"/>
                <w:sz w:val="24"/>
                <w:highlight w:val="none"/>
              </w:rPr>
              <w:t>4分</w:t>
            </w:r>
          </w:p>
        </w:tc>
      </w:tr>
      <w:tr w14:paraId="118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5F9C091F">
            <w:pPr>
              <w:widowControl/>
              <w:rPr>
                <w:rFonts w:ascii="宋体" w:hAnsi="宋体" w:cs="宋体"/>
                <w:color w:val="auto"/>
                <w:sz w:val="24"/>
                <w:highlight w:val="none"/>
              </w:rPr>
            </w:pPr>
            <w:r>
              <w:rPr>
                <w:rFonts w:hint="eastAsia" w:ascii="宋体" w:hAnsi="宋体" w:cs="宋体"/>
                <w:color w:val="auto"/>
                <w:sz w:val="24"/>
                <w:highlight w:val="none"/>
              </w:rPr>
              <w:t>7</w:t>
            </w:r>
          </w:p>
        </w:tc>
        <w:tc>
          <w:tcPr>
            <w:tcW w:w="1417" w:type="dxa"/>
            <w:vAlign w:val="center"/>
          </w:tcPr>
          <w:p w14:paraId="0BB9795F">
            <w:pPr>
              <w:widowControl/>
              <w:spacing w:line="360" w:lineRule="auto"/>
              <w:rPr>
                <w:rFonts w:ascii="宋体"/>
                <w:color w:val="auto"/>
                <w:sz w:val="24"/>
                <w:highlight w:val="none"/>
              </w:rPr>
            </w:pPr>
            <w:r>
              <w:rPr>
                <w:rFonts w:hint="eastAsia" w:ascii="宋体"/>
                <w:color w:val="auto"/>
                <w:sz w:val="24"/>
                <w:highlight w:val="none"/>
              </w:rPr>
              <w:t>拟投入本项目人员</w:t>
            </w:r>
          </w:p>
        </w:tc>
        <w:tc>
          <w:tcPr>
            <w:tcW w:w="7088" w:type="dxa"/>
            <w:gridSpan w:val="2"/>
            <w:vAlign w:val="center"/>
          </w:tcPr>
          <w:p w14:paraId="071D08B2">
            <w:pPr>
              <w:widowControl/>
              <w:spacing w:line="360" w:lineRule="auto"/>
              <w:rPr>
                <w:rFonts w:ascii="宋体"/>
                <w:color w:val="auto"/>
                <w:sz w:val="24"/>
                <w:highlight w:val="none"/>
              </w:rPr>
            </w:pPr>
            <w:r>
              <w:rPr>
                <w:rFonts w:hint="eastAsia" w:ascii="宋体"/>
                <w:color w:val="auto"/>
                <w:sz w:val="24"/>
                <w:highlight w:val="none"/>
              </w:rPr>
              <w:t>1.项目负责人：具有教授级高级工程师（正高级工程师）职称的得4分，具有高级工程师职称的得2分，其余不得分。</w:t>
            </w:r>
          </w:p>
          <w:p w14:paraId="27A5AF4E">
            <w:pPr>
              <w:widowControl/>
              <w:spacing w:line="360" w:lineRule="auto"/>
              <w:rPr>
                <w:rFonts w:ascii="宋体"/>
                <w:color w:val="auto"/>
                <w:sz w:val="24"/>
                <w:highlight w:val="none"/>
              </w:rPr>
            </w:pPr>
            <w:r>
              <w:rPr>
                <w:rFonts w:hint="eastAsia" w:ascii="宋体"/>
                <w:color w:val="auto"/>
                <w:sz w:val="24"/>
                <w:highlight w:val="none"/>
              </w:rPr>
              <w:t>2.拟派项目小组成员（除项目负责人外）中：</w:t>
            </w:r>
          </w:p>
          <w:p w14:paraId="3E36CAA6">
            <w:pPr>
              <w:widowControl/>
              <w:spacing w:line="360" w:lineRule="auto"/>
              <w:rPr>
                <w:rFonts w:ascii="宋体"/>
                <w:color w:val="auto"/>
                <w:sz w:val="24"/>
                <w:highlight w:val="none"/>
              </w:rPr>
            </w:pPr>
            <w:r>
              <w:rPr>
                <w:rFonts w:hint="eastAsia" w:ascii="宋体"/>
                <w:color w:val="auto"/>
                <w:sz w:val="24"/>
                <w:highlight w:val="none"/>
              </w:rPr>
              <w:t>（1）具有林学、生态学、森林经理学、园林、森林培育、地图学与地理信息系统专业的，每配备一个专业得1分，最高得6分。</w:t>
            </w:r>
          </w:p>
          <w:p w14:paraId="571F2281">
            <w:pPr>
              <w:widowControl/>
              <w:spacing w:line="360" w:lineRule="auto"/>
              <w:rPr>
                <w:rFonts w:ascii="宋体"/>
                <w:color w:val="auto"/>
                <w:sz w:val="24"/>
                <w:highlight w:val="none"/>
              </w:rPr>
            </w:pPr>
            <w:r>
              <w:rPr>
                <w:rFonts w:hint="eastAsia" w:ascii="宋体"/>
                <w:color w:val="auto"/>
                <w:sz w:val="24"/>
                <w:highlight w:val="none"/>
              </w:rPr>
              <w:t>（2）项目成员具有高级及以上职称的，每人得2分；具有国家注册城乡规划师的得2分；最高得12分。</w:t>
            </w:r>
          </w:p>
          <w:p w14:paraId="0EB356F4">
            <w:pPr>
              <w:widowControl/>
              <w:spacing w:line="360" w:lineRule="auto"/>
              <w:rPr>
                <w:rFonts w:ascii="宋体"/>
                <w:color w:val="auto"/>
                <w:sz w:val="24"/>
                <w:highlight w:val="none"/>
              </w:rPr>
            </w:pPr>
            <w:r>
              <w:rPr>
                <w:rFonts w:hint="eastAsia" w:ascii="宋体"/>
                <w:color w:val="auto"/>
                <w:sz w:val="24"/>
                <w:highlight w:val="none"/>
              </w:rPr>
              <w:t>注：以上人员均需提供相关职称及学历证书复印件（或扫描件）及本单位或分公司为其缴纳的近3个月中任意1个月社保证明，未提供不得分。</w:t>
            </w:r>
          </w:p>
        </w:tc>
        <w:tc>
          <w:tcPr>
            <w:tcW w:w="1276" w:type="dxa"/>
            <w:vAlign w:val="center"/>
          </w:tcPr>
          <w:p w14:paraId="537DC397">
            <w:pPr>
              <w:widowControl/>
              <w:spacing w:line="360" w:lineRule="auto"/>
              <w:ind w:firstLine="240" w:firstLineChars="100"/>
              <w:rPr>
                <w:rFonts w:ascii="宋体"/>
                <w:color w:val="auto"/>
                <w:sz w:val="24"/>
                <w:highlight w:val="none"/>
              </w:rPr>
            </w:pPr>
            <w:r>
              <w:rPr>
                <w:rFonts w:hint="eastAsia" w:ascii="宋体"/>
                <w:color w:val="auto"/>
                <w:sz w:val="24"/>
                <w:highlight w:val="none"/>
              </w:rPr>
              <w:t>22分</w:t>
            </w:r>
          </w:p>
        </w:tc>
      </w:tr>
      <w:tr w14:paraId="003A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645EFB23">
            <w:pPr>
              <w:widowControl/>
              <w:rPr>
                <w:rFonts w:ascii="宋体" w:hAnsi="宋体" w:cs="宋体"/>
                <w:color w:val="auto"/>
                <w:sz w:val="24"/>
                <w:highlight w:val="none"/>
              </w:rPr>
            </w:pPr>
            <w:r>
              <w:rPr>
                <w:rFonts w:hint="eastAsia" w:ascii="宋体" w:hAnsi="宋体" w:cs="宋体"/>
                <w:color w:val="auto"/>
                <w:sz w:val="24"/>
                <w:highlight w:val="none"/>
              </w:rPr>
              <w:t>8</w:t>
            </w:r>
          </w:p>
        </w:tc>
        <w:tc>
          <w:tcPr>
            <w:tcW w:w="1417" w:type="dxa"/>
            <w:vAlign w:val="center"/>
          </w:tcPr>
          <w:p w14:paraId="483DD230">
            <w:pPr>
              <w:pStyle w:val="22"/>
              <w:spacing w:line="440" w:lineRule="exact"/>
              <w:ind w:firstLine="0" w:firstLineChars="0"/>
              <w:rPr>
                <w:rFonts w:ascii="宋体" w:cs="宋体"/>
                <w:b w:val="0"/>
                <w:color w:val="auto"/>
                <w:highlight w:val="none"/>
              </w:rPr>
            </w:pPr>
            <w:r>
              <w:rPr>
                <w:rFonts w:hint="eastAsia" w:ascii="宋体" w:cs="宋体"/>
                <w:b w:val="0"/>
                <w:color w:val="auto"/>
                <w:highlight w:val="none"/>
              </w:rPr>
              <w:t>本项目的合理化建议</w:t>
            </w:r>
          </w:p>
        </w:tc>
        <w:tc>
          <w:tcPr>
            <w:tcW w:w="7088" w:type="dxa"/>
            <w:gridSpan w:val="2"/>
            <w:vAlign w:val="center"/>
          </w:tcPr>
          <w:p w14:paraId="587A289F">
            <w:pPr>
              <w:spacing w:before="120" w:beforeLines="50" w:after="120" w:afterLines="50" w:line="400" w:lineRule="exact"/>
              <w:rPr>
                <w:rFonts w:ascii="宋体" w:cs="宋体"/>
                <w:color w:val="auto"/>
                <w:sz w:val="24"/>
                <w:highlight w:val="none"/>
              </w:rPr>
            </w:pPr>
            <w:r>
              <w:rPr>
                <w:rFonts w:hint="eastAsia" w:ascii="宋体" w:hAnsi="宋体" w:cs="宋体"/>
                <w:color w:val="auto"/>
                <w:sz w:val="24"/>
                <w:highlight w:val="none"/>
              </w:rPr>
              <w:t>根据投标人对本项目的需求和理解提出的合理化建议。每项得1分，最高得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276" w:type="dxa"/>
            <w:vAlign w:val="center"/>
          </w:tcPr>
          <w:p w14:paraId="09C94BE9">
            <w:pPr>
              <w:adjustRightInd w:val="0"/>
              <w:snapToGrid w:val="0"/>
              <w:spacing w:line="360" w:lineRule="auto"/>
              <w:ind w:firstLine="240" w:firstLineChars="100"/>
              <w:textAlignment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rPr>
              <w:t>分</w:t>
            </w:r>
          </w:p>
        </w:tc>
      </w:tr>
      <w:tr w14:paraId="5560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15" w:type="dxa"/>
            <w:gridSpan w:val="4"/>
            <w:vAlign w:val="center"/>
          </w:tcPr>
          <w:p w14:paraId="0E2E6CDE">
            <w:pPr>
              <w:pStyle w:val="15"/>
              <w:spacing w:before="120" w:beforeLines="50" w:after="120" w:afterLines="50" w:line="360" w:lineRule="auto"/>
              <w:jc w:val="left"/>
              <w:rPr>
                <w:bCs/>
                <w:color w:val="auto"/>
                <w:sz w:val="24"/>
                <w:highlight w:val="none"/>
              </w:rPr>
            </w:pPr>
            <w:r>
              <w:rPr>
                <w:rFonts w:hint="eastAsia" w:hAnsi="宋体" w:cs="宋体"/>
                <w:color w:val="auto"/>
                <w:sz w:val="24"/>
                <w:szCs w:val="24"/>
                <w:highlight w:val="none"/>
              </w:rPr>
              <w:t>资信</w:t>
            </w:r>
            <w:r>
              <w:rPr>
                <w:rFonts w:hint="eastAsia"/>
                <w:bCs/>
                <w:color w:val="auto"/>
                <w:sz w:val="24"/>
                <w:highlight w:val="none"/>
              </w:rPr>
              <w:t>、商务</w:t>
            </w:r>
            <w:r>
              <w:rPr>
                <w:rFonts w:hint="eastAsia" w:hAnsi="宋体" w:cs="宋体"/>
                <w:color w:val="auto"/>
                <w:sz w:val="24"/>
                <w:szCs w:val="24"/>
                <w:highlight w:val="none"/>
              </w:rPr>
              <w:t>及其他部分</w:t>
            </w:r>
          </w:p>
        </w:tc>
        <w:tc>
          <w:tcPr>
            <w:tcW w:w="1276" w:type="dxa"/>
            <w:vAlign w:val="center"/>
          </w:tcPr>
          <w:p w14:paraId="6F620281">
            <w:pPr>
              <w:pStyle w:val="15"/>
              <w:spacing w:before="120" w:beforeLines="50" w:after="120" w:afterLines="50" w:line="360" w:lineRule="auto"/>
              <w:ind w:firstLine="232" w:firstLineChars="100"/>
              <w:jc w:val="left"/>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w:t>
            </w:r>
          </w:p>
        </w:tc>
      </w:tr>
      <w:tr w14:paraId="25A9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58894DA9">
            <w:pPr>
              <w:pStyle w:val="22"/>
              <w:spacing w:line="440" w:lineRule="exact"/>
              <w:ind w:firstLine="0" w:firstLineChars="0"/>
              <w:rPr>
                <w:rFonts w:ascii="宋体" w:cs="宋体"/>
                <w:b w:val="0"/>
                <w:color w:val="auto"/>
                <w:highlight w:val="none"/>
              </w:rPr>
            </w:pPr>
            <w:r>
              <w:rPr>
                <w:rFonts w:hint="eastAsia" w:ascii="宋体" w:cs="宋体"/>
                <w:b w:val="0"/>
                <w:color w:val="auto"/>
                <w:highlight w:val="none"/>
              </w:rPr>
              <w:t>9</w:t>
            </w:r>
          </w:p>
        </w:tc>
        <w:tc>
          <w:tcPr>
            <w:tcW w:w="1559" w:type="dxa"/>
            <w:gridSpan w:val="2"/>
            <w:vAlign w:val="center"/>
          </w:tcPr>
          <w:p w14:paraId="594A8931">
            <w:pPr>
              <w:spacing w:line="400" w:lineRule="exact"/>
              <w:jc w:val="left"/>
              <w:rPr>
                <w:rFonts w:ascii="宋体" w:hAnsi="宋体" w:cs="宋体"/>
                <w:color w:val="auto"/>
                <w:sz w:val="24"/>
                <w:highlight w:val="none"/>
              </w:rPr>
            </w:pPr>
            <w:r>
              <w:rPr>
                <w:rFonts w:hint="eastAsia" w:ascii="宋体" w:hAnsi="宋体" w:cs="宋体"/>
                <w:color w:val="auto"/>
                <w:sz w:val="24"/>
                <w:highlight w:val="none"/>
              </w:rPr>
              <w:t>企业业绩</w:t>
            </w:r>
          </w:p>
        </w:tc>
        <w:tc>
          <w:tcPr>
            <w:tcW w:w="6946" w:type="dxa"/>
          </w:tcPr>
          <w:p w14:paraId="37BA18CB">
            <w:pPr>
              <w:spacing w:before="120" w:beforeLines="50" w:after="120" w:afterLines="50" w:line="360" w:lineRule="auto"/>
              <w:rPr>
                <w:rFonts w:ascii="宋体" w:hAnsi="宋体" w:cs="仿宋"/>
                <w:color w:val="auto"/>
                <w:kern w:val="0"/>
                <w:sz w:val="24"/>
                <w:highlight w:val="none"/>
              </w:rPr>
            </w:pPr>
            <w:r>
              <w:rPr>
                <w:rFonts w:hint="eastAsia" w:ascii="宋体" w:hAnsi="宋体" w:cs="仿宋"/>
                <w:color w:val="auto"/>
                <w:kern w:val="0"/>
                <w:sz w:val="24"/>
                <w:highlight w:val="none"/>
              </w:rPr>
              <w:t>2021年1月1日至今（以合同时间为准），投标人提供同类项目业绩或案例证明，每提供一个项目得0.5分，最高得1分，提供合同复印件，未提供不得分。</w:t>
            </w:r>
          </w:p>
        </w:tc>
        <w:tc>
          <w:tcPr>
            <w:tcW w:w="1276" w:type="dxa"/>
            <w:vAlign w:val="center"/>
          </w:tcPr>
          <w:p w14:paraId="37FFA4E4">
            <w:pPr>
              <w:spacing w:line="320" w:lineRule="exact"/>
              <w:jc w:val="center"/>
              <w:rPr>
                <w:rFonts w:ascii="宋体" w:hAnsi="宋体"/>
                <w:bCs/>
                <w:color w:val="auto"/>
                <w:sz w:val="24"/>
                <w:highlight w:val="none"/>
              </w:rPr>
            </w:pPr>
            <w:r>
              <w:rPr>
                <w:rFonts w:hint="eastAsia" w:ascii="宋体" w:hAnsi="宋体" w:cs="宋体"/>
                <w:color w:val="auto"/>
                <w:sz w:val="24"/>
                <w:highlight w:val="none"/>
              </w:rPr>
              <w:t>1分</w:t>
            </w:r>
          </w:p>
        </w:tc>
      </w:tr>
      <w:tr w14:paraId="027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1391D36C">
            <w:pPr>
              <w:pStyle w:val="22"/>
              <w:spacing w:line="440" w:lineRule="exact"/>
              <w:ind w:firstLine="0" w:firstLineChars="0"/>
              <w:rPr>
                <w:rFonts w:ascii="宋体" w:cs="宋体"/>
                <w:b w:val="0"/>
                <w:color w:val="auto"/>
                <w:highlight w:val="none"/>
              </w:rPr>
            </w:pPr>
            <w:r>
              <w:rPr>
                <w:rFonts w:hint="eastAsia" w:ascii="宋体" w:cs="宋体"/>
                <w:b w:val="0"/>
                <w:color w:val="auto"/>
                <w:highlight w:val="none"/>
              </w:rPr>
              <w:t>10</w:t>
            </w:r>
          </w:p>
        </w:tc>
        <w:tc>
          <w:tcPr>
            <w:tcW w:w="1559" w:type="dxa"/>
            <w:gridSpan w:val="2"/>
            <w:vAlign w:val="center"/>
          </w:tcPr>
          <w:p w14:paraId="18DB087A">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服务承诺</w:t>
            </w:r>
          </w:p>
        </w:tc>
        <w:tc>
          <w:tcPr>
            <w:tcW w:w="6946" w:type="dxa"/>
          </w:tcPr>
          <w:p w14:paraId="33CAD27F">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针对本项目的售后服务方案、服务承诺、后期服务等完整、可行</w:t>
            </w:r>
            <w:r>
              <w:rPr>
                <w:rFonts w:ascii="宋体" w:hAnsi="宋体" w:cs="宋体"/>
                <w:color w:val="auto"/>
                <w:sz w:val="24"/>
                <w:highlight w:val="none"/>
              </w:rPr>
              <w:t>，不漏项且有针对性</w:t>
            </w:r>
            <w:r>
              <w:rPr>
                <w:rFonts w:hint="eastAsia" w:ascii="宋体" w:hAnsi="宋体" w:cs="宋体"/>
                <w:color w:val="auto"/>
                <w:sz w:val="24"/>
                <w:highlight w:val="none"/>
              </w:rPr>
              <w:t>：</w:t>
            </w:r>
            <w:r>
              <w:rPr>
                <w:rFonts w:ascii="宋体" w:hAnsi="宋体" w:cs="宋体"/>
                <w:color w:val="auto"/>
                <w:sz w:val="24"/>
                <w:highlight w:val="none"/>
              </w:rPr>
              <w:t>不漏项且有针对性得</w:t>
            </w:r>
            <w:r>
              <w:rPr>
                <w:rFonts w:hint="eastAsia" w:ascii="宋体" w:hAnsi="宋体" w:cs="宋体"/>
                <w:color w:val="auto"/>
                <w:sz w:val="24"/>
                <w:highlight w:val="none"/>
              </w:rPr>
              <w:t>5</w:t>
            </w:r>
            <w:r>
              <w:rPr>
                <w:rFonts w:ascii="宋体" w:hAnsi="宋体" w:cs="宋体"/>
                <w:color w:val="auto"/>
                <w:sz w:val="24"/>
                <w:highlight w:val="none"/>
              </w:rPr>
              <w:t>分；提供的</w:t>
            </w:r>
            <w:r>
              <w:rPr>
                <w:rFonts w:hint="eastAsia" w:ascii="宋体" w:hAnsi="宋体" w:cs="宋体"/>
                <w:color w:val="auto"/>
                <w:sz w:val="24"/>
                <w:highlight w:val="none"/>
              </w:rPr>
              <w:t>服务承诺</w:t>
            </w:r>
            <w:r>
              <w:rPr>
                <w:rFonts w:ascii="宋体" w:hAnsi="宋体" w:cs="宋体"/>
                <w:color w:val="auto"/>
                <w:sz w:val="24"/>
                <w:highlight w:val="none"/>
              </w:rPr>
              <w:t>漏缺1项或2项，有针对性得</w:t>
            </w:r>
            <w:r>
              <w:rPr>
                <w:rFonts w:hint="eastAsia" w:ascii="宋体" w:hAnsi="宋体" w:cs="宋体"/>
                <w:color w:val="auto"/>
                <w:sz w:val="24"/>
                <w:highlight w:val="none"/>
              </w:rPr>
              <w:t>4</w:t>
            </w:r>
            <w:r>
              <w:rPr>
                <w:rFonts w:ascii="宋体" w:hAnsi="宋体" w:cs="宋体"/>
                <w:color w:val="auto"/>
                <w:sz w:val="24"/>
                <w:highlight w:val="none"/>
              </w:rPr>
              <w:t>分；提供的</w:t>
            </w:r>
            <w:r>
              <w:rPr>
                <w:rFonts w:hint="eastAsia" w:ascii="宋体" w:hAnsi="宋体" w:cs="宋体"/>
                <w:color w:val="auto"/>
                <w:sz w:val="24"/>
                <w:highlight w:val="none"/>
              </w:rPr>
              <w:t>服务承诺</w:t>
            </w:r>
            <w:r>
              <w:rPr>
                <w:rFonts w:ascii="宋体" w:hAnsi="宋体" w:cs="宋体"/>
                <w:color w:val="auto"/>
                <w:sz w:val="24"/>
                <w:highlight w:val="none"/>
              </w:rPr>
              <w:t>基本全面，有针对性得</w:t>
            </w:r>
            <w:r>
              <w:rPr>
                <w:rFonts w:hint="eastAsia" w:ascii="宋体" w:hAnsi="宋体" w:cs="宋体"/>
                <w:color w:val="auto"/>
                <w:sz w:val="24"/>
                <w:highlight w:val="none"/>
              </w:rPr>
              <w:t>3</w:t>
            </w:r>
            <w:r>
              <w:rPr>
                <w:rFonts w:ascii="宋体" w:hAnsi="宋体" w:cs="宋体"/>
                <w:color w:val="auto"/>
                <w:sz w:val="24"/>
                <w:highlight w:val="none"/>
              </w:rPr>
              <w:t>分；提供的</w:t>
            </w:r>
            <w:r>
              <w:rPr>
                <w:rFonts w:hint="eastAsia" w:ascii="宋体" w:hAnsi="宋体" w:cs="宋体"/>
                <w:color w:val="auto"/>
                <w:sz w:val="24"/>
                <w:highlight w:val="none"/>
              </w:rPr>
              <w:t>服务承诺</w:t>
            </w:r>
            <w:r>
              <w:rPr>
                <w:rFonts w:ascii="宋体" w:hAnsi="宋体" w:cs="宋体"/>
                <w:color w:val="auto"/>
                <w:sz w:val="24"/>
                <w:highlight w:val="none"/>
              </w:rPr>
              <w:t>不全面，有针对性得</w:t>
            </w:r>
            <w:r>
              <w:rPr>
                <w:rFonts w:hint="eastAsia" w:ascii="宋体" w:hAnsi="宋体" w:cs="宋体"/>
                <w:color w:val="auto"/>
                <w:sz w:val="24"/>
                <w:highlight w:val="none"/>
              </w:rPr>
              <w:t>2</w:t>
            </w:r>
            <w:r>
              <w:rPr>
                <w:rFonts w:ascii="宋体" w:hAnsi="宋体" w:cs="宋体"/>
                <w:color w:val="auto"/>
                <w:sz w:val="24"/>
                <w:highlight w:val="none"/>
              </w:rPr>
              <w:t>分；提供的</w:t>
            </w:r>
            <w:r>
              <w:rPr>
                <w:rFonts w:hint="eastAsia" w:ascii="宋体" w:hAnsi="宋体" w:cs="宋体"/>
                <w:color w:val="auto"/>
                <w:sz w:val="24"/>
                <w:highlight w:val="none"/>
              </w:rPr>
              <w:t>服务承诺</w:t>
            </w:r>
            <w:r>
              <w:rPr>
                <w:rFonts w:ascii="宋体" w:hAnsi="宋体" w:cs="宋体"/>
                <w:color w:val="auto"/>
                <w:sz w:val="24"/>
                <w:highlight w:val="none"/>
              </w:rPr>
              <w:t>不全面，</w:t>
            </w:r>
            <w:r>
              <w:rPr>
                <w:rFonts w:hint="eastAsia" w:ascii="宋体" w:hAnsi="宋体" w:cs="宋体"/>
                <w:color w:val="auto"/>
                <w:sz w:val="24"/>
                <w:highlight w:val="none"/>
              </w:rPr>
              <w:t>针对性不强</w:t>
            </w:r>
            <w:r>
              <w:rPr>
                <w:rFonts w:ascii="宋体" w:hAnsi="宋体" w:cs="宋体"/>
                <w:color w:val="auto"/>
                <w:sz w:val="24"/>
                <w:highlight w:val="none"/>
              </w:rPr>
              <w:t>得1分；未提供不得分。</w:t>
            </w:r>
          </w:p>
        </w:tc>
        <w:tc>
          <w:tcPr>
            <w:tcW w:w="1276" w:type="dxa"/>
            <w:vAlign w:val="center"/>
          </w:tcPr>
          <w:p w14:paraId="40146D2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5分</w:t>
            </w:r>
          </w:p>
        </w:tc>
      </w:tr>
      <w:tr w14:paraId="031F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561B9B4C">
            <w:pPr>
              <w:pStyle w:val="22"/>
              <w:spacing w:line="440" w:lineRule="exact"/>
              <w:ind w:firstLine="0" w:firstLineChars="0"/>
              <w:rPr>
                <w:rFonts w:ascii="宋体" w:cs="宋体"/>
                <w:b w:val="0"/>
                <w:color w:val="auto"/>
                <w:highlight w:val="none"/>
              </w:rPr>
            </w:pPr>
            <w:r>
              <w:rPr>
                <w:rFonts w:hint="eastAsia" w:ascii="宋体" w:cs="宋体"/>
                <w:b w:val="0"/>
                <w:color w:val="auto"/>
                <w:highlight w:val="none"/>
              </w:rPr>
              <w:t>11</w:t>
            </w:r>
          </w:p>
        </w:tc>
        <w:tc>
          <w:tcPr>
            <w:tcW w:w="1559" w:type="dxa"/>
            <w:gridSpan w:val="2"/>
            <w:vAlign w:val="center"/>
          </w:tcPr>
          <w:p w14:paraId="3F35342B">
            <w:pPr>
              <w:spacing w:line="400" w:lineRule="exact"/>
              <w:jc w:val="left"/>
              <w:rPr>
                <w:rFonts w:ascii="宋体" w:hAnsi="宋体" w:cs="宋体"/>
                <w:color w:val="auto"/>
                <w:sz w:val="24"/>
                <w:highlight w:val="none"/>
              </w:rPr>
            </w:pPr>
            <w:r>
              <w:rPr>
                <w:rFonts w:hint="eastAsia" w:ascii="宋体" w:hAnsi="宋体" w:cs="宋体"/>
                <w:color w:val="auto"/>
                <w:sz w:val="24"/>
                <w:highlight w:val="none"/>
              </w:rPr>
              <w:t>培训方案</w:t>
            </w:r>
          </w:p>
        </w:tc>
        <w:tc>
          <w:tcPr>
            <w:tcW w:w="6946" w:type="dxa"/>
          </w:tcPr>
          <w:p w14:paraId="4F720E80">
            <w:pPr>
              <w:spacing w:line="360" w:lineRule="auto"/>
              <w:rPr>
                <w:rFonts w:ascii="宋体" w:hAnsi="宋体" w:cs="宋体"/>
                <w:color w:val="auto"/>
                <w:sz w:val="24"/>
                <w:highlight w:val="none"/>
              </w:rPr>
            </w:pPr>
            <w:r>
              <w:rPr>
                <w:rFonts w:hint="eastAsia" w:ascii="宋体" w:hAnsi="宋体" w:cs="宋体"/>
                <w:color w:val="auto"/>
                <w:sz w:val="24"/>
                <w:highlight w:val="none"/>
              </w:rPr>
              <w:t>培训计划包括培训内容、培训时间地点、培训对象，培训师资力量等。培训计划较详细、全面、可行，能够对项目的使用对象提供全面的培训，培训方案能有效推进项目实施，</w:t>
            </w:r>
            <w:r>
              <w:rPr>
                <w:rFonts w:ascii="宋体" w:hAnsi="宋体" w:cs="宋体"/>
                <w:color w:val="auto"/>
                <w:sz w:val="24"/>
                <w:highlight w:val="none"/>
              </w:rPr>
              <w:t>不漏项且有针对性</w:t>
            </w:r>
            <w:r>
              <w:rPr>
                <w:rFonts w:hint="eastAsia" w:ascii="宋体" w:hAnsi="宋体" w:cs="宋体"/>
                <w:color w:val="auto"/>
                <w:sz w:val="24"/>
                <w:highlight w:val="none"/>
              </w:rPr>
              <w:t>：5</w:t>
            </w:r>
            <w:r>
              <w:rPr>
                <w:rFonts w:ascii="宋体" w:hAnsi="宋体" w:cs="宋体"/>
                <w:color w:val="auto"/>
                <w:sz w:val="24"/>
                <w:highlight w:val="none"/>
              </w:rPr>
              <w:t>分</w:t>
            </w:r>
            <w:r>
              <w:rPr>
                <w:rFonts w:hint="eastAsia" w:ascii="宋体" w:hAnsi="宋体" w:cs="宋体"/>
                <w:color w:val="auto"/>
                <w:sz w:val="24"/>
                <w:highlight w:val="none"/>
              </w:rPr>
              <w:t>；</w:t>
            </w:r>
            <w:r>
              <w:rPr>
                <w:rFonts w:ascii="宋体" w:hAnsi="宋体" w:cs="宋体"/>
                <w:color w:val="auto"/>
                <w:sz w:val="24"/>
                <w:highlight w:val="none"/>
              </w:rPr>
              <w:t>提供的</w:t>
            </w:r>
            <w:r>
              <w:rPr>
                <w:rFonts w:hint="eastAsia" w:ascii="宋体" w:hAnsi="宋体" w:cs="宋体"/>
                <w:color w:val="auto"/>
                <w:sz w:val="24"/>
                <w:highlight w:val="none"/>
              </w:rPr>
              <w:t>服务承诺</w:t>
            </w:r>
            <w:r>
              <w:rPr>
                <w:rFonts w:ascii="宋体" w:hAnsi="宋体" w:cs="宋体"/>
                <w:color w:val="auto"/>
                <w:sz w:val="24"/>
                <w:highlight w:val="none"/>
              </w:rPr>
              <w:t>漏缺1项或2项，有针对性</w:t>
            </w:r>
            <w:r>
              <w:rPr>
                <w:rFonts w:hint="eastAsia" w:ascii="宋体" w:hAnsi="宋体" w:cs="宋体"/>
                <w:color w:val="auto"/>
                <w:sz w:val="24"/>
                <w:highlight w:val="none"/>
              </w:rPr>
              <w:t>：4</w:t>
            </w:r>
            <w:r>
              <w:rPr>
                <w:rFonts w:ascii="宋体" w:hAnsi="宋体" w:cs="宋体"/>
                <w:color w:val="auto"/>
                <w:sz w:val="24"/>
                <w:highlight w:val="none"/>
              </w:rPr>
              <w:t>分</w:t>
            </w:r>
            <w:r>
              <w:rPr>
                <w:rFonts w:hint="eastAsia" w:ascii="宋体" w:hAnsi="宋体" w:cs="宋体"/>
                <w:color w:val="auto"/>
                <w:sz w:val="24"/>
                <w:highlight w:val="none"/>
              </w:rPr>
              <w:t>；</w:t>
            </w:r>
            <w:r>
              <w:rPr>
                <w:rFonts w:ascii="宋体" w:hAnsi="宋体" w:cs="宋体"/>
                <w:color w:val="auto"/>
                <w:sz w:val="24"/>
                <w:highlight w:val="none"/>
              </w:rPr>
              <w:t>提供的</w:t>
            </w:r>
            <w:r>
              <w:rPr>
                <w:rFonts w:hint="eastAsia" w:ascii="宋体" w:hAnsi="宋体" w:cs="宋体"/>
                <w:color w:val="auto"/>
                <w:sz w:val="24"/>
                <w:highlight w:val="none"/>
              </w:rPr>
              <w:t>服务承诺</w:t>
            </w:r>
            <w:r>
              <w:rPr>
                <w:rFonts w:ascii="宋体" w:hAnsi="宋体" w:cs="宋体"/>
                <w:color w:val="auto"/>
                <w:sz w:val="24"/>
                <w:highlight w:val="none"/>
              </w:rPr>
              <w:t>基本全面，有针对性</w:t>
            </w:r>
            <w:r>
              <w:rPr>
                <w:rFonts w:hint="eastAsia" w:ascii="宋体" w:hAnsi="宋体" w:cs="宋体"/>
                <w:color w:val="auto"/>
                <w:sz w:val="24"/>
                <w:highlight w:val="none"/>
              </w:rPr>
              <w:t>：3</w:t>
            </w:r>
            <w:r>
              <w:rPr>
                <w:rFonts w:ascii="宋体" w:hAnsi="宋体" w:cs="宋体"/>
                <w:color w:val="auto"/>
                <w:sz w:val="24"/>
                <w:highlight w:val="none"/>
              </w:rPr>
              <w:t>分</w:t>
            </w:r>
            <w:r>
              <w:rPr>
                <w:rFonts w:hint="eastAsia" w:ascii="宋体" w:hAnsi="宋体" w:cs="宋体"/>
                <w:color w:val="auto"/>
                <w:sz w:val="24"/>
                <w:highlight w:val="none"/>
              </w:rPr>
              <w:t>；</w:t>
            </w:r>
            <w:r>
              <w:rPr>
                <w:rFonts w:ascii="宋体" w:hAnsi="宋体" w:cs="宋体"/>
                <w:color w:val="auto"/>
                <w:sz w:val="24"/>
                <w:highlight w:val="none"/>
              </w:rPr>
              <w:t>提供的</w:t>
            </w:r>
            <w:r>
              <w:rPr>
                <w:rFonts w:hint="eastAsia" w:ascii="宋体" w:hAnsi="宋体" w:cs="宋体"/>
                <w:color w:val="auto"/>
                <w:sz w:val="24"/>
                <w:highlight w:val="none"/>
              </w:rPr>
              <w:t>服务承诺</w:t>
            </w:r>
            <w:r>
              <w:rPr>
                <w:rFonts w:ascii="宋体" w:hAnsi="宋体" w:cs="宋体"/>
                <w:color w:val="auto"/>
                <w:sz w:val="24"/>
                <w:highlight w:val="none"/>
              </w:rPr>
              <w:t>不全面，有针对性</w:t>
            </w:r>
            <w:r>
              <w:rPr>
                <w:rFonts w:hint="eastAsia" w:ascii="宋体" w:hAnsi="宋体" w:cs="宋体"/>
                <w:color w:val="auto"/>
                <w:sz w:val="24"/>
                <w:highlight w:val="none"/>
              </w:rPr>
              <w:t>：2</w:t>
            </w:r>
            <w:r>
              <w:rPr>
                <w:rFonts w:ascii="宋体" w:hAnsi="宋体" w:cs="宋体"/>
                <w:color w:val="auto"/>
                <w:sz w:val="24"/>
                <w:highlight w:val="none"/>
              </w:rPr>
              <w:t>分</w:t>
            </w:r>
            <w:r>
              <w:rPr>
                <w:rFonts w:hint="eastAsia" w:ascii="宋体" w:hAnsi="宋体" w:cs="宋体"/>
                <w:color w:val="auto"/>
                <w:sz w:val="24"/>
                <w:highlight w:val="none"/>
              </w:rPr>
              <w:t>；</w:t>
            </w:r>
            <w:r>
              <w:rPr>
                <w:rFonts w:ascii="宋体" w:hAnsi="宋体" w:cs="宋体"/>
                <w:color w:val="auto"/>
                <w:sz w:val="24"/>
                <w:highlight w:val="none"/>
              </w:rPr>
              <w:t>提供的</w:t>
            </w:r>
            <w:r>
              <w:rPr>
                <w:rFonts w:hint="eastAsia" w:ascii="宋体" w:hAnsi="宋体" w:cs="宋体"/>
                <w:color w:val="auto"/>
                <w:sz w:val="24"/>
                <w:highlight w:val="none"/>
              </w:rPr>
              <w:t>服务承诺</w:t>
            </w:r>
            <w:r>
              <w:rPr>
                <w:rFonts w:ascii="宋体" w:hAnsi="宋体" w:cs="宋体"/>
                <w:color w:val="auto"/>
                <w:sz w:val="24"/>
                <w:highlight w:val="none"/>
              </w:rPr>
              <w:t>不全面，</w:t>
            </w:r>
            <w:r>
              <w:rPr>
                <w:rFonts w:hint="eastAsia" w:ascii="宋体" w:hAnsi="宋体" w:cs="宋体"/>
                <w:color w:val="auto"/>
                <w:sz w:val="24"/>
                <w:highlight w:val="none"/>
              </w:rPr>
              <w:t>针对性不强：1</w:t>
            </w:r>
            <w:r>
              <w:rPr>
                <w:rFonts w:ascii="宋体" w:hAnsi="宋体" w:cs="宋体"/>
                <w:color w:val="auto"/>
                <w:sz w:val="24"/>
                <w:highlight w:val="none"/>
              </w:rPr>
              <w:t>分</w:t>
            </w:r>
            <w:r>
              <w:rPr>
                <w:rFonts w:hint="eastAsia" w:ascii="宋体" w:hAnsi="宋体" w:cs="宋体"/>
                <w:color w:val="auto"/>
                <w:sz w:val="24"/>
                <w:highlight w:val="none"/>
              </w:rPr>
              <w:t>；</w:t>
            </w:r>
            <w:r>
              <w:rPr>
                <w:rFonts w:ascii="宋体" w:hAnsi="宋体" w:cs="宋体"/>
                <w:color w:val="auto"/>
                <w:sz w:val="24"/>
                <w:highlight w:val="none"/>
              </w:rPr>
              <w:t>未提供不得分。</w:t>
            </w:r>
          </w:p>
        </w:tc>
        <w:tc>
          <w:tcPr>
            <w:tcW w:w="1276" w:type="dxa"/>
            <w:vAlign w:val="center"/>
          </w:tcPr>
          <w:p w14:paraId="21F486CB">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5分</w:t>
            </w:r>
          </w:p>
        </w:tc>
      </w:tr>
      <w:tr w14:paraId="02C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179499D1">
            <w:pPr>
              <w:pStyle w:val="22"/>
              <w:spacing w:line="440" w:lineRule="exact"/>
              <w:ind w:firstLine="0" w:firstLineChars="0"/>
              <w:rPr>
                <w:rFonts w:ascii="宋体" w:cs="宋体"/>
                <w:b w:val="0"/>
                <w:color w:val="auto"/>
                <w:highlight w:val="none"/>
              </w:rPr>
            </w:pPr>
            <w:r>
              <w:rPr>
                <w:rFonts w:hint="eastAsia" w:ascii="宋体" w:cs="宋体"/>
                <w:b w:val="0"/>
                <w:color w:val="auto"/>
                <w:highlight w:val="none"/>
              </w:rPr>
              <w:t>12</w:t>
            </w:r>
          </w:p>
        </w:tc>
        <w:tc>
          <w:tcPr>
            <w:tcW w:w="1559" w:type="dxa"/>
            <w:gridSpan w:val="2"/>
            <w:vAlign w:val="center"/>
          </w:tcPr>
          <w:p w14:paraId="2C0107CF">
            <w:pPr>
              <w:pStyle w:val="15"/>
              <w:spacing w:before="120" w:beforeLines="50" w:after="120" w:afterLines="50" w:line="360" w:lineRule="auto"/>
              <w:ind w:firstLine="0"/>
              <w:jc w:val="left"/>
              <w:rPr>
                <w:rFonts w:hAnsi="宋体" w:cs="宋体"/>
                <w:color w:val="auto"/>
                <w:sz w:val="24"/>
                <w:szCs w:val="24"/>
                <w:highlight w:val="none"/>
              </w:rPr>
            </w:pPr>
            <w:r>
              <w:rPr>
                <w:rFonts w:hint="eastAsia" w:hAnsi="宋体" w:cs="宋体"/>
                <w:color w:val="auto"/>
                <w:sz w:val="24"/>
                <w:szCs w:val="24"/>
                <w:highlight w:val="none"/>
              </w:rPr>
              <w:t>响应时间</w:t>
            </w:r>
          </w:p>
        </w:tc>
        <w:tc>
          <w:tcPr>
            <w:tcW w:w="6946" w:type="dxa"/>
            <w:vAlign w:val="center"/>
          </w:tcPr>
          <w:p w14:paraId="1D105A95">
            <w:pPr>
              <w:spacing w:before="120" w:beforeLines="50" w:after="120" w:afterLines="50" w:line="400" w:lineRule="exact"/>
              <w:rPr>
                <w:rFonts w:hAnsi="宋体" w:cs="宋体"/>
                <w:color w:val="auto"/>
                <w:kern w:val="0"/>
                <w:sz w:val="24"/>
                <w:highlight w:val="none"/>
              </w:rPr>
            </w:pPr>
            <w:r>
              <w:rPr>
                <w:rFonts w:hint="eastAsia" w:hAnsi="宋体" w:cs="宋体"/>
                <w:color w:val="auto"/>
                <w:kern w:val="0"/>
                <w:sz w:val="24"/>
                <w:highlight w:val="none"/>
              </w:rPr>
              <w:t>接到采购人通知（电话、电传等）后</w:t>
            </w:r>
            <w:r>
              <w:rPr>
                <w:rFonts w:hAnsi="宋体" w:cs="宋体"/>
                <w:color w:val="auto"/>
                <w:kern w:val="0"/>
                <w:sz w:val="24"/>
                <w:highlight w:val="none"/>
              </w:rPr>
              <w:t>24</w:t>
            </w:r>
            <w:r>
              <w:rPr>
                <w:rFonts w:hint="eastAsia" w:hAnsi="宋体" w:cs="宋体"/>
                <w:color w:val="auto"/>
                <w:kern w:val="0"/>
                <w:sz w:val="24"/>
                <w:highlight w:val="none"/>
              </w:rPr>
              <w:t xml:space="preserve">小时内解决或到现场响应，每减少 </w:t>
            </w:r>
            <w:r>
              <w:rPr>
                <w:rFonts w:hAnsi="宋体" w:cs="宋体"/>
                <w:color w:val="auto"/>
                <w:kern w:val="0"/>
                <w:sz w:val="24"/>
                <w:highlight w:val="none"/>
              </w:rPr>
              <w:t>2</w:t>
            </w:r>
            <w:r>
              <w:rPr>
                <w:rFonts w:hint="eastAsia" w:hAnsi="宋体" w:cs="宋体"/>
                <w:color w:val="auto"/>
                <w:kern w:val="0"/>
                <w:sz w:val="24"/>
                <w:highlight w:val="none"/>
              </w:rPr>
              <w:t xml:space="preserve"> 小时减</w:t>
            </w:r>
            <w:r>
              <w:rPr>
                <w:rFonts w:hAnsi="宋体" w:cs="宋体"/>
                <w:color w:val="auto"/>
                <w:kern w:val="0"/>
                <w:sz w:val="24"/>
                <w:highlight w:val="none"/>
              </w:rPr>
              <w:t>0.5</w:t>
            </w:r>
            <w:r>
              <w:rPr>
                <w:rFonts w:hint="eastAsia" w:hAnsi="宋体" w:cs="宋体"/>
                <w:color w:val="auto"/>
                <w:kern w:val="0"/>
                <w:sz w:val="24"/>
                <w:highlight w:val="none"/>
              </w:rPr>
              <w:t xml:space="preserve"> 分，最高得</w:t>
            </w:r>
            <w:r>
              <w:rPr>
                <w:rFonts w:hAnsi="宋体" w:cs="宋体"/>
                <w:color w:val="auto"/>
                <w:kern w:val="0"/>
                <w:sz w:val="24"/>
                <w:highlight w:val="none"/>
              </w:rPr>
              <w:t>2</w:t>
            </w:r>
            <w:r>
              <w:rPr>
                <w:rFonts w:hint="eastAsia" w:hAnsi="宋体" w:cs="宋体"/>
                <w:color w:val="auto"/>
                <w:kern w:val="0"/>
                <w:sz w:val="24"/>
                <w:highlight w:val="none"/>
              </w:rPr>
              <w:t>分。</w:t>
            </w:r>
          </w:p>
        </w:tc>
        <w:tc>
          <w:tcPr>
            <w:tcW w:w="1276" w:type="dxa"/>
            <w:vAlign w:val="center"/>
          </w:tcPr>
          <w:p w14:paraId="0EC377BF">
            <w:pPr>
              <w:pStyle w:val="15"/>
              <w:spacing w:before="120" w:beforeLines="50" w:after="120" w:afterLines="50" w:line="360" w:lineRule="auto"/>
              <w:jc w:val="left"/>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分</w:t>
            </w:r>
          </w:p>
        </w:tc>
      </w:tr>
    </w:tbl>
    <w:p w14:paraId="203D4A97">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0F4BD450">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p w14:paraId="278521E3">
      <w:pPr>
        <w:widowControl/>
        <w:jc w:val="left"/>
        <w:rPr>
          <w:rFonts w:ascii="宋体" w:hAnsi="宋体"/>
          <w:color w:val="auto"/>
          <w:sz w:val="24"/>
          <w:highlight w:val="none"/>
        </w:rPr>
      </w:pPr>
      <w:r>
        <w:rPr>
          <w:rFonts w:ascii="宋体" w:hAnsi="宋体"/>
          <w:color w:val="auto"/>
          <w:sz w:val="24"/>
          <w:highlight w:val="none"/>
        </w:rPr>
        <w:br w:type="page"/>
      </w:r>
    </w:p>
    <w:p w14:paraId="56D01E28">
      <w:pPr>
        <w:spacing w:line="360" w:lineRule="auto"/>
        <w:ind w:firstLine="720" w:firstLineChars="200"/>
        <w:jc w:val="center"/>
        <w:rPr>
          <w:rFonts w:ascii="Times New Roman Regular" w:hAnsi="Times New Roman Regular" w:cs="Times New Roman Regular"/>
          <w:b/>
          <w:color w:val="auto"/>
          <w:sz w:val="36"/>
          <w:szCs w:val="36"/>
          <w:highlight w:val="none"/>
        </w:rPr>
      </w:pPr>
      <w:r>
        <w:rPr>
          <w:rFonts w:hint="eastAsia" w:ascii="黑体" w:hAnsi="宋体" w:eastAsia="黑体"/>
          <w:color w:val="auto"/>
          <w:sz w:val="36"/>
          <w:szCs w:val="36"/>
          <w:highlight w:val="none"/>
        </w:rPr>
        <w:t xml:space="preserve">第五章 </w:t>
      </w:r>
      <w:r>
        <w:rPr>
          <w:rFonts w:ascii="Times New Roman Regular" w:hAnsi="Times New Roman Regular" w:cs="Times New Roman Regular"/>
          <w:b/>
          <w:color w:val="auto"/>
          <w:sz w:val="36"/>
          <w:szCs w:val="36"/>
          <w:highlight w:val="none"/>
        </w:rPr>
        <w:t>采购合同书</w:t>
      </w:r>
    </w:p>
    <w:p w14:paraId="26807EF1">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项目名称：</w:t>
      </w:r>
      <w:r>
        <w:rPr>
          <w:rFonts w:hint="eastAsia" w:ascii="Times New Roman Regular" w:hAnsi="Times New Roman Regular" w:cs="Times New Roman Regular"/>
          <w:color w:val="auto"/>
          <w:sz w:val="24"/>
          <w:highlight w:val="none"/>
        </w:rPr>
        <w:t>湖州市森林资源高水平保护与高质量发展研究项目</w:t>
      </w:r>
    </w:p>
    <w:p w14:paraId="32506EF5">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项目编号：</w:t>
      </w:r>
    </w:p>
    <w:p w14:paraId="09A69D37">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甲方：</w:t>
      </w:r>
      <w:r>
        <w:rPr>
          <w:rFonts w:ascii="Times New Roman Regular" w:hAnsi="Times New Roman Regular" w:cs="Times New Roman Regular"/>
          <w:b/>
          <w:bCs/>
          <w:color w:val="auto"/>
          <w:sz w:val="24"/>
          <w:highlight w:val="none"/>
        </w:rPr>
        <w:t>湖州市自然资源和规划局</w:t>
      </w:r>
    </w:p>
    <w:p w14:paraId="5B93FEAD">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乙方：</w:t>
      </w:r>
    </w:p>
    <w:p w14:paraId="781AB9B6">
      <w:pPr>
        <w:spacing w:line="360" w:lineRule="auto"/>
        <w:ind w:firstLine="480" w:firstLineChars="200"/>
        <w:rPr>
          <w:rFonts w:cs="Times New Roman Regular" w:asciiTheme="minorEastAsia" w:hAnsiTheme="minorEastAsia" w:eastAsiaTheme="minorEastAsia"/>
          <w:color w:val="auto"/>
          <w:sz w:val="24"/>
          <w:highlight w:val="none"/>
        </w:rPr>
      </w:pPr>
      <w:r>
        <w:rPr>
          <w:rFonts w:ascii="Times New Roman Regular" w:hAnsi="Times New Roman Regular" w:cs="Times New Roman Regular"/>
          <w:color w:val="auto"/>
          <w:sz w:val="24"/>
          <w:highlight w:val="none"/>
        </w:rPr>
        <w:t>甲乙双方根据</w:t>
      </w:r>
      <w:r>
        <w:rPr>
          <w:rFonts w:hint="eastAsia" w:ascii="Times New Roman Regular" w:hAnsi="Times New Roman Regular" w:cs="Times New Roman Regular"/>
          <w:b/>
          <w:bCs/>
          <w:color w:val="auto"/>
          <w:sz w:val="24"/>
          <w:highlight w:val="none"/>
        </w:rPr>
        <w:t>湖州市森林资源高水平保护与高质量发展研究项目</w:t>
      </w:r>
      <w:r>
        <w:rPr>
          <w:rFonts w:hint="eastAsia" w:ascii="Times New Roman Regular" w:hAnsi="Times New Roman Regular" w:cs="Times New Roman Regular"/>
          <w:color w:val="auto"/>
          <w:sz w:val="24"/>
          <w:highlight w:val="none"/>
        </w:rPr>
        <w:t>公开</w:t>
      </w:r>
      <w:r>
        <w:rPr>
          <w:rFonts w:ascii="Times New Roman Regular" w:hAnsi="Times New Roman Regular" w:cs="Times New Roman Regular"/>
          <w:color w:val="auto"/>
          <w:sz w:val="24"/>
          <w:highlight w:val="none"/>
        </w:rPr>
        <w:t>招标的结果，特签订本</w:t>
      </w:r>
      <w:r>
        <w:rPr>
          <w:rFonts w:cs="Times New Roman Regular" w:asciiTheme="minorEastAsia" w:hAnsiTheme="minorEastAsia" w:eastAsiaTheme="minorEastAsia"/>
          <w:color w:val="auto"/>
          <w:sz w:val="24"/>
          <w:highlight w:val="none"/>
        </w:rPr>
        <w:t>合同书。</w:t>
      </w:r>
    </w:p>
    <w:p w14:paraId="1AF6FB28">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本合同与下列文件一起构成合同文件的组成部分：</w:t>
      </w:r>
    </w:p>
    <w:p w14:paraId="380B2A1B">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（1）采购合同书及各种合同附件；</w:t>
      </w:r>
    </w:p>
    <w:p w14:paraId="6E2D5D07">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（2）采购（招标）文件；</w:t>
      </w:r>
    </w:p>
    <w:p w14:paraId="37348248">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（3）投标文件及相关承诺、声明等附件；</w:t>
      </w:r>
    </w:p>
    <w:p w14:paraId="4ED6E2B3">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（4）其他合同文件。</w:t>
      </w:r>
    </w:p>
    <w:p w14:paraId="1A77CC6E">
      <w:pPr>
        <w:adjustRightInd w:val="0"/>
        <w:snapToGrid w:val="0"/>
        <w:spacing w:line="5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上述文件互相补充和解释，如有不明确或不一致之处，以合同约定次序在先者为准。</w:t>
      </w:r>
    </w:p>
    <w:p w14:paraId="19107010">
      <w:pPr>
        <w:spacing w:line="460" w:lineRule="exact"/>
        <w:ind w:firstLine="482" w:firstLineChars="200"/>
        <w:outlineLvl w:val="1"/>
        <w:rPr>
          <w:rFonts w:ascii="宋体"/>
          <w:b/>
          <w:bCs/>
          <w:color w:val="auto"/>
          <w:sz w:val="24"/>
          <w:highlight w:val="none"/>
        </w:rPr>
      </w:pPr>
      <w:r>
        <w:rPr>
          <w:rFonts w:hint="eastAsia" w:ascii="宋体" w:hAnsi="宋体" w:cs="宋体"/>
          <w:b/>
          <w:bCs/>
          <w:color w:val="auto"/>
          <w:sz w:val="24"/>
          <w:highlight w:val="none"/>
        </w:rPr>
        <w:t>一、服务内容</w:t>
      </w:r>
    </w:p>
    <w:p w14:paraId="0B9BD2E8">
      <w:pPr>
        <w:spacing w:line="460" w:lineRule="exact"/>
        <w:ind w:left="420" w:leftChars="200"/>
        <w:outlineLvl w:val="1"/>
        <w:rPr>
          <w:rFonts w:ascii="宋体"/>
          <w:b/>
          <w:bCs/>
          <w:color w:val="auto"/>
          <w:sz w:val="24"/>
          <w:highlight w:val="none"/>
        </w:rPr>
      </w:pPr>
      <w:r>
        <w:rPr>
          <w:rFonts w:hint="eastAsia" w:ascii="Times New Roman Regular" w:hAnsi="Times New Roman Regular" w:cs="Times New Roman Regular"/>
          <w:b/>
          <w:bCs/>
          <w:color w:val="auto"/>
          <w:sz w:val="24"/>
          <w:highlight w:val="none"/>
        </w:rPr>
        <w:t>湖州市森林资源高水平保护与高质量发展研究项目</w:t>
      </w:r>
      <w:r>
        <w:rPr>
          <w:rFonts w:ascii="Times New Roman Regular" w:hAnsi="Times New Roman Regular" w:cs="Times New Roman Regular"/>
          <w:b/>
          <w:bCs/>
          <w:color w:val="auto"/>
          <w:sz w:val="24"/>
          <w:highlight w:val="none"/>
        </w:rPr>
        <w:br w:type="textWrapping"/>
      </w:r>
      <w:r>
        <w:rPr>
          <w:rFonts w:hint="eastAsia" w:ascii="宋体" w:hAnsi="宋体" w:cs="宋体"/>
          <w:b/>
          <w:bCs/>
          <w:color w:val="auto"/>
          <w:sz w:val="24"/>
          <w:highlight w:val="none"/>
        </w:rPr>
        <w:t>二、合同金额</w:t>
      </w:r>
    </w:p>
    <w:p w14:paraId="1AAA4D87">
      <w:pPr>
        <w:spacing w:line="460" w:lineRule="exact"/>
        <w:ind w:firstLine="480" w:firstLineChars="200"/>
        <w:rPr>
          <w:rFonts w:hAnsi="宋体"/>
          <w:color w:val="auto"/>
          <w:sz w:val="24"/>
          <w:highlight w:val="none"/>
        </w:rPr>
      </w:pPr>
      <w:r>
        <w:rPr>
          <w:rFonts w:hint="eastAsia" w:hAnsi="宋体" w:cs="宋体"/>
          <w:color w:val="auto"/>
          <w:sz w:val="24"/>
          <w:highlight w:val="none"/>
        </w:rPr>
        <w:t>本合同金额为（大写）：</w:t>
      </w:r>
      <w:r>
        <w:rPr>
          <w:rFonts w:hAnsi="宋体"/>
          <w:color w:val="auto"/>
          <w:sz w:val="24"/>
          <w:highlight w:val="none"/>
        </w:rPr>
        <w:t>_________________________________</w:t>
      </w:r>
      <w:r>
        <w:rPr>
          <w:rFonts w:hint="eastAsia" w:hAnsi="宋体" w:cs="宋体"/>
          <w:color w:val="auto"/>
          <w:sz w:val="24"/>
          <w:highlight w:val="none"/>
        </w:rPr>
        <w:t>元（￥</w:t>
      </w:r>
      <w:r>
        <w:rPr>
          <w:rFonts w:hAnsi="宋体"/>
          <w:color w:val="auto"/>
          <w:sz w:val="24"/>
          <w:highlight w:val="none"/>
        </w:rPr>
        <w:t>_______________</w:t>
      </w:r>
      <w:r>
        <w:rPr>
          <w:rFonts w:hint="eastAsia" w:hAnsi="宋体" w:cs="宋体"/>
          <w:color w:val="auto"/>
          <w:sz w:val="24"/>
          <w:highlight w:val="none"/>
        </w:rPr>
        <w:t>元）人民币。</w:t>
      </w:r>
    </w:p>
    <w:p w14:paraId="5C6D44EA">
      <w:pPr>
        <w:spacing w:line="460" w:lineRule="exact"/>
        <w:ind w:firstLine="482" w:firstLineChars="200"/>
        <w:outlineLvl w:val="1"/>
        <w:rPr>
          <w:rFonts w:ascii="宋体"/>
          <w:color w:val="auto"/>
          <w:sz w:val="24"/>
          <w:highlight w:val="none"/>
        </w:rPr>
      </w:pPr>
      <w:r>
        <w:rPr>
          <w:rFonts w:hint="eastAsia" w:ascii="宋体" w:hAnsi="宋体" w:cs="宋体"/>
          <w:b/>
          <w:bCs/>
          <w:color w:val="auto"/>
          <w:sz w:val="24"/>
          <w:highlight w:val="none"/>
        </w:rPr>
        <w:t>三、技术资料</w:t>
      </w:r>
    </w:p>
    <w:p w14:paraId="0EE4CB69">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乙方应按招标文件规定的时间向甲方提供有关技术资料。</w:t>
      </w:r>
    </w:p>
    <w:p w14:paraId="7203ADB4">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2A4B3A">
      <w:pPr>
        <w:spacing w:line="460" w:lineRule="exact"/>
        <w:ind w:firstLine="482" w:firstLineChars="200"/>
        <w:outlineLvl w:val="1"/>
        <w:rPr>
          <w:rFonts w:asciiTheme="minorEastAsia" w:hAnsiTheme="minorEastAsia" w:eastAsiaTheme="minorEastAsia"/>
          <w:b/>
          <w:bCs/>
          <w:color w:val="auto"/>
          <w:sz w:val="24"/>
          <w:highlight w:val="none"/>
        </w:rPr>
      </w:pPr>
      <w:r>
        <w:rPr>
          <w:rFonts w:hint="eastAsia" w:ascii="宋体" w:hAnsi="宋体" w:cs="宋体"/>
          <w:b/>
          <w:bCs/>
          <w:color w:val="auto"/>
          <w:sz w:val="24"/>
          <w:highlight w:val="none"/>
        </w:rPr>
        <w:t>四、知识产权</w:t>
      </w:r>
    </w:p>
    <w:p w14:paraId="12005A7C">
      <w:pPr>
        <w:adjustRightInd w:val="0"/>
        <w:snapToGrid w:val="0"/>
        <w:spacing w:line="540" w:lineRule="exact"/>
        <w:ind w:firstLine="480" w:firstLineChars="200"/>
        <w:rPr>
          <w:rFonts w:cs="仿宋"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乙方应保证提供服务过程中不会侵犯任何第三方的知识产权。</w:t>
      </w:r>
      <w:r>
        <w:rPr>
          <w:rFonts w:hint="eastAsia" w:cs="仿宋" w:asciiTheme="minorEastAsia" w:hAnsiTheme="minorEastAsia" w:eastAsiaTheme="minorEastAsia"/>
          <w:b/>
          <w:bCs/>
          <w:color w:val="auto"/>
          <w:sz w:val="24"/>
          <w:highlight w:val="none"/>
        </w:rPr>
        <w:t>若因乙方在履行合同过程中侵犯第三方知识产权的，由乙方承担全部责任。由此导致甲方被追究责任的，甲方有权向乙方追索。</w:t>
      </w:r>
    </w:p>
    <w:p w14:paraId="7568DCFA">
      <w:pPr>
        <w:spacing w:line="460" w:lineRule="exact"/>
        <w:ind w:firstLine="482" w:firstLineChars="200"/>
        <w:outlineLvl w:val="1"/>
        <w:rPr>
          <w:rFonts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五、转包或分包</w:t>
      </w:r>
    </w:p>
    <w:p w14:paraId="67A2A7C2">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本合同范围的服务，应由乙方直接供应，不得转让他人供应。</w:t>
      </w:r>
    </w:p>
    <w:p w14:paraId="642C964D">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如有转让和未经甲方同意的分包行为，甲方有权解除合同，没收履约保证金并追究乙方的违约责任。</w:t>
      </w:r>
    </w:p>
    <w:p w14:paraId="0BB6023B">
      <w:pPr>
        <w:spacing w:line="460" w:lineRule="exact"/>
        <w:ind w:firstLine="482" w:firstLineChars="200"/>
        <w:outlineLvl w:val="1"/>
        <w:rPr>
          <w:rFonts w:ascii="宋体" w:hAnsi="宋体" w:cs="宋体"/>
          <w:b/>
          <w:bCs/>
          <w:color w:val="auto"/>
          <w:sz w:val="24"/>
          <w:highlight w:val="none"/>
          <w:lang w:val="en"/>
        </w:rPr>
      </w:pPr>
      <w:r>
        <w:rPr>
          <w:rFonts w:hint="eastAsia" w:ascii="宋体" w:hAnsi="宋体" w:cs="宋体"/>
          <w:b/>
          <w:bCs/>
          <w:color w:val="auto"/>
          <w:sz w:val="24"/>
          <w:highlight w:val="none"/>
        </w:rPr>
        <w:t>六、合同履行时间</w:t>
      </w:r>
    </w:p>
    <w:p w14:paraId="7B40BF44">
      <w:pPr>
        <w:spacing w:line="460" w:lineRule="exact"/>
        <w:ind w:firstLine="480" w:firstLineChars="200"/>
        <w:outlineLvl w:val="2"/>
        <w:rPr>
          <w:color w:val="auto"/>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履行时间：</w:t>
      </w:r>
      <w:r>
        <w:rPr>
          <w:color w:val="auto"/>
          <w:highlight w:val="none"/>
        </w:rPr>
        <w:t xml:space="preserve"> </w:t>
      </w:r>
    </w:p>
    <w:p w14:paraId="3F34BBF0">
      <w:pPr>
        <w:spacing w:line="460" w:lineRule="exact"/>
        <w:ind w:firstLine="482" w:firstLineChars="200"/>
        <w:outlineLvl w:val="1"/>
        <w:rPr>
          <w:rFonts w:hAnsi="宋体" w:cs="宋体"/>
          <w:b/>
          <w:bCs/>
          <w:color w:val="auto"/>
          <w:sz w:val="24"/>
          <w:highlight w:val="none"/>
        </w:rPr>
      </w:pPr>
      <w:r>
        <w:rPr>
          <w:rFonts w:hint="eastAsia" w:hAnsi="宋体" w:cs="宋体"/>
          <w:b/>
          <w:bCs/>
          <w:color w:val="auto"/>
          <w:sz w:val="24"/>
          <w:highlight w:val="none"/>
        </w:rPr>
        <w:t>七、履约保证金</w:t>
      </w:r>
    </w:p>
    <w:p w14:paraId="5172F3AC">
      <w:pPr>
        <w:pStyle w:val="19"/>
        <w:spacing w:before="120" w:after="120"/>
        <w:ind w:firstLine="480" w:firstLineChars="200"/>
        <w:rPr>
          <w:rFonts w:hAnsi="宋体" w:cs="宋体"/>
          <w:color w:val="auto"/>
          <w:highlight w:val="none"/>
        </w:rPr>
      </w:pPr>
      <w:r>
        <w:rPr>
          <w:rFonts w:hint="eastAsia" w:hAnsi="宋体"/>
          <w:color w:val="auto"/>
          <w:highlight w:val="none"/>
        </w:rPr>
        <w:t>无</w:t>
      </w:r>
    </w:p>
    <w:p w14:paraId="0FC95650">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八、款项支付</w:t>
      </w:r>
    </w:p>
    <w:p w14:paraId="04ABA031">
      <w:pPr>
        <w:spacing w:line="360" w:lineRule="auto"/>
        <w:ind w:firstLine="420" w:firstLineChars="200"/>
        <w:outlineLvl w:val="1"/>
        <w:rPr>
          <w:rFonts w:ascii="宋体" w:hAnsi="宋体" w:cs="宋体"/>
          <w:color w:val="auto"/>
          <w:sz w:val="24"/>
          <w:highlight w:val="none"/>
        </w:rPr>
      </w:pPr>
      <w:r>
        <w:rPr>
          <w:rFonts w:ascii="宋体" w:hAnsi="宋体" w:cs="宋体"/>
          <w:color w:val="auto"/>
          <w:highlight w:val="none"/>
        </w:rPr>
        <w:t>1.</w:t>
      </w:r>
      <w:r>
        <w:rPr>
          <w:rFonts w:hint="eastAsia" w:ascii="宋体" w:hAnsi="宋体" w:cs="宋体"/>
          <w:color w:val="auto"/>
          <w:sz w:val="24"/>
          <w:highlight w:val="none"/>
        </w:rPr>
        <w:t>根据《保障中小企业款项支付条例》</w:t>
      </w:r>
      <w:r>
        <w:rPr>
          <w:rFonts w:ascii="宋体" w:hAnsi="宋体" w:cs="宋体"/>
          <w:color w:val="auto"/>
          <w:sz w:val="24"/>
          <w:highlight w:val="none"/>
        </w:rPr>
        <w:t>、</w:t>
      </w:r>
      <w:r>
        <w:rPr>
          <w:rFonts w:hint="eastAsia" w:ascii="宋体" w:hAnsi="宋体" w:cs="宋体"/>
          <w:color w:val="auto"/>
          <w:sz w:val="24"/>
          <w:highlight w:val="none"/>
        </w:rPr>
        <w:t>省财政厅《关于坚决打赢疫情防控阻击战进一步做好政府采购资金支持企业发展工作的通知》（浙财采监【</w:t>
      </w:r>
      <w:r>
        <w:rPr>
          <w:rFonts w:ascii="宋体" w:hAnsi="宋体" w:cs="宋体"/>
          <w:color w:val="auto"/>
          <w:sz w:val="24"/>
          <w:highlight w:val="none"/>
        </w:rPr>
        <w:t>2022】3号）要求，制定如下付款方式：</w:t>
      </w:r>
    </w:p>
    <w:p w14:paraId="0CE30168">
      <w:pPr>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项目分3次付款。一是合同签订并具备实施条件后7个工作日内，支付合同金额50%作为预付款；二是项目启动后根据工作进展比例付款；三是项目评审通过后付清余款。</w:t>
      </w:r>
    </w:p>
    <w:p w14:paraId="25C03736">
      <w:pPr>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采购人应自收到供应商开具的发票后</w:t>
      </w:r>
      <w:r>
        <w:rPr>
          <w:rFonts w:ascii="宋体" w:hAnsi="宋体" w:cs="宋体"/>
          <w:color w:val="auto"/>
          <w:sz w:val="24"/>
          <w:highlight w:val="none"/>
        </w:rPr>
        <w:t>15日内将上述相关款项支付到合同约定的供应商账户。</w:t>
      </w:r>
    </w:p>
    <w:p w14:paraId="7D5B36BF">
      <w:pPr>
        <w:spacing w:line="360" w:lineRule="auto"/>
        <w:ind w:firstLine="480" w:firstLineChars="200"/>
        <w:outlineLvl w:val="1"/>
        <w:rPr>
          <w:color w:val="auto"/>
          <w:highlight w:val="none"/>
        </w:rPr>
      </w:pPr>
      <w:r>
        <w:rPr>
          <w:rFonts w:hint="eastAsia" w:ascii="宋体" w:hAnsi="宋体" w:cs="宋体"/>
          <w:color w:val="auto"/>
          <w:sz w:val="24"/>
          <w:highlight w:val="none"/>
        </w:rPr>
        <w:t>注：</w:t>
      </w:r>
      <w:r>
        <w:rPr>
          <w:rFonts w:ascii="宋体" w:hAnsi="宋体" w:cs="宋体"/>
          <w:color w:val="auto"/>
          <w:sz w:val="24"/>
          <w:highlight w:val="none"/>
        </w:rPr>
        <w:t>若成交供应商明确表示无需预付款或者主动要求降低预付款比例的，采购人可不适用前述规定。</w:t>
      </w:r>
    </w:p>
    <w:p w14:paraId="59004666">
      <w:pPr>
        <w:pStyle w:val="107"/>
        <w:tabs>
          <w:tab w:val="left" w:pos="900"/>
          <w:tab w:val="left" w:pos="980"/>
          <w:tab w:val="left" w:pos="1710"/>
          <w:tab w:val="clear" w:pos="360"/>
        </w:tabs>
        <w:spacing w:before="120" w:after="120" w:line="360" w:lineRule="auto"/>
        <w:ind w:left="2" w:firstLine="480"/>
        <w:rPr>
          <w:rFonts w:ascii="宋体" w:hAnsi="Courier New"/>
          <w:color w:val="auto"/>
          <w:highlight w:val="none"/>
        </w:rPr>
      </w:pPr>
      <w:r>
        <w:rPr>
          <w:rFonts w:ascii="宋体" w:hAnsi="Courier New" w:cs="宋体"/>
          <w:color w:val="auto"/>
          <w:highlight w:val="none"/>
        </w:rPr>
        <w:t>2.</w:t>
      </w:r>
      <w:r>
        <w:rPr>
          <w:rFonts w:hint="eastAsia" w:ascii="宋体" w:hAnsi="Courier New" w:cs="宋体"/>
          <w:color w:val="auto"/>
          <w:highlight w:val="none"/>
        </w:rPr>
        <w:t>当采购数量与实际使用不一致时，乙方应根据实际情况，合同的最终结算金额按实际使用量乘以成交单价进行计算。</w:t>
      </w:r>
    </w:p>
    <w:p w14:paraId="3B249705">
      <w:pPr>
        <w:pStyle w:val="107"/>
        <w:tabs>
          <w:tab w:val="left" w:pos="900"/>
          <w:tab w:val="left" w:pos="980"/>
          <w:tab w:val="left" w:pos="1710"/>
          <w:tab w:val="clear" w:pos="360"/>
        </w:tabs>
        <w:spacing w:before="120" w:after="120" w:line="360" w:lineRule="auto"/>
        <w:ind w:left="2" w:firstLine="0"/>
        <w:outlineLvl w:val="1"/>
        <w:rPr>
          <w:rFonts w:ascii="宋体"/>
          <w:b/>
          <w:bCs/>
          <w:color w:val="auto"/>
          <w:highlight w:val="none"/>
        </w:rPr>
      </w:pPr>
      <w:r>
        <w:rPr>
          <w:rFonts w:hint="eastAsia" w:ascii="宋体" w:hAnsi="宋体" w:cs="宋体"/>
          <w:b/>
          <w:bCs/>
          <w:color w:val="auto"/>
          <w:highlight w:val="none"/>
        </w:rPr>
        <w:t>九、税费</w:t>
      </w:r>
    </w:p>
    <w:p w14:paraId="3A547440">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本合同执行中相关的一切税费均由乙方负担。</w:t>
      </w:r>
    </w:p>
    <w:p w14:paraId="3B3C4FBF">
      <w:pPr>
        <w:spacing w:line="360" w:lineRule="auto"/>
        <w:outlineLvl w:val="1"/>
        <w:rPr>
          <w:rFonts w:ascii="宋体"/>
          <w:b/>
          <w:bCs/>
          <w:color w:val="auto"/>
          <w:sz w:val="24"/>
          <w:highlight w:val="none"/>
        </w:rPr>
      </w:pPr>
      <w:r>
        <w:rPr>
          <w:rFonts w:hint="eastAsia" w:ascii="宋体" w:hAnsi="宋体" w:cs="宋体"/>
          <w:b/>
          <w:bCs/>
          <w:color w:val="auto"/>
          <w:sz w:val="24"/>
          <w:highlight w:val="none"/>
        </w:rPr>
        <w:t>十、质量保证及后续服务</w:t>
      </w:r>
    </w:p>
    <w:p w14:paraId="629369E7">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．乙方应按招标文件规定向甲方提供服务。</w:t>
      </w:r>
    </w:p>
    <w:p w14:paraId="39934844">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．乙方提供的服务不到要求者，根据实际情况，经双方协商，可按以下办法处理：</w:t>
      </w:r>
    </w:p>
    <w:p w14:paraId="15E2A517">
      <w:pPr>
        <w:spacing w:line="460" w:lineRule="exact"/>
        <w:ind w:firstLine="480" w:firstLineChars="200"/>
        <w:rPr>
          <w:rFonts w:ascii="宋体"/>
          <w:color w:val="auto"/>
          <w:sz w:val="24"/>
          <w:highlight w:val="none"/>
        </w:rPr>
      </w:pPr>
      <w:r>
        <w:rPr>
          <w:rFonts w:hint="eastAsia" w:ascii="宋体" w:cs="宋体"/>
          <w:color w:val="auto"/>
          <w:sz w:val="24"/>
          <w:highlight w:val="none"/>
        </w:rPr>
        <w:t>⑴</w:t>
      </w:r>
      <w:r>
        <w:rPr>
          <w:rFonts w:hint="eastAsia" w:ascii="宋体" w:hAnsi="宋体" w:cs="宋体"/>
          <w:color w:val="auto"/>
          <w:sz w:val="24"/>
          <w:highlight w:val="none"/>
        </w:rPr>
        <w:t>重做：由乙方承担所发生的全部费用。</w:t>
      </w:r>
    </w:p>
    <w:p w14:paraId="07EE0F4A">
      <w:pPr>
        <w:spacing w:line="460" w:lineRule="exact"/>
        <w:ind w:firstLine="480" w:firstLineChars="200"/>
        <w:rPr>
          <w:rFonts w:ascii="宋体"/>
          <w:color w:val="auto"/>
          <w:sz w:val="24"/>
          <w:highlight w:val="none"/>
        </w:rPr>
      </w:pPr>
      <w:r>
        <w:rPr>
          <w:rFonts w:hint="eastAsia" w:ascii="宋体" w:cs="宋体"/>
          <w:color w:val="auto"/>
          <w:sz w:val="24"/>
          <w:highlight w:val="none"/>
        </w:rPr>
        <w:t>⑵</w:t>
      </w:r>
      <w:r>
        <w:rPr>
          <w:rFonts w:hint="eastAsia" w:ascii="宋体" w:hAnsi="宋体" w:cs="宋体"/>
          <w:color w:val="auto"/>
          <w:sz w:val="24"/>
          <w:highlight w:val="none"/>
        </w:rPr>
        <w:t>贬值处理：由甲乙双方合议定价。</w:t>
      </w:r>
    </w:p>
    <w:p w14:paraId="58F8BB77">
      <w:pPr>
        <w:spacing w:line="460" w:lineRule="exact"/>
        <w:ind w:firstLine="480" w:firstLineChars="200"/>
        <w:rPr>
          <w:rFonts w:ascii="宋体"/>
          <w:color w:val="auto"/>
          <w:sz w:val="24"/>
          <w:highlight w:val="none"/>
        </w:rPr>
      </w:pPr>
      <w:r>
        <w:rPr>
          <w:rFonts w:hint="eastAsia" w:ascii="宋体" w:cs="宋体"/>
          <w:color w:val="auto"/>
          <w:sz w:val="24"/>
          <w:highlight w:val="none"/>
        </w:rPr>
        <w:t>⑶</w:t>
      </w:r>
      <w:r>
        <w:rPr>
          <w:rFonts w:hint="eastAsia" w:ascii="宋体" w:hAnsi="宋体" w:cs="宋体"/>
          <w:color w:val="auto"/>
          <w:sz w:val="24"/>
          <w:highlight w:val="none"/>
        </w:rPr>
        <w:t>解除合同。</w:t>
      </w:r>
    </w:p>
    <w:p w14:paraId="7A6E6B32">
      <w:pPr>
        <w:spacing w:line="460" w:lineRule="exact"/>
        <w:outlineLvl w:val="1"/>
        <w:rPr>
          <w:rFonts w:ascii="宋体"/>
          <w:b/>
          <w:bCs/>
          <w:color w:val="auto"/>
          <w:sz w:val="24"/>
          <w:highlight w:val="none"/>
        </w:rPr>
      </w:pPr>
      <w:r>
        <w:rPr>
          <w:rFonts w:hint="eastAsia" w:ascii="宋体" w:hAnsi="宋体" w:cs="宋体"/>
          <w:b/>
          <w:bCs/>
          <w:color w:val="auto"/>
          <w:sz w:val="24"/>
          <w:highlight w:val="none"/>
        </w:rPr>
        <w:t>十一、违约责任</w:t>
      </w:r>
    </w:p>
    <w:p w14:paraId="1C147044">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．甲方无正当理由拒绝接受服务的，甲方向乙方偿付合同款项百分之五作为违约金。</w:t>
      </w:r>
    </w:p>
    <w:p w14:paraId="1709A02E">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．甲方无故逾期验收和办理款项支付手续的，甲方应按逾期付款总额每日万分之五向乙方支付违约金。</w:t>
      </w:r>
    </w:p>
    <w:p w14:paraId="2A6B82B5">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．乙方未能如期提供服务的，每日向甲方支付合同款项的千分之六作为违约金。乙方超过约定日期</w:t>
      </w:r>
      <w:r>
        <w:rPr>
          <w:rFonts w:ascii="宋体" w:hAnsi="宋体" w:cs="宋体"/>
          <w:color w:val="auto"/>
          <w:sz w:val="24"/>
          <w:highlight w:val="none"/>
        </w:rPr>
        <w:t>10</w:t>
      </w:r>
      <w:r>
        <w:rPr>
          <w:rFonts w:hint="eastAsia" w:ascii="宋体" w:hAnsi="宋体" w:cs="宋体"/>
          <w:color w:val="auto"/>
          <w:sz w:val="24"/>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 w:val="24"/>
          <w:highlight w:val="none"/>
        </w:rPr>
        <w:t>5%</w:t>
      </w:r>
      <w:r>
        <w:rPr>
          <w:rFonts w:hint="eastAsia" w:ascii="宋体" w:hAnsi="宋体" w:cs="宋体"/>
          <w:color w:val="auto"/>
          <w:sz w:val="24"/>
          <w:highlight w:val="none"/>
        </w:rPr>
        <w:t>的违约金，如造成甲方损失超过违约金的，超出部分由乙方继续承担赔偿责任。</w:t>
      </w:r>
    </w:p>
    <w:p w14:paraId="1A7C43E6">
      <w:pPr>
        <w:spacing w:line="460" w:lineRule="exact"/>
        <w:outlineLvl w:val="1"/>
        <w:rPr>
          <w:rFonts w:ascii="宋体"/>
          <w:b/>
          <w:bCs/>
          <w:color w:val="auto"/>
          <w:sz w:val="24"/>
          <w:highlight w:val="none"/>
        </w:rPr>
      </w:pPr>
      <w:r>
        <w:rPr>
          <w:rFonts w:hint="eastAsia" w:ascii="宋体" w:hAnsi="宋体" w:cs="宋体"/>
          <w:b/>
          <w:bCs/>
          <w:color w:val="auto"/>
          <w:sz w:val="24"/>
          <w:highlight w:val="none"/>
        </w:rPr>
        <w:t>十二、不可抗力事件处理</w:t>
      </w:r>
    </w:p>
    <w:p w14:paraId="1FB612EF">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．在合同有效期内，任何一方因不可抗力事件导致不能履行合同，则合同履行期可延长，其延长期与不可抗力影响期相同。</w:t>
      </w:r>
    </w:p>
    <w:p w14:paraId="5E3D85EE">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．不可抗力事件发生后，应立即通知对方，并寄送有关权威机构出具的证明。</w:t>
      </w:r>
    </w:p>
    <w:p w14:paraId="10212121">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．不可抗力事件延续</w:t>
      </w:r>
      <w:r>
        <w:rPr>
          <w:rFonts w:ascii="宋体" w:hAnsi="宋体" w:cs="宋体"/>
          <w:color w:val="auto"/>
          <w:sz w:val="24"/>
          <w:highlight w:val="none"/>
        </w:rPr>
        <w:t>120</w:t>
      </w:r>
      <w:r>
        <w:rPr>
          <w:rFonts w:hint="eastAsia" w:ascii="宋体" w:hAnsi="宋体" w:cs="宋体"/>
          <w:color w:val="auto"/>
          <w:sz w:val="24"/>
          <w:highlight w:val="none"/>
        </w:rPr>
        <w:t>天以上，双方应通过友好协商，确定是否继续履行合同。</w:t>
      </w:r>
    </w:p>
    <w:p w14:paraId="7484BE02">
      <w:pPr>
        <w:spacing w:line="460" w:lineRule="exact"/>
        <w:outlineLvl w:val="1"/>
        <w:rPr>
          <w:rFonts w:ascii="宋体"/>
          <w:b/>
          <w:bCs/>
          <w:color w:val="auto"/>
          <w:sz w:val="24"/>
          <w:highlight w:val="none"/>
        </w:rPr>
      </w:pPr>
      <w:r>
        <w:rPr>
          <w:rFonts w:hint="eastAsia" w:ascii="宋体" w:hAnsi="宋体" w:cs="宋体"/>
          <w:b/>
          <w:bCs/>
          <w:color w:val="auto"/>
          <w:sz w:val="24"/>
          <w:highlight w:val="none"/>
        </w:rPr>
        <w:t>十三、诉讼</w:t>
      </w:r>
    </w:p>
    <w:p w14:paraId="4CFC6530">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7DDF26D7">
      <w:pPr>
        <w:spacing w:line="460" w:lineRule="exact"/>
        <w:outlineLvl w:val="1"/>
        <w:rPr>
          <w:rFonts w:ascii="宋体"/>
          <w:b/>
          <w:bCs/>
          <w:color w:val="auto"/>
          <w:sz w:val="24"/>
          <w:highlight w:val="none"/>
        </w:rPr>
      </w:pPr>
      <w:r>
        <w:rPr>
          <w:rFonts w:hint="eastAsia" w:ascii="宋体" w:hAnsi="宋体" w:cs="宋体"/>
          <w:b/>
          <w:bCs/>
          <w:color w:val="auto"/>
          <w:sz w:val="24"/>
          <w:highlight w:val="none"/>
        </w:rPr>
        <w:t>十四、合同生效及其他</w:t>
      </w:r>
    </w:p>
    <w:p w14:paraId="73EA714B">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．合同经双方法定代表人或授权代表签字并加盖单位公章后生效。</w:t>
      </w:r>
    </w:p>
    <w:p w14:paraId="75DDDE1B">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446D419B">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．本合同未尽事宜，遵照《中华人民共和国民法典》有关条文执行。</w:t>
      </w:r>
    </w:p>
    <w:p w14:paraId="1BF209A4">
      <w:pPr>
        <w:spacing w:line="460" w:lineRule="exact"/>
        <w:ind w:firstLine="480" w:firstLineChars="200"/>
        <w:rPr>
          <w:rFonts w:ascii="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．合同正本一式五份，甲乙双方各执两份，</w:t>
      </w:r>
      <w:r>
        <w:rPr>
          <w:rFonts w:hint="eastAsia" w:ascii="宋体" w:hAnsi="宋体" w:cs="宋体"/>
          <w:color w:val="auto"/>
          <w:kern w:val="0"/>
          <w:sz w:val="24"/>
          <w:highlight w:val="none"/>
        </w:rPr>
        <w:t>浙江华耀建设咨询有限公司</w:t>
      </w:r>
      <w:r>
        <w:rPr>
          <w:rFonts w:hint="eastAsia" w:ascii="宋体" w:hAnsi="宋体" w:cs="宋体"/>
          <w:color w:val="auto"/>
          <w:sz w:val="24"/>
          <w:highlight w:val="none"/>
        </w:rPr>
        <w:t>（招标代理机构）执一份备案。</w:t>
      </w:r>
    </w:p>
    <w:p w14:paraId="2A5C985D">
      <w:pPr>
        <w:spacing w:line="460" w:lineRule="exact"/>
        <w:ind w:firstLine="482" w:firstLineChars="200"/>
        <w:rPr>
          <w:rFonts w:ascii="宋体"/>
          <w:b/>
          <w:bCs/>
          <w:color w:val="auto"/>
          <w:sz w:val="24"/>
          <w:highlight w:val="none"/>
        </w:rPr>
      </w:pPr>
    </w:p>
    <w:p w14:paraId="16D0FC3B">
      <w:pPr>
        <w:spacing w:line="460" w:lineRule="exact"/>
        <w:outlineLvl w:val="1"/>
        <w:rPr>
          <w:rFonts w:ascii="宋体"/>
          <w:b/>
          <w:bCs/>
          <w:color w:val="auto"/>
          <w:sz w:val="24"/>
          <w:highlight w:val="none"/>
        </w:rPr>
      </w:pPr>
      <w:r>
        <w:rPr>
          <w:rFonts w:hint="eastAsia" w:ascii="宋体" w:hAnsi="宋体" w:cs="宋体"/>
          <w:b/>
          <w:bCs/>
          <w:color w:val="auto"/>
          <w:sz w:val="24"/>
          <w:highlight w:val="none"/>
        </w:rPr>
        <w:t>十五、补充条款</w:t>
      </w:r>
    </w:p>
    <w:p w14:paraId="737165BC">
      <w:pPr>
        <w:tabs>
          <w:tab w:val="left" w:pos="1440"/>
        </w:tabs>
        <w:spacing w:line="460" w:lineRule="exact"/>
        <w:rPr>
          <w:rFonts w:ascii="宋体" w:hAnsi="宋体" w:cs="宋体"/>
          <w:color w:val="auto"/>
          <w:sz w:val="24"/>
          <w:highlight w:val="none"/>
        </w:rPr>
      </w:pPr>
    </w:p>
    <w:p w14:paraId="3D36FA04">
      <w:pPr>
        <w:tabs>
          <w:tab w:val="left" w:pos="1440"/>
        </w:tabs>
        <w:spacing w:line="460" w:lineRule="exact"/>
        <w:rPr>
          <w:rFonts w:ascii="宋体"/>
          <w:color w:val="auto"/>
          <w:sz w:val="24"/>
          <w:highlight w:val="none"/>
        </w:rPr>
      </w:pPr>
      <w:r>
        <w:rPr>
          <w:rFonts w:hint="eastAsia" w:ascii="宋体" w:hAnsi="宋体" w:cs="宋体"/>
          <w:color w:val="auto"/>
          <w:sz w:val="24"/>
          <w:highlight w:val="none"/>
        </w:rPr>
        <w:t>甲方：                         乙方：</w:t>
      </w:r>
    </w:p>
    <w:p w14:paraId="15E771DA">
      <w:pPr>
        <w:tabs>
          <w:tab w:val="left" w:pos="1440"/>
        </w:tabs>
        <w:spacing w:line="460" w:lineRule="exact"/>
        <w:rPr>
          <w:rFonts w:ascii="宋体"/>
          <w:color w:val="auto"/>
          <w:sz w:val="24"/>
          <w:highlight w:val="none"/>
        </w:rPr>
      </w:pPr>
      <w:r>
        <w:rPr>
          <w:rFonts w:hint="eastAsia" w:ascii="宋体" w:hAnsi="宋体" w:cs="宋体"/>
          <w:color w:val="auto"/>
          <w:sz w:val="24"/>
          <w:highlight w:val="none"/>
        </w:rPr>
        <w:t>地址：                         地址：</w:t>
      </w:r>
    </w:p>
    <w:p w14:paraId="3032D3D0">
      <w:pPr>
        <w:tabs>
          <w:tab w:val="left" w:pos="1440"/>
        </w:tabs>
        <w:spacing w:line="460" w:lineRule="exact"/>
        <w:rPr>
          <w:rFonts w:ascii="宋体"/>
          <w:color w:val="auto"/>
          <w:sz w:val="24"/>
          <w:highlight w:val="none"/>
        </w:rPr>
      </w:pPr>
      <w:r>
        <w:rPr>
          <w:rFonts w:hint="eastAsia" w:ascii="宋体" w:hAnsi="宋体" w:cs="宋体"/>
          <w:color w:val="auto"/>
          <w:sz w:val="24"/>
          <w:highlight w:val="none"/>
        </w:rPr>
        <w:t>法定（授权）代表人：           法定（授权）代表人：</w:t>
      </w:r>
    </w:p>
    <w:p w14:paraId="2908BEAE">
      <w:pPr>
        <w:tabs>
          <w:tab w:val="left" w:pos="1440"/>
        </w:tabs>
        <w:spacing w:line="460" w:lineRule="exact"/>
        <w:rPr>
          <w:rFonts w:ascii="宋体"/>
          <w:color w:val="auto"/>
          <w:sz w:val="24"/>
          <w:highlight w:val="none"/>
        </w:rPr>
      </w:pPr>
      <w:r>
        <w:rPr>
          <w:rFonts w:hint="eastAsia" w:ascii="宋体" w:hAnsi="宋体" w:cs="宋体"/>
          <w:color w:val="auto"/>
          <w:sz w:val="24"/>
          <w:highlight w:val="none"/>
        </w:rPr>
        <w:t>邮编：                         邮编：</w:t>
      </w:r>
    </w:p>
    <w:p w14:paraId="13F6C7D4">
      <w:pPr>
        <w:pStyle w:val="19"/>
        <w:snapToGrid w:val="0"/>
        <w:spacing w:beforeLines="0" w:afterLines="0" w:line="360" w:lineRule="auto"/>
        <w:rPr>
          <w:rFonts w:hAnsi="宋体" w:cs="宋体"/>
          <w:color w:val="auto"/>
          <w:highlight w:val="none"/>
        </w:rPr>
      </w:pPr>
      <w:r>
        <w:rPr>
          <w:rFonts w:hint="eastAsia" w:hAnsi="宋体" w:cs="宋体"/>
          <w:color w:val="auto"/>
          <w:highlight w:val="none"/>
        </w:rPr>
        <w:t>日期：                         日期：</w:t>
      </w:r>
    </w:p>
    <w:p w14:paraId="16F99C77">
      <w:pPr>
        <w:pStyle w:val="19"/>
        <w:snapToGrid w:val="0"/>
        <w:spacing w:beforeLines="0" w:afterLines="0" w:line="360" w:lineRule="auto"/>
        <w:rPr>
          <w:rFonts w:hAnsi="宋体" w:cs="宋体"/>
          <w:color w:val="auto"/>
          <w:highlight w:val="none"/>
        </w:rPr>
      </w:pPr>
    </w:p>
    <w:p w14:paraId="361AF5AE">
      <w:pPr>
        <w:pStyle w:val="19"/>
        <w:snapToGrid w:val="0"/>
        <w:spacing w:beforeLines="0" w:afterLines="0" w:line="360" w:lineRule="auto"/>
        <w:rPr>
          <w:color w:val="auto"/>
          <w:highlight w:val="none"/>
        </w:rPr>
      </w:pPr>
    </w:p>
    <w:p w14:paraId="366D2772">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3CE919C2">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6007E632">
      <w:pPr>
        <w:snapToGrid w:val="0"/>
        <w:spacing w:line="360" w:lineRule="auto"/>
        <w:jc w:val="center"/>
        <w:rPr>
          <w:rFonts w:ascii="宋体" w:hAnsi="宋体"/>
          <w:color w:val="auto"/>
          <w:sz w:val="24"/>
          <w:szCs w:val="20"/>
          <w:highlight w:val="none"/>
        </w:rPr>
      </w:pPr>
    </w:p>
    <w:p w14:paraId="0BF2E9C9">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60B9885F">
      <w:pPr>
        <w:snapToGrid w:val="0"/>
        <w:spacing w:line="360" w:lineRule="auto"/>
        <w:jc w:val="center"/>
        <w:rPr>
          <w:rFonts w:ascii="宋体" w:hAnsi="宋体"/>
          <w:bCs/>
          <w:color w:val="auto"/>
          <w:sz w:val="24"/>
          <w:szCs w:val="20"/>
          <w:highlight w:val="none"/>
        </w:rPr>
      </w:pPr>
    </w:p>
    <w:p w14:paraId="19BB65DA">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14:paraId="299514B0">
      <w:pPr>
        <w:snapToGrid w:val="0"/>
        <w:spacing w:line="360" w:lineRule="auto"/>
        <w:rPr>
          <w:rFonts w:ascii="宋体" w:hAnsi="宋体"/>
          <w:bCs/>
          <w:color w:val="auto"/>
          <w:sz w:val="24"/>
          <w:szCs w:val="20"/>
          <w:highlight w:val="none"/>
        </w:rPr>
      </w:pPr>
    </w:p>
    <w:p w14:paraId="17FDB532">
      <w:pPr>
        <w:snapToGrid w:val="0"/>
        <w:spacing w:line="360" w:lineRule="auto"/>
        <w:ind w:firstLine="960" w:firstLineChars="400"/>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湖州市森林资源高水平保护与高质量发展研究项目</w:t>
      </w:r>
    </w:p>
    <w:p w14:paraId="12B151E5">
      <w:pPr>
        <w:pStyle w:val="10"/>
        <w:snapToGrid w:val="0"/>
        <w:spacing w:line="360" w:lineRule="auto"/>
        <w:ind w:firstLine="998" w:firstLineChars="416"/>
        <w:rPr>
          <w:rFonts w:ascii="宋体" w:hAnsi="宋体"/>
          <w:color w:val="auto"/>
          <w:sz w:val="24"/>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HYHZ2024-200</w:t>
      </w:r>
    </w:p>
    <w:p w14:paraId="7B34EADF">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3284BB7">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7D61317B">
      <w:pPr>
        <w:pStyle w:val="10"/>
        <w:snapToGrid w:val="0"/>
        <w:spacing w:line="360" w:lineRule="auto"/>
        <w:ind w:firstLine="960" w:firstLineChars="400"/>
        <w:rPr>
          <w:rFonts w:ascii="宋体" w:hAnsi="宋体"/>
          <w:bCs/>
          <w:color w:val="auto"/>
          <w:sz w:val="24"/>
          <w:szCs w:val="24"/>
          <w:highlight w:val="none"/>
        </w:rPr>
      </w:pPr>
    </w:p>
    <w:p w14:paraId="5EBDF012">
      <w:pPr>
        <w:snapToGrid w:val="0"/>
        <w:spacing w:line="360" w:lineRule="auto"/>
        <w:ind w:firstLine="4080" w:firstLineChars="1700"/>
        <w:rPr>
          <w:rFonts w:ascii="宋体" w:hAnsi="宋体"/>
          <w:color w:val="auto"/>
          <w:sz w:val="24"/>
          <w:szCs w:val="20"/>
          <w:highlight w:val="none"/>
        </w:rPr>
      </w:pPr>
    </w:p>
    <w:p w14:paraId="11FF3BD6">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14:paraId="683810F1">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310B07EE">
      <w:pPr>
        <w:snapToGrid w:val="0"/>
        <w:spacing w:line="360" w:lineRule="auto"/>
        <w:rPr>
          <w:rFonts w:ascii="宋体" w:hAnsi="宋体"/>
          <w:color w:val="auto"/>
          <w:sz w:val="24"/>
          <w:szCs w:val="20"/>
          <w:highlight w:val="none"/>
        </w:rPr>
      </w:pPr>
    </w:p>
    <w:p w14:paraId="39CF85D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7C4EBB90">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）投标人基本情况介绍————————</w:t>
      </w:r>
    </w:p>
    <w:p w14:paraId="716F2CF3">
      <w:pPr>
        <w:snapToGrid w:val="0"/>
        <w:spacing w:line="360" w:lineRule="auto"/>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p>
    <w:p w14:paraId="51485DD7">
      <w:pPr>
        <w:snapToGrid w:val="0"/>
        <w:spacing w:line="360" w:lineRule="auto"/>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70959DD0">
      <w:pPr>
        <w:snapToGrid w:val="0"/>
        <w:spacing w:line="360" w:lineRule="auto"/>
        <w:jc w:val="left"/>
        <w:rPr>
          <w:rFonts w:ascii="宋体" w:hAnsi="宋体"/>
          <w:color w:val="auto"/>
          <w:sz w:val="24"/>
          <w:highlight w:val="none"/>
        </w:rPr>
      </w:pPr>
      <w:r>
        <w:rPr>
          <w:rFonts w:hint="eastAsia" w:ascii="宋体" w:hAnsi="宋体"/>
          <w:color w:val="auto"/>
          <w:sz w:val="24"/>
          <w:highlight w:val="none"/>
        </w:rPr>
        <w:t>（5）有效的营业执照副本复印件————————</w:t>
      </w:r>
    </w:p>
    <w:p w14:paraId="3E55AD54">
      <w:pPr>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（6）</w:t>
      </w:r>
      <w:r>
        <w:rPr>
          <w:rFonts w:hint="eastAsia" w:ascii="宋体" w:hAnsi="宋体" w:cs="宋体"/>
          <w:color w:val="auto"/>
          <w:sz w:val="24"/>
          <w:highlight w:val="none"/>
        </w:rPr>
        <w:t>近二年度（2022和2023年）企业的财务报表或银行资信证明复印件</w:t>
      </w:r>
      <w:r>
        <w:rPr>
          <w:rFonts w:hint="eastAsia" w:ascii="宋体" w:hAnsi="宋体"/>
          <w:color w:val="auto"/>
          <w:sz w:val="24"/>
          <w:highlight w:val="none"/>
        </w:rPr>
        <w:t>———————</w:t>
      </w:r>
    </w:p>
    <w:p w14:paraId="64A66BE5">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18538385">
      <w:pPr>
        <w:snapToGrid w:val="0"/>
        <w:spacing w:line="360" w:lineRule="auto"/>
        <w:jc w:val="left"/>
        <w:rPr>
          <w:rFonts w:ascii="宋体" w:hAnsi="宋体"/>
          <w:color w:val="auto"/>
          <w:sz w:val="24"/>
          <w:highlight w:val="none"/>
        </w:rPr>
      </w:pPr>
      <w:r>
        <w:rPr>
          <w:rFonts w:hint="eastAsia" w:ascii="宋体" w:hAnsi="宋体"/>
          <w:color w:val="auto"/>
          <w:sz w:val="24"/>
          <w:highlight w:val="none"/>
        </w:rPr>
        <w:t>（8）联合体各方共同投标协议（如有，格式自拟）————————</w:t>
      </w:r>
    </w:p>
    <w:p w14:paraId="672989A3">
      <w:pPr>
        <w:pStyle w:val="19"/>
        <w:snapToGrid w:val="0"/>
        <w:spacing w:beforeLines="0" w:afterLines="0" w:line="360" w:lineRule="auto"/>
        <w:rPr>
          <w:rFonts w:hAnsi="宋体"/>
          <w:color w:val="auto"/>
          <w:highlight w:val="none"/>
        </w:rPr>
      </w:pPr>
    </w:p>
    <w:p w14:paraId="4ECCB116">
      <w:pPr>
        <w:snapToGrid w:val="0"/>
        <w:spacing w:line="360" w:lineRule="auto"/>
        <w:jc w:val="left"/>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highlight w:val="none"/>
        </w:rPr>
        <w:t>3</w:t>
      </w:r>
      <w:r>
        <w:rPr>
          <w:rFonts w:hint="eastAsia" w:ascii="宋体" w:hAnsi="宋体"/>
          <w:color w:val="auto"/>
          <w:sz w:val="24"/>
          <w:highlight w:val="none"/>
        </w:rPr>
        <w:t>.投标声明书格式：</w:t>
      </w:r>
    </w:p>
    <w:p w14:paraId="12C81F02">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7B595490">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68E49433">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6B566712">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033D5BDC">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6E0047D3">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13D487B5">
      <w:pPr>
        <w:snapToGrid w:val="0"/>
        <w:spacing w:line="360" w:lineRule="auto"/>
        <w:ind w:firstLine="480" w:firstLineChars="200"/>
        <w:rPr>
          <w:rFonts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hAnsi="宋体"/>
          <w:color w:val="auto"/>
          <w:sz w:val="24"/>
          <w:highlight w:val="none"/>
        </w:rPr>
        <w:t>我方及由本人担任法定代表人的其他机构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违法行为有：</w:t>
      </w:r>
    </w:p>
    <w:p w14:paraId="4F53FA01">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28DE5AFB">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48A6EE12">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28A8839D">
      <w:pPr>
        <w:pStyle w:val="87"/>
        <w:snapToGrid w:val="0"/>
        <w:spacing w:line="360" w:lineRule="auto"/>
        <w:ind w:firstLine="200"/>
        <w:rPr>
          <w:rFonts w:ascii="宋体" w:hAnsi="宋体"/>
          <w:color w:val="auto"/>
          <w:highlight w:val="none"/>
        </w:rPr>
      </w:pPr>
    </w:p>
    <w:p w14:paraId="4F86BE83">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p>
    <w:p w14:paraId="3EA9E91E">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14:paraId="6D2F799D">
      <w:pPr>
        <w:pStyle w:val="2"/>
        <w:rPr>
          <w:color w:val="auto"/>
          <w:highlight w:val="none"/>
        </w:rPr>
      </w:pPr>
    </w:p>
    <w:p w14:paraId="45B47C32">
      <w:pPr>
        <w:pStyle w:val="20"/>
        <w:rPr>
          <w:color w:val="auto"/>
          <w:highlight w:val="none"/>
        </w:rPr>
      </w:pPr>
    </w:p>
    <w:p w14:paraId="754C352F">
      <w:pPr>
        <w:pStyle w:val="42"/>
        <w:rPr>
          <w:color w:val="auto"/>
          <w:highlight w:val="none"/>
        </w:rPr>
      </w:pPr>
    </w:p>
    <w:p w14:paraId="1ADE1F54">
      <w:pPr>
        <w:snapToGrid w:val="0"/>
        <w:spacing w:line="360" w:lineRule="auto"/>
        <w:rPr>
          <w:rFonts w:ascii="宋体" w:hAnsi="宋体"/>
          <w:color w:val="auto"/>
          <w:sz w:val="24"/>
          <w:szCs w:val="20"/>
          <w:highlight w:val="none"/>
        </w:rPr>
      </w:pPr>
    </w:p>
    <w:p w14:paraId="3761521C">
      <w:pPr>
        <w:snapToGrid w:val="0"/>
        <w:spacing w:line="360" w:lineRule="auto"/>
        <w:rPr>
          <w:rFonts w:ascii="宋体" w:hAnsi="宋体"/>
          <w:color w:val="auto"/>
          <w:sz w:val="24"/>
          <w:highlight w:val="none"/>
        </w:rPr>
      </w:pPr>
      <w:r>
        <w:rPr>
          <w:rFonts w:hint="eastAsia" w:ascii="宋体" w:hAnsi="宋体"/>
          <w:color w:val="auto"/>
          <w:sz w:val="24"/>
          <w:highlight w:val="none"/>
        </w:rPr>
        <w:t>4.投标人情况介绍（格式自拟）</w:t>
      </w:r>
    </w:p>
    <w:p w14:paraId="25448CB0">
      <w:pPr>
        <w:snapToGrid w:val="0"/>
        <w:spacing w:line="360" w:lineRule="auto"/>
        <w:rPr>
          <w:rFonts w:ascii="宋体" w:hAnsi="宋体"/>
          <w:color w:val="auto"/>
          <w:sz w:val="24"/>
          <w:highlight w:val="none"/>
        </w:rPr>
      </w:pPr>
    </w:p>
    <w:p w14:paraId="4F6FCD0F">
      <w:pPr>
        <w:snapToGrid w:val="0"/>
        <w:spacing w:line="360" w:lineRule="auto"/>
        <w:rPr>
          <w:rFonts w:ascii="宋体" w:hAnsi="宋体"/>
          <w:color w:val="auto"/>
          <w:sz w:val="24"/>
          <w:highlight w:val="none"/>
        </w:rPr>
      </w:pPr>
    </w:p>
    <w:p w14:paraId="57B034AC">
      <w:pPr>
        <w:pStyle w:val="32"/>
        <w:rPr>
          <w:color w:val="auto"/>
          <w:highlight w:val="none"/>
        </w:rPr>
      </w:pPr>
    </w:p>
    <w:p w14:paraId="6085D376">
      <w:pPr>
        <w:rPr>
          <w:color w:val="auto"/>
          <w:highlight w:val="none"/>
        </w:rPr>
      </w:pPr>
    </w:p>
    <w:p w14:paraId="53C7B401">
      <w:pPr>
        <w:pStyle w:val="32"/>
        <w:rPr>
          <w:color w:val="auto"/>
          <w:highlight w:val="none"/>
        </w:rPr>
      </w:pPr>
    </w:p>
    <w:p w14:paraId="2C85E4B8">
      <w:pPr>
        <w:snapToGrid w:val="0"/>
        <w:spacing w:line="360" w:lineRule="auto"/>
        <w:rPr>
          <w:rFonts w:ascii="宋体" w:hAnsi="宋体"/>
          <w:color w:val="auto"/>
          <w:sz w:val="24"/>
          <w:highlight w:val="none"/>
        </w:rPr>
      </w:pPr>
    </w:p>
    <w:p w14:paraId="3DA8B1F2">
      <w:pPr>
        <w:snapToGrid w:val="0"/>
        <w:spacing w:line="360" w:lineRule="auto"/>
        <w:rPr>
          <w:rFonts w:ascii="宋体" w:hAnsi="宋体"/>
          <w:color w:val="auto"/>
          <w:sz w:val="24"/>
          <w:szCs w:val="20"/>
          <w:highlight w:val="none"/>
        </w:rPr>
      </w:pPr>
      <w:r>
        <w:rPr>
          <w:rFonts w:hint="eastAsia" w:ascii="宋体" w:hAnsi="宋体"/>
          <w:color w:val="auto"/>
          <w:sz w:val="24"/>
          <w:highlight w:val="none"/>
        </w:rPr>
        <w:t>5.法定代表人授权委托书格式：</w:t>
      </w:r>
    </w:p>
    <w:p w14:paraId="1CA79A0E">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0298D873">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4A3DB7CC">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（投标人名称）的法定代表人，现授权委托本单位在职职工（姓名）以我方的名义参加</w:t>
      </w:r>
      <w:r>
        <w:rPr>
          <w:rFonts w:hint="eastAsia" w:ascii="宋体" w:hAnsi="宋体"/>
          <w:color w:val="auto"/>
          <w:spacing w:val="-20"/>
          <w:sz w:val="24"/>
          <w:highlight w:val="none"/>
          <w:u w:val="single"/>
        </w:rPr>
        <w:t>湖州市森林资源高水平保护与高质量发展研究项目</w:t>
      </w:r>
      <w:r>
        <w:rPr>
          <w:rFonts w:hint="eastAsia" w:ascii="宋体" w:hAnsi="宋体"/>
          <w:color w:val="auto"/>
          <w:sz w:val="24"/>
          <w:highlight w:val="none"/>
        </w:rPr>
        <w:t>的投标活动，并代表我方全权办理针对上述项目的投标、开标、评标、签约等具体事务和签署相关文件。</w:t>
      </w:r>
    </w:p>
    <w:p w14:paraId="5BF1ACCE">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6F7927A5">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E88027A">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7CC62B1D">
      <w:pPr>
        <w:snapToGrid w:val="0"/>
        <w:spacing w:line="360" w:lineRule="auto"/>
        <w:rPr>
          <w:rFonts w:ascii="宋体" w:hAnsi="宋体"/>
          <w:color w:val="auto"/>
          <w:sz w:val="24"/>
          <w:szCs w:val="20"/>
          <w:highlight w:val="none"/>
        </w:rPr>
      </w:pPr>
    </w:p>
    <w:p w14:paraId="42268CF5">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被授权人签名：法定代表人签名：</w:t>
      </w:r>
    </w:p>
    <w:p w14:paraId="6F15F340">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职务：职务：</w:t>
      </w:r>
    </w:p>
    <w:p w14:paraId="68646FCA">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36B20C3C">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357AF914">
      <w:pPr>
        <w:pStyle w:val="10"/>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1CD22441">
      <w:pPr>
        <w:pStyle w:val="10"/>
        <w:spacing w:line="360" w:lineRule="auto"/>
        <w:ind w:firstLine="374" w:firstLineChars="156"/>
        <w:jc w:val="center"/>
        <w:rPr>
          <w:rFonts w:ascii="宋体" w:hAnsi="宋体"/>
          <w:color w:val="auto"/>
          <w:sz w:val="24"/>
          <w:szCs w:val="24"/>
          <w:highlight w:val="none"/>
        </w:rPr>
      </w:pPr>
    </w:p>
    <w:p w14:paraId="72C32A2F">
      <w:pPr>
        <w:pStyle w:val="10"/>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3826402F">
      <w:pPr>
        <w:snapToGrid w:val="0"/>
        <w:spacing w:line="360" w:lineRule="auto"/>
        <w:rPr>
          <w:rFonts w:ascii="宋体" w:hAnsi="宋体"/>
          <w:color w:val="auto"/>
          <w:sz w:val="24"/>
          <w:highlight w:val="none"/>
        </w:rPr>
      </w:pPr>
    </w:p>
    <w:p w14:paraId="121072DE">
      <w:pPr>
        <w:snapToGrid w:val="0"/>
        <w:spacing w:line="360" w:lineRule="auto"/>
        <w:rPr>
          <w:rFonts w:ascii="宋体" w:hAnsi="宋体"/>
          <w:color w:val="auto"/>
          <w:sz w:val="24"/>
          <w:highlight w:val="none"/>
        </w:rPr>
      </w:pPr>
    </w:p>
    <w:p w14:paraId="27AD9223">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06DB6632">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6F653403">
      <w:pPr>
        <w:snapToGrid w:val="0"/>
        <w:spacing w:line="360" w:lineRule="auto"/>
        <w:rPr>
          <w:rFonts w:ascii="宋体" w:hAnsi="宋体"/>
          <w:color w:val="auto"/>
          <w:highlight w:val="none"/>
        </w:rPr>
      </w:pPr>
    </w:p>
    <w:p w14:paraId="2B0B370B">
      <w:pPr>
        <w:pStyle w:val="2"/>
        <w:rPr>
          <w:color w:val="auto"/>
          <w:highlight w:val="none"/>
        </w:rPr>
      </w:pPr>
    </w:p>
    <w:p w14:paraId="42FD3044">
      <w:pPr>
        <w:pStyle w:val="20"/>
        <w:rPr>
          <w:color w:val="auto"/>
          <w:highlight w:val="none"/>
        </w:rPr>
      </w:pPr>
    </w:p>
    <w:p w14:paraId="607A14D1">
      <w:pPr>
        <w:rPr>
          <w:color w:val="auto"/>
          <w:highlight w:val="none"/>
        </w:rPr>
      </w:pPr>
    </w:p>
    <w:p w14:paraId="02B14F49">
      <w:pPr>
        <w:pStyle w:val="32"/>
        <w:rPr>
          <w:color w:val="auto"/>
          <w:highlight w:val="none"/>
        </w:rPr>
      </w:pPr>
    </w:p>
    <w:p w14:paraId="757457F2">
      <w:pPr>
        <w:rPr>
          <w:color w:val="auto"/>
          <w:highlight w:val="none"/>
        </w:rPr>
      </w:pPr>
    </w:p>
    <w:p w14:paraId="7C0A2FE2">
      <w:pPr>
        <w:rPr>
          <w:color w:val="auto"/>
          <w:highlight w:val="none"/>
        </w:rPr>
      </w:pPr>
    </w:p>
    <w:p w14:paraId="4D5BB3D3">
      <w:pPr>
        <w:snapToGrid w:val="0"/>
        <w:spacing w:line="360" w:lineRule="auto"/>
        <w:rPr>
          <w:rFonts w:ascii="宋体" w:hAnsi="宋体"/>
          <w:color w:val="auto"/>
          <w:sz w:val="24"/>
          <w:highlight w:val="none"/>
        </w:rPr>
      </w:pPr>
    </w:p>
    <w:p w14:paraId="47E19674">
      <w:pPr>
        <w:snapToGrid w:val="0"/>
        <w:spacing w:line="360" w:lineRule="auto"/>
        <w:rPr>
          <w:rFonts w:ascii="宋体" w:hAnsi="宋体"/>
          <w:color w:val="auto"/>
          <w:sz w:val="24"/>
          <w:szCs w:val="20"/>
          <w:highlight w:val="none"/>
        </w:rPr>
      </w:pPr>
      <w:r>
        <w:rPr>
          <w:rFonts w:hint="eastAsia" w:ascii="宋体" w:hAnsi="宋体"/>
          <w:color w:val="auto"/>
          <w:sz w:val="24"/>
          <w:highlight w:val="none"/>
        </w:rPr>
        <w:t>6. 近三个月依法缴纳税收和社保费的证明【税费凭证，或者依法缴纳税费或依法免缴税费的证明】</w:t>
      </w:r>
      <w:r>
        <w:rPr>
          <w:rFonts w:hint="eastAsia" w:ascii="宋体" w:hAnsi="宋体"/>
          <w:color w:val="auto"/>
          <w:sz w:val="24"/>
          <w:szCs w:val="20"/>
          <w:highlight w:val="none"/>
        </w:rPr>
        <w:t>（格式自拟，</w:t>
      </w:r>
      <w:r>
        <w:rPr>
          <w:rFonts w:hint="eastAsia" w:ascii="宋体" w:hAnsi="宋体"/>
          <w:bCs/>
          <w:color w:val="auto"/>
          <w:sz w:val="24"/>
          <w:highlight w:val="none"/>
        </w:rPr>
        <w:t>复印件各一份</w:t>
      </w:r>
      <w:r>
        <w:rPr>
          <w:rFonts w:hint="eastAsia" w:ascii="宋体" w:hAnsi="宋体"/>
          <w:color w:val="auto"/>
          <w:sz w:val="24"/>
          <w:szCs w:val="20"/>
          <w:highlight w:val="none"/>
        </w:rPr>
        <w:t>），《依法纳税或依法免税证明》原件一年内均保持有效。</w:t>
      </w:r>
    </w:p>
    <w:p w14:paraId="38CED45D">
      <w:pPr>
        <w:snapToGrid w:val="0"/>
        <w:spacing w:line="360" w:lineRule="auto"/>
        <w:rPr>
          <w:rFonts w:ascii="宋体" w:hAnsi="宋体"/>
          <w:color w:val="auto"/>
          <w:highlight w:val="none"/>
        </w:rPr>
      </w:pPr>
    </w:p>
    <w:p w14:paraId="56FFF811">
      <w:pPr>
        <w:snapToGrid w:val="0"/>
        <w:spacing w:line="360" w:lineRule="auto"/>
        <w:rPr>
          <w:rFonts w:ascii="宋体" w:hAnsi="宋体"/>
          <w:color w:val="auto"/>
          <w:highlight w:val="none"/>
        </w:rPr>
      </w:pPr>
    </w:p>
    <w:p w14:paraId="7781487A">
      <w:pPr>
        <w:snapToGrid w:val="0"/>
        <w:spacing w:line="360" w:lineRule="auto"/>
        <w:rPr>
          <w:rFonts w:ascii="宋体" w:hAnsi="宋体"/>
          <w:color w:val="auto"/>
          <w:highlight w:val="none"/>
        </w:rPr>
      </w:pPr>
    </w:p>
    <w:p w14:paraId="4A667C99">
      <w:pPr>
        <w:snapToGrid w:val="0"/>
        <w:spacing w:line="360" w:lineRule="auto"/>
        <w:rPr>
          <w:rFonts w:ascii="宋体" w:hAnsi="宋体"/>
          <w:color w:val="auto"/>
          <w:highlight w:val="none"/>
        </w:rPr>
      </w:pPr>
    </w:p>
    <w:p w14:paraId="0012ACB0">
      <w:pPr>
        <w:snapToGrid w:val="0"/>
        <w:spacing w:line="360" w:lineRule="auto"/>
        <w:rPr>
          <w:rFonts w:ascii="宋体" w:hAnsi="宋体"/>
          <w:color w:val="auto"/>
          <w:highlight w:val="none"/>
        </w:rPr>
      </w:pPr>
    </w:p>
    <w:p w14:paraId="43370A2D">
      <w:pPr>
        <w:snapToGrid w:val="0"/>
        <w:spacing w:line="360" w:lineRule="auto"/>
        <w:rPr>
          <w:color w:val="auto"/>
          <w:highlight w:val="none"/>
          <w:u w:val="single"/>
        </w:rPr>
      </w:pPr>
      <w:r>
        <w:rPr>
          <w:rFonts w:hint="eastAsia" w:ascii="宋体" w:hAnsi="宋体"/>
          <w:color w:val="auto"/>
          <w:sz w:val="24"/>
          <w:highlight w:val="none"/>
        </w:rPr>
        <w:t>7.有效</w:t>
      </w:r>
      <w:r>
        <w:rPr>
          <w:rFonts w:hint="eastAsia" w:ascii="宋体" w:hAnsi="宋体" w:cs="宋体"/>
          <w:color w:val="auto"/>
          <w:sz w:val="24"/>
          <w:highlight w:val="none"/>
        </w:rPr>
        <w:t>的营业执照副本</w:t>
      </w:r>
      <w:r>
        <w:rPr>
          <w:rFonts w:hint="eastAsia" w:ascii="宋体" w:hAnsi="宋体"/>
          <w:color w:val="auto"/>
          <w:sz w:val="24"/>
          <w:highlight w:val="none"/>
        </w:rPr>
        <w:t>复印件</w:t>
      </w:r>
    </w:p>
    <w:p w14:paraId="1923DDEB">
      <w:pPr>
        <w:snapToGrid w:val="0"/>
        <w:spacing w:line="360" w:lineRule="auto"/>
        <w:jc w:val="left"/>
        <w:rPr>
          <w:rFonts w:ascii="宋体" w:hAnsi="宋体"/>
          <w:color w:val="auto"/>
          <w:sz w:val="24"/>
          <w:szCs w:val="20"/>
          <w:highlight w:val="none"/>
        </w:rPr>
      </w:pPr>
    </w:p>
    <w:p w14:paraId="77C0FE1F">
      <w:pPr>
        <w:snapToGrid w:val="0"/>
        <w:spacing w:line="360" w:lineRule="auto"/>
        <w:jc w:val="left"/>
        <w:rPr>
          <w:rFonts w:ascii="宋体" w:hAnsi="宋体"/>
          <w:color w:val="auto"/>
          <w:sz w:val="24"/>
          <w:highlight w:val="none"/>
        </w:rPr>
      </w:pPr>
    </w:p>
    <w:p w14:paraId="60BF2CD4">
      <w:pPr>
        <w:snapToGrid w:val="0"/>
        <w:spacing w:line="360" w:lineRule="auto"/>
        <w:jc w:val="left"/>
        <w:rPr>
          <w:rFonts w:ascii="宋体" w:hAnsi="宋体"/>
          <w:color w:val="auto"/>
          <w:sz w:val="24"/>
          <w:highlight w:val="none"/>
        </w:rPr>
      </w:pPr>
    </w:p>
    <w:p w14:paraId="20D7256D">
      <w:pPr>
        <w:snapToGrid w:val="0"/>
        <w:spacing w:line="360" w:lineRule="auto"/>
        <w:jc w:val="left"/>
        <w:rPr>
          <w:rFonts w:ascii="宋体" w:hAnsi="宋体"/>
          <w:color w:val="auto"/>
          <w:sz w:val="24"/>
          <w:highlight w:val="none"/>
        </w:rPr>
      </w:pPr>
    </w:p>
    <w:p w14:paraId="5A64711C">
      <w:pPr>
        <w:snapToGrid w:val="0"/>
        <w:spacing w:line="360" w:lineRule="auto"/>
        <w:jc w:val="left"/>
        <w:rPr>
          <w:rFonts w:ascii="宋体" w:hAnsi="宋体"/>
          <w:color w:val="auto"/>
          <w:sz w:val="24"/>
          <w:highlight w:val="none"/>
        </w:rPr>
      </w:pPr>
    </w:p>
    <w:p w14:paraId="6B05E90C">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8.近二年度（2022和2023年）企业的财务报表或银行资信证明</w:t>
      </w:r>
      <w:r>
        <w:rPr>
          <w:rFonts w:hint="eastAsia" w:ascii="宋体" w:hAnsi="宋体"/>
          <w:color w:val="auto"/>
          <w:sz w:val="24"/>
          <w:highlight w:val="none"/>
        </w:rPr>
        <w:t>复印件</w:t>
      </w:r>
    </w:p>
    <w:p w14:paraId="20FE2288">
      <w:pPr>
        <w:snapToGrid w:val="0"/>
        <w:spacing w:line="360" w:lineRule="auto"/>
        <w:jc w:val="left"/>
        <w:rPr>
          <w:rFonts w:ascii="宋体" w:hAnsi="宋体"/>
          <w:color w:val="auto"/>
          <w:sz w:val="24"/>
          <w:highlight w:val="none"/>
        </w:rPr>
      </w:pPr>
    </w:p>
    <w:p w14:paraId="3ECD4B2F">
      <w:pPr>
        <w:snapToGrid w:val="0"/>
        <w:spacing w:line="360" w:lineRule="auto"/>
        <w:jc w:val="left"/>
        <w:rPr>
          <w:rFonts w:ascii="宋体" w:hAnsi="宋体"/>
          <w:color w:val="auto"/>
          <w:sz w:val="24"/>
          <w:highlight w:val="none"/>
        </w:rPr>
      </w:pPr>
    </w:p>
    <w:p w14:paraId="0DF7A073">
      <w:pPr>
        <w:snapToGrid w:val="0"/>
        <w:spacing w:line="360" w:lineRule="auto"/>
        <w:jc w:val="left"/>
        <w:rPr>
          <w:rFonts w:ascii="宋体" w:hAnsi="宋体"/>
          <w:color w:val="auto"/>
          <w:sz w:val="24"/>
          <w:highlight w:val="none"/>
        </w:rPr>
      </w:pPr>
    </w:p>
    <w:p w14:paraId="793CAEE3">
      <w:pPr>
        <w:snapToGrid w:val="0"/>
        <w:spacing w:line="360" w:lineRule="auto"/>
        <w:jc w:val="left"/>
        <w:rPr>
          <w:rFonts w:ascii="宋体" w:hAnsi="宋体"/>
          <w:color w:val="auto"/>
          <w:sz w:val="24"/>
          <w:highlight w:val="none"/>
        </w:rPr>
      </w:pPr>
    </w:p>
    <w:p w14:paraId="49F9E6E8">
      <w:pPr>
        <w:snapToGrid w:val="0"/>
        <w:spacing w:line="360" w:lineRule="auto"/>
        <w:jc w:val="left"/>
        <w:rPr>
          <w:rFonts w:ascii="宋体" w:hAnsi="宋体"/>
          <w:color w:val="auto"/>
          <w:sz w:val="24"/>
          <w:highlight w:val="none"/>
        </w:rPr>
      </w:pPr>
    </w:p>
    <w:p w14:paraId="4B2330C9">
      <w:pPr>
        <w:snapToGrid w:val="0"/>
        <w:spacing w:line="360" w:lineRule="auto"/>
        <w:jc w:val="left"/>
        <w:rPr>
          <w:rFonts w:ascii="宋体" w:hAnsi="宋体"/>
          <w:color w:val="auto"/>
          <w:sz w:val="24"/>
          <w:highlight w:val="none"/>
        </w:rPr>
      </w:pPr>
      <w:r>
        <w:rPr>
          <w:rFonts w:hint="eastAsia" w:ascii="宋体" w:hAnsi="宋体"/>
          <w:color w:val="auto"/>
          <w:sz w:val="24"/>
          <w:highlight w:val="none"/>
        </w:rPr>
        <w:t>9. 提供自招标公告发布之日起至投标截止日内任意时间的“信用中国”网站（www.creditchina.gov.cn）、中国政府采购网（www.ccgp.gov.cn）投标人信用查询网页截图</w:t>
      </w:r>
    </w:p>
    <w:p w14:paraId="3E0AC4EB">
      <w:pPr>
        <w:snapToGrid w:val="0"/>
        <w:spacing w:line="360" w:lineRule="auto"/>
        <w:jc w:val="left"/>
        <w:rPr>
          <w:rFonts w:ascii="宋体" w:hAnsi="宋体"/>
          <w:color w:val="auto"/>
          <w:sz w:val="24"/>
          <w:highlight w:val="none"/>
        </w:rPr>
      </w:pPr>
    </w:p>
    <w:p w14:paraId="32982280">
      <w:pPr>
        <w:snapToGrid w:val="0"/>
        <w:spacing w:line="360" w:lineRule="auto"/>
        <w:jc w:val="left"/>
        <w:rPr>
          <w:rFonts w:ascii="宋体" w:hAnsi="宋体"/>
          <w:color w:val="auto"/>
          <w:sz w:val="24"/>
          <w:highlight w:val="none"/>
        </w:rPr>
      </w:pPr>
    </w:p>
    <w:p w14:paraId="08E0304F">
      <w:pPr>
        <w:pStyle w:val="2"/>
        <w:rPr>
          <w:color w:val="auto"/>
          <w:highlight w:val="none"/>
        </w:rPr>
      </w:pPr>
    </w:p>
    <w:p w14:paraId="7E1C6325">
      <w:pPr>
        <w:pStyle w:val="20"/>
        <w:rPr>
          <w:color w:val="auto"/>
          <w:highlight w:val="none"/>
        </w:rPr>
      </w:pPr>
    </w:p>
    <w:p w14:paraId="69E7D70A">
      <w:pPr>
        <w:pStyle w:val="20"/>
        <w:rPr>
          <w:color w:val="auto"/>
          <w:highlight w:val="none"/>
        </w:rPr>
      </w:pPr>
    </w:p>
    <w:p w14:paraId="7CE41A50">
      <w:pPr>
        <w:snapToGrid w:val="0"/>
        <w:spacing w:line="360" w:lineRule="auto"/>
        <w:jc w:val="left"/>
        <w:rPr>
          <w:rFonts w:ascii="宋体" w:hAnsi="宋体"/>
          <w:color w:val="auto"/>
          <w:sz w:val="24"/>
          <w:highlight w:val="none"/>
        </w:rPr>
      </w:pPr>
      <w:r>
        <w:rPr>
          <w:rFonts w:hint="eastAsia" w:ascii="宋体" w:hAnsi="宋体"/>
          <w:color w:val="auto"/>
          <w:sz w:val="24"/>
          <w:highlight w:val="none"/>
        </w:rPr>
        <w:t>10.联合体各方共同投标协议（如有，格式自拟）————————</w:t>
      </w:r>
    </w:p>
    <w:p w14:paraId="44D4E42C">
      <w:pPr>
        <w:rPr>
          <w:color w:val="auto"/>
          <w:highlight w:val="none"/>
        </w:rPr>
      </w:pPr>
    </w:p>
    <w:p w14:paraId="71EE67B2">
      <w:pPr>
        <w:pStyle w:val="42"/>
        <w:rPr>
          <w:color w:val="auto"/>
          <w:highlight w:val="none"/>
        </w:rPr>
      </w:pPr>
    </w:p>
    <w:p w14:paraId="5830C47F">
      <w:pPr>
        <w:pStyle w:val="43"/>
        <w:rPr>
          <w:color w:val="auto"/>
          <w:highlight w:val="none"/>
        </w:rPr>
      </w:pPr>
    </w:p>
    <w:p w14:paraId="6A09A033">
      <w:pPr>
        <w:rPr>
          <w:color w:val="auto"/>
          <w:highlight w:val="none"/>
        </w:rPr>
      </w:pPr>
    </w:p>
    <w:p w14:paraId="3DA28B14">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6B956081">
      <w:pPr>
        <w:snapToGrid w:val="0"/>
        <w:spacing w:line="360" w:lineRule="auto"/>
        <w:jc w:val="center"/>
        <w:rPr>
          <w:rFonts w:ascii="宋体" w:hAnsi="宋体"/>
          <w:color w:val="auto"/>
          <w:sz w:val="24"/>
          <w:szCs w:val="20"/>
          <w:highlight w:val="none"/>
        </w:rPr>
      </w:pPr>
    </w:p>
    <w:p w14:paraId="5B3F4748">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p>
    <w:p w14:paraId="61A663D5">
      <w:pPr>
        <w:snapToGrid w:val="0"/>
        <w:spacing w:line="360" w:lineRule="auto"/>
        <w:jc w:val="center"/>
        <w:rPr>
          <w:rFonts w:ascii="宋体" w:hAnsi="宋体"/>
          <w:bCs/>
          <w:color w:val="auto"/>
          <w:sz w:val="24"/>
          <w:szCs w:val="20"/>
          <w:highlight w:val="none"/>
        </w:rPr>
      </w:pPr>
    </w:p>
    <w:p w14:paraId="79784AE9">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6C532851">
      <w:pPr>
        <w:snapToGrid w:val="0"/>
        <w:spacing w:line="360" w:lineRule="auto"/>
        <w:rPr>
          <w:rFonts w:ascii="宋体" w:hAnsi="宋体"/>
          <w:bCs/>
          <w:color w:val="auto"/>
          <w:sz w:val="24"/>
          <w:szCs w:val="20"/>
          <w:highlight w:val="none"/>
        </w:rPr>
      </w:pPr>
    </w:p>
    <w:p w14:paraId="0FA304A5">
      <w:pPr>
        <w:snapToGrid w:val="0"/>
        <w:spacing w:line="360" w:lineRule="auto"/>
        <w:ind w:firstLine="960" w:firstLineChars="400"/>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湖州市森林资源高水平保护与高质量发展研究项目</w:t>
      </w:r>
    </w:p>
    <w:p w14:paraId="30A39920">
      <w:pPr>
        <w:pStyle w:val="10"/>
        <w:snapToGrid w:val="0"/>
        <w:spacing w:line="360" w:lineRule="auto"/>
        <w:ind w:firstLine="998" w:firstLineChars="416"/>
        <w:rPr>
          <w:rFonts w:ascii="宋体" w:hAnsi="宋体"/>
          <w:color w:val="auto"/>
          <w:sz w:val="24"/>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HYHZ2024-200</w:t>
      </w:r>
    </w:p>
    <w:p w14:paraId="654554B4">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3D432044">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DEB7BD0">
      <w:pPr>
        <w:pStyle w:val="10"/>
        <w:snapToGrid w:val="0"/>
        <w:spacing w:line="360" w:lineRule="auto"/>
        <w:ind w:firstLine="960" w:firstLineChars="400"/>
        <w:rPr>
          <w:rFonts w:ascii="宋体" w:hAnsi="宋体"/>
          <w:bCs/>
          <w:color w:val="auto"/>
          <w:sz w:val="24"/>
          <w:szCs w:val="24"/>
          <w:highlight w:val="none"/>
        </w:rPr>
      </w:pPr>
    </w:p>
    <w:p w14:paraId="72B7A4E2">
      <w:pPr>
        <w:snapToGrid w:val="0"/>
        <w:spacing w:line="360" w:lineRule="auto"/>
        <w:ind w:firstLine="4080" w:firstLineChars="1700"/>
        <w:rPr>
          <w:rFonts w:ascii="宋体" w:hAnsi="宋体"/>
          <w:color w:val="auto"/>
          <w:sz w:val="24"/>
          <w:szCs w:val="20"/>
          <w:highlight w:val="none"/>
        </w:rPr>
      </w:pPr>
    </w:p>
    <w:p w14:paraId="0A6BDBA1">
      <w:pPr>
        <w:pStyle w:val="32"/>
        <w:rPr>
          <w:color w:val="auto"/>
          <w:highlight w:val="none"/>
        </w:rPr>
      </w:pPr>
    </w:p>
    <w:p w14:paraId="05F35A99">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7A5CEDD8">
      <w:pPr>
        <w:snapToGrid w:val="0"/>
        <w:spacing w:line="360" w:lineRule="auto"/>
        <w:ind w:firstLine="645"/>
        <w:jc w:val="center"/>
        <w:rPr>
          <w:rFonts w:ascii="宋体" w:hAnsi="宋体"/>
          <w:color w:val="auto"/>
          <w:sz w:val="24"/>
          <w:highlight w:val="none"/>
        </w:rPr>
      </w:pPr>
    </w:p>
    <w:p w14:paraId="18DBCD8F">
      <w:pPr>
        <w:pStyle w:val="20"/>
        <w:rPr>
          <w:color w:val="auto"/>
          <w:highlight w:val="none"/>
        </w:rPr>
      </w:pPr>
    </w:p>
    <w:p w14:paraId="0B660F86">
      <w:pPr>
        <w:rPr>
          <w:color w:val="auto"/>
          <w:highlight w:val="none"/>
        </w:rPr>
      </w:pPr>
    </w:p>
    <w:p w14:paraId="2C68BB9C">
      <w:pPr>
        <w:snapToGrid w:val="0"/>
        <w:spacing w:line="360" w:lineRule="auto"/>
        <w:rPr>
          <w:rFonts w:ascii="宋体" w:hAnsi="宋体"/>
          <w:color w:val="auto"/>
          <w:sz w:val="24"/>
          <w:highlight w:val="none"/>
        </w:rPr>
      </w:pPr>
      <w:r>
        <w:rPr>
          <w:rFonts w:hint="eastAsia" w:ascii="宋体" w:hAnsi="宋体"/>
          <w:color w:val="auto"/>
          <w:sz w:val="24"/>
          <w:highlight w:val="none"/>
        </w:rPr>
        <w:t>12.</w:t>
      </w:r>
      <w:r>
        <w:rPr>
          <w:rFonts w:hint="eastAsia" w:ascii="宋体" w:hAnsi="宋体"/>
          <w:b/>
          <w:bCs/>
          <w:color w:val="auto"/>
          <w:sz w:val="24"/>
          <w:highlight w:val="none"/>
        </w:rPr>
        <w:t>技术/资信/商务文件目录</w:t>
      </w:r>
    </w:p>
    <w:p w14:paraId="35E02BE3">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3FD808CC">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）对本项目的分析————————（页码）</w:t>
      </w:r>
    </w:p>
    <w:p w14:paraId="1D938A91">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（2）项目实施方案————————</w:t>
      </w:r>
    </w:p>
    <w:p w14:paraId="0855929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（3）</w:t>
      </w:r>
      <w:r>
        <w:rPr>
          <w:rFonts w:hint="eastAsia" w:ascii="宋体" w:hAnsi="宋体" w:cs="宋体"/>
          <w:color w:val="auto"/>
          <w:sz w:val="24"/>
          <w:highlight w:val="none"/>
        </w:rPr>
        <w:t>关键点或难点分析和解决措施</w:t>
      </w:r>
      <w:r>
        <w:rPr>
          <w:rFonts w:hint="eastAsia" w:ascii="宋体" w:hAnsi="宋体"/>
          <w:color w:val="auto"/>
          <w:sz w:val="24"/>
          <w:highlight w:val="none"/>
        </w:rPr>
        <w:t>————————</w:t>
      </w:r>
    </w:p>
    <w:p w14:paraId="09379F99">
      <w:pPr>
        <w:snapToGrid w:val="0"/>
        <w:spacing w:line="360" w:lineRule="auto"/>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项目质量保证措施</w:t>
      </w:r>
      <w:r>
        <w:rPr>
          <w:rFonts w:hint="eastAsia" w:ascii="宋体" w:hAnsi="宋体"/>
          <w:color w:val="auto"/>
          <w:sz w:val="24"/>
          <w:highlight w:val="none"/>
        </w:rPr>
        <w:t>————————</w:t>
      </w:r>
    </w:p>
    <w:p w14:paraId="167ED655">
      <w:pPr>
        <w:snapToGrid w:val="0"/>
        <w:spacing w:line="360" w:lineRule="auto"/>
        <w:jc w:val="left"/>
        <w:rPr>
          <w:rFonts w:ascii="宋体" w:hAnsi="宋体"/>
          <w:color w:val="auto"/>
          <w:sz w:val="24"/>
          <w:highlight w:val="none"/>
        </w:rPr>
      </w:pPr>
      <w:r>
        <w:rPr>
          <w:rFonts w:hint="eastAsia" w:ascii="宋体" w:hAnsi="宋体"/>
          <w:color w:val="auto"/>
          <w:sz w:val="24"/>
          <w:highlight w:val="none"/>
        </w:rPr>
        <w:t>（5）</w:t>
      </w:r>
      <w:r>
        <w:rPr>
          <w:rFonts w:hAnsi="宋体" w:cs="宋体"/>
          <w:color w:val="auto"/>
          <w:sz w:val="24"/>
          <w:highlight w:val="none"/>
        </w:rPr>
        <w:t>项目进度安排</w:t>
      </w:r>
      <w:r>
        <w:rPr>
          <w:rFonts w:hint="eastAsia" w:ascii="宋体" w:hAnsi="宋体"/>
          <w:color w:val="auto"/>
          <w:sz w:val="24"/>
          <w:highlight w:val="none"/>
        </w:rPr>
        <w:t>————————</w:t>
      </w:r>
    </w:p>
    <w:p w14:paraId="4E38820A">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hint="eastAsia" w:hAnsi="宋体" w:cs="宋体"/>
          <w:color w:val="auto"/>
          <w:sz w:val="24"/>
          <w:highlight w:val="none"/>
        </w:rPr>
        <w:t>应急处理预案</w:t>
      </w:r>
      <w:r>
        <w:rPr>
          <w:rFonts w:hint="eastAsia" w:ascii="宋体" w:hAnsi="宋体"/>
          <w:color w:val="auto"/>
          <w:sz w:val="24"/>
          <w:highlight w:val="none"/>
        </w:rPr>
        <w:t>————————</w:t>
      </w:r>
    </w:p>
    <w:p w14:paraId="09765186">
      <w:pPr>
        <w:snapToGrid w:val="0"/>
        <w:spacing w:line="360" w:lineRule="auto"/>
        <w:jc w:val="left"/>
        <w:rPr>
          <w:rFonts w:ascii="宋体" w:hAnsi="宋体"/>
          <w:color w:val="auto"/>
          <w:sz w:val="24"/>
          <w:highlight w:val="none"/>
        </w:rPr>
      </w:pPr>
      <w:r>
        <w:rPr>
          <w:rFonts w:hint="eastAsia" w:ascii="宋体" w:hAnsi="宋体"/>
          <w:color w:val="auto"/>
          <w:sz w:val="24"/>
          <w:highlight w:val="none"/>
        </w:rPr>
        <w:t>（7）技术响应表————————</w:t>
      </w:r>
    </w:p>
    <w:p w14:paraId="050696E0">
      <w:pPr>
        <w:snapToGrid w:val="0"/>
        <w:spacing w:line="360" w:lineRule="auto"/>
        <w:jc w:val="left"/>
        <w:rPr>
          <w:rFonts w:ascii="宋体" w:hAnsi="宋体"/>
          <w:color w:val="auto"/>
          <w:sz w:val="24"/>
          <w:highlight w:val="none"/>
        </w:rPr>
      </w:pPr>
      <w:r>
        <w:rPr>
          <w:rFonts w:hint="eastAsia" w:ascii="宋体" w:hAnsi="宋体"/>
          <w:color w:val="auto"/>
          <w:sz w:val="24"/>
          <w:highlight w:val="none"/>
        </w:rPr>
        <w:t>（8）项目实施人员一览表————————</w:t>
      </w:r>
    </w:p>
    <w:p w14:paraId="784F5D1A">
      <w:pPr>
        <w:snapToGrid w:val="0"/>
        <w:spacing w:line="360" w:lineRule="auto"/>
        <w:jc w:val="left"/>
        <w:rPr>
          <w:rFonts w:ascii="宋体" w:hAnsi="宋体"/>
          <w:color w:val="auto"/>
          <w:sz w:val="24"/>
          <w:highlight w:val="none"/>
        </w:rPr>
      </w:pPr>
      <w:r>
        <w:rPr>
          <w:rFonts w:hint="eastAsia" w:ascii="宋体" w:hAnsi="宋体"/>
          <w:color w:val="auto"/>
          <w:sz w:val="24"/>
          <w:highlight w:val="none"/>
        </w:rPr>
        <w:t>（9）投标人对本项目的合理化建议和改进措施————————</w:t>
      </w:r>
    </w:p>
    <w:p w14:paraId="3F27F482">
      <w:pPr>
        <w:snapToGrid w:val="0"/>
        <w:spacing w:line="360" w:lineRule="auto"/>
        <w:jc w:val="left"/>
        <w:rPr>
          <w:rFonts w:ascii="宋体" w:hAnsi="宋体"/>
          <w:color w:val="auto"/>
          <w:sz w:val="24"/>
          <w:highlight w:val="none"/>
        </w:rPr>
      </w:pPr>
      <w:r>
        <w:rPr>
          <w:rFonts w:hint="eastAsia" w:ascii="宋体" w:hAnsi="宋体"/>
          <w:color w:val="auto"/>
          <w:sz w:val="24"/>
          <w:highlight w:val="none"/>
        </w:rPr>
        <w:t>（10）投标人需要说明的其他文件和说明————————</w:t>
      </w:r>
    </w:p>
    <w:p w14:paraId="54E6FBA8">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031ECDFE">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（11）类似成功案例的业绩证明（投标人同类项目实施情况一览表、合同复印件）————————</w:t>
      </w:r>
    </w:p>
    <w:p w14:paraId="283116D4">
      <w:pPr>
        <w:snapToGrid w:val="0"/>
        <w:spacing w:line="360" w:lineRule="auto"/>
        <w:jc w:val="left"/>
        <w:rPr>
          <w:rFonts w:ascii="宋体" w:hAnsi="宋体"/>
          <w:color w:val="auto"/>
          <w:sz w:val="24"/>
          <w:highlight w:val="none"/>
        </w:rPr>
      </w:pPr>
      <w:r>
        <w:rPr>
          <w:rFonts w:hint="eastAsia" w:ascii="宋体" w:hAnsi="宋体"/>
          <w:color w:val="auto"/>
          <w:sz w:val="24"/>
          <w:highlight w:val="none"/>
        </w:rPr>
        <w:t>（12）权威认证证书（如有）————————</w:t>
      </w:r>
    </w:p>
    <w:p w14:paraId="4E8717B5">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034AB3A3">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4）投标人认为可以证明其能力或业绩的其他材料————————</w:t>
      </w:r>
    </w:p>
    <w:p w14:paraId="6123AAAB">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50569283">
      <w:pPr>
        <w:snapToGrid w:val="0"/>
        <w:spacing w:line="360" w:lineRule="auto"/>
        <w:jc w:val="left"/>
        <w:rPr>
          <w:rFonts w:ascii="宋体" w:hAnsi="宋体"/>
          <w:color w:val="auto"/>
          <w:sz w:val="24"/>
          <w:highlight w:val="none"/>
        </w:rPr>
      </w:pPr>
      <w:r>
        <w:rPr>
          <w:rFonts w:hint="eastAsia" w:ascii="宋体" w:hAnsi="宋体"/>
          <w:color w:val="auto"/>
          <w:sz w:val="24"/>
          <w:highlight w:val="none"/>
        </w:rPr>
        <w:t>（15）商务响应表————————</w:t>
      </w:r>
    </w:p>
    <w:p w14:paraId="32F970B9">
      <w:pPr>
        <w:snapToGrid w:val="0"/>
        <w:spacing w:line="360" w:lineRule="auto"/>
        <w:jc w:val="left"/>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服务承诺</w:t>
      </w:r>
      <w:r>
        <w:rPr>
          <w:rFonts w:hint="eastAsia" w:ascii="宋体" w:hAnsi="宋体"/>
          <w:color w:val="auto"/>
          <w:sz w:val="24"/>
          <w:highlight w:val="none"/>
        </w:rPr>
        <w:t>————————</w:t>
      </w:r>
    </w:p>
    <w:p w14:paraId="4FF4A4F1">
      <w:pPr>
        <w:snapToGrid w:val="0"/>
        <w:spacing w:line="360" w:lineRule="auto"/>
        <w:jc w:val="left"/>
        <w:rPr>
          <w:rFonts w:ascii="宋体" w:hAnsi="宋体"/>
          <w:color w:val="auto"/>
          <w:sz w:val="24"/>
          <w:highlight w:val="none"/>
        </w:rPr>
      </w:pPr>
      <w:r>
        <w:rPr>
          <w:rFonts w:hint="eastAsia" w:ascii="宋体" w:hAnsi="宋体"/>
          <w:color w:val="auto"/>
          <w:sz w:val="24"/>
          <w:highlight w:val="none"/>
        </w:rPr>
        <w:t>（17）培训方案————————</w:t>
      </w:r>
    </w:p>
    <w:p w14:paraId="3EDE6367">
      <w:pPr>
        <w:snapToGrid w:val="0"/>
        <w:spacing w:line="360" w:lineRule="auto"/>
        <w:jc w:val="left"/>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响应时间</w:t>
      </w:r>
      <w:r>
        <w:rPr>
          <w:rFonts w:hint="eastAsia" w:ascii="宋体" w:hAnsi="宋体"/>
          <w:color w:val="auto"/>
          <w:sz w:val="24"/>
          <w:highlight w:val="none"/>
        </w:rPr>
        <w:t>————————</w:t>
      </w:r>
    </w:p>
    <w:p w14:paraId="5C1C8223">
      <w:pPr>
        <w:snapToGrid w:val="0"/>
        <w:spacing w:line="360" w:lineRule="auto"/>
        <w:jc w:val="left"/>
        <w:rPr>
          <w:rFonts w:ascii="宋体" w:hAnsi="宋体"/>
          <w:color w:val="auto"/>
          <w:sz w:val="24"/>
          <w:highlight w:val="none"/>
        </w:rPr>
      </w:pPr>
      <w:r>
        <w:rPr>
          <w:rFonts w:hint="eastAsia" w:ascii="宋体" w:hAnsi="宋体"/>
          <w:color w:val="auto"/>
          <w:sz w:val="24"/>
          <w:highlight w:val="none"/>
        </w:rPr>
        <w:t>（19）信用承诺书————————</w:t>
      </w:r>
    </w:p>
    <w:p w14:paraId="3F1FE7E1">
      <w:pPr>
        <w:snapToGrid w:val="0"/>
        <w:spacing w:line="360" w:lineRule="auto"/>
        <w:rPr>
          <w:rFonts w:ascii="宋体" w:hAnsi="宋体"/>
          <w:color w:val="auto"/>
          <w:sz w:val="24"/>
          <w:highlight w:val="none"/>
        </w:rPr>
      </w:pPr>
      <w:r>
        <w:rPr>
          <w:rFonts w:hint="eastAsia" w:ascii="宋体" w:hAnsi="宋体"/>
          <w:color w:val="auto"/>
          <w:sz w:val="24"/>
          <w:highlight w:val="none"/>
        </w:rPr>
        <w:t>（20）技术、商务、资信及其他分自评表————————</w:t>
      </w:r>
    </w:p>
    <w:p w14:paraId="0A45F20D">
      <w:pPr>
        <w:snapToGrid w:val="0"/>
        <w:spacing w:line="360" w:lineRule="auto"/>
        <w:jc w:val="left"/>
        <w:rPr>
          <w:color w:val="auto"/>
          <w:highlight w:val="none"/>
        </w:rPr>
      </w:pPr>
    </w:p>
    <w:p w14:paraId="47D1351E">
      <w:pPr>
        <w:pStyle w:val="20"/>
        <w:rPr>
          <w:color w:val="auto"/>
          <w:highlight w:val="none"/>
        </w:rPr>
      </w:pPr>
    </w:p>
    <w:p w14:paraId="40E92CD4">
      <w:pPr>
        <w:pStyle w:val="42"/>
        <w:rPr>
          <w:color w:val="auto"/>
          <w:highlight w:val="none"/>
        </w:rPr>
      </w:pPr>
    </w:p>
    <w:p w14:paraId="75764798">
      <w:pPr>
        <w:pStyle w:val="43"/>
        <w:rPr>
          <w:color w:val="auto"/>
          <w:highlight w:val="none"/>
        </w:rPr>
      </w:pPr>
    </w:p>
    <w:p w14:paraId="34866389">
      <w:pPr>
        <w:rPr>
          <w:color w:val="auto"/>
          <w:highlight w:val="none"/>
        </w:rPr>
      </w:pPr>
    </w:p>
    <w:p w14:paraId="57F7E0D1">
      <w:pPr>
        <w:pStyle w:val="43"/>
        <w:rPr>
          <w:color w:val="auto"/>
          <w:highlight w:val="none"/>
        </w:rPr>
      </w:pPr>
    </w:p>
    <w:p w14:paraId="2460D03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13.对本项目的分析（格式自拟）</w:t>
      </w:r>
    </w:p>
    <w:p w14:paraId="53297584">
      <w:pPr>
        <w:pStyle w:val="20"/>
        <w:rPr>
          <w:color w:val="auto"/>
          <w:highlight w:val="none"/>
        </w:rPr>
      </w:pPr>
    </w:p>
    <w:p w14:paraId="076BFD15">
      <w:pPr>
        <w:pStyle w:val="2"/>
        <w:rPr>
          <w:color w:val="auto"/>
          <w:highlight w:val="none"/>
        </w:rPr>
      </w:pPr>
    </w:p>
    <w:p w14:paraId="75876B07">
      <w:pPr>
        <w:pStyle w:val="3"/>
        <w:ind w:firstLine="280"/>
        <w:rPr>
          <w:color w:val="auto"/>
          <w:highlight w:val="none"/>
        </w:rPr>
      </w:pPr>
    </w:p>
    <w:p w14:paraId="72048DC5">
      <w:pPr>
        <w:pStyle w:val="3"/>
        <w:ind w:firstLine="280"/>
        <w:rPr>
          <w:color w:val="auto"/>
          <w:highlight w:val="none"/>
        </w:rPr>
      </w:pPr>
    </w:p>
    <w:p w14:paraId="18A0CB83">
      <w:pPr>
        <w:pStyle w:val="20"/>
        <w:rPr>
          <w:color w:val="auto"/>
          <w:highlight w:val="none"/>
        </w:rPr>
      </w:pPr>
    </w:p>
    <w:p w14:paraId="04D1ED08">
      <w:pPr>
        <w:spacing w:line="360" w:lineRule="auto"/>
        <w:jc w:val="left"/>
        <w:rPr>
          <w:rFonts w:ascii="宋体" w:hAnsi="宋体"/>
          <w:color w:val="auto"/>
          <w:sz w:val="24"/>
          <w:highlight w:val="none"/>
        </w:rPr>
      </w:pPr>
      <w:r>
        <w:rPr>
          <w:rFonts w:hint="eastAsia" w:ascii="宋体" w:hAnsi="宋体"/>
          <w:color w:val="auto"/>
          <w:sz w:val="24"/>
          <w:highlight w:val="none"/>
        </w:rPr>
        <w:t>14.项目实施方案（格式自拟）</w:t>
      </w:r>
    </w:p>
    <w:p w14:paraId="672B3538">
      <w:pPr>
        <w:pStyle w:val="2"/>
        <w:rPr>
          <w:color w:val="auto"/>
          <w:highlight w:val="none"/>
        </w:rPr>
      </w:pPr>
    </w:p>
    <w:p w14:paraId="0646F9CF">
      <w:pPr>
        <w:pStyle w:val="3"/>
        <w:ind w:firstLine="280"/>
        <w:rPr>
          <w:color w:val="auto"/>
          <w:highlight w:val="none"/>
        </w:rPr>
      </w:pPr>
    </w:p>
    <w:p w14:paraId="3FD150FC">
      <w:pPr>
        <w:pStyle w:val="3"/>
        <w:ind w:firstLine="280"/>
        <w:rPr>
          <w:color w:val="auto"/>
          <w:highlight w:val="none"/>
        </w:rPr>
      </w:pPr>
    </w:p>
    <w:p w14:paraId="116352E6">
      <w:pPr>
        <w:pStyle w:val="20"/>
        <w:rPr>
          <w:color w:val="auto"/>
          <w:highlight w:val="none"/>
        </w:rPr>
      </w:pPr>
    </w:p>
    <w:p w14:paraId="6D7EDD00">
      <w:pPr>
        <w:rPr>
          <w:color w:val="auto"/>
          <w:highlight w:val="none"/>
        </w:rPr>
      </w:pPr>
    </w:p>
    <w:p w14:paraId="5BA9B9E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15.关键点或难点分析和解决措施</w:t>
      </w:r>
      <w:r>
        <w:rPr>
          <w:rFonts w:hint="eastAsia" w:ascii="宋体" w:hAnsi="宋体"/>
          <w:color w:val="auto"/>
          <w:sz w:val="24"/>
          <w:highlight w:val="none"/>
        </w:rPr>
        <w:t>（格式自拟）</w:t>
      </w:r>
    </w:p>
    <w:p w14:paraId="24D4C07E">
      <w:pPr>
        <w:pStyle w:val="32"/>
        <w:jc w:val="both"/>
        <w:rPr>
          <w:rFonts w:ascii="宋体" w:hAnsi="宋体"/>
          <w:b w:val="0"/>
          <w:bCs w:val="0"/>
          <w:color w:val="auto"/>
          <w:sz w:val="24"/>
          <w:szCs w:val="24"/>
          <w:highlight w:val="none"/>
        </w:rPr>
      </w:pPr>
    </w:p>
    <w:p w14:paraId="251FE3D9">
      <w:pPr>
        <w:rPr>
          <w:color w:val="auto"/>
          <w:highlight w:val="none"/>
        </w:rPr>
      </w:pPr>
    </w:p>
    <w:p w14:paraId="4FCC0F7D">
      <w:pPr>
        <w:pStyle w:val="2"/>
        <w:rPr>
          <w:color w:val="auto"/>
          <w:highlight w:val="none"/>
        </w:rPr>
      </w:pPr>
    </w:p>
    <w:p w14:paraId="473D7906">
      <w:pPr>
        <w:pStyle w:val="32"/>
        <w:jc w:val="both"/>
        <w:rPr>
          <w:rFonts w:ascii="宋体" w:hAnsi="宋体"/>
          <w:b w:val="0"/>
          <w:bCs w:val="0"/>
          <w:color w:val="auto"/>
          <w:sz w:val="24"/>
          <w:szCs w:val="24"/>
          <w:highlight w:val="none"/>
        </w:rPr>
      </w:pPr>
      <w:r>
        <w:rPr>
          <w:rFonts w:hint="eastAsia" w:ascii="宋体" w:hAnsi="宋体"/>
          <w:b w:val="0"/>
          <w:bCs w:val="0"/>
          <w:color w:val="auto"/>
          <w:sz w:val="24"/>
          <w:szCs w:val="24"/>
          <w:highlight w:val="none"/>
        </w:rPr>
        <w:t>16.项目质量保证措施（格式自拟）</w:t>
      </w:r>
    </w:p>
    <w:p w14:paraId="106A755A">
      <w:pPr>
        <w:rPr>
          <w:color w:val="auto"/>
          <w:highlight w:val="none"/>
        </w:rPr>
      </w:pPr>
    </w:p>
    <w:p w14:paraId="428EA5AB">
      <w:pPr>
        <w:pStyle w:val="2"/>
        <w:rPr>
          <w:color w:val="auto"/>
          <w:highlight w:val="none"/>
        </w:rPr>
      </w:pPr>
    </w:p>
    <w:p w14:paraId="3159459C">
      <w:pPr>
        <w:pStyle w:val="3"/>
        <w:ind w:firstLine="280"/>
        <w:rPr>
          <w:color w:val="auto"/>
          <w:highlight w:val="none"/>
        </w:rPr>
      </w:pPr>
    </w:p>
    <w:p w14:paraId="6C011F1B">
      <w:pPr>
        <w:pStyle w:val="3"/>
        <w:ind w:firstLine="280"/>
        <w:rPr>
          <w:color w:val="auto"/>
          <w:highlight w:val="none"/>
        </w:rPr>
      </w:pPr>
    </w:p>
    <w:p w14:paraId="637212B3">
      <w:pPr>
        <w:pStyle w:val="3"/>
        <w:ind w:firstLine="0" w:firstLineChars="0"/>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项目进度安排</w:t>
      </w:r>
      <w:r>
        <w:rPr>
          <w:rFonts w:hint="eastAsia" w:ascii="宋体" w:hAnsi="宋体"/>
          <w:color w:val="auto"/>
          <w:sz w:val="24"/>
          <w:highlight w:val="none"/>
        </w:rPr>
        <w:t>（格式自拟）</w:t>
      </w:r>
    </w:p>
    <w:p w14:paraId="2077FEA7">
      <w:pPr>
        <w:pStyle w:val="3"/>
        <w:ind w:firstLine="0" w:firstLineChars="0"/>
        <w:rPr>
          <w:rFonts w:ascii="宋体" w:hAnsi="宋体"/>
          <w:color w:val="auto"/>
          <w:sz w:val="24"/>
          <w:highlight w:val="none"/>
        </w:rPr>
      </w:pPr>
    </w:p>
    <w:p w14:paraId="485AAEC2">
      <w:pPr>
        <w:pStyle w:val="3"/>
        <w:ind w:firstLine="0" w:firstLineChars="0"/>
        <w:rPr>
          <w:rFonts w:ascii="宋体" w:hAnsi="宋体"/>
          <w:color w:val="auto"/>
          <w:sz w:val="24"/>
          <w:highlight w:val="none"/>
        </w:rPr>
      </w:pPr>
    </w:p>
    <w:p w14:paraId="4B4B9E11">
      <w:pPr>
        <w:pStyle w:val="3"/>
        <w:ind w:firstLine="0" w:firstLineChars="0"/>
        <w:rPr>
          <w:rFonts w:ascii="宋体" w:hAnsi="宋体"/>
          <w:color w:val="auto"/>
          <w:sz w:val="24"/>
          <w:highlight w:val="none"/>
        </w:rPr>
      </w:pPr>
    </w:p>
    <w:p w14:paraId="250F137F">
      <w:pPr>
        <w:pStyle w:val="3"/>
        <w:ind w:firstLine="0" w:firstLineChars="0"/>
        <w:rPr>
          <w:rFonts w:ascii="宋体" w:hAnsi="宋体"/>
          <w:color w:val="auto"/>
          <w:sz w:val="24"/>
          <w:highlight w:val="none"/>
        </w:rPr>
      </w:pPr>
      <w:r>
        <w:rPr>
          <w:rFonts w:hint="eastAsia" w:ascii="Times New Roman" w:hAnsi="宋体" w:cs="宋体"/>
          <w:color w:val="auto"/>
          <w:sz w:val="24"/>
          <w:highlight w:val="none"/>
        </w:rPr>
        <w:t>18.应急处理预案</w:t>
      </w:r>
      <w:r>
        <w:rPr>
          <w:rFonts w:hint="eastAsia" w:ascii="宋体" w:hAnsi="宋体"/>
          <w:color w:val="auto"/>
          <w:sz w:val="24"/>
          <w:highlight w:val="none"/>
        </w:rPr>
        <w:t>（格式自拟）</w:t>
      </w:r>
    </w:p>
    <w:p w14:paraId="3BD3C6BE">
      <w:pPr>
        <w:pStyle w:val="3"/>
        <w:ind w:firstLine="0" w:firstLineChars="0"/>
        <w:rPr>
          <w:rFonts w:ascii="宋体" w:hAnsi="宋体"/>
          <w:color w:val="auto"/>
          <w:sz w:val="24"/>
          <w:highlight w:val="none"/>
        </w:rPr>
      </w:pPr>
    </w:p>
    <w:p w14:paraId="50F874F7">
      <w:pPr>
        <w:pStyle w:val="3"/>
        <w:ind w:firstLine="0" w:firstLineChars="0"/>
        <w:rPr>
          <w:rFonts w:ascii="宋体" w:hAnsi="宋体"/>
          <w:color w:val="auto"/>
          <w:sz w:val="24"/>
          <w:highlight w:val="none"/>
        </w:rPr>
      </w:pPr>
    </w:p>
    <w:p w14:paraId="25978CFC">
      <w:pPr>
        <w:pStyle w:val="3"/>
        <w:ind w:firstLine="0" w:firstLineChars="0"/>
        <w:rPr>
          <w:rFonts w:ascii="宋体" w:hAnsi="宋体"/>
          <w:color w:val="auto"/>
          <w:sz w:val="24"/>
          <w:highlight w:val="none"/>
        </w:rPr>
      </w:pPr>
    </w:p>
    <w:p w14:paraId="2607BFAC">
      <w:pPr>
        <w:pStyle w:val="3"/>
        <w:ind w:firstLine="0" w:firstLineChars="0"/>
        <w:rPr>
          <w:rFonts w:ascii="宋体" w:hAnsi="宋体"/>
          <w:color w:val="auto"/>
          <w:sz w:val="24"/>
          <w:highlight w:val="none"/>
        </w:rPr>
      </w:pPr>
      <w:r>
        <w:rPr>
          <w:rFonts w:hint="eastAsia" w:ascii="宋体" w:hAnsi="宋体"/>
          <w:color w:val="auto"/>
          <w:sz w:val="24"/>
          <w:highlight w:val="none"/>
        </w:rPr>
        <w:t>19.技术响应表格式：</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6B2E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C844A48">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2700" w:type="dxa"/>
            <w:vAlign w:val="center"/>
          </w:tcPr>
          <w:p w14:paraId="5E688F89">
            <w:pPr>
              <w:spacing w:line="400" w:lineRule="exact"/>
              <w:jc w:val="center"/>
              <w:rPr>
                <w:rFonts w:ascii="宋体" w:hAnsi="宋体"/>
                <w:color w:val="auto"/>
                <w:sz w:val="24"/>
                <w:highlight w:val="none"/>
              </w:rPr>
            </w:pPr>
            <w:r>
              <w:rPr>
                <w:rFonts w:hint="eastAsia" w:ascii="宋体" w:hAnsi="宋体"/>
                <w:color w:val="auto"/>
                <w:sz w:val="24"/>
                <w:highlight w:val="none"/>
              </w:rPr>
              <w:t>招标文件要求</w:t>
            </w:r>
            <w:r>
              <w:rPr>
                <w:rFonts w:hint="eastAsia" w:ascii="宋体" w:hAnsi="宋体"/>
                <w:bCs/>
                <w:color w:val="auto"/>
                <w:sz w:val="24"/>
                <w:highlight w:val="none"/>
              </w:rPr>
              <w:t>指标</w:t>
            </w:r>
            <w:r>
              <w:rPr>
                <w:rFonts w:hint="eastAsia" w:ascii="宋体" w:hAnsi="宋体"/>
                <w:color w:val="auto"/>
                <w:sz w:val="24"/>
                <w:highlight w:val="none"/>
              </w:rPr>
              <w:t>参数</w:t>
            </w:r>
          </w:p>
        </w:tc>
        <w:tc>
          <w:tcPr>
            <w:tcW w:w="2700" w:type="dxa"/>
            <w:vAlign w:val="center"/>
          </w:tcPr>
          <w:p w14:paraId="6F8E1942">
            <w:pPr>
              <w:spacing w:line="400" w:lineRule="exact"/>
              <w:rPr>
                <w:rFonts w:ascii="宋体" w:hAnsi="宋体"/>
                <w:color w:val="auto"/>
                <w:sz w:val="24"/>
                <w:highlight w:val="none"/>
              </w:rPr>
            </w:pPr>
            <w:r>
              <w:rPr>
                <w:rFonts w:hint="eastAsia" w:ascii="宋体" w:hAnsi="宋体"/>
                <w:color w:val="auto"/>
                <w:sz w:val="24"/>
                <w:highlight w:val="none"/>
              </w:rPr>
              <w:t>投标项目实际</w:t>
            </w:r>
            <w:r>
              <w:rPr>
                <w:rFonts w:hint="eastAsia" w:ascii="宋体" w:hAnsi="宋体"/>
                <w:bCs/>
                <w:color w:val="auto"/>
                <w:sz w:val="24"/>
                <w:highlight w:val="none"/>
              </w:rPr>
              <w:t>指标</w:t>
            </w:r>
            <w:r>
              <w:rPr>
                <w:rFonts w:hint="eastAsia" w:ascii="宋体" w:hAnsi="宋体"/>
                <w:color w:val="auto"/>
                <w:sz w:val="24"/>
                <w:highlight w:val="none"/>
              </w:rPr>
              <w:t>参数</w:t>
            </w:r>
          </w:p>
        </w:tc>
        <w:tc>
          <w:tcPr>
            <w:tcW w:w="1260" w:type="dxa"/>
            <w:vAlign w:val="center"/>
          </w:tcPr>
          <w:p w14:paraId="38C7FE40">
            <w:pPr>
              <w:spacing w:line="400" w:lineRule="exact"/>
              <w:jc w:val="center"/>
              <w:rPr>
                <w:rFonts w:ascii="宋体" w:hAnsi="宋体"/>
                <w:color w:val="auto"/>
                <w:sz w:val="24"/>
                <w:highlight w:val="none"/>
              </w:rPr>
            </w:pPr>
            <w:r>
              <w:rPr>
                <w:rFonts w:hint="eastAsia" w:ascii="宋体" w:hAnsi="宋体"/>
                <w:color w:val="auto"/>
                <w:sz w:val="24"/>
                <w:highlight w:val="none"/>
              </w:rPr>
              <w:t>偏离情况</w:t>
            </w:r>
          </w:p>
        </w:tc>
        <w:tc>
          <w:tcPr>
            <w:tcW w:w="1260" w:type="dxa"/>
            <w:vAlign w:val="center"/>
          </w:tcPr>
          <w:p w14:paraId="58CA8CCD">
            <w:pPr>
              <w:spacing w:line="400" w:lineRule="exact"/>
              <w:jc w:val="center"/>
              <w:rPr>
                <w:rFonts w:ascii="宋体" w:hAnsi="宋体"/>
                <w:color w:val="auto"/>
                <w:sz w:val="24"/>
                <w:highlight w:val="none"/>
              </w:rPr>
            </w:pPr>
            <w:r>
              <w:rPr>
                <w:rFonts w:hint="eastAsia" w:ascii="宋体" w:hAnsi="宋体"/>
                <w:color w:val="auto"/>
                <w:sz w:val="24"/>
                <w:highlight w:val="none"/>
              </w:rPr>
              <w:t>偏离原因</w:t>
            </w:r>
          </w:p>
        </w:tc>
      </w:tr>
      <w:tr w14:paraId="40C7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7C13ACC">
            <w:pPr>
              <w:spacing w:line="360" w:lineRule="auto"/>
              <w:jc w:val="center"/>
              <w:rPr>
                <w:rFonts w:ascii="宋体" w:hAnsi="宋体"/>
                <w:b/>
                <w:bCs/>
                <w:color w:val="auto"/>
                <w:sz w:val="30"/>
                <w:highlight w:val="none"/>
              </w:rPr>
            </w:pPr>
          </w:p>
        </w:tc>
        <w:tc>
          <w:tcPr>
            <w:tcW w:w="2700" w:type="dxa"/>
          </w:tcPr>
          <w:p w14:paraId="5483A8A9">
            <w:pPr>
              <w:spacing w:line="360" w:lineRule="auto"/>
              <w:jc w:val="center"/>
              <w:rPr>
                <w:rFonts w:ascii="宋体" w:hAnsi="宋体"/>
                <w:b/>
                <w:bCs/>
                <w:color w:val="auto"/>
                <w:sz w:val="30"/>
                <w:highlight w:val="none"/>
              </w:rPr>
            </w:pPr>
          </w:p>
        </w:tc>
        <w:tc>
          <w:tcPr>
            <w:tcW w:w="2700" w:type="dxa"/>
          </w:tcPr>
          <w:p w14:paraId="32EAA7B6">
            <w:pPr>
              <w:spacing w:line="360" w:lineRule="auto"/>
              <w:jc w:val="center"/>
              <w:rPr>
                <w:rFonts w:ascii="宋体" w:hAnsi="宋体"/>
                <w:b/>
                <w:bCs/>
                <w:color w:val="auto"/>
                <w:sz w:val="30"/>
                <w:highlight w:val="none"/>
              </w:rPr>
            </w:pPr>
          </w:p>
        </w:tc>
        <w:tc>
          <w:tcPr>
            <w:tcW w:w="1260" w:type="dxa"/>
          </w:tcPr>
          <w:p w14:paraId="742193C8">
            <w:pPr>
              <w:spacing w:line="360" w:lineRule="auto"/>
              <w:jc w:val="center"/>
              <w:rPr>
                <w:rFonts w:ascii="宋体" w:hAnsi="宋体"/>
                <w:b/>
                <w:bCs/>
                <w:color w:val="auto"/>
                <w:sz w:val="30"/>
                <w:highlight w:val="none"/>
              </w:rPr>
            </w:pPr>
          </w:p>
        </w:tc>
        <w:tc>
          <w:tcPr>
            <w:tcW w:w="1260" w:type="dxa"/>
          </w:tcPr>
          <w:p w14:paraId="19BCFE47">
            <w:pPr>
              <w:spacing w:line="360" w:lineRule="auto"/>
              <w:jc w:val="center"/>
              <w:rPr>
                <w:rFonts w:ascii="宋体" w:hAnsi="宋体"/>
                <w:b/>
                <w:bCs/>
                <w:color w:val="auto"/>
                <w:sz w:val="30"/>
                <w:highlight w:val="none"/>
              </w:rPr>
            </w:pPr>
          </w:p>
        </w:tc>
      </w:tr>
      <w:tr w14:paraId="4B4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5E3D92A">
            <w:pPr>
              <w:spacing w:line="360" w:lineRule="auto"/>
              <w:jc w:val="center"/>
              <w:rPr>
                <w:rFonts w:ascii="宋体" w:hAnsi="宋体"/>
                <w:b/>
                <w:bCs/>
                <w:color w:val="auto"/>
                <w:sz w:val="30"/>
                <w:highlight w:val="none"/>
              </w:rPr>
            </w:pPr>
          </w:p>
        </w:tc>
        <w:tc>
          <w:tcPr>
            <w:tcW w:w="2700" w:type="dxa"/>
          </w:tcPr>
          <w:p w14:paraId="721C502F">
            <w:pPr>
              <w:spacing w:line="360" w:lineRule="auto"/>
              <w:jc w:val="center"/>
              <w:rPr>
                <w:rFonts w:ascii="宋体" w:hAnsi="宋体"/>
                <w:b/>
                <w:bCs/>
                <w:color w:val="auto"/>
                <w:sz w:val="30"/>
                <w:highlight w:val="none"/>
              </w:rPr>
            </w:pPr>
          </w:p>
        </w:tc>
        <w:tc>
          <w:tcPr>
            <w:tcW w:w="2700" w:type="dxa"/>
          </w:tcPr>
          <w:p w14:paraId="125EF979">
            <w:pPr>
              <w:spacing w:line="360" w:lineRule="auto"/>
              <w:jc w:val="center"/>
              <w:rPr>
                <w:rFonts w:ascii="宋体" w:hAnsi="宋体"/>
                <w:b/>
                <w:bCs/>
                <w:color w:val="auto"/>
                <w:sz w:val="30"/>
                <w:highlight w:val="none"/>
              </w:rPr>
            </w:pPr>
          </w:p>
        </w:tc>
        <w:tc>
          <w:tcPr>
            <w:tcW w:w="1260" w:type="dxa"/>
          </w:tcPr>
          <w:p w14:paraId="50D3AE95">
            <w:pPr>
              <w:spacing w:line="360" w:lineRule="auto"/>
              <w:jc w:val="center"/>
              <w:rPr>
                <w:rFonts w:ascii="宋体" w:hAnsi="宋体"/>
                <w:b/>
                <w:bCs/>
                <w:color w:val="auto"/>
                <w:sz w:val="30"/>
                <w:highlight w:val="none"/>
              </w:rPr>
            </w:pPr>
          </w:p>
        </w:tc>
        <w:tc>
          <w:tcPr>
            <w:tcW w:w="1260" w:type="dxa"/>
          </w:tcPr>
          <w:p w14:paraId="557F87A1">
            <w:pPr>
              <w:spacing w:line="360" w:lineRule="auto"/>
              <w:jc w:val="center"/>
              <w:rPr>
                <w:rFonts w:ascii="宋体" w:hAnsi="宋体"/>
                <w:b/>
                <w:bCs/>
                <w:color w:val="auto"/>
                <w:sz w:val="30"/>
                <w:highlight w:val="none"/>
              </w:rPr>
            </w:pPr>
          </w:p>
        </w:tc>
      </w:tr>
      <w:tr w14:paraId="108D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D5DCC31">
            <w:pPr>
              <w:spacing w:line="360" w:lineRule="auto"/>
              <w:jc w:val="center"/>
              <w:rPr>
                <w:rFonts w:ascii="宋体" w:hAnsi="宋体"/>
                <w:b/>
                <w:bCs/>
                <w:color w:val="auto"/>
                <w:sz w:val="30"/>
                <w:highlight w:val="none"/>
              </w:rPr>
            </w:pPr>
          </w:p>
        </w:tc>
        <w:tc>
          <w:tcPr>
            <w:tcW w:w="2700" w:type="dxa"/>
          </w:tcPr>
          <w:p w14:paraId="55721C8F">
            <w:pPr>
              <w:spacing w:line="360" w:lineRule="auto"/>
              <w:jc w:val="center"/>
              <w:rPr>
                <w:rFonts w:ascii="宋体" w:hAnsi="宋体"/>
                <w:b/>
                <w:bCs/>
                <w:color w:val="auto"/>
                <w:sz w:val="30"/>
                <w:highlight w:val="none"/>
              </w:rPr>
            </w:pPr>
          </w:p>
        </w:tc>
        <w:tc>
          <w:tcPr>
            <w:tcW w:w="2700" w:type="dxa"/>
          </w:tcPr>
          <w:p w14:paraId="392ABB47">
            <w:pPr>
              <w:spacing w:line="360" w:lineRule="auto"/>
              <w:jc w:val="center"/>
              <w:rPr>
                <w:rFonts w:ascii="宋体" w:hAnsi="宋体"/>
                <w:b/>
                <w:bCs/>
                <w:color w:val="auto"/>
                <w:sz w:val="30"/>
                <w:highlight w:val="none"/>
              </w:rPr>
            </w:pPr>
          </w:p>
        </w:tc>
        <w:tc>
          <w:tcPr>
            <w:tcW w:w="1260" w:type="dxa"/>
          </w:tcPr>
          <w:p w14:paraId="13496FA5">
            <w:pPr>
              <w:spacing w:line="360" w:lineRule="auto"/>
              <w:jc w:val="center"/>
              <w:rPr>
                <w:rFonts w:ascii="宋体" w:hAnsi="宋体"/>
                <w:b/>
                <w:bCs/>
                <w:color w:val="auto"/>
                <w:sz w:val="30"/>
                <w:highlight w:val="none"/>
              </w:rPr>
            </w:pPr>
          </w:p>
        </w:tc>
        <w:tc>
          <w:tcPr>
            <w:tcW w:w="1260" w:type="dxa"/>
          </w:tcPr>
          <w:p w14:paraId="43B6C06F">
            <w:pPr>
              <w:spacing w:line="360" w:lineRule="auto"/>
              <w:jc w:val="center"/>
              <w:rPr>
                <w:rFonts w:ascii="宋体" w:hAnsi="宋体"/>
                <w:b/>
                <w:bCs/>
                <w:color w:val="auto"/>
                <w:sz w:val="30"/>
                <w:highlight w:val="none"/>
              </w:rPr>
            </w:pPr>
          </w:p>
        </w:tc>
      </w:tr>
      <w:tr w14:paraId="5B0C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E972FCD">
            <w:pPr>
              <w:spacing w:line="360" w:lineRule="auto"/>
              <w:jc w:val="center"/>
              <w:rPr>
                <w:rFonts w:ascii="宋体" w:hAnsi="宋体"/>
                <w:b/>
                <w:bCs/>
                <w:color w:val="auto"/>
                <w:sz w:val="30"/>
                <w:highlight w:val="none"/>
              </w:rPr>
            </w:pPr>
          </w:p>
        </w:tc>
        <w:tc>
          <w:tcPr>
            <w:tcW w:w="2700" w:type="dxa"/>
          </w:tcPr>
          <w:p w14:paraId="1CE8569B">
            <w:pPr>
              <w:spacing w:line="360" w:lineRule="auto"/>
              <w:jc w:val="center"/>
              <w:rPr>
                <w:rFonts w:ascii="宋体" w:hAnsi="宋体"/>
                <w:b/>
                <w:bCs/>
                <w:color w:val="auto"/>
                <w:sz w:val="30"/>
                <w:highlight w:val="none"/>
              </w:rPr>
            </w:pPr>
          </w:p>
        </w:tc>
        <w:tc>
          <w:tcPr>
            <w:tcW w:w="2700" w:type="dxa"/>
          </w:tcPr>
          <w:p w14:paraId="7763D173">
            <w:pPr>
              <w:spacing w:line="360" w:lineRule="auto"/>
              <w:jc w:val="center"/>
              <w:rPr>
                <w:rFonts w:ascii="宋体" w:hAnsi="宋体"/>
                <w:b/>
                <w:bCs/>
                <w:color w:val="auto"/>
                <w:sz w:val="30"/>
                <w:highlight w:val="none"/>
              </w:rPr>
            </w:pPr>
          </w:p>
        </w:tc>
        <w:tc>
          <w:tcPr>
            <w:tcW w:w="1260" w:type="dxa"/>
          </w:tcPr>
          <w:p w14:paraId="64AC58CE">
            <w:pPr>
              <w:spacing w:line="360" w:lineRule="auto"/>
              <w:jc w:val="center"/>
              <w:rPr>
                <w:rFonts w:ascii="宋体" w:hAnsi="宋体"/>
                <w:b/>
                <w:bCs/>
                <w:color w:val="auto"/>
                <w:sz w:val="30"/>
                <w:highlight w:val="none"/>
              </w:rPr>
            </w:pPr>
          </w:p>
        </w:tc>
        <w:tc>
          <w:tcPr>
            <w:tcW w:w="1260" w:type="dxa"/>
          </w:tcPr>
          <w:p w14:paraId="5E51D06A">
            <w:pPr>
              <w:spacing w:line="360" w:lineRule="auto"/>
              <w:jc w:val="center"/>
              <w:rPr>
                <w:rFonts w:ascii="宋体" w:hAnsi="宋体"/>
                <w:b/>
                <w:bCs/>
                <w:color w:val="auto"/>
                <w:sz w:val="30"/>
                <w:highlight w:val="none"/>
              </w:rPr>
            </w:pPr>
          </w:p>
        </w:tc>
      </w:tr>
      <w:tr w14:paraId="4778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5C43FC8">
            <w:pPr>
              <w:spacing w:line="360" w:lineRule="auto"/>
              <w:jc w:val="center"/>
              <w:rPr>
                <w:rFonts w:ascii="宋体" w:hAnsi="宋体"/>
                <w:b/>
                <w:bCs/>
                <w:color w:val="auto"/>
                <w:sz w:val="30"/>
                <w:highlight w:val="none"/>
              </w:rPr>
            </w:pPr>
          </w:p>
        </w:tc>
        <w:tc>
          <w:tcPr>
            <w:tcW w:w="2700" w:type="dxa"/>
          </w:tcPr>
          <w:p w14:paraId="2A40C437">
            <w:pPr>
              <w:spacing w:line="360" w:lineRule="auto"/>
              <w:jc w:val="center"/>
              <w:rPr>
                <w:rFonts w:ascii="宋体" w:hAnsi="宋体"/>
                <w:b/>
                <w:bCs/>
                <w:color w:val="auto"/>
                <w:sz w:val="30"/>
                <w:highlight w:val="none"/>
              </w:rPr>
            </w:pPr>
          </w:p>
        </w:tc>
        <w:tc>
          <w:tcPr>
            <w:tcW w:w="2700" w:type="dxa"/>
          </w:tcPr>
          <w:p w14:paraId="5DC55DDA">
            <w:pPr>
              <w:spacing w:line="360" w:lineRule="auto"/>
              <w:jc w:val="center"/>
              <w:rPr>
                <w:rFonts w:ascii="宋体" w:hAnsi="宋体"/>
                <w:b/>
                <w:bCs/>
                <w:color w:val="auto"/>
                <w:sz w:val="30"/>
                <w:highlight w:val="none"/>
              </w:rPr>
            </w:pPr>
          </w:p>
        </w:tc>
        <w:tc>
          <w:tcPr>
            <w:tcW w:w="1260" w:type="dxa"/>
          </w:tcPr>
          <w:p w14:paraId="488BAF6B">
            <w:pPr>
              <w:spacing w:line="360" w:lineRule="auto"/>
              <w:jc w:val="center"/>
              <w:rPr>
                <w:rFonts w:ascii="宋体" w:hAnsi="宋体"/>
                <w:b/>
                <w:bCs/>
                <w:color w:val="auto"/>
                <w:sz w:val="30"/>
                <w:highlight w:val="none"/>
              </w:rPr>
            </w:pPr>
          </w:p>
        </w:tc>
        <w:tc>
          <w:tcPr>
            <w:tcW w:w="1260" w:type="dxa"/>
          </w:tcPr>
          <w:p w14:paraId="525CE0C3">
            <w:pPr>
              <w:spacing w:line="360" w:lineRule="auto"/>
              <w:jc w:val="center"/>
              <w:rPr>
                <w:rFonts w:ascii="宋体" w:hAnsi="宋体"/>
                <w:b/>
                <w:bCs/>
                <w:color w:val="auto"/>
                <w:sz w:val="30"/>
                <w:highlight w:val="none"/>
              </w:rPr>
            </w:pPr>
          </w:p>
        </w:tc>
      </w:tr>
      <w:tr w14:paraId="7370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913512">
            <w:pPr>
              <w:spacing w:line="360" w:lineRule="auto"/>
              <w:jc w:val="center"/>
              <w:rPr>
                <w:rFonts w:ascii="宋体" w:hAnsi="宋体"/>
                <w:b/>
                <w:bCs/>
                <w:color w:val="auto"/>
                <w:sz w:val="30"/>
                <w:highlight w:val="none"/>
              </w:rPr>
            </w:pPr>
          </w:p>
        </w:tc>
        <w:tc>
          <w:tcPr>
            <w:tcW w:w="2700" w:type="dxa"/>
          </w:tcPr>
          <w:p w14:paraId="4C37D794">
            <w:pPr>
              <w:spacing w:line="360" w:lineRule="auto"/>
              <w:jc w:val="center"/>
              <w:rPr>
                <w:rFonts w:ascii="宋体" w:hAnsi="宋体"/>
                <w:b/>
                <w:bCs/>
                <w:color w:val="auto"/>
                <w:sz w:val="30"/>
                <w:highlight w:val="none"/>
              </w:rPr>
            </w:pPr>
          </w:p>
        </w:tc>
        <w:tc>
          <w:tcPr>
            <w:tcW w:w="2700" w:type="dxa"/>
          </w:tcPr>
          <w:p w14:paraId="6753C778">
            <w:pPr>
              <w:spacing w:line="360" w:lineRule="auto"/>
              <w:jc w:val="center"/>
              <w:rPr>
                <w:rFonts w:ascii="宋体" w:hAnsi="宋体"/>
                <w:b/>
                <w:bCs/>
                <w:color w:val="auto"/>
                <w:sz w:val="30"/>
                <w:highlight w:val="none"/>
              </w:rPr>
            </w:pPr>
          </w:p>
        </w:tc>
        <w:tc>
          <w:tcPr>
            <w:tcW w:w="1260" w:type="dxa"/>
          </w:tcPr>
          <w:p w14:paraId="7C762B67">
            <w:pPr>
              <w:spacing w:line="360" w:lineRule="auto"/>
              <w:jc w:val="center"/>
              <w:rPr>
                <w:rFonts w:ascii="宋体" w:hAnsi="宋体"/>
                <w:b/>
                <w:bCs/>
                <w:color w:val="auto"/>
                <w:sz w:val="30"/>
                <w:highlight w:val="none"/>
              </w:rPr>
            </w:pPr>
          </w:p>
        </w:tc>
        <w:tc>
          <w:tcPr>
            <w:tcW w:w="1260" w:type="dxa"/>
          </w:tcPr>
          <w:p w14:paraId="3DADF9D1">
            <w:pPr>
              <w:spacing w:line="360" w:lineRule="auto"/>
              <w:jc w:val="center"/>
              <w:rPr>
                <w:rFonts w:ascii="宋体" w:hAnsi="宋体"/>
                <w:b/>
                <w:bCs/>
                <w:color w:val="auto"/>
                <w:sz w:val="30"/>
                <w:highlight w:val="none"/>
              </w:rPr>
            </w:pPr>
          </w:p>
        </w:tc>
      </w:tr>
    </w:tbl>
    <w:p w14:paraId="33A8AC72">
      <w:pPr>
        <w:spacing w:line="360" w:lineRule="auto"/>
        <w:ind w:left="840" w:hanging="840" w:hangingChars="350"/>
        <w:rPr>
          <w:rFonts w:ascii="宋体" w:hAnsi="宋体"/>
          <w:b/>
          <w:bCs/>
          <w:color w:val="auto"/>
          <w:sz w:val="24"/>
          <w:szCs w:val="28"/>
          <w:highlight w:val="none"/>
        </w:rPr>
      </w:pPr>
      <w:r>
        <w:rPr>
          <w:rFonts w:hint="eastAsia" w:ascii="宋体" w:hAnsi="宋体"/>
          <w:color w:val="auto"/>
          <w:sz w:val="24"/>
          <w:highlight w:val="none"/>
        </w:rPr>
        <w:t>注：</w:t>
      </w:r>
      <w:r>
        <w:rPr>
          <w:rFonts w:hint="eastAsia" w:ascii="宋体" w:hAnsi="宋体"/>
          <w:b/>
          <w:bCs/>
          <w:color w:val="auto"/>
          <w:spacing w:val="14"/>
          <w:sz w:val="24"/>
          <w:szCs w:val="28"/>
          <w:highlight w:val="none"/>
        </w:rPr>
        <w:t>1、投标人必须按采购需求一一对应，如实填写</w:t>
      </w:r>
      <w:r>
        <w:rPr>
          <w:rFonts w:hint="eastAsia" w:ascii="宋体" w:hAnsi="宋体"/>
          <w:b/>
          <w:bCs/>
          <w:color w:val="auto"/>
          <w:sz w:val="24"/>
          <w:szCs w:val="28"/>
          <w:highlight w:val="none"/>
        </w:rPr>
        <w:t>，未按要求填写的，有可能作负偏离处理；</w:t>
      </w:r>
    </w:p>
    <w:p w14:paraId="6F345A4B">
      <w:pPr>
        <w:spacing w:line="360" w:lineRule="auto"/>
        <w:ind w:firstLine="480" w:firstLineChars="200"/>
        <w:rPr>
          <w:rFonts w:ascii="宋体" w:hAnsi="宋体"/>
          <w:b/>
          <w:bCs/>
          <w:color w:val="auto"/>
          <w:spacing w:val="14"/>
          <w:szCs w:val="28"/>
          <w:highlight w:val="none"/>
        </w:rPr>
      </w:pPr>
      <w:r>
        <w:rPr>
          <w:rFonts w:hint="eastAsia" w:ascii="宋体" w:hAnsi="宋体"/>
          <w:color w:val="auto"/>
          <w:sz w:val="24"/>
          <w:highlight w:val="none"/>
        </w:rPr>
        <w:t>2、此表仅提供了表格形式，投标人应根据需要准备足够数量的表格来填写。</w:t>
      </w:r>
    </w:p>
    <w:p w14:paraId="67A3CDE6">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76474908">
      <w:pPr>
        <w:snapToGrid w:val="0"/>
        <w:spacing w:line="360" w:lineRule="auto"/>
        <w:jc w:val="left"/>
        <w:rPr>
          <w:rFonts w:ascii="宋体" w:hAnsi="宋体"/>
          <w:color w:val="auto"/>
          <w:sz w:val="24"/>
          <w:highlight w:val="none"/>
        </w:rPr>
      </w:pPr>
      <w:r>
        <w:rPr>
          <w:rFonts w:hint="eastAsia" w:ascii="宋体" w:hAnsi="宋体"/>
          <w:color w:val="auto"/>
          <w:spacing w:val="20"/>
          <w:sz w:val="24"/>
          <w:highlight w:val="none"/>
        </w:rPr>
        <w:t>投标人盖章：日期：</w:t>
      </w:r>
    </w:p>
    <w:p w14:paraId="3551CF3B">
      <w:pPr>
        <w:pStyle w:val="3"/>
        <w:ind w:firstLine="0" w:firstLineChars="0"/>
        <w:rPr>
          <w:color w:val="auto"/>
          <w:highlight w:val="none"/>
        </w:rPr>
      </w:pPr>
    </w:p>
    <w:p w14:paraId="28BE07AA">
      <w:pPr>
        <w:pStyle w:val="3"/>
        <w:ind w:firstLine="0" w:firstLineChars="0"/>
        <w:rPr>
          <w:color w:val="auto"/>
          <w:highlight w:val="none"/>
        </w:rPr>
      </w:pPr>
    </w:p>
    <w:p w14:paraId="041FA24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20.项目实施人员一览表格式：</w:t>
      </w:r>
    </w:p>
    <w:p w14:paraId="3304F05B">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4CBC6CFC">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3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5046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683B5A9F">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3AD1D66">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099B9F2D">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29540D1">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6A6FA7D9">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3301CBED">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14:paraId="39293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B63D9B1">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7BD8E73">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F4F389B">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67696BA5">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F86378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EA4E559">
            <w:pPr>
              <w:snapToGrid w:val="0"/>
              <w:spacing w:line="360" w:lineRule="auto"/>
              <w:rPr>
                <w:rFonts w:ascii="宋体" w:hAnsi="宋体"/>
                <w:color w:val="auto"/>
                <w:sz w:val="24"/>
                <w:szCs w:val="20"/>
                <w:highlight w:val="none"/>
              </w:rPr>
            </w:pPr>
          </w:p>
        </w:tc>
      </w:tr>
      <w:tr w14:paraId="4FA0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E6E3F7">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3841D80">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542CC5D">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AF6E184">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0F2D7BEC">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AD65F9E">
            <w:pPr>
              <w:snapToGrid w:val="0"/>
              <w:spacing w:line="360" w:lineRule="auto"/>
              <w:rPr>
                <w:rFonts w:ascii="宋体" w:hAnsi="宋体"/>
                <w:color w:val="auto"/>
                <w:sz w:val="24"/>
                <w:szCs w:val="20"/>
                <w:highlight w:val="none"/>
              </w:rPr>
            </w:pPr>
          </w:p>
        </w:tc>
      </w:tr>
      <w:tr w14:paraId="33F65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C0C5B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DD434B7">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0D9F558">
            <w:pPr>
              <w:pStyle w:val="21"/>
              <w:snapToGrid w:val="0"/>
              <w:spacing w:line="360" w:lineRule="auto"/>
              <w:ind w:left="5250"/>
              <w:rPr>
                <w:rFonts w:ascii="宋体" w:hAnsi="宋体" w:eastAsia="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D63D919">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6F0A4D6C">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C5F8DD7">
            <w:pPr>
              <w:snapToGrid w:val="0"/>
              <w:spacing w:line="360" w:lineRule="auto"/>
              <w:rPr>
                <w:rFonts w:ascii="宋体" w:hAnsi="宋体"/>
                <w:color w:val="auto"/>
                <w:sz w:val="24"/>
                <w:szCs w:val="20"/>
                <w:highlight w:val="none"/>
              </w:rPr>
            </w:pPr>
          </w:p>
        </w:tc>
      </w:tr>
      <w:tr w14:paraId="2DE3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33FE91">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90D801E">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15390FDA">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EF44190">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E03B15C">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6E2B253B">
            <w:pPr>
              <w:snapToGrid w:val="0"/>
              <w:spacing w:line="360" w:lineRule="auto"/>
              <w:rPr>
                <w:rFonts w:ascii="宋体" w:hAnsi="宋体"/>
                <w:color w:val="auto"/>
                <w:sz w:val="24"/>
                <w:szCs w:val="20"/>
                <w:highlight w:val="none"/>
              </w:rPr>
            </w:pPr>
          </w:p>
        </w:tc>
      </w:tr>
      <w:tr w14:paraId="6A4A6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4E7A8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5F21A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56BC015">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F2339D6">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D926E84">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AB7C903">
            <w:pPr>
              <w:snapToGrid w:val="0"/>
              <w:spacing w:line="360" w:lineRule="auto"/>
              <w:rPr>
                <w:rFonts w:ascii="宋体" w:hAnsi="宋体"/>
                <w:color w:val="auto"/>
                <w:sz w:val="24"/>
                <w:szCs w:val="20"/>
                <w:highlight w:val="none"/>
              </w:rPr>
            </w:pPr>
          </w:p>
        </w:tc>
      </w:tr>
      <w:tr w14:paraId="2B826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DE97CE">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6767E0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07D0164">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17854A49">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311A269">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65DC0147">
            <w:pPr>
              <w:snapToGrid w:val="0"/>
              <w:spacing w:line="360" w:lineRule="auto"/>
              <w:rPr>
                <w:rFonts w:ascii="宋体" w:hAnsi="宋体"/>
                <w:color w:val="auto"/>
                <w:sz w:val="24"/>
                <w:szCs w:val="20"/>
                <w:highlight w:val="none"/>
              </w:rPr>
            </w:pPr>
          </w:p>
        </w:tc>
      </w:tr>
      <w:tr w14:paraId="33B9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BB6794">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B0B1C4F">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D45D850">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416A345">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421D8EB">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2B6D0F9E">
            <w:pPr>
              <w:snapToGrid w:val="0"/>
              <w:spacing w:line="360" w:lineRule="auto"/>
              <w:rPr>
                <w:rFonts w:ascii="宋体" w:hAnsi="宋体"/>
                <w:color w:val="auto"/>
                <w:sz w:val="24"/>
                <w:szCs w:val="20"/>
                <w:highlight w:val="none"/>
              </w:rPr>
            </w:pPr>
          </w:p>
        </w:tc>
      </w:tr>
      <w:tr w14:paraId="039E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1E9CB9">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BF39F95">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0FF1996">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5CA4FED">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378245E">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E53868D">
            <w:pPr>
              <w:snapToGrid w:val="0"/>
              <w:spacing w:line="360" w:lineRule="auto"/>
              <w:rPr>
                <w:rFonts w:ascii="宋体" w:hAnsi="宋体"/>
                <w:color w:val="auto"/>
                <w:sz w:val="24"/>
                <w:szCs w:val="20"/>
                <w:highlight w:val="none"/>
              </w:rPr>
            </w:pPr>
          </w:p>
        </w:tc>
      </w:tr>
      <w:tr w14:paraId="17D7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CB34B4">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C409C32">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67EF811">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4CCEB87">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E13D28A">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2759C92D">
            <w:pPr>
              <w:snapToGrid w:val="0"/>
              <w:spacing w:line="360" w:lineRule="auto"/>
              <w:rPr>
                <w:rFonts w:ascii="宋体" w:hAnsi="宋体"/>
                <w:color w:val="auto"/>
                <w:sz w:val="24"/>
                <w:szCs w:val="20"/>
                <w:highlight w:val="none"/>
              </w:rPr>
            </w:pPr>
          </w:p>
        </w:tc>
      </w:tr>
    </w:tbl>
    <w:p w14:paraId="540722E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0C139CEC">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7161EC99">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3627CDAF">
      <w:pPr>
        <w:snapToGrid w:val="0"/>
        <w:spacing w:line="360" w:lineRule="auto"/>
        <w:jc w:val="left"/>
        <w:rPr>
          <w:rFonts w:ascii="宋体" w:hAnsi="宋体"/>
          <w:color w:val="auto"/>
          <w:sz w:val="24"/>
          <w:highlight w:val="none"/>
        </w:rPr>
      </w:pPr>
    </w:p>
    <w:p w14:paraId="2D5BEDCC">
      <w:pPr>
        <w:pStyle w:val="32"/>
        <w:rPr>
          <w:color w:val="auto"/>
          <w:highlight w:val="none"/>
        </w:rPr>
      </w:pPr>
    </w:p>
    <w:p w14:paraId="6D66594C">
      <w:pPr>
        <w:rPr>
          <w:rFonts w:ascii="宋体" w:hAnsi="宋体"/>
          <w:color w:val="auto"/>
          <w:sz w:val="24"/>
          <w:highlight w:val="none"/>
        </w:rPr>
      </w:pPr>
      <w:r>
        <w:rPr>
          <w:rFonts w:hint="eastAsia" w:ascii="宋体" w:hAnsi="宋体"/>
          <w:color w:val="auto"/>
          <w:sz w:val="24"/>
          <w:highlight w:val="none"/>
        </w:rPr>
        <w:t>21.投标人对本项目的合理化建议和改进措施（格式自拟）</w:t>
      </w:r>
    </w:p>
    <w:p w14:paraId="72B96446">
      <w:pPr>
        <w:snapToGrid w:val="0"/>
        <w:spacing w:line="360" w:lineRule="auto"/>
        <w:jc w:val="left"/>
        <w:rPr>
          <w:rFonts w:ascii="宋体" w:hAnsi="宋体"/>
          <w:color w:val="auto"/>
          <w:sz w:val="24"/>
          <w:highlight w:val="none"/>
        </w:rPr>
      </w:pPr>
    </w:p>
    <w:p w14:paraId="1D29D914">
      <w:pPr>
        <w:pStyle w:val="32"/>
        <w:rPr>
          <w:rFonts w:ascii="宋体" w:hAnsi="宋体"/>
          <w:b w:val="0"/>
          <w:bCs w:val="0"/>
          <w:color w:val="auto"/>
          <w:sz w:val="24"/>
          <w:szCs w:val="24"/>
          <w:highlight w:val="none"/>
        </w:rPr>
      </w:pPr>
    </w:p>
    <w:p w14:paraId="2374F3A7">
      <w:pPr>
        <w:snapToGrid w:val="0"/>
        <w:spacing w:line="360" w:lineRule="auto"/>
        <w:jc w:val="left"/>
        <w:rPr>
          <w:rFonts w:ascii="宋体" w:hAnsi="宋体"/>
          <w:color w:val="auto"/>
          <w:sz w:val="24"/>
          <w:highlight w:val="none"/>
        </w:rPr>
      </w:pPr>
    </w:p>
    <w:p w14:paraId="00D83E8B">
      <w:pPr>
        <w:snapToGrid w:val="0"/>
        <w:spacing w:line="360" w:lineRule="auto"/>
        <w:jc w:val="left"/>
        <w:rPr>
          <w:rFonts w:ascii="宋体" w:hAnsi="宋体"/>
          <w:color w:val="auto"/>
          <w:sz w:val="24"/>
          <w:highlight w:val="none"/>
        </w:rPr>
      </w:pPr>
      <w:r>
        <w:rPr>
          <w:rFonts w:hint="eastAsia" w:ascii="宋体" w:hAnsi="宋体"/>
          <w:color w:val="auto"/>
          <w:sz w:val="24"/>
          <w:highlight w:val="none"/>
        </w:rPr>
        <w:t>22.投标人需要说明的其他文件和说明（格式自拟）</w:t>
      </w:r>
    </w:p>
    <w:p w14:paraId="1F130A36">
      <w:pPr>
        <w:snapToGrid w:val="0"/>
        <w:spacing w:line="360" w:lineRule="auto"/>
        <w:jc w:val="left"/>
        <w:rPr>
          <w:rFonts w:ascii="宋体" w:hAnsi="宋体"/>
          <w:color w:val="auto"/>
          <w:sz w:val="24"/>
          <w:highlight w:val="none"/>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5EF05238">
      <w:pPr>
        <w:snapToGrid w:val="0"/>
        <w:spacing w:line="360" w:lineRule="auto"/>
        <w:jc w:val="left"/>
        <w:rPr>
          <w:rFonts w:ascii="宋体" w:hAnsi="宋体"/>
          <w:color w:val="auto"/>
          <w:sz w:val="24"/>
          <w:highlight w:val="none"/>
        </w:rPr>
      </w:pPr>
      <w:r>
        <w:rPr>
          <w:rFonts w:hint="eastAsia" w:ascii="宋体" w:hAnsi="宋体"/>
          <w:color w:val="auto"/>
          <w:sz w:val="24"/>
          <w:highlight w:val="none"/>
        </w:rPr>
        <w:t>23.投标人的类似成功案例的业绩证明文件：</w:t>
      </w:r>
    </w:p>
    <w:p w14:paraId="1EF65DA1">
      <w:pPr>
        <w:pStyle w:val="27"/>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3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724ED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02BC2A1">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6845364">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97980">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1651686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E0AE6C">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316E8368">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303FD90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35B8B901">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4D32CC5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130F594">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4AB6D801">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47F7A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A5F3F10">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91D1046">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B27ACF">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E89552">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8872ECE">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B9816B2">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600CA69">
            <w:pPr>
              <w:widowControl/>
              <w:spacing w:line="360" w:lineRule="auto"/>
              <w:jc w:val="left"/>
              <w:rPr>
                <w:rFonts w:ascii="宋体" w:hAnsi="宋体"/>
                <w:color w:val="auto"/>
                <w:sz w:val="18"/>
                <w:highlight w:val="none"/>
              </w:rPr>
            </w:pPr>
          </w:p>
        </w:tc>
      </w:tr>
      <w:tr w14:paraId="771E1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71826EF">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C48952A">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525BCA8">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05705F0">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B0D7D06">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30CFA34">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AFB0E10">
            <w:pPr>
              <w:snapToGrid w:val="0"/>
              <w:spacing w:line="360" w:lineRule="auto"/>
              <w:jc w:val="left"/>
              <w:rPr>
                <w:rFonts w:ascii="宋体" w:hAnsi="宋体"/>
                <w:color w:val="auto"/>
                <w:sz w:val="18"/>
                <w:szCs w:val="20"/>
                <w:highlight w:val="none"/>
              </w:rPr>
            </w:pPr>
          </w:p>
        </w:tc>
      </w:tr>
      <w:tr w14:paraId="0A6E0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C0D5F1">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D07DE09">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D282AC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30B8D0A">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7C2FEFE">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7D8295E">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6216A27F">
            <w:pPr>
              <w:snapToGrid w:val="0"/>
              <w:spacing w:line="360" w:lineRule="auto"/>
              <w:jc w:val="left"/>
              <w:rPr>
                <w:rFonts w:ascii="宋体" w:hAnsi="宋体"/>
                <w:color w:val="auto"/>
                <w:sz w:val="24"/>
                <w:szCs w:val="20"/>
                <w:highlight w:val="none"/>
              </w:rPr>
            </w:pPr>
          </w:p>
        </w:tc>
      </w:tr>
      <w:tr w14:paraId="4541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9789018">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B300288">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53C652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5573C17">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B9D2432">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005DC37">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4D269F61">
            <w:pPr>
              <w:snapToGrid w:val="0"/>
              <w:spacing w:line="360" w:lineRule="auto"/>
              <w:jc w:val="left"/>
              <w:rPr>
                <w:rFonts w:ascii="宋体" w:hAnsi="宋体"/>
                <w:color w:val="auto"/>
                <w:sz w:val="24"/>
                <w:szCs w:val="20"/>
                <w:highlight w:val="none"/>
              </w:rPr>
            </w:pPr>
          </w:p>
        </w:tc>
      </w:tr>
      <w:tr w14:paraId="36D82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6EB1B96">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EEE5FA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6ADF2B5">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27CF17B">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82C7728">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08FBA02">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77267DA">
            <w:pPr>
              <w:snapToGrid w:val="0"/>
              <w:spacing w:line="360" w:lineRule="auto"/>
              <w:jc w:val="left"/>
              <w:rPr>
                <w:rFonts w:ascii="宋体" w:hAnsi="宋体"/>
                <w:color w:val="auto"/>
                <w:sz w:val="24"/>
                <w:szCs w:val="20"/>
                <w:highlight w:val="none"/>
              </w:rPr>
            </w:pPr>
          </w:p>
        </w:tc>
      </w:tr>
      <w:tr w14:paraId="6774B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0BE13D">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B8D01BB">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19E4B0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74E1AA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E4AF15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C3EC489">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9BCD41F">
            <w:pPr>
              <w:snapToGrid w:val="0"/>
              <w:spacing w:line="360" w:lineRule="auto"/>
              <w:jc w:val="left"/>
              <w:rPr>
                <w:rFonts w:ascii="宋体" w:hAnsi="宋体"/>
                <w:color w:val="auto"/>
                <w:sz w:val="24"/>
                <w:szCs w:val="20"/>
                <w:highlight w:val="none"/>
              </w:rPr>
            </w:pPr>
          </w:p>
        </w:tc>
      </w:tr>
    </w:tbl>
    <w:p w14:paraId="0FF7D7A1">
      <w:pPr>
        <w:pStyle w:val="11"/>
        <w:snapToGrid w:val="0"/>
        <w:spacing w:before="0" w:after="0" w:line="360" w:lineRule="auto"/>
        <w:rPr>
          <w:rFonts w:ascii="宋体" w:hAnsi="宋体" w:eastAsia="宋体"/>
          <w:color w:val="auto"/>
          <w:sz w:val="24"/>
          <w:highlight w:val="none"/>
        </w:rPr>
      </w:pPr>
    </w:p>
    <w:p w14:paraId="07EF98B7">
      <w:pPr>
        <w:pStyle w:val="11"/>
        <w:snapToGrid w:val="0"/>
        <w:spacing w:before="0" w:after="0"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2A20810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30DD91FC">
      <w:pPr>
        <w:snapToGrid w:val="0"/>
        <w:spacing w:line="360" w:lineRule="auto"/>
        <w:ind w:firstLine="480" w:firstLineChars="200"/>
        <w:jc w:val="left"/>
        <w:rPr>
          <w:rFonts w:ascii="仿宋_GB2312" w:eastAsia="仿宋_GB2312"/>
          <w:color w:val="auto"/>
          <w:sz w:val="24"/>
          <w:highlight w:val="none"/>
        </w:rPr>
      </w:pPr>
    </w:p>
    <w:p w14:paraId="57EABAAD">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3CFE0DAB">
      <w:pPr>
        <w:snapToGrid w:val="0"/>
        <w:spacing w:line="360" w:lineRule="auto"/>
        <w:ind w:firstLine="480" w:firstLineChars="200"/>
        <w:jc w:val="left"/>
        <w:rPr>
          <w:rFonts w:ascii="宋体" w:hAnsi="宋体"/>
          <w:i/>
          <w:color w:val="auto"/>
          <w:sz w:val="24"/>
          <w:highlight w:val="none"/>
        </w:rPr>
      </w:pPr>
      <w:r>
        <w:rPr>
          <w:rFonts w:hint="eastAsia" w:ascii="宋体" w:hAnsi="宋体"/>
          <w:color w:val="auto"/>
          <w:sz w:val="24"/>
          <w:highlight w:val="none"/>
        </w:rPr>
        <w:t>24.距采购人最近或者能为本项目提供最优服务的网点情况表</w:t>
      </w:r>
    </w:p>
    <w:tbl>
      <w:tblPr>
        <w:tblStyle w:val="3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28FB4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91CB2F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730717BA">
            <w:pPr>
              <w:snapToGrid w:val="0"/>
              <w:spacing w:line="360" w:lineRule="auto"/>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61B7A33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投标文件</w:t>
            </w:r>
          </w:p>
          <w:p w14:paraId="0E68F5C2">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页码</w:t>
            </w:r>
          </w:p>
        </w:tc>
      </w:tr>
      <w:tr w14:paraId="78A3B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1B81446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676E5E0A">
            <w:pPr>
              <w:snapToGrid w:val="0"/>
              <w:spacing w:line="360" w:lineRule="auto"/>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050D5556">
            <w:pPr>
              <w:widowControl/>
              <w:spacing w:line="360" w:lineRule="auto"/>
              <w:jc w:val="left"/>
              <w:rPr>
                <w:rFonts w:ascii="宋体" w:hAnsi="宋体"/>
                <w:color w:val="auto"/>
                <w:sz w:val="24"/>
                <w:highlight w:val="none"/>
              </w:rPr>
            </w:pPr>
          </w:p>
        </w:tc>
      </w:tr>
      <w:tr w14:paraId="3685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E5E7C3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071A2768">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75D2E6C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0F384BAD">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F704148">
            <w:pPr>
              <w:snapToGrid w:val="0"/>
              <w:spacing w:line="360" w:lineRule="auto"/>
              <w:jc w:val="left"/>
              <w:rPr>
                <w:rFonts w:ascii="宋体" w:hAnsi="宋体"/>
                <w:color w:val="auto"/>
                <w:sz w:val="24"/>
                <w:szCs w:val="20"/>
                <w:highlight w:val="none"/>
              </w:rPr>
            </w:pPr>
          </w:p>
        </w:tc>
      </w:tr>
      <w:tr w14:paraId="4021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517693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45DB371D">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1B830C5A">
            <w:pPr>
              <w:snapToGrid w:val="0"/>
              <w:spacing w:line="360" w:lineRule="auto"/>
              <w:ind w:left="6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39F4B8F6">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4D1C0EC">
            <w:pPr>
              <w:snapToGrid w:val="0"/>
              <w:spacing w:line="360" w:lineRule="auto"/>
              <w:jc w:val="left"/>
              <w:rPr>
                <w:rFonts w:ascii="宋体" w:hAnsi="宋体"/>
                <w:color w:val="auto"/>
                <w:sz w:val="24"/>
                <w:szCs w:val="20"/>
                <w:highlight w:val="none"/>
              </w:rPr>
            </w:pPr>
          </w:p>
        </w:tc>
      </w:tr>
      <w:tr w14:paraId="0678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0815FF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7ADD25A6">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2587C46">
            <w:pPr>
              <w:snapToGrid w:val="0"/>
              <w:spacing w:line="360" w:lineRule="auto"/>
              <w:jc w:val="left"/>
              <w:rPr>
                <w:rFonts w:ascii="宋体" w:hAnsi="宋体"/>
                <w:color w:val="auto"/>
                <w:sz w:val="24"/>
                <w:szCs w:val="20"/>
                <w:highlight w:val="none"/>
              </w:rPr>
            </w:pPr>
          </w:p>
        </w:tc>
      </w:tr>
      <w:tr w14:paraId="0462B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02E7CF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18134C57">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79B631A">
            <w:pPr>
              <w:snapToGrid w:val="0"/>
              <w:spacing w:line="360" w:lineRule="auto"/>
              <w:jc w:val="left"/>
              <w:rPr>
                <w:rFonts w:ascii="宋体" w:hAnsi="宋体"/>
                <w:color w:val="auto"/>
                <w:sz w:val="24"/>
                <w:szCs w:val="20"/>
                <w:highlight w:val="none"/>
              </w:rPr>
            </w:pPr>
          </w:p>
        </w:tc>
      </w:tr>
      <w:tr w14:paraId="4726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1D173C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38E0A260">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65A5C45F">
            <w:pPr>
              <w:snapToGrid w:val="0"/>
              <w:spacing w:line="360" w:lineRule="auto"/>
              <w:jc w:val="left"/>
              <w:rPr>
                <w:rFonts w:ascii="宋体" w:hAnsi="宋体"/>
                <w:color w:val="auto"/>
                <w:sz w:val="24"/>
                <w:szCs w:val="20"/>
                <w:highlight w:val="none"/>
              </w:rPr>
            </w:pPr>
          </w:p>
        </w:tc>
      </w:tr>
      <w:tr w14:paraId="01ECE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124830C">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10A6E0E3">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57DC197">
            <w:pPr>
              <w:snapToGrid w:val="0"/>
              <w:spacing w:line="360" w:lineRule="auto"/>
              <w:jc w:val="left"/>
              <w:rPr>
                <w:rFonts w:ascii="宋体" w:hAnsi="宋体"/>
                <w:color w:val="auto"/>
                <w:sz w:val="24"/>
                <w:szCs w:val="20"/>
                <w:highlight w:val="none"/>
              </w:rPr>
            </w:pPr>
          </w:p>
        </w:tc>
      </w:tr>
      <w:tr w14:paraId="2EFD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A75F09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3CC2C653">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73CD2AF">
            <w:pPr>
              <w:snapToGrid w:val="0"/>
              <w:spacing w:line="360" w:lineRule="auto"/>
              <w:jc w:val="left"/>
              <w:rPr>
                <w:rFonts w:ascii="宋体" w:hAnsi="宋体"/>
                <w:color w:val="auto"/>
                <w:sz w:val="24"/>
                <w:szCs w:val="20"/>
                <w:highlight w:val="none"/>
              </w:rPr>
            </w:pPr>
          </w:p>
        </w:tc>
      </w:tr>
      <w:tr w14:paraId="49FBD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6ADC93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20E59957">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6E43D3A0">
            <w:pPr>
              <w:snapToGrid w:val="0"/>
              <w:spacing w:line="360" w:lineRule="auto"/>
              <w:ind w:firstLine="240" w:firstLineChars="100"/>
              <w:jc w:val="left"/>
              <w:rPr>
                <w:rFonts w:ascii="宋体" w:hAnsi="宋体"/>
                <w:color w:val="auto"/>
                <w:sz w:val="24"/>
                <w:szCs w:val="20"/>
                <w:highlight w:val="none"/>
              </w:rPr>
            </w:pPr>
            <w:r>
              <w:rPr>
                <w:rFonts w:hint="eastAsia" w:ascii="宋体" w:hAnsi="宋体"/>
                <w:color w:val="auto"/>
                <w:sz w:val="24"/>
                <w:highlight w:val="none"/>
              </w:rPr>
              <w:t>传</w:t>
            </w:r>
            <w:r>
              <w:rPr>
                <w:rFonts w:ascii="宋体" w:hAnsi="宋体"/>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17B074D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09E4F033">
            <w:pPr>
              <w:snapToGrid w:val="0"/>
              <w:spacing w:line="360" w:lineRule="auto"/>
              <w:jc w:val="left"/>
              <w:rPr>
                <w:rFonts w:ascii="宋体" w:hAnsi="宋体"/>
                <w:color w:val="auto"/>
                <w:sz w:val="24"/>
                <w:szCs w:val="20"/>
                <w:highlight w:val="none"/>
              </w:rPr>
            </w:pPr>
          </w:p>
        </w:tc>
      </w:tr>
      <w:tr w14:paraId="10D96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FF0FFA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52616BD1">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29459DC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014BA78B">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6739C56">
            <w:pPr>
              <w:snapToGrid w:val="0"/>
              <w:spacing w:line="360" w:lineRule="auto"/>
              <w:jc w:val="left"/>
              <w:rPr>
                <w:rFonts w:ascii="宋体" w:hAnsi="宋体"/>
                <w:color w:val="auto"/>
                <w:sz w:val="24"/>
                <w:szCs w:val="20"/>
                <w:highlight w:val="none"/>
              </w:rPr>
            </w:pPr>
          </w:p>
        </w:tc>
      </w:tr>
    </w:tbl>
    <w:p w14:paraId="4F2CA6D6">
      <w:pPr>
        <w:pStyle w:val="11"/>
        <w:snapToGrid w:val="0"/>
        <w:spacing w:before="0" w:after="0" w:line="360" w:lineRule="auto"/>
        <w:rPr>
          <w:rFonts w:ascii="宋体" w:hAnsi="宋体" w:eastAsia="宋体"/>
          <w:color w:val="auto"/>
          <w:sz w:val="24"/>
          <w:highlight w:val="none"/>
          <w:u w:val="single"/>
        </w:rPr>
      </w:pPr>
      <w:r>
        <w:rPr>
          <w:rFonts w:hint="eastAsia" w:ascii="宋体" w:hAnsi="宋体" w:eastAsia="宋体"/>
          <w:color w:val="auto"/>
          <w:sz w:val="24"/>
          <w:highlight w:val="none"/>
        </w:rPr>
        <w:t>授权代表签字：</w:t>
      </w:r>
      <w:r>
        <w:rPr>
          <w:rFonts w:hint="eastAsia" w:ascii="宋体" w:hAnsi="宋体" w:eastAsia="宋体"/>
          <w:color w:val="auto"/>
          <w:sz w:val="24"/>
          <w:highlight w:val="none"/>
          <w:u w:val="single"/>
        </w:rPr>
        <w:t>　　　　　</w:t>
      </w:r>
    </w:p>
    <w:p w14:paraId="151D0634">
      <w:pPr>
        <w:pStyle w:val="2"/>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　 年月　 日</w:t>
      </w:r>
    </w:p>
    <w:p w14:paraId="2F183366">
      <w:pPr>
        <w:snapToGrid w:val="0"/>
        <w:spacing w:line="360" w:lineRule="auto"/>
        <w:ind w:firstLine="480" w:firstLineChars="200"/>
        <w:jc w:val="left"/>
        <w:rPr>
          <w:rFonts w:ascii="宋体" w:hAnsi="宋体"/>
          <w:color w:val="auto"/>
          <w:sz w:val="24"/>
          <w:szCs w:val="20"/>
          <w:highlight w:val="none"/>
        </w:rPr>
      </w:pPr>
    </w:p>
    <w:p w14:paraId="33924BDA">
      <w:pPr>
        <w:snapToGrid w:val="0"/>
        <w:spacing w:line="360" w:lineRule="auto"/>
        <w:jc w:val="left"/>
        <w:rPr>
          <w:rFonts w:ascii="宋体" w:hAnsi="宋体"/>
          <w:color w:val="auto"/>
          <w:sz w:val="24"/>
          <w:highlight w:val="none"/>
        </w:rPr>
      </w:pPr>
    </w:p>
    <w:p w14:paraId="543BDC35">
      <w:pPr>
        <w:snapToGrid w:val="0"/>
        <w:spacing w:line="360" w:lineRule="auto"/>
        <w:jc w:val="left"/>
        <w:rPr>
          <w:rFonts w:ascii="宋体" w:hAnsi="宋体"/>
          <w:color w:val="auto"/>
          <w:sz w:val="24"/>
          <w:highlight w:val="none"/>
        </w:rPr>
      </w:pPr>
      <w:r>
        <w:rPr>
          <w:rFonts w:hint="eastAsia" w:ascii="宋体" w:hAnsi="宋体"/>
          <w:color w:val="auto"/>
          <w:sz w:val="24"/>
          <w:highlight w:val="none"/>
        </w:rPr>
        <w:t>25.权威</w:t>
      </w:r>
      <w:r>
        <w:rPr>
          <w:rFonts w:ascii="宋体" w:hAnsi="宋体"/>
          <w:color w:val="auto"/>
          <w:sz w:val="24"/>
          <w:highlight w:val="none"/>
        </w:rPr>
        <w:t>认证</w:t>
      </w:r>
      <w:r>
        <w:rPr>
          <w:rFonts w:hint="eastAsia" w:ascii="宋体" w:hAnsi="宋体"/>
          <w:color w:val="auto"/>
          <w:sz w:val="24"/>
          <w:highlight w:val="none"/>
        </w:rPr>
        <w:t>复印件（若有）</w:t>
      </w:r>
    </w:p>
    <w:p w14:paraId="6441EECC">
      <w:pPr>
        <w:snapToGrid w:val="0"/>
        <w:spacing w:line="360" w:lineRule="auto"/>
        <w:jc w:val="left"/>
        <w:rPr>
          <w:rFonts w:ascii="宋体" w:hAnsi="宋体"/>
          <w:color w:val="auto"/>
          <w:sz w:val="24"/>
          <w:highlight w:val="none"/>
        </w:rPr>
      </w:pPr>
    </w:p>
    <w:p w14:paraId="17A7E1E8">
      <w:pPr>
        <w:pStyle w:val="2"/>
        <w:rPr>
          <w:color w:val="auto"/>
          <w:highlight w:val="none"/>
        </w:rPr>
      </w:pPr>
    </w:p>
    <w:p w14:paraId="61F9546A">
      <w:pPr>
        <w:pStyle w:val="2"/>
        <w:rPr>
          <w:color w:val="auto"/>
          <w:highlight w:val="none"/>
        </w:rPr>
      </w:pPr>
    </w:p>
    <w:p w14:paraId="636F08DF">
      <w:pPr>
        <w:pStyle w:val="42"/>
        <w:rPr>
          <w:color w:val="auto"/>
          <w:highlight w:val="none"/>
        </w:rPr>
      </w:pPr>
    </w:p>
    <w:p w14:paraId="2FA931A0">
      <w:pPr>
        <w:pStyle w:val="32"/>
        <w:jc w:val="both"/>
        <w:rPr>
          <w:rFonts w:ascii="宋体" w:hAnsi="宋体"/>
          <w:b w:val="0"/>
          <w:bCs w:val="0"/>
          <w:color w:val="auto"/>
          <w:sz w:val="24"/>
          <w:szCs w:val="24"/>
          <w:highlight w:val="none"/>
        </w:rPr>
      </w:pPr>
      <w:r>
        <w:rPr>
          <w:rFonts w:hint="eastAsia" w:ascii="宋体" w:hAnsi="宋体"/>
          <w:b w:val="0"/>
          <w:bCs w:val="0"/>
          <w:color w:val="auto"/>
          <w:sz w:val="24"/>
          <w:szCs w:val="24"/>
          <w:highlight w:val="none"/>
        </w:rPr>
        <w:t>26.投标人认为可以证明其能力或业绩的其他材料（格式自拟）</w:t>
      </w:r>
    </w:p>
    <w:p w14:paraId="7AF06E10">
      <w:pPr>
        <w:rPr>
          <w:color w:val="auto"/>
          <w:highlight w:val="none"/>
        </w:rPr>
      </w:pPr>
    </w:p>
    <w:p w14:paraId="794A95EA">
      <w:pPr>
        <w:pStyle w:val="2"/>
        <w:rPr>
          <w:color w:val="auto"/>
          <w:highlight w:val="none"/>
        </w:rPr>
      </w:pPr>
    </w:p>
    <w:p w14:paraId="48D1480A">
      <w:pPr>
        <w:pStyle w:val="3"/>
        <w:ind w:firstLine="280"/>
        <w:rPr>
          <w:color w:val="auto"/>
          <w:highlight w:val="none"/>
        </w:rPr>
      </w:pPr>
    </w:p>
    <w:p w14:paraId="662E6048">
      <w:pPr>
        <w:pStyle w:val="3"/>
        <w:ind w:firstLine="280"/>
        <w:rPr>
          <w:color w:val="auto"/>
          <w:highlight w:val="none"/>
        </w:rPr>
      </w:pPr>
    </w:p>
    <w:p w14:paraId="2A238B3C">
      <w:pPr>
        <w:pStyle w:val="3"/>
        <w:ind w:firstLine="280"/>
        <w:rPr>
          <w:color w:val="auto"/>
          <w:highlight w:val="none"/>
        </w:rPr>
      </w:pPr>
    </w:p>
    <w:p w14:paraId="67E817E1">
      <w:pPr>
        <w:pStyle w:val="3"/>
        <w:ind w:firstLine="280"/>
        <w:rPr>
          <w:color w:val="auto"/>
          <w:highlight w:val="none"/>
        </w:rPr>
      </w:pPr>
    </w:p>
    <w:p w14:paraId="06862C9C">
      <w:pPr>
        <w:pStyle w:val="3"/>
        <w:ind w:firstLine="280"/>
        <w:rPr>
          <w:color w:val="auto"/>
          <w:highlight w:val="none"/>
        </w:rPr>
      </w:pPr>
    </w:p>
    <w:p w14:paraId="459BE31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27.商务响应表格式：</w:t>
      </w:r>
    </w:p>
    <w:p w14:paraId="61CD7C63">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34"/>
        <w:tblpPr w:leftFromText="180" w:rightFromText="180" w:vertAnchor="text" w:horzAnchor="page" w:tblpX="625" w:tblpY="470"/>
        <w:tblOverlap w:val="never"/>
        <w:tblW w:w="107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7371"/>
        <w:gridCol w:w="709"/>
        <w:gridCol w:w="1417"/>
      </w:tblGrid>
      <w:tr w14:paraId="4AB42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6" w:type="dxa"/>
            <w:tcBorders>
              <w:top w:val="single" w:color="auto" w:sz="4" w:space="0"/>
              <w:left w:val="single" w:color="auto" w:sz="4" w:space="0"/>
              <w:bottom w:val="single" w:color="auto" w:sz="4" w:space="0"/>
              <w:right w:val="single" w:color="auto" w:sz="4" w:space="0"/>
            </w:tcBorders>
          </w:tcPr>
          <w:p w14:paraId="36094216">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7371" w:type="dxa"/>
            <w:tcBorders>
              <w:top w:val="single" w:color="auto" w:sz="4" w:space="0"/>
              <w:left w:val="single" w:color="auto" w:sz="4" w:space="0"/>
              <w:bottom w:val="single" w:color="auto" w:sz="4" w:space="0"/>
              <w:right w:val="single" w:color="auto" w:sz="4" w:space="0"/>
            </w:tcBorders>
          </w:tcPr>
          <w:p w14:paraId="0F645A5D">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709" w:type="dxa"/>
            <w:tcBorders>
              <w:top w:val="single" w:color="auto" w:sz="4" w:space="0"/>
              <w:left w:val="single" w:color="auto" w:sz="4" w:space="0"/>
              <w:bottom w:val="single" w:color="auto" w:sz="4" w:space="0"/>
              <w:right w:val="single" w:color="auto" w:sz="4" w:space="0"/>
            </w:tcBorders>
          </w:tcPr>
          <w:p w14:paraId="23082582">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7" w:type="dxa"/>
            <w:tcBorders>
              <w:top w:val="single" w:color="auto" w:sz="4" w:space="0"/>
              <w:left w:val="single" w:color="auto" w:sz="4" w:space="0"/>
              <w:bottom w:val="single" w:color="auto" w:sz="4" w:space="0"/>
              <w:right w:val="single" w:color="auto" w:sz="4" w:space="0"/>
            </w:tcBorders>
          </w:tcPr>
          <w:p w14:paraId="4C174D2F">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4BAB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76" w:type="dxa"/>
            <w:tcBorders>
              <w:top w:val="single" w:color="auto" w:sz="4" w:space="0"/>
              <w:left w:val="single" w:color="auto" w:sz="4" w:space="0"/>
              <w:bottom w:val="single" w:color="auto" w:sz="4" w:space="0"/>
              <w:right w:val="single" w:color="auto" w:sz="4" w:space="0"/>
            </w:tcBorders>
            <w:vAlign w:val="center"/>
          </w:tcPr>
          <w:p w14:paraId="30EBC0CE">
            <w:pPr>
              <w:rPr>
                <w:rFonts w:ascii="宋体" w:hAnsi="宋体" w:cs="宋体"/>
                <w:color w:val="auto"/>
                <w:sz w:val="24"/>
                <w:highlight w:val="none"/>
              </w:rPr>
            </w:pPr>
            <w:r>
              <w:rPr>
                <w:rFonts w:hint="eastAsia" w:ascii="宋体" w:hAnsi="宋体" w:cs="宋体"/>
                <w:color w:val="auto"/>
                <w:sz w:val="24"/>
                <w:highlight w:val="none"/>
              </w:rPr>
              <w:t>服务期及地点</w:t>
            </w:r>
          </w:p>
        </w:tc>
        <w:tc>
          <w:tcPr>
            <w:tcW w:w="7371" w:type="dxa"/>
            <w:tcBorders>
              <w:top w:val="single" w:color="auto" w:sz="4" w:space="0"/>
              <w:left w:val="single" w:color="auto" w:sz="4" w:space="0"/>
              <w:bottom w:val="single" w:color="auto" w:sz="4" w:space="0"/>
              <w:right w:val="single" w:color="auto" w:sz="4" w:space="0"/>
            </w:tcBorders>
            <w:vAlign w:val="center"/>
          </w:tcPr>
          <w:p w14:paraId="7F004AE7">
            <w:pPr>
              <w:spacing w:line="360" w:lineRule="auto"/>
              <w:rPr>
                <w:rFonts w:ascii="宋体" w:hAnsi="宋体" w:cs="宋体"/>
                <w:color w:val="auto"/>
                <w:sz w:val="24"/>
                <w:highlight w:val="none"/>
              </w:rPr>
            </w:pPr>
            <w:r>
              <w:rPr>
                <w:rFonts w:hint="eastAsia" w:ascii="宋体" w:hAnsi="宋体" w:cs="宋体"/>
                <w:color w:val="auto"/>
                <w:sz w:val="24"/>
                <w:highlight w:val="none"/>
              </w:rPr>
              <w:t>▲服务期：</w:t>
            </w:r>
          </w:p>
          <w:p w14:paraId="74EADC12">
            <w:pPr>
              <w:spacing w:line="360" w:lineRule="auto"/>
              <w:rPr>
                <w:rFonts w:ascii="宋体" w:hAnsi="宋体" w:cs="宋体"/>
                <w:color w:val="auto"/>
                <w:sz w:val="24"/>
                <w:highlight w:val="none"/>
              </w:rPr>
            </w:pPr>
            <w:r>
              <w:rPr>
                <w:rFonts w:hint="eastAsia" w:ascii="宋体" w:hAnsi="宋体" w:cs="宋体"/>
                <w:color w:val="auto"/>
                <w:sz w:val="24"/>
                <w:highlight w:val="none"/>
              </w:rPr>
              <w:t>地点：采购人指定地点；</w:t>
            </w:r>
          </w:p>
        </w:tc>
        <w:tc>
          <w:tcPr>
            <w:tcW w:w="709" w:type="dxa"/>
            <w:tcBorders>
              <w:top w:val="single" w:color="auto" w:sz="4" w:space="0"/>
              <w:left w:val="single" w:color="auto" w:sz="4" w:space="0"/>
              <w:bottom w:val="single" w:color="auto" w:sz="4" w:space="0"/>
              <w:right w:val="single" w:color="auto" w:sz="4" w:space="0"/>
            </w:tcBorders>
          </w:tcPr>
          <w:p w14:paraId="6707356F">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09EE1A6">
            <w:pPr>
              <w:snapToGrid w:val="0"/>
              <w:spacing w:line="360" w:lineRule="auto"/>
              <w:rPr>
                <w:rFonts w:ascii="宋体" w:hAnsi="宋体"/>
                <w:color w:val="auto"/>
                <w:sz w:val="24"/>
                <w:szCs w:val="20"/>
                <w:highlight w:val="none"/>
              </w:rPr>
            </w:pPr>
          </w:p>
        </w:tc>
      </w:tr>
      <w:tr w14:paraId="135B3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6" w:type="dxa"/>
            <w:tcBorders>
              <w:top w:val="single" w:color="auto" w:sz="4" w:space="0"/>
              <w:left w:val="single" w:color="auto" w:sz="4" w:space="0"/>
              <w:bottom w:val="single" w:color="auto" w:sz="4" w:space="0"/>
              <w:right w:val="single" w:color="auto" w:sz="4" w:space="0"/>
            </w:tcBorders>
          </w:tcPr>
          <w:p w14:paraId="4B0391F1">
            <w:pPr>
              <w:rPr>
                <w:rFonts w:ascii="宋体" w:hAnsi="宋体" w:cs="宋体"/>
                <w:color w:val="auto"/>
                <w:sz w:val="24"/>
                <w:highlight w:val="none"/>
              </w:rPr>
            </w:pPr>
            <w:r>
              <w:rPr>
                <w:rFonts w:hint="eastAsia" w:ascii="宋体" w:hAnsi="宋体" w:cs="宋体"/>
                <w:color w:val="auto"/>
                <w:sz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tcPr>
          <w:p w14:paraId="312049EC">
            <w:pPr>
              <w:spacing w:line="360" w:lineRule="auto"/>
              <w:rPr>
                <w:color w:val="auto"/>
                <w:highlight w:val="none"/>
              </w:rPr>
            </w:pPr>
            <w:r>
              <w:rPr>
                <w:rFonts w:hint="eastAsia" w:ascii="宋体" w:hAnsi="宋体" w:cs="宋体"/>
                <w:color w:val="auto"/>
                <w:sz w:val="24"/>
                <w:highlight w:val="none"/>
              </w:rPr>
              <w:t>▲根据《保障中小企业款项支付条例》</w:t>
            </w:r>
            <w:r>
              <w:rPr>
                <w:rFonts w:ascii="宋体" w:hAnsi="宋体" w:cs="宋体"/>
                <w:color w:val="auto"/>
                <w:sz w:val="24"/>
                <w:highlight w:val="none"/>
              </w:rPr>
              <w:t>、</w:t>
            </w:r>
            <w:r>
              <w:rPr>
                <w:rFonts w:hint="eastAsia" w:ascii="宋体" w:hAnsi="宋体" w:cs="宋体"/>
                <w:color w:val="auto"/>
                <w:sz w:val="24"/>
                <w:highlight w:val="none"/>
              </w:rPr>
              <w:t>省财政厅《关于坚决打赢疫情防控阻击战进一步做好政府采购资金支持企业发展工作的通知》（浙财采监【2022】3号）要求，制定如下付款方式：项目分3次付款。一是合同签订并具备实施条件后7个工作日内，支付合同金额50%作为预付款；二是项目启动后根据工作进展比例付款；三是项目评审通过后付清余款。</w:t>
            </w:r>
          </w:p>
          <w:p w14:paraId="78EA9F2A">
            <w:pPr>
              <w:spacing w:line="360" w:lineRule="auto"/>
              <w:rPr>
                <w:rFonts w:ascii="宋体" w:hAnsi="宋体" w:cs="宋体"/>
                <w:color w:val="auto"/>
                <w:sz w:val="24"/>
                <w:highlight w:val="none"/>
              </w:rPr>
            </w:pPr>
            <w:r>
              <w:rPr>
                <w:rFonts w:hint="eastAsia" w:ascii="宋体" w:hAnsi="宋体" w:cs="宋体"/>
                <w:color w:val="auto"/>
                <w:sz w:val="24"/>
                <w:highlight w:val="none"/>
              </w:rPr>
              <w:t>采购人应自收到供应商开具的发票后15日内将上述相关款项支付到合同约定的供应商账户。</w:t>
            </w:r>
          </w:p>
          <w:p w14:paraId="68D444FE">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若成交供应商明确表示无需预付款或者主动要求降低预付款比例的，采购人可不适用前述规定。</w:t>
            </w:r>
          </w:p>
        </w:tc>
        <w:tc>
          <w:tcPr>
            <w:tcW w:w="709" w:type="dxa"/>
            <w:tcBorders>
              <w:top w:val="single" w:color="auto" w:sz="4" w:space="0"/>
              <w:left w:val="single" w:color="auto" w:sz="4" w:space="0"/>
              <w:bottom w:val="single" w:color="auto" w:sz="4" w:space="0"/>
              <w:right w:val="single" w:color="auto" w:sz="4" w:space="0"/>
            </w:tcBorders>
          </w:tcPr>
          <w:p w14:paraId="46925092">
            <w:pPr>
              <w:snapToGrid w:val="0"/>
              <w:spacing w:line="360" w:lineRule="auto"/>
              <w:ind w:left="43"/>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2CC1B16B">
            <w:pPr>
              <w:snapToGrid w:val="0"/>
              <w:spacing w:line="360" w:lineRule="auto"/>
              <w:ind w:left="43"/>
              <w:rPr>
                <w:rFonts w:ascii="宋体" w:hAnsi="宋体"/>
                <w:color w:val="auto"/>
                <w:sz w:val="24"/>
                <w:szCs w:val="20"/>
                <w:highlight w:val="none"/>
              </w:rPr>
            </w:pPr>
          </w:p>
        </w:tc>
      </w:tr>
    </w:tbl>
    <w:p w14:paraId="00DA618F">
      <w:pPr>
        <w:snapToGrid w:val="0"/>
        <w:spacing w:line="360" w:lineRule="auto"/>
        <w:jc w:val="left"/>
        <w:rPr>
          <w:rFonts w:ascii="宋体" w:hAnsi="宋体"/>
          <w:bCs/>
          <w:color w:val="auto"/>
          <w:sz w:val="24"/>
          <w:highlight w:val="none"/>
        </w:rPr>
      </w:pPr>
    </w:p>
    <w:p w14:paraId="3B8602EB">
      <w:pPr>
        <w:snapToGrid w:val="0"/>
        <w:spacing w:line="360" w:lineRule="auto"/>
        <w:jc w:val="left"/>
        <w:rPr>
          <w:rFonts w:ascii="宋体" w:hAnsi="宋体"/>
          <w:bCs/>
          <w:color w:val="auto"/>
          <w:sz w:val="24"/>
          <w:highlight w:val="none"/>
        </w:rPr>
      </w:pPr>
    </w:p>
    <w:p w14:paraId="443FFCCC">
      <w:pPr>
        <w:pStyle w:val="32"/>
        <w:rPr>
          <w:color w:val="auto"/>
          <w:highlight w:val="none"/>
        </w:rPr>
      </w:pPr>
    </w:p>
    <w:p w14:paraId="5A0939C8">
      <w:pPr>
        <w:snapToGrid w:val="0"/>
        <w:spacing w:line="360" w:lineRule="auto"/>
        <w:jc w:val="left"/>
        <w:rPr>
          <w:color w:val="auto"/>
          <w:highlight w:val="none"/>
        </w:rPr>
      </w:pPr>
      <w:r>
        <w:rPr>
          <w:rFonts w:hint="eastAsia" w:ascii="宋体" w:hAnsi="宋体"/>
          <w:bCs/>
          <w:color w:val="auto"/>
          <w:sz w:val="24"/>
          <w:highlight w:val="none"/>
        </w:rPr>
        <w:t>28.</w:t>
      </w:r>
      <w:r>
        <w:rPr>
          <w:rFonts w:ascii="宋体" w:hAnsi="宋体"/>
          <w:color w:val="auto"/>
          <w:sz w:val="24"/>
          <w:highlight w:val="none"/>
        </w:rPr>
        <w:t>服务承诺</w:t>
      </w:r>
      <w:r>
        <w:rPr>
          <w:rFonts w:hint="eastAsia" w:ascii="宋体" w:hAnsi="宋体"/>
          <w:color w:val="auto"/>
          <w:sz w:val="24"/>
          <w:highlight w:val="none"/>
        </w:rPr>
        <w:t>（格式自拟）</w:t>
      </w:r>
    </w:p>
    <w:p w14:paraId="00137703">
      <w:pPr>
        <w:pStyle w:val="42"/>
        <w:rPr>
          <w:color w:val="auto"/>
          <w:highlight w:val="none"/>
        </w:rPr>
      </w:pPr>
    </w:p>
    <w:p w14:paraId="1505E228">
      <w:pPr>
        <w:pStyle w:val="43"/>
        <w:rPr>
          <w:color w:val="auto"/>
          <w:highlight w:val="none"/>
        </w:rPr>
      </w:pPr>
    </w:p>
    <w:p w14:paraId="5BDC1B72">
      <w:pPr>
        <w:rPr>
          <w:color w:val="auto"/>
          <w:highlight w:val="none"/>
        </w:rPr>
      </w:pPr>
    </w:p>
    <w:p w14:paraId="11AF95DD">
      <w:pPr>
        <w:pStyle w:val="32"/>
        <w:rPr>
          <w:color w:val="auto"/>
          <w:highlight w:val="none"/>
        </w:rPr>
      </w:pPr>
    </w:p>
    <w:p w14:paraId="0BA3DB72">
      <w:pPr>
        <w:snapToGrid w:val="0"/>
        <w:spacing w:line="360" w:lineRule="auto"/>
        <w:jc w:val="left"/>
        <w:rPr>
          <w:rFonts w:ascii="宋体" w:hAnsi="宋体"/>
          <w:bCs/>
          <w:color w:val="auto"/>
          <w:sz w:val="24"/>
          <w:highlight w:val="none"/>
        </w:rPr>
      </w:pPr>
      <w:r>
        <w:rPr>
          <w:rFonts w:hint="eastAsia" w:ascii="宋体" w:hAnsi="宋体"/>
          <w:bCs/>
          <w:color w:val="auto"/>
          <w:sz w:val="24"/>
          <w:highlight w:val="none"/>
        </w:rPr>
        <w:t>29.培训方案（格式自拟）</w:t>
      </w:r>
    </w:p>
    <w:p w14:paraId="0C9F8B41">
      <w:pPr>
        <w:rPr>
          <w:color w:val="auto"/>
          <w:highlight w:val="none"/>
        </w:rPr>
      </w:pPr>
    </w:p>
    <w:p w14:paraId="3B38088B">
      <w:pPr>
        <w:pStyle w:val="32"/>
        <w:rPr>
          <w:color w:val="auto"/>
          <w:highlight w:val="none"/>
        </w:rPr>
      </w:pPr>
    </w:p>
    <w:p w14:paraId="33F82A03">
      <w:pPr>
        <w:pStyle w:val="43"/>
        <w:rPr>
          <w:color w:val="auto"/>
          <w:highlight w:val="none"/>
        </w:rPr>
      </w:pPr>
    </w:p>
    <w:p w14:paraId="7D39A5F0">
      <w:pPr>
        <w:rPr>
          <w:color w:val="auto"/>
          <w:highlight w:val="none"/>
        </w:rPr>
      </w:pPr>
    </w:p>
    <w:p w14:paraId="7CCAB365">
      <w:pPr>
        <w:rPr>
          <w:color w:val="auto"/>
          <w:highlight w:val="none"/>
        </w:rPr>
      </w:pPr>
    </w:p>
    <w:p w14:paraId="1A296D89">
      <w:pPr>
        <w:pStyle w:val="2"/>
        <w:rPr>
          <w:color w:val="auto"/>
          <w:highlight w:val="none"/>
        </w:rPr>
      </w:pPr>
    </w:p>
    <w:p w14:paraId="7A3603F9">
      <w:pPr>
        <w:pStyle w:val="43"/>
        <w:rPr>
          <w:color w:val="auto"/>
          <w:highlight w:val="none"/>
        </w:rPr>
      </w:pPr>
    </w:p>
    <w:p w14:paraId="0DE27A22">
      <w:pPr>
        <w:snapToGrid w:val="0"/>
        <w:spacing w:line="360" w:lineRule="auto"/>
        <w:jc w:val="left"/>
        <w:rPr>
          <w:rFonts w:ascii="宋体" w:hAnsi="宋体"/>
          <w:color w:val="auto"/>
          <w:sz w:val="24"/>
          <w:highlight w:val="none"/>
        </w:rPr>
      </w:pPr>
      <w:r>
        <w:rPr>
          <w:rFonts w:hint="eastAsia" w:ascii="宋体" w:hAnsi="宋体"/>
          <w:color w:val="auto"/>
          <w:sz w:val="24"/>
          <w:highlight w:val="none"/>
        </w:rPr>
        <w:t>30.响应时间</w:t>
      </w:r>
      <w:r>
        <w:rPr>
          <w:rFonts w:hint="eastAsia" w:ascii="宋体" w:hAnsi="宋体"/>
          <w:bCs/>
          <w:color w:val="auto"/>
          <w:sz w:val="24"/>
          <w:highlight w:val="none"/>
        </w:rPr>
        <w:t>（格式自拟）</w:t>
      </w:r>
    </w:p>
    <w:p w14:paraId="761A941F">
      <w:pPr>
        <w:snapToGrid w:val="0"/>
        <w:spacing w:line="360" w:lineRule="auto"/>
        <w:jc w:val="left"/>
        <w:rPr>
          <w:rFonts w:ascii="宋体" w:hAnsi="宋体"/>
          <w:color w:val="auto"/>
          <w:sz w:val="24"/>
          <w:highlight w:val="none"/>
        </w:rPr>
      </w:pPr>
    </w:p>
    <w:p w14:paraId="4B8AA88D">
      <w:pPr>
        <w:pStyle w:val="2"/>
        <w:rPr>
          <w:color w:val="auto"/>
          <w:highlight w:val="none"/>
        </w:rPr>
      </w:pPr>
    </w:p>
    <w:p w14:paraId="09AE098B">
      <w:pPr>
        <w:pStyle w:val="3"/>
        <w:ind w:firstLine="280"/>
        <w:rPr>
          <w:color w:val="auto"/>
          <w:highlight w:val="none"/>
        </w:rPr>
      </w:pPr>
    </w:p>
    <w:p w14:paraId="376027F0">
      <w:pPr>
        <w:snapToGrid w:val="0"/>
        <w:spacing w:line="360" w:lineRule="auto"/>
        <w:jc w:val="left"/>
        <w:rPr>
          <w:rFonts w:ascii="宋体" w:hAnsi="宋体"/>
          <w:color w:val="auto"/>
          <w:sz w:val="24"/>
          <w:highlight w:val="none"/>
        </w:rPr>
      </w:pPr>
      <w:r>
        <w:rPr>
          <w:rFonts w:hint="eastAsia" w:ascii="宋体" w:hAnsi="宋体"/>
          <w:color w:val="auto"/>
          <w:sz w:val="24"/>
          <w:highlight w:val="none"/>
        </w:rPr>
        <w:t>31.信用承诺书</w:t>
      </w:r>
    </w:p>
    <w:p w14:paraId="13D5BD8F">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54F802BF">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06EDA0D7">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4359BF3F">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14A90100">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46EC4C39">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14E4949B">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9D14C79">
      <w:pPr>
        <w:pStyle w:val="94"/>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17C25D14">
      <w:pPr>
        <w:pStyle w:val="94"/>
        <w:spacing w:before="0" w:beforeAutospacing="0" w:after="0" w:afterAutospacing="0" w:line="360" w:lineRule="auto"/>
        <w:ind w:firstLine="600" w:firstLineChars="250"/>
        <w:rPr>
          <w:rFonts w:cs="Times New Roman"/>
          <w:color w:val="auto"/>
          <w:kern w:val="2"/>
          <w:highlight w:val="none"/>
        </w:rPr>
      </w:pPr>
    </w:p>
    <w:p w14:paraId="50F734BD">
      <w:pPr>
        <w:pStyle w:val="94"/>
        <w:spacing w:before="0" w:beforeAutospacing="0" w:after="0" w:afterAutospacing="0" w:line="360" w:lineRule="auto"/>
        <w:ind w:firstLine="565" w:firstLineChars="250"/>
        <w:rPr>
          <w:rFonts w:cs="Times New Roman"/>
          <w:color w:val="auto"/>
          <w:spacing w:val="-7"/>
          <w:highlight w:val="none"/>
        </w:rPr>
      </w:pPr>
    </w:p>
    <w:p w14:paraId="4C318F73">
      <w:pPr>
        <w:pStyle w:val="94"/>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5C4BFB7D">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时间：2024  年 月 日</w:t>
      </w:r>
    </w:p>
    <w:p w14:paraId="0E872A07">
      <w:pPr>
        <w:pStyle w:val="2"/>
        <w:rPr>
          <w:color w:val="auto"/>
          <w:highlight w:val="none"/>
        </w:rPr>
      </w:pPr>
    </w:p>
    <w:p w14:paraId="062EA9CE">
      <w:pPr>
        <w:pStyle w:val="42"/>
        <w:rPr>
          <w:color w:val="auto"/>
          <w:highlight w:val="none"/>
        </w:rPr>
      </w:pPr>
    </w:p>
    <w:p w14:paraId="08FB36B0">
      <w:pPr>
        <w:pStyle w:val="43"/>
        <w:rPr>
          <w:color w:val="auto"/>
          <w:highlight w:val="none"/>
        </w:rPr>
      </w:pPr>
    </w:p>
    <w:p w14:paraId="41DE1E68">
      <w:pPr>
        <w:rPr>
          <w:color w:val="auto"/>
          <w:highlight w:val="none"/>
        </w:rPr>
      </w:pPr>
    </w:p>
    <w:p w14:paraId="606E6D66">
      <w:pPr>
        <w:pStyle w:val="32"/>
        <w:rPr>
          <w:color w:val="auto"/>
          <w:highlight w:val="none"/>
        </w:rPr>
      </w:pPr>
    </w:p>
    <w:p w14:paraId="5D03BDA5">
      <w:pPr>
        <w:rPr>
          <w:color w:val="auto"/>
          <w:highlight w:val="none"/>
        </w:rPr>
      </w:pPr>
    </w:p>
    <w:p w14:paraId="1B34B1CA">
      <w:pPr>
        <w:pStyle w:val="32"/>
        <w:rPr>
          <w:color w:val="auto"/>
          <w:highlight w:val="none"/>
        </w:rPr>
      </w:pPr>
    </w:p>
    <w:p w14:paraId="39FD30F9">
      <w:pPr>
        <w:rPr>
          <w:color w:val="auto"/>
          <w:highlight w:val="none"/>
        </w:rPr>
      </w:pPr>
    </w:p>
    <w:p w14:paraId="48AACF3A">
      <w:pPr>
        <w:rPr>
          <w:color w:val="auto"/>
          <w:highlight w:val="none"/>
        </w:rPr>
      </w:pPr>
    </w:p>
    <w:p w14:paraId="1331776D">
      <w:pPr>
        <w:snapToGrid w:val="0"/>
        <w:spacing w:line="360" w:lineRule="auto"/>
        <w:rPr>
          <w:rFonts w:ascii="宋体" w:hAnsi="宋体"/>
          <w:color w:val="auto"/>
          <w:sz w:val="24"/>
          <w:highlight w:val="none"/>
        </w:rPr>
      </w:pPr>
      <w:r>
        <w:rPr>
          <w:rFonts w:hint="eastAsia" w:ascii="宋体" w:hAnsi="宋体"/>
          <w:bCs/>
          <w:color w:val="auto"/>
          <w:sz w:val="24"/>
          <w:highlight w:val="none"/>
        </w:rPr>
        <w:t>32.</w:t>
      </w:r>
      <w:r>
        <w:rPr>
          <w:rFonts w:hint="eastAsia" w:ascii="宋体" w:hAnsi="宋体"/>
          <w:color w:val="auto"/>
          <w:sz w:val="24"/>
          <w:highlight w:val="none"/>
        </w:rPr>
        <w:t xml:space="preserve">技术、商务、资信及其他分自评表  </w:t>
      </w:r>
    </w:p>
    <w:p w14:paraId="7DA51A56">
      <w:pPr>
        <w:pStyle w:val="15"/>
        <w:spacing w:line="360" w:lineRule="auto"/>
        <w:ind w:firstLine="300" w:firstLineChars="129"/>
        <w:rPr>
          <w:rFonts w:hAnsi="宋体"/>
          <w:b/>
          <w:color w:val="auto"/>
          <w:sz w:val="24"/>
          <w:highlight w:val="none"/>
        </w:rPr>
      </w:pPr>
      <w:r>
        <w:rPr>
          <w:rFonts w:hint="eastAsia" w:hAnsi="宋体"/>
          <w:b/>
          <w:color w:val="auto"/>
          <w:sz w:val="24"/>
          <w:highlight w:val="none"/>
        </w:rPr>
        <w:t>投标人名称</w:t>
      </w:r>
    </w:p>
    <w:tbl>
      <w:tblPr>
        <w:tblStyle w:val="3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1466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5AA48A98">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6CF309C0">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4EA16E6F">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7FE34080">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5970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76439125">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024344E9">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668DF0B7">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7567DCC1">
            <w:pPr>
              <w:spacing w:line="360" w:lineRule="auto"/>
              <w:jc w:val="center"/>
              <w:rPr>
                <w:rFonts w:ascii="宋体" w:hAnsi="宋体"/>
                <w:color w:val="auto"/>
                <w:sz w:val="24"/>
                <w:highlight w:val="none"/>
              </w:rPr>
            </w:pPr>
            <w:r>
              <w:rPr>
                <w:rFonts w:hint="eastAsia" w:ascii="宋体" w:hAnsi="宋体"/>
                <w:color w:val="auto"/>
                <w:sz w:val="24"/>
                <w:highlight w:val="none"/>
              </w:rPr>
              <w:t>76</w:t>
            </w:r>
          </w:p>
          <w:p w14:paraId="4FE13727">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14:paraId="03C74D43">
            <w:pPr>
              <w:spacing w:line="360" w:lineRule="auto"/>
              <w:jc w:val="left"/>
              <w:rPr>
                <w:rFonts w:ascii="宋体" w:hAnsi="宋体"/>
                <w:color w:val="auto"/>
                <w:sz w:val="24"/>
                <w:highlight w:val="none"/>
              </w:rPr>
            </w:pPr>
          </w:p>
        </w:tc>
        <w:tc>
          <w:tcPr>
            <w:tcW w:w="2268" w:type="dxa"/>
          </w:tcPr>
          <w:p w14:paraId="3FED45AE">
            <w:pPr>
              <w:spacing w:line="360" w:lineRule="auto"/>
              <w:rPr>
                <w:rFonts w:ascii="宋体" w:hAnsi="宋体"/>
                <w:color w:val="auto"/>
                <w:sz w:val="24"/>
                <w:highlight w:val="none"/>
              </w:rPr>
            </w:pPr>
          </w:p>
        </w:tc>
        <w:tc>
          <w:tcPr>
            <w:tcW w:w="1276" w:type="dxa"/>
          </w:tcPr>
          <w:p w14:paraId="0C25FB70">
            <w:pPr>
              <w:spacing w:line="360" w:lineRule="auto"/>
              <w:rPr>
                <w:rFonts w:ascii="宋体" w:hAnsi="宋体"/>
                <w:color w:val="auto"/>
                <w:sz w:val="24"/>
                <w:highlight w:val="none"/>
              </w:rPr>
            </w:pPr>
          </w:p>
        </w:tc>
        <w:tc>
          <w:tcPr>
            <w:tcW w:w="1701" w:type="dxa"/>
          </w:tcPr>
          <w:p w14:paraId="08F6BFB9">
            <w:pPr>
              <w:spacing w:line="360" w:lineRule="auto"/>
              <w:rPr>
                <w:rFonts w:ascii="宋体" w:hAnsi="宋体"/>
                <w:color w:val="auto"/>
                <w:sz w:val="24"/>
                <w:highlight w:val="none"/>
              </w:rPr>
            </w:pPr>
          </w:p>
        </w:tc>
      </w:tr>
      <w:tr w14:paraId="0B96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747CA95">
            <w:pPr>
              <w:spacing w:line="360" w:lineRule="auto"/>
              <w:rPr>
                <w:rFonts w:ascii="宋体" w:hAnsi="宋体"/>
                <w:color w:val="auto"/>
                <w:sz w:val="24"/>
                <w:highlight w:val="none"/>
              </w:rPr>
            </w:pPr>
          </w:p>
        </w:tc>
        <w:tc>
          <w:tcPr>
            <w:tcW w:w="3533" w:type="dxa"/>
          </w:tcPr>
          <w:p w14:paraId="4C783979">
            <w:pPr>
              <w:spacing w:line="360" w:lineRule="auto"/>
              <w:jc w:val="left"/>
              <w:rPr>
                <w:rFonts w:ascii="宋体" w:hAnsi="宋体"/>
                <w:color w:val="auto"/>
                <w:sz w:val="24"/>
                <w:highlight w:val="none"/>
              </w:rPr>
            </w:pPr>
          </w:p>
        </w:tc>
        <w:tc>
          <w:tcPr>
            <w:tcW w:w="2268" w:type="dxa"/>
          </w:tcPr>
          <w:p w14:paraId="32BFC7D0">
            <w:pPr>
              <w:spacing w:line="360" w:lineRule="auto"/>
              <w:rPr>
                <w:rFonts w:ascii="宋体" w:hAnsi="宋体"/>
                <w:color w:val="auto"/>
                <w:sz w:val="24"/>
                <w:highlight w:val="none"/>
              </w:rPr>
            </w:pPr>
          </w:p>
        </w:tc>
        <w:tc>
          <w:tcPr>
            <w:tcW w:w="1276" w:type="dxa"/>
          </w:tcPr>
          <w:p w14:paraId="7F024DBE">
            <w:pPr>
              <w:spacing w:line="360" w:lineRule="auto"/>
              <w:rPr>
                <w:rFonts w:ascii="宋体" w:hAnsi="宋体"/>
                <w:color w:val="auto"/>
                <w:sz w:val="24"/>
                <w:highlight w:val="none"/>
              </w:rPr>
            </w:pPr>
          </w:p>
        </w:tc>
        <w:tc>
          <w:tcPr>
            <w:tcW w:w="1701" w:type="dxa"/>
          </w:tcPr>
          <w:p w14:paraId="0A555C86">
            <w:pPr>
              <w:spacing w:line="360" w:lineRule="auto"/>
              <w:rPr>
                <w:rFonts w:ascii="宋体" w:hAnsi="宋体"/>
                <w:color w:val="auto"/>
                <w:sz w:val="24"/>
                <w:highlight w:val="none"/>
              </w:rPr>
            </w:pPr>
          </w:p>
        </w:tc>
      </w:tr>
      <w:tr w14:paraId="2FB1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E65A074">
            <w:pPr>
              <w:spacing w:line="360" w:lineRule="auto"/>
              <w:rPr>
                <w:rFonts w:ascii="宋体" w:hAnsi="宋体"/>
                <w:color w:val="auto"/>
                <w:sz w:val="24"/>
                <w:highlight w:val="none"/>
              </w:rPr>
            </w:pPr>
          </w:p>
        </w:tc>
        <w:tc>
          <w:tcPr>
            <w:tcW w:w="3533" w:type="dxa"/>
          </w:tcPr>
          <w:p w14:paraId="2F42467D">
            <w:pPr>
              <w:spacing w:line="360" w:lineRule="auto"/>
              <w:jc w:val="left"/>
              <w:rPr>
                <w:rFonts w:ascii="宋体" w:hAnsi="宋体"/>
                <w:color w:val="auto"/>
                <w:sz w:val="24"/>
                <w:highlight w:val="none"/>
              </w:rPr>
            </w:pPr>
          </w:p>
        </w:tc>
        <w:tc>
          <w:tcPr>
            <w:tcW w:w="2268" w:type="dxa"/>
          </w:tcPr>
          <w:p w14:paraId="7AD5CB61">
            <w:pPr>
              <w:spacing w:line="360" w:lineRule="auto"/>
              <w:rPr>
                <w:rFonts w:ascii="宋体" w:hAnsi="宋体"/>
                <w:color w:val="auto"/>
                <w:sz w:val="24"/>
                <w:highlight w:val="none"/>
              </w:rPr>
            </w:pPr>
          </w:p>
        </w:tc>
        <w:tc>
          <w:tcPr>
            <w:tcW w:w="1276" w:type="dxa"/>
          </w:tcPr>
          <w:p w14:paraId="3CEB6E27">
            <w:pPr>
              <w:spacing w:line="360" w:lineRule="auto"/>
              <w:rPr>
                <w:rFonts w:ascii="宋体" w:hAnsi="宋体"/>
                <w:color w:val="auto"/>
                <w:sz w:val="24"/>
                <w:highlight w:val="none"/>
              </w:rPr>
            </w:pPr>
          </w:p>
        </w:tc>
        <w:tc>
          <w:tcPr>
            <w:tcW w:w="1701" w:type="dxa"/>
          </w:tcPr>
          <w:p w14:paraId="5B2207E7">
            <w:pPr>
              <w:spacing w:line="360" w:lineRule="auto"/>
              <w:rPr>
                <w:rFonts w:ascii="宋体" w:hAnsi="宋体"/>
                <w:color w:val="auto"/>
                <w:sz w:val="24"/>
                <w:highlight w:val="none"/>
              </w:rPr>
            </w:pPr>
          </w:p>
        </w:tc>
      </w:tr>
      <w:tr w14:paraId="4A7F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38EE74A">
            <w:pPr>
              <w:spacing w:line="360" w:lineRule="auto"/>
              <w:rPr>
                <w:rFonts w:ascii="宋体" w:hAnsi="宋体"/>
                <w:color w:val="auto"/>
                <w:sz w:val="24"/>
                <w:highlight w:val="none"/>
              </w:rPr>
            </w:pPr>
          </w:p>
        </w:tc>
        <w:tc>
          <w:tcPr>
            <w:tcW w:w="3533" w:type="dxa"/>
          </w:tcPr>
          <w:p w14:paraId="352D2367">
            <w:pPr>
              <w:spacing w:line="360" w:lineRule="auto"/>
              <w:jc w:val="left"/>
              <w:rPr>
                <w:rFonts w:ascii="宋体" w:hAnsi="宋体"/>
                <w:color w:val="auto"/>
                <w:sz w:val="24"/>
                <w:highlight w:val="none"/>
              </w:rPr>
            </w:pPr>
          </w:p>
        </w:tc>
        <w:tc>
          <w:tcPr>
            <w:tcW w:w="2268" w:type="dxa"/>
          </w:tcPr>
          <w:p w14:paraId="65660629">
            <w:pPr>
              <w:spacing w:line="360" w:lineRule="auto"/>
              <w:rPr>
                <w:rFonts w:ascii="宋体" w:hAnsi="宋体"/>
                <w:color w:val="auto"/>
                <w:sz w:val="24"/>
                <w:highlight w:val="none"/>
              </w:rPr>
            </w:pPr>
          </w:p>
        </w:tc>
        <w:tc>
          <w:tcPr>
            <w:tcW w:w="1276" w:type="dxa"/>
          </w:tcPr>
          <w:p w14:paraId="537E210E">
            <w:pPr>
              <w:spacing w:line="360" w:lineRule="auto"/>
              <w:rPr>
                <w:rFonts w:ascii="宋体" w:hAnsi="宋体"/>
                <w:color w:val="auto"/>
                <w:sz w:val="24"/>
                <w:highlight w:val="none"/>
              </w:rPr>
            </w:pPr>
          </w:p>
        </w:tc>
        <w:tc>
          <w:tcPr>
            <w:tcW w:w="1701" w:type="dxa"/>
          </w:tcPr>
          <w:p w14:paraId="34D4CA82">
            <w:pPr>
              <w:spacing w:line="360" w:lineRule="auto"/>
              <w:rPr>
                <w:rFonts w:ascii="宋体" w:hAnsi="宋体"/>
                <w:color w:val="auto"/>
                <w:sz w:val="24"/>
                <w:highlight w:val="none"/>
              </w:rPr>
            </w:pPr>
          </w:p>
        </w:tc>
      </w:tr>
      <w:tr w14:paraId="270A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F902C7A">
            <w:pPr>
              <w:spacing w:line="360" w:lineRule="auto"/>
              <w:rPr>
                <w:rFonts w:ascii="宋体" w:hAnsi="宋体"/>
                <w:color w:val="auto"/>
                <w:sz w:val="24"/>
                <w:highlight w:val="none"/>
              </w:rPr>
            </w:pPr>
          </w:p>
        </w:tc>
        <w:tc>
          <w:tcPr>
            <w:tcW w:w="3533" w:type="dxa"/>
          </w:tcPr>
          <w:p w14:paraId="5F2E7D47">
            <w:pPr>
              <w:spacing w:line="360" w:lineRule="auto"/>
              <w:jc w:val="left"/>
              <w:rPr>
                <w:rFonts w:ascii="宋体" w:hAnsi="宋体"/>
                <w:color w:val="auto"/>
                <w:sz w:val="24"/>
                <w:highlight w:val="none"/>
              </w:rPr>
            </w:pPr>
          </w:p>
        </w:tc>
        <w:tc>
          <w:tcPr>
            <w:tcW w:w="2268" w:type="dxa"/>
          </w:tcPr>
          <w:p w14:paraId="6FD26A0A">
            <w:pPr>
              <w:spacing w:line="360" w:lineRule="auto"/>
              <w:rPr>
                <w:rFonts w:ascii="宋体" w:hAnsi="宋体"/>
                <w:color w:val="auto"/>
                <w:sz w:val="24"/>
                <w:highlight w:val="none"/>
              </w:rPr>
            </w:pPr>
          </w:p>
        </w:tc>
        <w:tc>
          <w:tcPr>
            <w:tcW w:w="1276" w:type="dxa"/>
          </w:tcPr>
          <w:p w14:paraId="0D8E4C20">
            <w:pPr>
              <w:spacing w:line="360" w:lineRule="auto"/>
              <w:rPr>
                <w:rFonts w:ascii="宋体" w:hAnsi="宋体"/>
                <w:color w:val="auto"/>
                <w:sz w:val="24"/>
                <w:highlight w:val="none"/>
              </w:rPr>
            </w:pPr>
          </w:p>
        </w:tc>
        <w:tc>
          <w:tcPr>
            <w:tcW w:w="1701" w:type="dxa"/>
          </w:tcPr>
          <w:p w14:paraId="42872224">
            <w:pPr>
              <w:spacing w:line="360" w:lineRule="auto"/>
              <w:rPr>
                <w:rFonts w:ascii="宋体" w:hAnsi="宋体"/>
                <w:color w:val="auto"/>
                <w:sz w:val="24"/>
                <w:highlight w:val="none"/>
              </w:rPr>
            </w:pPr>
          </w:p>
        </w:tc>
      </w:tr>
      <w:tr w14:paraId="4C02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B1A24D2">
            <w:pPr>
              <w:spacing w:line="360" w:lineRule="auto"/>
              <w:rPr>
                <w:rFonts w:ascii="宋体" w:hAnsi="宋体"/>
                <w:color w:val="auto"/>
                <w:sz w:val="24"/>
                <w:highlight w:val="none"/>
              </w:rPr>
            </w:pPr>
          </w:p>
        </w:tc>
        <w:tc>
          <w:tcPr>
            <w:tcW w:w="3533" w:type="dxa"/>
          </w:tcPr>
          <w:p w14:paraId="0A716FDA">
            <w:pPr>
              <w:spacing w:line="360" w:lineRule="auto"/>
              <w:jc w:val="left"/>
              <w:rPr>
                <w:rFonts w:ascii="宋体" w:hAnsi="宋体"/>
                <w:color w:val="auto"/>
                <w:sz w:val="24"/>
                <w:highlight w:val="none"/>
              </w:rPr>
            </w:pPr>
          </w:p>
        </w:tc>
        <w:tc>
          <w:tcPr>
            <w:tcW w:w="2268" w:type="dxa"/>
          </w:tcPr>
          <w:p w14:paraId="56574212">
            <w:pPr>
              <w:spacing w:line="360" w:lineRule="auto"/>
              <w:rPr>
                <w:rFonts w:ascii="宋体" w:hAnsi="宋体"/>
                <w:color w:val="auto"/>
                <w:sz w:val="24"/>
                <w:highlight w:val="none"/>
              </w:rPr>
            </w:pPr>
          </w:p>
        </w:tc>
        <w:tc>
          <w:tcPr>
            <w:tcW w:w="1276" w:type="dxa"/>
          </w:tcPr>
          <w:p w14:paraId="3008BBF3">
            <w:pPr>
              <w:spacing w:line="360" w:lineRule="auto"/>
              <w:rPr>
                <w:rFonts w:ascii="宋体" w:hAnsi="宋体"/>
                <w:color w:val="auto"/>
                <w:sz w:val="24"/>
                <w:highlight w:val="none"/>
              </w:rPr>
            </w:pPr>
          </w:p>
        </w:tc>
        <w:tc>
          <w:tcPr>
            <w:tcW w:w="1701" w:type="dxa"/>
          </w:tcPr>
          <w:p w14:paraId="692C6B30">
            <w:pPr>
              <w:spacing w:line="360" w:lineRule="auto"/>
              <w:rPr>
                <w:rFonts w:ascii="宋体" w:hAnsi="宋体"/>
                <w:color w:val="auto"/>
                <w:sz w:val="24"/>
                <w:highlight w:val="none"/>
              </w:rPr>
            </w:pPr>
          </w:p>
        </w:tc>
      </w:tr>
      <w:tr w14:paraId="29D5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ECC38DE">
            <w:pPr>
              <w:spacing w:line="360" w:lineRule="auto"/>
              <w:rPr>
                <w:rFonts w:ascii="宋体" w:hAnsi="宋体"/>
                <w:color w:val="auto"/>
                <w:sz w:val="24"/>
                <w:highlight w:val="none"/>
              </w:rPr>
            </w:pPr>
          </w:p>
        </w:tc>
        <w:tc>
          <w:tcPr>
            <w:tcW w:w="3533" w:type="dxa"/>
          </w:tcPr>
          <w:p w14:paraId="3ED1B232">
            <w:pPr>
              <w:spacing w:line="360" w:lineRule="auto"/>
              <w:jc w:val="left"/>
              <w:rPr>
                <w:rFonts w:ascii="宋体" w:hAnsi="宋体"/>
                <w:color w:val="auto"/>
                <w:sz w:val="24"/>
                <w:highlight w:val="none"/>
              </w:rPr>
            </w:pPr>
          </w:p>
        </w:tc>
        <w:tc>
          <w:tcPr>
            <w:tcW w:w="2268" w:type="dxa"/>
          </w:tcPr>
          <w:p w14:paraId="6DF4AAC8">
            <w:pPr>
              <w:spacing w:line="360" w:lineRule="auto"/>
              <w:rPr>
                <w:rFonts w:ascii="宋体" w:hAnsi="宋体"/>
                <w:color w:val="auto"/>
                <w:sz w:val="24"/>
                <w:highlight w:val="none"/>
              </w:rPr>
            </w:pPr>
          </w:p>
        </w:tc>
        <w:tc>
          <w:tcPr>
            <w:tcW w:w="1276" w:type="dxa"/>
          </w:tcPr>
          <w:p w14:paraId="1AB18112">
            <w:pPr>
              <w:spacing w:line="360" w:lineRule="auto"/>
              <w:rPr>
                <w:rFonts w:ascii="宋体" w:hAnsi="宋体"/>
                <w:color w:val="auto"/>
                <w:sz w:val="24"/>
                <w:highlight w:val="none"/>
              </w:rPr>
            </w:pPr>
          </w:p>
        </w:tc>
        <w:tc>
          <w:tcPr>
            <w:tcW w:w="1701" w:type="dxa"/>
          </w:tcPr>
          <w:p w14:paraId="7CDE32BB">
            <w:pPr>
              <w:spacing w:line="360" w:lineRule="auto"/>
              <w:rPr>
                <w:rFonts w:ascii="宋体" w:hAnsi="宋体"/>
                <w:color w:val="auto"/>
                <w:sz w:val="24"/>
                <w:highlight w:val="none"/>
              </w:rPr>
            </w:pPr>
          </w:p>
        </w:tc>
      </w:tr>
      <w:tr w14:paraId="4E2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2378FEA">
            <w:pPr>
              <w:spacing w:line="360" w:lineRule="auto"/>
              <w:rPr>
                <w:rFonts w:ascii="宋体" w:hAnsi="宋体"/>
                <w:color w:val="auto"/>
                <w:sz w:val="24"/>
                <w:highlight w:val="none"/>
              </w:rPr>
            </w:pPr>
          </w:p>
        </w:tc>
        <w:tc>
          <w:tcPr>
            <w:tcW w:w="3533" w:type="dxa"/>
          </w:tcPr>
          <w:p w14:paraId="7924C96F">
            <w:pPr>
              <w:spacing w:line="360" w:lineRule="auto"/>
              <w:jc w:val="left"/>
              <w:rPr>
                <w:rFonts w:ascii="宋体" w:hAnsi="宋体"/>
                <w:color w:val="auto"/>
                <w:sz w:val="24"/>
                <w:highlight w:val="none"/>
              </w:rPr>
            </w:pPr>
          </w:p>
        </w:tc>
        <w:tc>
          <w:tcPr>
            <w:tcW w:w="2268" w:type="dxa"/>
          </w:tcPr>
          <w:p w14:paraId="37EB1E57">
            <w:pPr>
              <w:spacing w:line="360" w:lineRule="auto"/>
              <w:rPr>
                <w:rFonts w:ascii="宋体" w:hAnsi="宋体"/>
                <w:color w:val="auto"/>
                <w:sz w:val="24"/>
                <w:highlight w:val="none"/>
              </w:rPr>
            </w:pPr>
          </w:p>
        </w:tc>
        <w:tc>
          <w:tcPr>
            <w:tcW w:w="1276" w:type="dxa"/>
          </w:tcPr>
          <w:p w14:paraId="4157A5C9">
            <w:pPr>
              <w:spacing w:line="360" w:lineRule="auto"/>
              <w:rPr>
                <w:rFonts w:ascii="宋体" w:hAnsi="宋体"/>
                <w:color w:val="auto"/>
                <w:sz w:val="24"/>
                <w:highlight w:val="none"/>
              </w:rPr>
            </w:pPr>
          </w:p>
        </w:tc>
        <w:tc>
          <w:tcPr>
            <w:tcW w:w="1701" w:type="dxa"/>
          </w:tcPr>
          <w:p w14:paraId="2D72A113">
            <w:pPr>
              <w:spacing w:line="360" w:lineRule="auto"/>
              <w:rPr>
                <w:rFonts w:ascii="宋体" w:hAnsi="宋体"/>
                <w:color w:val="auto"/>
                <w:sz w:val="24"/>
                <w:highlight w:val="none"/>
              </w:rPr>
            </w:pPr>
          </w:p>
        </w:tc>
      </w:tr>
      <w:tr w14:paraId="2349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66D024EA">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14:paraId="37896F34">
            <w:pPr>
              <w:spacing w:line="360" w:lineRule="auto"/>
              <w:jc w:val="center"/>
              <w:rPr>
                <w:rFonts w:ascii="宋体" w:hAnsi="宋体"/>
                <w:color w:val="auto"/>
                <w:sz w:val="24"/>
                <w:highlight w:val="none"/>
              </w:rPr>
            </w:pPr>
            <w:r>
              <w:rPr>
                <w:rFonts w:hint="eastAsia" w:ascii="宋体" w:hAnsi="宋体"/>
                <w:color w:val="auto"/>
                <w:sz w:val="24"/>
                <w:highlight w:val="none"/>
              </w:rPr>
              <w:t>分14分</w:t>
            </w:r>
          </w:p>
        </w:tc>
        <w:tc>
          <w:tcPr>
            <w:tcW w:w="3533" w:type="dxa"/>
          </w:tcPr>
          <w:p w14:paraId="79151F35">
            <w:pPr>
              <w:spacing w:line="360" w:lineRule="auto"/>
              <w:jc w:val="left"/>
              <w:rPr>
                <w:rFonts w:ascii="宋体" w:hAnsi="宋体"/>
                <w:color w:val="auto"/>
                <w:sz w:val="24"/>
                <w:highlight w:val="none"/>
              </w:rPr>
            </w:pPr>
          </w:p>
        </w:tc>
        <w:tc>
          <w:tcPr>
            <w:tcW w:w="2268" w:type="dxa"/>
          </w:tcPr>
          <w:p w14:paraId="63BE770C">
            <w:pPr>
              <w:spacing w:line="360" w:lineRule="auto"/>
              <w:rPr>
                <w:rFonts w:ascii="宋体" w:hAnsi="宋体"/>
                <w:color w:val="auto"/>
                <w:sz w:val="24"/>
                <w:highlight w:val="none"/>
              </w:rPr>
            </w:pPr>
          </w:p>
        </w:tc>
        <w:tc>
          <w:tcPr>
            <w:tcW w:w="1276" w:type="dxa"/>
          </w:tcPr>
          <w:p w14:paraId="481DFCDD">
            <w:pPr>
              <w:spacing w:line="360" w:lineRule="auto"/>
              <w:rPr>
                <w:rFonts w:ascii="宋体" w:hAnsi="宋体"/>
                <w:color w:val="auto"/>
                <w:sz w:val="24"/>
                <w:highlight w:val="none"/>
              </w:rPr>
            </w:pPr>
          </w:p>
        </w:tc>
        <w:tc>
          <w:tcPr>
            <w:tcW w:w="1701" w:type="dxa"/>
          </w:tcPr>
          <w:p w14:paraId="4E62D54B">
            <w:pPr>
              <w:spacing w:line="360" w:lineRule="auto"/>
              <w:rPr>
                <w:rFonts w:ascii="宋体" w:hAnsi="宋体"/>
                <w:color w:val="auto"/>
                <w:sz w:val="24"/>
                <w:highlight w:val="none"/>
              </w:rPr>
            </w:pPr>
          </w:p>
        </w:tc>
      </w:tr>
      <w:tr w14:paraId="14DD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0E32052C">
            <w:pPr>
              <w:spacing w:line="360" w:lineRule="auto"/>
              <w:jc w:val="center"/>
              <w:rPr>
                <w:rFonts w:ascii="宋体" w:hAnsi="宋体"/>
                <w:color w:val="auto"/>
                <w:sz w:val="24"/>
                <w:highlight w:val="none"/>
              </w:rPr>
            </w:pPr>
          </w:p>
        </w:tc>
        <w:tc>
          <w:tcPr>
            <w:tcW w:w="3533" w:type="dxa"/>
          </w:tcPr>
          <w:p w14:paraId="205A7604">
            <w:pPr>
              <w:spacing w:line="360" w:lineRule="auto"/>
              <w:jc w:val="left"/>
              <w:rPr>
                <w:rFonts w:ascii="宋体" w:hAnsi="宋体"/>
                <w:color w:val="auto"/>
                <w:sz w:val="24"/>
                <w:highlight w:val="none"/>
              </w:rPr>
            </w:pPr>
          </w:p>
        </w:tc>
        <w:tc>
          <w:tcPr>
            <w:tcW w:w="2268" w:type="dxa"/>
          </w:tcPr>
          <w:p w14:paraId="1EBB4EC8">
            <w:pPr>
              <w:spacing w:line="360" w:lineRule="auto"/>
              <w:rPr>
                <w:rFonts w:ascii="宋体" w:hAnsi="宋体"/>
                <w:color w:val="auto"/>
                <w:sz w:val="24"/>
                <w:highlight w:val="none"/>
              </w:rPr>
            </w:pPr>
          </w:p>
        </w:tc>
        <w:tc>
          <w:tcPr>
            <w:tcW w:w="1276" w:type="dxa"/>
          </w:tcPr>
          <w:p w14:paraId="514E1EDD">
            <w:pPr>
              <w:spacing w:line="360" w:lineRule="auto"/>
              <w:rPr>
                <w:rFonts w:ascii="宋体" w:hAnsi="宋体"/>
                <w:color w:val="auto"/>
                <w:sz w:val="24"/>
                <w:highlight w:val="none"/>
              </w:rPr>
            </w:pPr>
          </w:p>
        </w:tc>
        <w:tc>
          <w:tcPr>
            <w:tcW w:w="1701" w:type="dxa"/>
          </w:tcPr>
          <w:p w14:paraId="0DD69F74">
            <w:pPr>
              <w:spacing w:line="360" w:lineRule="auto"/>
              <w:rPr>
                <w:rFonts w:ascii="宋体" w:hAnsi="宋体"/>
                <w:color w:val="auto"/>
                <w:sz w:val="24"/>
                <w:highlight w:val="none"/>
              </w:rPr>
            </w:pPr>
          </w:p>
        </w:tc>
      </w:tr>
      <w:tr w14:paraId="120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15D9378A">
            <w:pPr>
              <w:spacing w:line="360" w:lineRule="auto"/>
              <w:jc w:val="center"/>
              <w:rPr>
                <w:rFonts w:ascii="宋体" w:hAnsi="宋体"/>
                <w:color w:val="auto"/>
                <w:sz w:val="24"/>
                <w:highlight w:val="none"/>
              </w:rPr>
            </w:pPr>
          </w:p>
        </w:tc>
        <w:tc>
          <w:tcPr>
            <w:tcW w:w="3533" w:type="dxa"/>
          </w:tcPr>
          <w:p w14:paraId="42B4DA99">
            <w:pPr>
              <w:spacing w:line="360" w:lineRule="auto"/>
              <w:jc w:val="left"/>
              <w:rPr>
                <w:rFonts w:ascii="宋体" w:hAnsi="宋体"/>
                <w:color w:val="auto"/>
                <w:sz w:val="24"/>
                <w:highlight w:val="none"/>
              </w:rPr>
            </w:pPr>
          </w:p>
        </w:tc>
        <w:tc>
          <w:tcPr>
            <w:tcW w:w="2268" w:type="dxa"/>
          </w:tcPr>
          <w:p w14:paraId="6AEC322D">
            <w:pPr>
              <w:spacing w:line="360" w:lineRule="auto"/>
              <w:rPr>
                <w:rFonts w:ascii="宋体" w:hAnsi="宋体"/>
                <w:color w:val="auto"/>
                <w:sz w:val="24"/>
                <w:highlight w:val="none"/>
              </w:rPr>
            </w:pPr>
          </w:p>
        </w:tc>
        <w:tc>
          <w:tcPr>
            <w:tcW w:w="1276" w:type="dxa"/>
          </w:tcPr>
          <w:p w14:paraId="1ABE2257">
            <w:pPr>
              <w:spacing w:line="360" w:lineRule="auto"/>
              <w:rPr>
                <w:rFonts w:ascii="宋体" w:hAnsi="宋体"/>
                <w:color w:val="auto"/>
                <w:sz w:val="24"/>
                <w:highlight w:val="none"/>
              </w:rPr>
            </w:pPr>
          </w:p>
        </w:tc>
        <w:tc>
          <w:tcPr>
            <w:tcW w:w="1701" w:type="dxa"/>
          </w:tcPr>
          <w:p w14:paraId="6367AB7B">
            <w:pPr>
              <w:spacing w:line="360" w:lineRule="auto"/>
              <w:rPr>
                <w:rFonts w:ascii="宋体" w:hAnsi="宋体"/>
                <w:color w:val="auto"/>
                <w:sz w:val="24"/>
                <w:highlight w:val="none"/>
              </w:rPr>
            </w:pPr>
          </w:p>
        </w:tc>
      </w:tr>
      <w:tr w14:paraId="7E5B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2F9355E8">
            <w:pPr>
              <w:spacing w:line="360" w:lineRule="auto"/>
              <w:jc w:val="center"/>
              <w:rPr>
                <w:rFonts w:ascii="宋体" w:hAnsi="宋体"/>
                <w:color w:val="auto"/>
                <w:sz w:val="24"/>
                <w:highlight w:val="none"/>
              </w:rPr>
            </w:pPr>
          </w:p>
        </w:tc>
        <w:tc>
          <w:tcPr>
            <w:tcW w:w="3533" w:type="dxa"/>
          </w:tcPr>
          <w:p w14:paraId="58FF3133">
            <w:pPr>
              <w:spacing w:line="360" w:lineRule="auto"/>
              <w:jc w:val="left"/>
              <w:rPr>
                <w:rFonts w:ascii="宋体" w:hAnsi="宋体"/>
                <w:color w:val="auto"/>
                <w:sz w:val="24"/>
                <w:highlight w:val="none"/>
              </w:rPr>
            </w:pPr>
          </w:p>
        </w:tc>
        <w:tc>
          <w:tcPr>
            <w:tcW w:w="2268" w:type="dxa"/>
          </w:tcPr>
          <w:p w14:paraId="17CD0115">
            <w:pPr>
              <w:spacing w:line="360" w:lineRule="auto"/>
              <w:rPr>
                <w:rFonts w:ascii="宋体" w:hAnsi="宋体"/>
                <w:color w:val="auto"/>
                <w:sz w:val="24"/>
                <w:highlight w:val="none"/>
              </w:rPr>
            </w:pPr>
          </w:p>
        </w:tc>
        <w:tc>
          <w:tcPr>
            <w:tcW w:w="1276" w:type="dxa"/>
          </w:tcPr>
          <w:p w14:paraId="182EC2B3">
            <w:pPr>
              <w:spacing w:line="360" w:lineRule="auto"/>
              <w:rPr>
                <w:rFonts w:ascii="宋体" w:hAnsi="宋体"/>
                <w:color w:val="auto"/>
                <w:sz w:val="24"/>
                <w:highlight w:val="none"/>
              </w:rPr>
            </w:pPr>
          </w:p>
        </w:tc>
        <w:tc>
          <w:tcPr>
            <w:tcW w:w="1701" w:type="dxa"/>
          </w:tcPr>
          <w:p w14:paraId="08EC79BC">
            <w:pPr>
              <w:spacing w:line="360" w:lineRule="auto"/>
              <w:rPr>
                <w:rFonts w:ascii="宋体" w:hAnsi="宋体"/>
                <w:color w:val="auto"/>
                <w:sz w:val="24"/>
                <w:highlight w:val="none"/>
              </w:rPr>
            </w:pPr>
          </w:p>
        </w:tc>
      </w:tr>
      <w:tr w14:paraId="4D79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0A66C28C">
            <w:pPr>
              <w:spacing w:line="360" w:lineRule="auto"/>
              <w:rPr>
                <w:rFonts w:ascii="宋体" w:hAnsi="宋体"/>
                <w:color w:val="auto"/>
                <w:sz w:val="24"/>
                <w:highlight w:val="none"/>
              </w:rPr>
            </w:pPr>
          </w:p>
        </w:tc>
        <w:tc>
          <w:tcPr>
            <w:tcW w:w="3533" w:type="dxa"/>
          </w:tcPr>
          <w:p w14:paraId="3BA55D50">
            <w:pPr>
              <w:spacing w:line="360" w:lineRule="auto"/>
              <w:jc w:val="left"/>
              <w:rPr>
                <w:rFonts w:ascii="宋体" w:hAnsi="宋体"/>
                <w:color w:val="auto"/>
                <w:sz w:val="24"/>
                <w:highlight w:val="none"/>
              </w:rPr>
            </w:pPr>
          </w:p>
        </w:tc>
        <w:tc>
          <w:tcPr>
            <w:tcW w:w="2268" w:type="dxa"/>
          </w:tcPr>
          <w:p w14:paraId="0B6E1428">
            <w:pPr>
              <w:spacing w:line="360" w:lineRule="auto"/>
              <w:rPr>
                <w:rFonts w:ascii="宋体" w:hAnsi="宋体"/>
                <w:color w:val="auto"/>
                <w:sz w:val="24"/>
                <w:highlight w:val="none"/>
              </w:rPr>
            </w:pPr>
          </w:p>
        </w:tc>
        <w:tc>
          <w:tcPr>
            <w:tcW w:w="1276" w:type="dxa"/>
          </w:tcPr>
          <w:p w14:paraId="1267FA73">
            <w:pPr>
              <w:spacing w:line="360" w:lineRule="auto"/>
              <w:rPr>
                <w:rFonts w:ascii="宋体" w:hAnsi="宋体"/>
                <w:color w:val="auto"/>
                <w:sz w:val="24"/>
                <w:highlight w:val="none"/>
              </w:rPr>
            </w:pPr>
          </w:p>
        </w:tc>
        <w:tc>
          <w:tcPr>
            <w:tcW w:w="1701" w:type="dxa"/>
          </w:tcPr>
          <w:p w14:paraId="45AC9C6F">
            <w:pPr>
              <w:spacing w:line="360" w:lineRule="auto"/>
              <w:rPr>
                <w:rFonts w:ascii="宋体" w:hAnsi="宋体"/>
                <w:color w:val="auto"/>
                <w:sz w:val="24"/>
                <w:highlight w:val="none"/>
              </w:rPr>
            </w:pPr>
          </w:p>
        </w:tc>
      </w:tr>
      <w:tr w14:paraId="4027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0815E0F2">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14:paraId="55F31476">
            <w:pPr>
              <w:spacing w:line="360" w:lineRule="auto"/>
              <w:rPr>
                <w:rFonts w:ascii="宋体" w:hAnsi="宋体"/>
                <w:color w:val="auto"/>
                <w:sz w:val="24"/>
                <w:highlight w:val="none"/>
              </w:rPr>
            </w:pPr>
          </w:p>
        </w:tc>
        <w:tc>
          <w:tcPr>
            <w:tcW w:w="2977" w:type="dxa"/>
            <w:gridSpan w:val="2"/>
          </w:tcPr>
          <w:p w14:paraId="42FCD052">
            <w:pPr>
              <w:spacing w:line="360" w:lineRule="auto"/>
              <w:rPr>
                <w:rFonts w:ascii="宋体" w:hAnsi="宋体"/>
                <w:color w:val="auto"/>
                <w:sz w:val="24"/>
                <w:highlight w:val="none"/>
              </w:rPr>
            </w:pPr>
          </w:p>
        </w:tc>
      </w:tr>
    </w:tbl>
    <w:p w14:paraId="3A0D98A0">
      <w:pPr>
        <w:pStyle w:val="15"/>
        <w:spacing w:line="360" w:lineRule="auto"/>
        <w:ind w:firstLine="221" w:firstLineChars="129"/>
        <w:rPr>
          <w:color w:val="auto"/>
          <w:highlight w:val="none"/>
        </w:rPr>
      </w:pPr>
    </w:p>
    <w:p w14:paraId="3CCF5505">
      <w:pPr>
        <w:snapToGrid w:val="0"/>
        <w:spacing w:line="360" w:lineRule="auto"/>
        <w:jc w:val="center"/>
        <w:rPr>
          <w:rFonts w:ascii="宋体" w:hAnsi="宋体"/>
          <w:color w:val="auto"/>
          <w:sz w:val="24"/>
          <w:highlight w:val="none"/>
        </w:rPr>
      </w:pPr>
    </w:p>
    <w:p w14:paraId="5FB22C80">
      <w:pPr>
        <w:spacing w:line="360" w:lineRule="auto"/>
        <w:rPr>
          <w:rFonts w:hAnsi="宋体"/>
          <w:b/>
          <w:color w:val="auto"/>
          <w:sz w:val="24"/>
          <w:highlight w:val="none"/>
        </w:rPr>
      </w:pPr>
    </w:p>
    <w:p w14:paraId="066BC281">
      <w:pPr>
        <w:spacing w:line="360" w:lineRule="auto"/>
        <w:rPr>
          <w:rFonts w:hAnsi="宋体"/>
          <w:b/>
          <w:color w:val="auto"/>
          <w:sz w:val="24"/>
          <w:highlight w:val="none"/>
        </w:rPr>
      </w:pPr>
    </w:p>
    <w:p w14:paraId="1115E56E">
      <w:pPr>
        <w:spacing w:line="360" w:lineRule="auto"/>
        <w:rPr>
          <w:rFonts w:hAnsi="宋体"/>
          <w:b/>
          <w:color w:val="auto"/>
          <w:sz w:val="24"/>
          <w:highlight w:val="none"/>
        </w:rPr>
      </w:pPr>
    </w:p>
    <w:p w14:paraId="47FE9766">
      <w:pPr>
        <w:pStyle w:val="2"/>
        <w:rPr>
          <w:color w:val="auto"/>
          <w:highlight w:val="none"/>
        </w:rPr>
      </w:pPr>
    </w:p>
    <w:p w14:paraId="16C0D09D">
      <w:pPr>
        <w:pStyle w:val="20"/>
        <w:rPr>
          <w:color w:val="auto"/>
          <w:highlight w:val="none"/>
        </w:rPr>
      </w:pPr>
    </w:p>
    <w:p w14:paraId="1AB690CE">
      <w:pPr>
        <w:rPr>
          <w:color w:val="auto"/>
          <w:highlight w:val="none"/>
        </w:rPr>
      </w:pPr>
    </w:p>
    <w:p w14:paraId="09C94615">
      <w:pPr>
        <w:pStyle w:val="32"/>
        <w:rPr>
          <w:color w:val="auto"/>
          <w:highlight w:val="none"/>
        </w:rPr>
      </w:pPr>
    </w:p>
    <w:p w14:paraId="47BB574B">
      <w:pPr>
        <w:pStyle w:val="42"/>
        <w:rPr>
          <w:color w:val="auto"/>
          <w:highlight w:val="none"/>
        </w:rPr>
      </w:pPr>
    </w:p>
    <w:p w14:paraId="3DEBA468">
      <w:pPr>
        <w:pStyle w:val="43"/>
        <w:rPr>
          <w:color w:val="auto"/>
          <w:highlight w:val="none"/>
        </w:rPr>
      </w:pPr>
    </w:p>
    <w:p w14:paraId="1F9ABE52">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180D4934">
      <w:pPr>
        <w:snapToGrid w:val="0"/>
        <w:spacing w:line="360" w:lineRule="auto"/>
        <w:rPr>
          <w:rFonts w:ascii="宋体" w:hAnsi="宋体"/>
          <w:color w:val="auto"/>
          <w:sz w:val="24"/>
          <w:szCs w:val="20"/>
          <w:highlight w:val="none"/>
        </w:rPr>
      </w:pPr>
      <w:r>
        <w:rPr>
          <w:rFonts w:hint="eastAsia" w:ascii="宋体" w:hAnsi="宋体"/>
          <w:color w:val="auto"/>
          <w:sz w:val="24"/>
          <w:highlight w:val="none"/>
        </w:rPr>
        <w:t>33.报价文件封面格式：</w:t>
      </w:r>
    </w:p>
    <w:p w14:paraId="6B64119B">
      <w:pPr>
        <w:snapToGrid w:val="0"/>
        <w:spacing w:line="360" w:lineRule="auto"/>
        <w:rPr>
          <w:rFonts w:ascii="宋体" w:hAnsi="宋体"/>
          <w:color w:val="auto"/>
          <w:sz w:val="24"/>
          <w:szCs w:val="20"/>
          <w:highlight w:val="none"/>
        </w:rPr>
      </w:pPr>
    </w:p>
    <w:p w14:paraId="2CE9D941">
      <w:pPr>
        <w:snapToGrid w:val="0"/>
        <w:spacing w:line="360" w:lineRule="auto"/>
        <w:jc w:val="center"/>
        <w:rPr>
          <w:rFonts w:ascii="宋体" w:hAnsi="宋体"/>
          <w:bCs/>
          <w:color w:val="auto"/>
          <w:sz w:val="24"/>
          <w:szCs w:val="20"/>
          <w:highlight w:val="none"/>
        </w:rPr>
      </w:pPr>
    </w:p>
    <w:p w14:paraId="090101FB">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4ED06D66">
      <w:pPr>
        <w:snapToGrid w:val="0"/>
        <w:spacing w:line="360" w:lineRule="auto"/>
        <w:rPr>
          <w:rFonts w:ascii="宋体" w:hAnsi="宋体"/>
          <w:bCs/>
          <w:color w:val="auto"/>
          <w:sz w:val="24"/>
          <w:szCs w:val="20"/>
          <w:highlight w:val="none"/>
        </w:rPr>
      </w:pPr>
    </w:p>
    <w:p w14:paraId="5969A2CD">
      <w:pPr>
        <w:snapToGrid w:val="0"/>
        <w:spacing w:line="360" w:lineRule="auto"/>
        <w:ind w:firstLine="1080" w:firstLineChars="450"/>
        <w:jc w:val="left"/>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湖州市森林资源高水平保护与高质量发展研究项目</w:t>
      </w:r>
    </w:p>
    <w:p w14:paraId="42822521">
      <w:pPr>
        <w:snapToGrid w:val="0"/>
        <w:spacing w:line="360" w:lineRule="auto"/>
        <w:ind w:firstLine="840" w:firstLineChars="350"/>
        <w:rPr>
          <w:rFonts w:ascii="宋体" w:hAnsi="宋体"/>
          <w:bCs/>
          <w:color w:val="auto"/>
          <w:sz w:val="24"/>
          <w:highlight w:val="none"/>
        </w:rPr>
      </w:pPr>
      <w:r>
        <w:rPr>
          <w:rFonts w:hint="eastAsia" w:ascii="宋体" w:hAnsi="宋体"/>
          <w:bCs/>
          <w:color w:val="auto"/>
          <w:sz w:val="24"/>
          <w:highlight w:val="none"/>
        </w:rPr>
        <w:t>项目编号：HYHZ2024-200</w:t>
      </w:r>
    </w:p>
    <w:p w14:paraId="4E301A4B">
      <w:pPr>
        <w:snapToGrid w:val="0"/>
        <w:spacing w:line="360" w:lineRule="auto"/>
        <w:ind w:firstLine="840" w:firstLineChars="350"/>
        <w:rPr>
          <w:color w:val="auto"/>
          <w:sz w:val="24"/>
          <w:highlight w:val="none"/>
        </w:rPr>
      </w:pPr>
      <w:r>
        <w:rPr>
          <w:rFonts w:hint="eastAsia"/>
          <w:color w:val="auto"/>
          <w:sz w:val="24"/>
          <w:highlight w:val="none"/>
        </w:rPr>
        <w:t xml:space="preserve"> 投标人名称：</w:t>
      </w:r>
    </w:p>
    <w:p w14:paraId="3645473F">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CCD418F">
      <w:pPr>
        <w:pStyle w:val="10"/>
        <w:snapToGrid w:val="0"/>
        <w:spacing w:line="360" w:lineRule="auto"/>
        <w:ind w:firstLine="960" w:firstLineChars="400"/>
        <w:rPr>
          <w:rFonts w:ascii="宋体" w:hAnsi="宋体"/>
          <w:bCs/>
          <w:color w:val="auto"/>
          <w:sz w:val="24"/>
          <w:szCs w:val="24"/>
          <w:highlight w:val="none"/>
        </w:rPr>
      </w:pPr>
    </w:p>
    <w:p w14:paraId="61E778DD">
      <w:pPr>
        <w:pStyle w:val="10"/>
        <w:snapToGrid w:val="0"/>
        <w:spacing w:line="360" w:lineRule="auto"/>
        <w:ind w:firstLine="1497" w:firstLineChars="416"/>
        <w:rPr>
          <w:rFonts w:ascii="宋体" w:hAnsi="宋体"/>
          <w:color w:val="auto"/>
          <w:sz w:val="36"/>
          <w:highlight w:val="none"/>
        </w:rPr>
      </w:pPr>
    </w:p>
    <w:p w14:paraId="5334C350">
      <w:pPr>
        <w:snapToGrid w:val="0"/>
        <w:spacing w:line="360" w:lineRule="auto"/>
        <w:ind w:firstLine="4080" w:firstLineChars="1700"/>
        <w:rPr>
          <w:rFonts w:ascii="宋体" w:hAnsi="宋体"/>
          <w:color w:val="auto"/>
          <w:sz w:val="24"/>
          <w:szCs w:val="20"/>
          <w:highlight w:val="none"/>
        </w:rPr>
      </w:pPr>
    </w:p>
    <w:p w14:paraId="0D9846DB">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21A58669">
      <w:pPr>
        <w:snapToGrid w:val="0"/>
        <w:spacing w:line="360" w:lineRule="auto"/>
        <w:jc w:val="center"/>
        <w:rPr>
          <w:rFonts w:ascii="宋体" w:hAnsi="宋体"/>
          <w:color w:val="auto"/>
          <w:sz w:val="30"/>
          <w:szCs w:val="20"/>
          <w:highlight w:val="none"/>
        </w:rPr>
      </w:pPr>
    </w:p>
    <w:p w14:paraId="7B2C2DB9">
      <w:pPr>
        <w:snapToGrid w:val="0"/>
        <w:spacing w:line="360" w:lineRule="auto"/>
        <w:rPr>
          <w:rFonts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34.投标函格式：</w:t>
      </w:r>
    </w:p>
    <w:p w14:paraId="48F41FD7">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415136FB">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5822F586">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085D0F1F">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7FDA3DD3">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79CE0EC2">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2EDFB8F1">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4695E18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51A6163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00B7DF75">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06EEAC5D">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629129AA">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3964CDA4">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1FE371FD">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14:paraId="17F8171B">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5A642363">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37D50B8A">
      <w:pPr>
        <w:pStyle w:val="19"/>
        <w:snapToGrid w:val="0"/>
        <w:spacing w:beforeLines="0" w:afterLines="0" w:line="360" w:lineRule="auto"/>
        <w:rPr>
          <w:rFonts w:hAnsi="宋体"/>
          <w:color w:val="auto"/>
          <w:highlight w:val="none"/>
        </w:rPr>
      </w:pPr>
    </w:p>
    <w:p w14:paraId="554B0A57">
      <w:pPr>
        <w:snapToGrid w:val="0"/>
        <w:spacing w:line="360" w:lineRule="auto"/>
        <w:jc w:val="left"/>
        <w:rPr>
          <w:rFonts w:hAnsi="宋体" w:cs="仿宋"/>
          <w:color w:val="auto"/>
          <w:highlight w:val="none"/>
        </w:rPr>
      </w:pPr>
      <w:r>
        <w:rPr>
          <w:rFonts w:hAnsi="宋体"/>
          <w:color w:val="auto"/>
          <w:highlight w:val="none"/>
        </w:rPr>
        <w:br w:type="page"/>
      </w:r>
    </w:p>
    <w:p w14:paraId="08E3EC37">
      <w:pPr>
        <w:pStyle w:val="19"/>
        <w:snapToGrid w:val="0"/>
        <w:spacing w:beforeLines="0" w:afterLines="0" w:line="360" w:lineRule="auto"/>
        <w:rPr>
          <w:rFonts w:hAnsi="宋体"/>
          <w:color w:val="auto"/>
          <w:spacing w:val="20"/>
          <w:highlight w:val="none"/>
        </w:rPr>
      </w:pPr>
      <w:r>
        <w:rPr>
          <w:rFonts w:hint="eastAsia" w:hAnsi="宋体" w:cs="仿宋"/>
          <w:color w:val="auto"/>
          <w:highlight w:val="none"/>
        </w:rPr>
        <w:t>35.</w:t>
      </w:r>
      <w:r>
        <w:rPr>
          <w:rFonts w:hAnsi="宋体"/>
          <w:color w:val="auto"/>
          <w:highlight w:val="none"/>
        </w:rPr>
        <w:t>投标报价明细表</w:t>
      </w:r>
      <w:r>
        <w:rPr>
          <w:rFonts w:hAnsi="宋体"/>
          <w:color w:val="auto"/>
          <w:spacing w:val="20"/>
          <w:highlight w:val="none"/>
        </w:rPr>
        <w:t>（格式）</w:t>
      </w:r>
    </w:p>
    <w:p w14:paraId="730F94DF">
      <w:pPr>
        <w:snapToGrid w:val="0"/>
        <w:spacing w:line="360" w:lineRule="auto"/>
        <w:rPr>
          <w:rFonts w:hAnsi="宋体"/>
          <w:color w:val="auto"/>
          <w:highlight w:val="none"/>
        </w:rPr>
      </w:pPr>
    </w:p>
    <w:tbl>
      <w:tblPr>
        <w:tblStyle w:val="34"/>
        <w:tblW w:w="8946" w:type="dxa"/>
        <w:tblInd w:w="93" w:type="dxa"/>
        <w:tblLayout w:type="fixed"/>
        <w:tblCellMar>
          <w:top w:w="0" w:type="dxa"/>
          <w:left w:w="108" w:type="dxa"/>
          <w:bottom w:w="0" w:type="dxa"/>
          <w:right w:w="108" w:type="dxa"/>
        </w:tblCellMar>
      </w:tblPr>
      <w:tblGrid>
        <w:gridCol w:w="724"/>
        <w:gridCol w:w="3260"/>
        <w:gridCol w:w="1843"/>
        <w:gridCol w:w="1276"/>
        <w:gridCol w:w="1843"/>
      </w:tblGrid>
      <w:tr w14:paraId="3C45EC69">
        <w:tblPrEx>
          <w:tblCellMar>
            <w:top w:w="0" w:type="dxa"/>
            <w:left w:w="108" w:type="dxa"/>
            <w:bottom w:w="0" w:type="dxa"/>
            <w:right w:w="108" w:type="dxa"/>
          </w:tblCellMar>
        </w:tblPrEx>
        <w:trPr>
          <w:trHeight w:val="270" w:hRule="atLeast"/>
        </w:trPr>
        <w:tc>
          <w:tcPr>
            <w:tcW w:w="724"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30CB12D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260"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62AD0B8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843" w:type="dxa"/>
            <w:tcBorders>
              <w:top w:val="single" w:color="000000" w:sz="8" w:space="0"/>
              <w:left w:val="nil"/>
              <w:bottom w:val="nil"/>
              <w:right w:val="single" w:color="000000" w:sz="8" w:space="0"/>
            </w:tcBorders>
            <w:shd w:val="clear" w:color="000000" w:fill="F2F2F2"/>
          </w:tcPr>
          <w:p w14:paraId="05FE1BF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276" w:type="dxa"/>
            <w:tcBorders>
              <w:top w:val="single" w:color="000000" w:sz="8" w:space="0"/>
              <w:left w:val="nil"/>
              <w:bottom w:val="nil"/>
              <w:right w:val="single" w:color="000000" w:sz="8" w:space="0"/>
            </w:tcBorders>
            <w:shd w:val="clear" w:color="000000" w:fill="F2F2F2"/>
          </w:tcPr>
          <w:p w14:paraId="1554859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843" w:type="dxa"/>
            <w:tcBorders>
              <w:top w:val="single" w:color="000000" w:sz="8" w:space="0"/>
              <w:left w:val="nil"/>
              <w:bottom w:val="nil"/>
              <w:right w:val="single" w:color="000000" w:sz="8" w:space="0"/>
            </w:tcBorders>
            <w:shd w:val="clear" w:color="000000" w:fill="F2F2F2"/>
          </w:tcPr>
          <w:p w14:paraId="1F251AE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合计</w:t>
            </w:r>
          </w:p>
        </w:tc>
      </w:tr>
      <w:tr w14:paraId="5532FDA6">
        <w:tblPrEx>
          <w:tblCellMar>
            <w:top w:w="0" w:type="dxa"/>
            <w:left w:w="108" w:type="dxa"/>
            <w:bottom w:w="0" w:type="dxa"/>
            <w:right w:w="108" w:type="dxa"/>
          </w:tblCellMar>
        </w:tblPrEx>
        <w:trPr>
          <w:trHeight w:val="525" w:hRule="atLeast"/>
        </w:trPr>
        <w:tc>
          <w:tcPr>
            <w:tcW w:w="7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1DC258">
            <w:pPr>
              <w:spacing w:line="360" w:lineRule="auto"/>
              <w:rPr>
                <w:rFonts w:ascii="宋体" w:hAnsi="宋体" w:cs="宋体"/>
                <w:b/>
                <w:bCs/>
                <w:color w:val="auto"/>
                <w:sz w:val="24"/>
                <w:highlight w:val="none"/>
              </w:rPr>
            </w:pPr>
          </w:p>
        </w:tc>
        <w:tc>
          <w:tcPr>
            <w:tcW w:w="3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071931">
            <w:pPr>
              <w:spacing w:line="360" w:lineRule="auto"/>
              <w:rPr>
                <w:rFonts w:ascii="宋体" w:hAnsi="宋体" w:cs="宋体"/>
                <w:b/>
                <w:bCs/>
                <w:color w:val="auto"/>
                <w:sz w:val="24"/>
                <w:highlight w:val="none"/>
              </w:rPr>
            </w:pPr>
          </w:p>
        </w:tc>
        <w:tc>
          <w:tcPr>
            <w:tcW w:w="1843" w:type="dxa"/>
            <w:tcBorders>
              <w:top w:val="nil"/>
              <w:left w:val="nil"/>
              <w:bottom w:val="single" w:color="000000" w:sz="8" w:space="0"/>
              <w:right w:val="single" w:color="000000" w:sz="8" w:space="0"/>
            </w:tcBorders>
            <w:shd w:val="clear" w:color="000000" w:fill="F2F2F2"/>
          </w:tcPr>
          <w:p w14:paraId="4D971852">
            <w:pPr>
              <w:spacing w:line="360" w:lineRule="auto"/>
              <w:rPr>
                <w:rFonts w:ascii="宋体" w:hAnsi="宋体" w:cs="宋体"/>
                <w:b/>
                <w:bCs/>
                <w:color w:val="auto"/>
                <w:sz w:val="24"/>
                <w:highlight w:val="none"/>
              </w:rPr>
            </w:pPr>
          </w:p>
        </w:tc>
        <w:tc>
          <w:tcPr>
            <w:tcW w:w="1276" w:type="dxa"/>
            <w:tcBorders>
              <w:top w:val="nil"/>
              <w:left w:val="nil"/>
              <w:bottom w:val="single" w:color="000000" w:sz="8" w:space="0"/>
              <w:right w:val="single" w:color="000000" w:sz="8" w:space="0"/>
            </w:tcBorders>
            <w:shd w:val="clear" w:color="000000" w:fill="F2F2F2"/>
          </w:tcPr>
          <w:p w14:paraId="4BD6D221">
            <w:pPr>
              <w:spacing w:line="360" w:lineRule="auto"/>
              <w:jc w:val="center"/>
              <w:rPr>
                <w:rFonts w:ascii="宋体" w:hAnsi="宋体" w:cs="宋体"/>
                <w:b/>
                <w:bCs/>
                <w:color w:val="auto"/>
                <w:sz w:val="24"/>
                <w:highlight w:val="none"/>
              </w:rPr>
            </w:pPr>
          </w:p>
        </w:tc>
        <w:tc>
          <w:tcPr>
            <w:tcW w:w="1843" w:type="dxa"/>
            <w:tcBorders>
              <w:top w:val="nil"/>
              <w:left w:val="nil"/>
              <w:bottom w:val="single" w:color="000000" w:sz="8" w:space="0"/>
              <w:right w:val="single" w:color="000000" w:sz="8" w:space="0"/>
            </w:tcBorders>
            <w:shd w:val="clear" w:color="000000" w:fill="F2F2F2"/>
          </w:tcPr>
          <w:p w14:paraId="0AFC88C8">
            <w:pPr>
              <w:spacing w:line="360" w:lineRule="auto"/>
              <w:jc w:val="center"/>
              <w:rPr>
                <w:rFonts w:ascii="宋体" w:hAnsi="宋体" w:cs="宋体"/>
                <w:b/>
                <w:bCs/>
                <w:color w:val="auto"/>
                <w:sz w:val="24"/>
                <w:highlight w:val="none"/>
              </w:rPr>
            </w:pPr>
          </w:p>
        </w:tc>
      </w:tr>
      <w:tr w14:paraId="2918EC5B">
        <w:tblPrEx>
          <w:tblCellMar>
            <w:top w:w="0" w:type="dxa"/>
            <w:left w:w="108" w:type="dxa"/>
            <w:bottom w:w="0" w:type="dxa"/>
            <w:right w:w="108" w:type="dxa"/>
          </w:tblCellMar>
        </w:tblPrEx>
        <w:trPr>
          <w:trHeight w:val="1035" w:hRule="atLeast"/>
        </w:trPr>
        <w:tc>
          <w:tcPr>
            <w:tcW w:w="724" w:type="dxa"/>
            <w:tcBorders>
              <w:top w:val="nil"/>
              <w:left w:val="single" w:color="000000" w:sz="8" w:space="0"/>
              <w:bottom w:val="single" w:color="000000" w:sz="8" w:space="0"/>
              <w:right w:val="single" w:color="000000" w:sz="8" w:space="0"/>
            </w:tcBorders>
            <w:vAlign w:val="center"/>
          </w:tcPr>
          <w:p w14:paraId="6BFA8463">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1</w:t>
            </w:r>
          </w:p>
        </w:tc>
        <w:tc>
          <w:tcPr>
            <w:tcW w:w="3260" w:type="dxa"/>
            <w:tcBorders>
              <w:top w:val="nil"/>
              <w:left w:val="nil"/>
              <w:bottom w:val="single" w:color="000000" w:sz="8" w:space="0"/>
              <w:right w:val="single" w:color="000000" w:sz="8" w:space="0"/>
            </w:tcBorders>
            <w:vAlign w:val="center"/>
          </w:tcPr>
          <w:p w14:paraId="06CC2FE0">
            <w:pPr>
              <w:spacing w:line="360" w:lineRule="auto"/>
              <w:rPr>
                <w:rFonts w:ascii="宋体" w:hAnsi="宋体"/>
                <w:color w:val="auto"/>
                <w:sz w:val="24"/>
                <w:highlight w:val="none"/>
              </w:rPr>
            </w:pPr>
          </w:p>
        </w:tc>
        <w:tc>
          <w:tcPr>
            <w:tcW w:w="1843" w:type="dxa"/>
            <w:tcBorders>
              <w:top w:val="nil"/>
              <w:left w:val="nil"/>
              <w:bottom w:val="single" w:color="000000" w:sz="8" w:space="0"/>
              <w:right w:val="single" w:color="000000" w:sz="8" w:space="0"/>
            </w:tcBorders>
            <w:vAlign w:val="center"/>
          </w:tcPr>
          <w:p w14:paraId="2E8E7E68">
            <w:pPr>
              <w:spacing w:line="360" w:lineRule="auto"/>
              <w:jc w:val="right"/>
              <w:rPr>
                <w:rFonts w:ascii="宋体" w:hAnsi="宋体" w:cs="宋体"/>
                <w:color w:val="auto"/>
                <w:sz w:val="24"/>
                <w:highlight w:val="none"/>
              </w:rPr>
            </w:pPr>
          </w:p>
        </w:tc>
        <w:tc>
          <w:tcPr>
            <w:tcW w:w="1276" w:type="dxa"/>
            <w:tcBorders>
              <w:top w:val="nil"/>
              <w:left w:val="nil"/>
              <w:bottom w:val="single" w:color="000000" w:sz="8" w:space="0"/>
              <w:right w:val="single" w:color="000000" w:sz="8" w:space="0"/>
            </w:tcBorders>
            <w:vAlign w:val="center"/>
          </w:tcPr>
          <w:p w14:paraId="25F4F922">
            <w:pPr>
              <w:spacing w:line="360" w:lineRule="auto"/>
              <w:jc w:val="right"/>
              <w:rPr>
                <w:rFonts w:ascii="宋体" w:hAnsi="宋体" w:cs="宋体"/>
                <w:color w:val="auto"/>
                <w:sz w:val="24"/>
                <w:highlight w:val="none"/>
              </w:rPr>
            </w:pPr>
          </w:p>
        </w:tc>
        <w:tc>
          <w:tcPr>
            <w:tcW w:w="1843" w:type="dxa"/>
            <w:tcBorders>
              <w:top w:val="nil"/>
              <w:left w:val="nil"/>
              <w:bottom w:val="single" w:color="000000" w:sz="8" w:space="0"/>
              <w:right w:val="single" w:color="000000" w:sz="8" w:space="0"/>
            </w:tcBorders>
            <w:vAlign w:val="center"/>
          </w:tcPr>
          <w:p w14:paraId="2FF1E785">
            <w:pPr>
              <w:spacing w:line="360" w:lineRule="auto"/>
              <w:jc w:val="right"/>
              <w:rPr>
                <w:rFonts w:ascii="宋体" w:hAnsi="宋体" w:cs="宋体"/>
                <w:bCs/>
                <w:color w:val="auto"/>
                <w:sz w:val="24"/>
                <w:highlight w:val="none"/>
              </w:rPr>
            </w:pPr>
          </w:p>
        </w:tc>
      </w:tr>
      <w:tr w14:paraId="3FA1A57D">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7CDC78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60" w:type="dxa"/>
            <w:tcBorders>
              <w:top w:val="nil"/>
              <w:left w:val="nil"/>
              <w:bottom w:val="single" w:color="000000" w:sz="8" w:space="0"/>
              <w:right w:val="single" w:color="000000" w:sz="8" w:space="0"/>
            </w:tcBorders>
            <w:vAlign w:val="center"/>
          </w:tcPr>
          <w:p w14:paraId="0E43DC3A">
            <w:pPr>
              <w:spacing w:line="360" w:lineRule="auto"/>
              <w:rPr>
                <w:rFonts w:ascii="宋体" w:hAnsi="宋体"/>
                <w:color w:val="auto"/>
                <w:sz w:val="24"/>
                <w:highlight w:val="none"/>
              </w:rPr>
            </w:pPr>
          </w:p>
        </w:tc>
        <w:tc>
          <w:tcPr>
            <w:tcW w:w="1843" w:type="dxa"/>
            <w:tcBorders>
              <w:top w:val="nil"/>
              <w:left w:val="nil"/>
              <w:bottom w:val="single" w:color="000000" w:sz="8" w:space="0"/>
              <w:right w:val="single" w:color="000000" w:sz="8" w:space="0"/>
            </w:tcBorders>
            <w:vAlign w:val="center"/>
          </w:tcPr>
          <w:p w14:paraId="4D637866">
            <w:pPr>
              <w:spacing w:line="360" w:lineRule="auto"/>
              <w:jc w:val="right"/>
              <w:rPr>
                <w:rFonts w:ascii="宋体" w:hAnsi="宋体" w:cs="宋体"/>
                <w:color w:val="auto"/>
                <w:sz w:val="24"/>
                <w:highlight w:val="none"/>
              </w:rPr>
            </w:pPr>
          </w:p>
        </w:tc>
        <w:tc>
          <w:tcPr>
            <w:tcW w:w="1276" w:type="dxa"/>
            <w:tcBorders>
              <w:top w:val="nil"/>
              <w:left w:val="nil"/>
              <w:bottom w:val="single" w:color="000000" w:sz="8" w:space="0"/>
              <w:right w:val="single" w:color="000000" w:sz="8" w:space="0"/>
            </w:tcBorders>
            <w:vAlign w:val="center"/>
          </w:tcPr>
          <w:p w14:paraId="30EAC2C2">
            <w:pPr>
              <w:spacing w:line="360" w:lineRule="auto"/>
              <w:jc w:val="right"/>
              <w:rPr>
                <w:rFonts w:ascii="宋体" w:hAnsi="宋体" w:cs="宋体"/>
                <w:color w:val="auto"/>
                <w:sz w:val="24"/>
                <w:highlight w:val="none"/>
              </w:rPr>
            </w:pPr>
          </w:p>
        </w:tc>
        <w:tc>
          <w:tcPr>
            <w:tcW w:w="1843" w:type="dxa"/>
            <w:tcBorders>
              <w:top w:val="nil"/>
              <w:left w:val="nil"/>
              <w:bottom w:val="single" w:color="000000" w:sz="8" w:space="0"/>
              <w:right w:val="single" w:color="000000" w:sz="8" w:space="0"/>
            </w:tcBorders>
            <w:vAlign w:val="center"/>
          </w:tcPr>
          <w:p w14:paraId="7038371F">
            <w:pPr>
              <w:spacing w:line="360" w:lineRule="auto"/>
              <w:jc w:val="right"/>
              <w:rPr>
                <w:rFonts w:ascii="宋体" w:hAnsi="宋体" w:cs="宋体"/>
                <w:bCs/>
                <w:color w:val="auto"/>
                <w:sz w:val="24"/>
                <w:highlight w:val="none"/>
              </w:rPr>
            </w:pPr>
          </w:p>
        </w:tc>
      </w:tr>
      <w:tr w14:paraId="56DCF95B">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3668F4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260" w:type="dxa"/>
            <w:tcBorders>
              <w:top w:val="nil"/>
              <w:left w:val="nil"/>
              <w:bottom w:val="single" w:color="000000" w:sz="8" w:space="0"/>
              <w:right w:val="single" w:color="000000" w:sz="8" w:space="0"/>
            </w:tcBorders>
            <w:vAlign w:val="center"/>
          </w:tcPr>
          <w:p w14:paraId="7BA41BBB">
            <w:pPr>
              <w:spacing w:line="360" w:lineRule="auto"/>
              <w:rPr>
                <w:rFonts w:ascii="宋体" w:hAnsi="宋体"/>
                <w:color w:val="auto"/>
                <w:sz w:val="24"/>
                <w:highlight w:val="none"/>
              </w:rPr>
            </w:pPr>
          </w:p>
        </w:tc>
        <w:tc>
          <w:tcPr>
            <w:tcW w:w="1843" w:type="dxa"/>
            <w:tcBorders>
              <w:top w:val="nil"/>
              <w:left w:val="nil"/>
              <w:bottom w:val="single" w:color="000000" w:sz="8" w:space="0"/>
              <w:right w:val="single" w:color="000000" w:sz="8" w:space="0"/>
            </w:tcBorders>
            <w:vAlign w:val="center"/>
          </w:tcPr>
          <w:p w14:paraId="0DB75913">
            <w:pPr>
              <w:spacing w:line="360" w:lineRule="auto"/>
              <w:jc w:val="right"/>
              <w:rPr>
                <w:rFonts w:ascii="宋体" w:hAnsi="宋体" w:cs="宋体"/>
                <w:color w:val="auto"/>
                <w:sz w:val="24"/>
                <w:highlight w:val="none"/>
              </w:rPr>
            </w:pPr>
          </w:p>
        </w:tc>
        <w:tc>
          <w:tcPr>
            <w:tcW w:w="1276" w:type="dxa"/>
            <w:tcBorders>
              <w:top w:val="nil"/>
              <w:left w:val="nil"/>
              <w:bottom w:val="single" w:color="000000" w:sz="8" w:space="0"/>
              <w:right w:val="single" w:color="000000" w:sz="8" w:space="0"/>
            </w:tcBorders>
            <w:vAlign w:val="center"/>
          </w:tcPr>
          <w:p w14:paraId="59859274">
            <w:pPr>
              <w:spacing w:line="360" w:lineRule="auto"/>
              <w:jc w:val="right"/>
              <w:rPr>
                <w:rFonts w:ascii="宋体" w:hAnsi="宋体" w:cs="宋体"/>
                <w:color w:val="auto"/>
                <w:sz w:val="24"/>
                <w:highlight w:val="none"/>
              </w:rPr>
            </w:pPr>
          </w:p>
        </w:tc>
        <w:tc>
          <w:tcPr>
            <w:tcW w:w="1843" w:type="dxa"/>
            <w:tcBorders>
              <w:top w:val="nil"/>
              <w:left w:val="nil"/>
              <w:bottom w:val="single" w:color="000000" w:sz="8" w:space="0"/>
              <w:right w:val="single" w:color="000000" w:sz="8" w:space="0"/>
            </w:tcBorders>
            <w:vAlign w:val="center"/>
          </w:tcPr>
          <w:p w14:paraId="1E9AADD4">
            <w:pPr>
              <w:spacing w:line="360" w:lineRule="auto"/>
              <w:jc w:val="right"/>
              <w:rPr>
                <w:rFonts w:ascii="宋体" w:hAnsi="宋体" w:cs="宋体"/>
                <w:bCs/>
                <w:color w:val="auto"/>
                <w:sz w:val="24"/>
                <w:highlight w:val="none"/>
              </w:rPr>
            </w:pPr>
          </w:p>
        </w:tc>
      </w:tr>
      <w:tr w14:paraId="307B4799">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61540EA3">
            <w:pPr>
              <w:spacing w:line="360" w:lineRule="auto"/>
              <w:jc w:val="center"/>
              <w:rPr>
                <w:rFonts w:ascii="宋体" w:hAnsi="宋体" w:cs="宋体"/>
                <w:color w:val="auto"/>
                <w:sz w:val="24"/>
                <w:highlight w:val="none"/>
              </w:rPr>
            </w:pPr>
            <w:r>
              <w:rPr>
                <w:rFonts w:ascii="宋体" w:hAnsi="宋体" w:cs="宋体"/>
                <w:color w:val="auto"/>
                <w:sz w:val="24"/>
                <w:highlight w:val="none"/>
              </w:rPr>
              <w:t>4</w:t>
            </w:r>
          </w:p>
        </w:tc>
        <w:tc>
          <w:tcPr>
            <w:tcW w:w="3260" w:type="dxa"/>
            <w:tcBorders>
              <w:top w:val="nil"/>
              <w:left w:val="nil"/>
              <w:bottom w:val="single" w:color="000000" w:sz="8" w:space="0"/>
              <w:right w:val="single" w:color="000000" w:sz="8" w:space="0"/>
            </w:tcBorders>
            <w:vAlign w:val="center"/>
          </w:tcPr>
          <w:p w14:paraId="717822DE">
            <w:pPr>
              <w:spacing w:line="360" w:lineRule="auto"/>
              <w:rPr>
                <w:rFonts w:ascii="宋体" w:hAnsi="宋体"/>
                <w:color w:val="auto"/>
                <w:sz w:val="24"/>
                <w:highlight w:val="none"/>
              </w:rPr>
            </w:pPr>
          </w:p>
        </w:tc>
        <w:tc>
          <w:tcPr>
            <w:tcW w:w="1843" w:type="dxa"/>
            <w:tcBorders>
              <w:top w:val="nil"/>
              <w:left w:val="nil"/>
              <w:bottom w:val="single" w:color="000000" w:sz="8" w:space="0"/>
              <w:right w:val="single" w:color="000000" w:sz="8" w:space="0"/>
            </w:tcBorders>
            <w:vAlign w:val="center"/>
          </w:tcPr>
          <w:p w14:paraId="6B1B2987">
            <w:pPr>
              <w:spacing w:line="360" w:lineRule="auto"/>
              <w:jc w:val="right"/>
              <w:rPr>
                <w:rFonts w:ascii="宋体" w:hAnsi="宋体" w:cs="宋体"/>
                <w:color w:val="auto"/>
                <w:sz w:val="24"/>
                <w:highlight w:val="none"/>
              </w:rPr>
            </w:pPr>
          </w:p>
        </w:tc>
        <w:tc>
          <w:tcPr>
            <w:tcW w:w="1276" w:type="dxa"/>
            <w:tcBorders>
              <w:top w:val="nil"/>
              <w:left w:val="nil"/>
              <w:bottom w:val="single" w:color="000000" w:sz="8" w:space="0"/>
              <w:right w:val="single" w:color="000000" w:sz="8" w:space="0"/>
            </w:tcBorders>
            <w:vAlign w:val="center"/>
          </w:tcPr>
          <w:p w14:paraId="19B61123">
            <w:pPr>
              <w:spacing w:line="360" w:lineRule="auto"/>
              <w:jc w:val="right"/>
              <w:rPr>
                <w:rFonts w:ascii="宋体" w:hAnsi="宋体" w:cs="宋体"/>
                <w:color w:val="auto"/>
                <w:sz w:val="24"/>
                <w:highlight w:val="none"/>
              </w:rPr>
            </w:pPr>
          </w:p>
        </w:tc>
        <w:tc>
          <w:tcPr>
            <w:tcW w:w="1843" w:type="dxa"/>
            <w:tcBorders>
              <w:top w:val="nil"/>
              <w:left w:val="nil"/>
              <w:bottom w:val="single" w:color="000000" w:sz="8" w:space="0"/>
              <w:right w:val="single" w:color="000000" w:sz="8" w:space="0"/>
            </w:tcBorders>
            <w:vAlign w:val="center"/>
          </w:tcPr>
          <w:p w14:paraId="454A750C">
            <w:pPr>
              <w:spacing w:line="360" w:lineRule="auto"/>
              <w:jc w:val="right"/>
              <w:rPr>
                <w:rFonts w:ascii="宋体" w:hAnsi="宋体" w:cs="宋体"/>
                <w:bCs/>
                <w:color w:val="auto"/>
                <w:sz w:val="24"/>
                <w:highlight w:val="none"/>
              </w:rPr>
            </w:pPr>
          </w:p>
        </w:tc>
      </w:tr>
      <w:tr w14:paraId="3405CD70">
        <w:tblPrEx>
          <w:tblCellMar>
            <w:top w:w="0" w:type="dxa"/>
            <w:left w:w="108" w:type="dxa"/>
            <w:bottom w:w="0" w:type="dxa"/>
            <w:right w:w="108" w:type="dxa"/>
          </w:tblCellMar>
        </w:tblPrEx>
        <w:trPr>
          <w:trHeight w:val="780" w:hRule="atLeast"/>
        </w:trPr>
        <w:tc>
          <w:tcPr>
            <w:tcW w:w="3984" w:type="dxa"/>
            <w:gridSpan w:val="2"/>
            <w:tcBorders>
              <w:top w:val="nil"/>
              <w:left w:val="single" w:color="000000" w:sz="8" w:space="0"/>
              <w:bottom w:val="single" w:color="000000" w:sz="8" w:space="0"/>
              <w:right w:val="single" w:color="000000" w:sz="8" w:space="0"/>
            </w:tcBorders>
            <w:vAlign w:val="center"/>
          </w:tcPr>
          <w:p w14:paraId="0AED9964">
            <w:pPr>
              <w:spacing w:line="360" w:lineRule="auto"/>
              <w:rPr>
                <w:rFonts w:ascii="宋体" w:hAnsi="宋体"/>
                <w:color w:val="auto"/>
                <w:sz w:val="24"/>
                <w:highlight w:val="none"/>
              </w:rPr>
            </w:pPr>
            <w:r>
              <w:rPr>
                <w:rFonts w:hint="eastAsia" w:ascii="宋体" w:hAnsi="宋体"/>
                <w:color w:val="auto"/>
                <w:sz w:val="24"/>
                <w:highlight w:val="none"/>
              </w:rPr>
              <w:t>总价</w:t>
            </w:r>
          </w:p>
        </w:tc>
        <w:tc>
          <w:tcPr>
            <w:tcW w:w="4962" w:type="dxa"/>
            <w:gridSpan w:val="3"/>
            <w:tcBorders>
              <w:top w:val="nil"/>
              <w:left w:val="nil"/>
              <w:bottom w:val="single" w:color="000000" w:sz="8" w:space="0"/>
              <w:right w:val="single" w:color="000000" w:sz="8" w:space="0"/>
            </w:tcBorders>
            <w:vAlign w:val="center"/>
          </w:tcPr>
          <w:p w14:paraId="0BEF09B8">
            <w:pPr>
              <w:wordWrap w:val="0"/>
              <w:spacing w:line="360" w:lineRule="auto"/>
              <w:ind w:right="960"/>
              <w:rPr>
                <w:rFonts w:ascii="宋体" w:hAnsi="宋体" w:cs="宋体"/>
                <w:bCs/>
                <w:color w:val="auto"/>
                <w:sz w:val="24"/>
                <w:highlight w:val="none"/>
              </w:rPr>
            </w:pPr>
            <w:r>
              <w:rPr>
                <w:rFonts w:hint="eastAsia" w:ascii="宋体" w:hAnsi="宋体" w:cs="宋体"/>
                <w:bCs/>
                <w:color w:val="auto"/>
                <w:sz w:val="24"/>
                <w:highlight w:val="none"/>
              </w:rPr>
              <w:t>人民币元整（￥）</w:t>
            </w:r>
          </w:p>
        </w:tc>
      </w:tr>
    </w:tbl>
    <w:p w14:paraId="4043B919">
      <w:pPr>
        <w:tabs>
          <w:tab w:val="left" w:pos="1418"/>
        </w:tabs>
        <w:snapToGrid w:val="0"/>
        <w:spacing w:before="50" w:after="50"/>
        <w:ind w:left="1418" w:hanging="567"/>
        <w:jc w:val="center"/>
        <w:rPr>
          <w:rFonts w:ascii="宋体"/>
          <w:color w:val="auto"/>
          <w:sz w:val="24"/>
          <w:highlight w:val="none"/>
        </w:rPr>
      </w:pPr>
    </w:p>
    <w:p w14:paraId="04C4CDA8">
      <w:pPr>
        <w:tabs>
          <w:tab w:val="left" w:pos="1418"/>
        </w:tabs>
        <w:snapToGrid w:val="0"/>
        <w:spacing w:before="50" w:after="50"/>
        <w:ind w:left="1418" w:hanging="567"/>
        <w:jc w:val="center"/>
        <w:rPr>
          <w:rFonts w:ascii="宋体"/>
          <w:color w:val="auto"/>
          <w:sz w:val="24"/>
          <w:highlight w:val="none"/>
        </w:rPr>
      </w:pPr>
    </w:p>
    <w:p w14:paraId="782B97C1">
      <w:pPr>
        <w:rPr>
          <w:color w:val="auto"/>
          <w:highlight w:val="none"/>
        </w:rPr>
      </w:pPr>
    </w:p>
    <w:p w14:paraId="4A6DFF18">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4F986E8F">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投标人盖章：日期：</w:t>
      </w:r>
    </w:p>
    <w:p w14:paraId="21CF3F5E">
      <w:pPr>
        <w:pStyle w:val="2"/>
        <w:rPr>
          <w:color w:val="auto"/>
          <w:highlight w:val="none"/>
        </w:rPr>
      </w:pPr>
    </w:p>
    <w:p w14:paraId="5767A3F9">
      <w:pPr>
        <w:pStyle w:val="20"/>
        <w:rPr>
          <w:color w:val="auto"/>
          <w:highlight w:val="none"/>
        </w:rPr>
      </w:pPr>
    </w:p>
    <w:p w14:paraId="3328CBEA">
      <w:pPr>
        <w:rPr>
          <w:color w:val="auto"/>
          <w:highlight w:val="none"/>
        </w:rPr>
      </w:pPr>
    </w:p>
    <w:p w14:paraId="3AE3CCC7">
      <w:pPr>
        <w:pStyle w:val="32"/>
        <w:rPr>
          <w:color w:val="auto"/>
          <w:highlight w:val="none"/>
        </w:rPr>
      </w:pPr>
    </w:p>
    <w:p w14:paraId="07BCDB4D">
      <w:pPr>
        <w:rPr>
          <w:color w:val="auto"/>
          <w:highlight w:val="none"/>
        </w:rPr>
      </w:pPr>
    </w:p>
    <w:p w14:paraId="4CE8B26C">
      <w:pPr>
        <w:pStyle w:val="32"/>
        <w:rPr>
          <w:color w:val="auto"/>
          <w:highlight w:val="none"/>
        </w:rPr>
      </w:pPr>
    </w:p>
    <w:p w14:paraId="70A0C2F7">
      <w:pPr>
        <w:rPr>
          <w:color w:val="auto"/>
          <w:highlight w:val="none"/>
        </w:rPr>
      </w:pPr>
    </w:p>
    <w:p w14:paraId="3655F5D6">
      <w:pPr>
        <w:pStyle w:val="32"/>
        <w:rPr>
          <w:color w:val="auto"/>
          <w:highlight w:val="none"/>
        </w:rPr>
      </w:pPr>
    </w:p>
    <w:p w14:paraId="577F6EF5">
      <w:pPr>
        <w:rPr>
          <w:color w:val="auto"/>
          <w:highlight w:val="none"/>
        </w:rPr>
      </w:pPr>
    </w:p>
    <w:p w14:paraId="6C9D9FC1">
      <w:pPr>
        <w:pStyle w:val="32"/>
        <w:rPr>
          <w:color w:val="auto"/>
          <w:highlight w:val="none"/>
        </w:rPr>
      </w:pPr>
    </w:p>
    <w:p w14:paraId="7A6AB855">
      <w:pPr>
        <w:rPr>
          <w:color w:val="auto"/>
          <w:highlight w:val="none"/>
        </w:rPr>
      </w:pPr>
    </w:p>
    <w:p w14:paraId="19E70243">
      <w:pPr>
        <w:pStyle w:val="32"/>
        <w:rPr>
          <w:color w:val="auto"/>
          <w:highlight w:val="none"/>
        </w:rPr>
      </w:pPr>
    </w:p>
    <w:p w14:paraId="6B51345D">
      <w:pPr>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rPr>
        <w:t>36.</w:t>
      </w:r>
      <w:r>
        <w:rPr>
          <w:rFonts w:ascii="宋体" w:hAnsi="宋体" w:cs="仿宋"/>
          <w:color w:val="auto"/>
          <w:sz w:val="24"/>
          <w:highlight w:val="none"/>
        </w:rPr>
        <w:t>中小企业声明函</w:t>
      </w:r>
    </w:p>
    <w:p w14:paraId="5300966D">
      <w:pPr>
        <w:snapToGrid w:val="0"/>
        <w:spacing w:line="360" w:lineRule="auto"/>
        <w:jc w:val="center"/>
        <w:rPr>
          <w:rFonts w:ascii="宋体" w:hAnsi="宋体" w:cs="仿宋"/>
          <w:b/>
          <w:bCs/>
          <w:color w:val="auto"/>
          <w:sz w:val="24"/>
          <w:highlight w:val="none"/>
        </w:rPr>
      </w:pPr>
    </w:p>
    <w:p w14:paraId="470DADB2">
      <w:pPr>
        <w:spacing w:line="360" w:lineRule="auto"/>
        <w:jc w:val="center"/>
        <w:rPr>
          <w:rFonts w:ascii="宋体" w:hAnsi="宋体"/>
          <w:color w:val="auto"/>
          <w:sz w:val="28"/>
          <w:szCs w:val="28"/>
          <w:highlight w:val="none"/>
        </w:rPr>
      </w:pPr>
      <w:r>
        <w:rPr>
          <w:rFonts w:hint="eastAsia" w:ascii="宋体" w:hAnsi="宋体"/>
          <w:b/>
          <w:color w:val="auto"/>
          <w:sz w:val="28"/>
          <w:szCs w:val="28"/>
          <w:highlight w:val="none"/>
        </w:rPr>
        <w:t>中小企业声明函</w:t>
      </w:r>
    </w:p>
    <w:p w14:paraId="51F8EFBC">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4D7E6F2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4DCD27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w:t>
      </w:r>
    </w:p>
    <w:p w14:paraId="51535668">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4B203C52">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6774980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00E1A9AE">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1F332F1C">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2F2BBDF0">
      <w:pPr>
        <w:spacing w:line="360" w:lineRule="auto"/>
        <w:ind w:firstLine="5640" w:firstLineChars="2350"/>
        <w:rPr>
          <w:rFonts w:ascii="宋体" w:hAnsi="宋体" w:cs="仿宋"/>
          <w:color w:val="auto"/>
          <w:kern w:val="0"/>
          <w:sz w:val="24"/>
          <w:highlight w:val="none"/>
        </w:rPr>
      </w:pPr>
    </w:p>
    <w:p w14:paraId="4B67CBBA">
      <w:pPr>
        <w:spacing w:line="360" w:lineRule="auto"/>
        <w:ind w:firstLine="5640" w:firstLineChars="2350"/>
        <w:rPr>
          <w:rFonts w:ascii="宋体" w:hAnsi="宋体"/>
          <w:bCs/>
          <w:color w:val="auto"/>
          <w:sz w:val="24"/>
          <w:highlight w:val="none"/>
        </w:rPr>
      </w:pPr>
    </w:p>
    <w:p w14:paraId="2E39427F">
      <w:pPr>
        <w:numPr>
          <w:ilvl w:val="0"/>
          <w:numId w:val="2"/>
        </w:numPr>
        <w:snapToGrid w:val="0"/>
        <w:spacing w:before="50" w:after="50" w:line="360" w:lineRule="auto"/>
        <w:jc w:val="left"/>
        <w:rPr>
          <w:rFonts w:ascii="宋体" w:hAnsi="宋体" w:cs="仿宋"/>
          <w:color w:val="auto"/>
          <w:sz w:val="24"/>
          <w:highlight w:val="none"/>
        </w:rPr>
      </w:pPr>
      <w:r>
        <w:rPr>
          <w:rFonts w:hint="eastAsia" w:ascii="宋体" w:hAnsi="Calibri" w:cs="宋体"/>
          <w:color w:val="auto"/>
          <w:kern w:val="0"/>
          <w:sz w:val="18"/>
          <w:szCs w:val="18"/>
          <w:highlight w:val="none"/>
        </w:rPr>
        <w:t>注从业人员、营业收入、资产总额填报上一年度数据，无上一年度数据的新成立企业可不填报。</w:t>
      </w:r>
    </w:p>
    <w:p w14:paraId="7A33EABC">
      <w:pPr>
        <w:spacing w:line="360" w:lineRule="auto"/>
        <w:ind w:firstLine="5600" w:firstLineChars="2000"/>
        <w:rPr>
          <w:rFonts w:ascii="宋体" w:hAnsi="宋体"/>
          <w:color w:val="auto"/>
          <w:sz w:val="28"/>
          <w:szCs w:val="28"/>
          <w:highlight w:val="none"/>
        </w:rPr>
      </w:pPr>
    </w:p>
    <w:p w14:paraId="69E3B767">
      <w:pPr>
        <w:snapToGrid w:val="0"/>
        <w:spacing w:line="360" w:lineRule="auto"/>
        <w:jc w:val="left"/>
        <w:rPr>
          <w:rFonts w:ascii="宋体" w:hAnsi="宋体"/>
          <w:color w:val="auto"/>
          <w:sz w:val="24"/>
          <w:highlight w:val="none"/>
        </w:rPr>
      </w:pPr>
    </w:p>
    <w:p w14:paraId="59363DAC">
      <w:pPr>
        <w:pStyle w:val="32"/>
        <w:rPr>
          <w:color w:val="auto"/>
          <w:highlight w:val="none"/>
        </w:rPr>
      </w:pPr>
    </w:p>
    <w:p w14:paraId="0B0AD3E0">
      <w:pPr>
        <w:rPr>
          <w:color w:val="auto"/>
          <w:highlight w:val="none"/>
        </w:rPr>
      </w:pPr>
    </w:p>
    <w:p w14:paraId="5482B453">
      <w:pPr>
        <w:pStyle w:val="32"/>
        <w:rPr>
          <w:color w:val="auto"/>
          <w:highlight w:val="none"/>
        </w:rPr>
      </w:pPr>
    </w:p>
    <w:p w14:paraId="63E29E51">
      <w:pPr>
        <w:rPr>
          <w:color w:val="auto"/>
          <w:highlight w:val="none"/>
        </w:rPr>
      </w:pPr>
    </w:p>
    <w:p w14:paraId="30549079">
      <w:pPr>
        <w:pStyle w:val="2"/>
        <w:rPr>
          <w:color w:val="auto"/>
          <w:highlight w:val="none"/>
        </w:rPr>
      </w:pPr>
    </w:p>
    <w:p w14:paraId="0518072D">
      <w:pPr>
        <w:pStyle w:val="42"/>
        <w:rPr>
          <w:color w:val="auto"/>
          <w:highlight w:val="none"/>
        </w:rPr>
      </w:pPr>
    </w:p>
    <w:p w14:paraId="2686C1E7">
      <w:pPr>
        <w:pStyle w:val="43"/>
        <w:rPr>
          <w:color w:val="auto"/>
          <w:highlight w:val="none"/>
        </w:rPr>
      </w:pPr>
    </w:p>
    <w:p w14:paraId="518244FE">
      <w:pPr>
        <w:rPr>
          <w:color w:val="auto"/>
          <w:highlight w:val="none"/>
        </w:rPr>
      </w:pPr>
    </w:p>
    <w:p w14:paraId="059DE8B8">
      <w:pPr>
        <w:rPr>
          <w:color w:val="auto"/>
          <w:highlight w:val="none"/>
        </w:rPr>
      </w:pPr>
    </w:p>
    <w:p w14:paraId="0586B4BD">
      <w:pPr>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rPr>
        <w:t>37.残疾人福利性单位声明函（如有）</w:t>
      </w:r>
    </w:p>
    <w:p w14:paraId="386BA467">
      <w:pPr>
        <w:snapToGrid w:val="0"/>
        <w:spacing w:line="360" w:lineRule="auto"/>
        <w:rPr>
          <w:rFonts w:ascii="宋体" w:hAnsi="宋体" w:cs="仿宋"/>
          <w:color w:val="auto"/>
          <w:sz w:val="24"/>
          <w:highlight w:val="none"/>
        </w:rPr>
      </w:pPr>
    </w:p>
    <w:p w14:paraId="78C1FA8B">
      <w:pPr>
        <w:spacing w:line="360" w:lineRule="auto"/>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残疾人福利性单位声明函</w:t>
      </w:r>
    </w:p>
    <w:p w14:paraId="40F868A5">
      <w:pPr>
        <w:spacing w:line="360" w:lineRule="auto"/>
        <w:rPr>
          <w:rFonts w:ascii="仿宋" w:hAnsi="仿宋" w:eastAsia="仿宋"/>
          <w:b/>
          <w:color w:val="auto"/>
          <w:spacing w:val="6"/>
          <w:sz w:val="28"/>
          <w:szCs w:val="28"/>
          <w:highlight w:val="none"/>
        </w:rPr>
      </w:pPr>
    </w:p>
    <w:p w14:paraId="611DE10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cs="Arial"/>
          <w:color w:val="auto"/>
          <w:sz w:val="24"/>
          <w:highlight w:val="none"/>
          <w:u w:val="single"/>
        </w:rPr>
        <w:t>湖州市森林资源高水平保护与高质量发展研究项目</w:t>
      </w:r>
      <w:r>
        <w:rPr>
          <w:rFonts w:hint="eastAsia" w:ascii="宋体" w:hAnsi="宋体"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3C5F45F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本单位对上述声明的真实性负责。如有虚假，将依法承担相应责任。</w:t>
      </w:r>
    </w:p>
    <w:p w14:paraId="5B1B07FE">
      <w:pPr>
        <w:snapToGrid w:val="0"/>
        <w:spacing w:line="360" w:lineRule="auto"/>
        <w:ind w:firstLine="480" w:firstLineChars="200"/>
        <w:rPr>
          <w:rFonts w:ascii="宋体" w:hAnsi="宋体" w:cs="仿宋"/>
          <w:color w:val="auto"/>
          <w:sz w:val="24"/>
          <w:highlight w:val="none"/>
        </w:rPr>
      </w:pPr>
    </w:p>
    <w:p w14:paraId="58A996E3">
      <w:pPr>
        <w:spacing w:line="360" w:lineRule="auto"/>
        <w:ind w:firstLine="480" w:firstLineChars="200"/>
        <w:rPr>
          <w:rFonts w:ascii="宋体" w:hAnsi="宋体" w:cs="仿宋"/>
          <w:color w:val="auto"/>
          <w:sz w:val="24"/>
          <w:highlight w:val="none"/>
        </w:rPr>
      </w:pPr>
    </w:p>
    <w:p w14:paraId="25F2F912">
      <w:pPr>
        <w:snapToGrid w:val="0"/>
        <w:spacing w:line="360" w:lineRule="auto"/>
        <w:ind w:right="560" w:firstLine="4800" w:firstLineChars="2000"/>
        <w:rPr>
          <w:rFonts w:ascii="宋体" w:hAnsi="宋体" w:cs="仿宋"/>
          <w:color w:val="auto"/>
          <w:sz w:val="24"/>
          <w:highlight w:val="none"/>
        </w:rPr>
      </w:pPr>
      <w:r>
        <w:rPr>
          <w:rFonts w:hint="eastAsia" w:ascii="宋体" w:hAnsi="宋体" w:cs="仿宋"/>
          <w:color w:val="auto"/>
          <w:sz w:val="24"/>
          <w:highlight w:val="none"/>
        </w:rPr>
        <w:t>单位名称（盖章）：</w:t>
      </w:r>
    </w:p>
    <w:p w14:paraId="7E67F907">
      <w:pPr>
        <w:pStyle w:val="19"/>
        <w:snapToGrid w:val="0"/>
        <w:spacing w:beforeLines="0" w:afterLines="0" w:line="360" w:lineRule="auto"/>
        <w:ind w:firstLine="4800" w:firstLineChars="2000"/>
        <w:rPr>
          <w:rFonts w:hAnsi="宋体" w:cs="仿宋"/>
          <w:color w:val="auto"/>
          <w:highlight w:val="none"/>
        </w:rPr>
      </w:pPr>
      <w:r>
        <w:rPr>
          <w:rFonts w:hint="eastAsia" w:hAnsi="宋体" w:cs="仿宋"/>
          <w:color w:val="auto"/>
          <w:highlight w:val="none"/>
        </w:rPr>
        <w:t>日期：</w:t>
      </w:r>
    </w:p>
    <w:p w14:paraId="6FBCCD7D">
      <w:pPr>
        <w:pStyle w:val="19"/>
        <w:snapToGrid w:val="0"/>
        <w:spacing w:beforeLines="0" w:afterLines="0" w:line="360" w:lineRule="auto"/>
        <w:ind w:firstLine="4800" w:firstLineChars="2000"/>
        <w:rPr>
          <w:rFonts w:hAnsi="宋体" w:cs="仿宋"/>
          <w:color w:val="auto"/>
          <w:highlight w:val="none"/>
        </w:rPr>
      </w:pPr>
    </w:p>
    <w:p w14:paraId="442CBD3D">
      <w:pPr>
        <w:pStyle w:val="19"/>
        <w:snapToGrid w:val="0"/>
        <w:spacing w:beforeLines="0" w:afterLines="0" w:line="360" w:lineRule="auto"/>
        <w:ind w:firstLine="4800" w:firstLineChars="2000"/>
        <w:rPr>
          <w:rFonts w:hAnsi="宋体" w:cs="仿宋"/>
          <w:color w:val="auto"/>
          <w:highlight w:val="none"/>
        </w:rPr>
      </w:pPr>
    </w:p>
    <w:p w14:paraId="017E96F1">
      <w:pPr>
        <w:pStyle w:val="19"/>
        <w:snapToGrid w:val="0"/>
        <w:spacing w:beforeLines="0" w:afterLines="0" w:line="360" w:lineRule="auto"/>
        <w:ind w:firstLine="4800" w:firstLineChars="2000"/>
        <w:rPr>
          <w:rFonts w:hAnsi="宋体" w:cs="仿宋"/>
          <w:color w:val="auto"/>
          <w:highlight w:val="none"/>
        </w:rPr>
      </w:pPr>
    </w:p>
    <w:p w14:paraId="6C3B0E9E">
      <w:pPr>
        <w:pStyle w:val="19"/>
        <w:snapToGrid w:val="0"/>
        <w:spacing w:beforeLines="0" w:afterLines="0" w:line="360" w:lineRule="auto"/>
        <w:ind w:firstLine="4800" w:firstLineChars="2000"/>
        <w:rPr>
          <w:rFonts w:hAnsi="宋体" w:cs="仿宋"/>
          <w:color w:val="auto"/>
          <w:highlight w:val="none"/>
        </w:rPr>
      </w:pPr>
    </w:p>
    <w:p w14:paraId="6D85939A">
      <w:pPr>
        <w:pStyle w:val="19"/>
        <w:snapToGrid w:val="0"/>
        <w:spacing w:beforeLines="0" w:afterLines="0" w:line="360" w:lineRule="auto"/>
        <w:ind w:firstLine="4800" w:firstLineChars="2000"/>
        <w:rPr>
          <w:rFonts w:hAnsi="宋体" w:cs="仿宋"/>
          <w:color w:val="auto"/>
          <w:highlight w:val="none"/>
        </w:rPr>
      </w:pPr>
    </w:p>
    <w:p w14:paraId="3D9B175F">
      <w:pPr>
        <w:pStyle w:val="19"/>
        <w:snapToGrid w:val="0"/>
        <w:spacing w:beforeLines="0" w:afterLines="0" w:line="360" w:lineRule="auto"/>
        <w:ind w:firstLine="4800" w:firstLineChars="2000"/>
        <w:rPr>
          <w:rFonts w:hAnsi="宋体" w:cs="仿宋"/>
          <w:color w:val="auto"/>
          <w:highlight w:val="none"/>
        </w:rPr>
      </w:pPr>
    </w:p>
    <w:p w14:paraId="2360EED5">
      <w:pPr>
        <w:pStyle w:val="19"/>
        <w:snapToGrid w:val="0"/>
        <w:spacing w:beforeLines="0" w:afterLines="0" w:line="360" w:lineRule="auto"/>
        <w:ind w:firstLine="4800" w:firstLineChars="2000"/>
        <w:rPr>
          <w:rFonts w:hAnsi="宋体" w:cs="仿宋"/>
          <w:color w:val="auto"/>
          <w:highlight w:val="none"/>
        </w:rPr>
      </w:pPr>
    </w:p>
    <w:p w14:paraId="2B347448">
      <w:pPr>
        <w:pStyle w:val="19"/>
        <w:snapToGrid w:val="0"/>
        <w:spacing w:beforeLines="0" w:afterLines="0" w:line="360" w:lineRule="auto"/>
        <w:ind w:firstLine="4800" w:firstLineChars="2000"/>
        <w:rPr>
          <w:rFonts w:hAnsi="宋体" w:cs="仿宋"/>
          <w:color w:val="auto"/>
          <w:highlight w:val="none"/>
        </w:rPr>
      </w:pPr>
    </w:p>
    <w:p w14:paraId="47631597">
      <w:pPr>
        <w:pStyle w:val="19"/>
        <w:snapToGrid w:val="0"/>
        <w:spacing w:beforeLines="0" w:afterLines="0" w:line="360" w:lineRule="auto"/>
        <w:ind w:firstLine="4800" w:firstLineChars="2000"/>
        <w:rPr>
          <w:rFonts w:hAnsi="宋体" w:cs="仿宋"/>
          <w:color w:val="auto"/>
          <w:highlight w:val="none"/>
        </w:rPr>
      </w:pPr>
    </w:p>
    <w:p w14:paraId="273EA513">
      <w:pPr>
        <w:pStyle w:val="19"/>
        <w:snapToGrid w:val="0"/>
        <w:spacing w:beforeLines="0" w:afterLines="0" w:line="360" w:lineRule="auto"/>
        <w:ind w:firstLine="4800" w:firstLineChars="2000"/>
        <w:rPr>
          <w:rFonts w:hAnsi="宋体" w:cs="仿宋"/>
          <w:color w:val="auto"/>
          <w:highlight w:val="none"/>
        </w:rPr>
      </w:pPr>
    </w:p>
    <w:p w14:paraId="6FBAA383">
      <w:pPr>
        <w:pStyle w:val="19"/>
        <w:snapToGrid w:val="0"/>
        <w:spacing w:beforeLines="0" w:afterLines="0" w:line="360" w:lineRule="auto"/>
        <w:ind w:firstLine="4800" w:firstLineChars="2000"/>
        <w:rPr>
          <w:rFonts w:hAnsi="宋体" w:cs="仿宋"/>
          <w:color w:val="auto"/>
          <w:highlight w:val="none"/>
        </w:rPr>
      </w:pPr>
    </w:p>
    <w:p w14:paraId="207CF030">
      <w:pPr>
        <w:pStyle w:val="19"/>
        <w:snapToGrid w:val="0"/>
        <w:spacing w:beforeLines="0" w:afterLines="0" w:line="360" w:lineRule="auto"/>
        <w:ind w:firstLine="4800" w:firstLineChars="2000"/>
        <w:rPr>
          <w:rFonts w:hAnsi="宋体" w:cs="仿宋"/>
          <w:color w:val="auto"/>
          <w:highlight w:val="none"/>
        </w:rPr>
      </w:pPr>
    </w:p>
    <w:p w14:paraId="2D5AE8C8">
      <w:pPr>
        <w:pStyle w:val="19"/>
        <w:snapToGrid w:val="0"/>
        <w:spacing w:beforeLines="0" w:afterLines="0" w:line="360" w:lineRule="auto"/>
        <w:ind w:firstLine="4800" w:firstLineChars="2000"/>
        <w:rPr>
          <w:rFonts w:hAnsi="宋体" w:cs="仿宋"/>
          <w:color w:val="auto"/>
          <w:highlight w:val="none"/>
        </w:rPr>
      </w:pPr>
    </w:p>
    <w:p w14:paraId="4D104DB4">
      <w:pPr>
        <w:pStyle w:val="19"/>
        <w:snapToGrid w:val="0"/>
        <w:spacing w:beforeLines="0" w:afterLines="0" w:line="360" w:lineRule="auto"/>
        <w:ind w:firstLine="4800" w:firstLineChars="2000"/>
        <w:rPr>
          <w:rFonts w:hAnsi="宋体" w:cs="仿宋"/>
          <w:color w:val="auto"/>
          <w:highlight w:val="none"/>
        </w:rPr>
      </w:pPr>
    </w:p>
    <w:p w14:paraId="4335B4EF">
      <w:pPr>
        <w:pStyle w:val="19"/>
        <w:snapToGrid w:val="0"/>
        <w:spacing w:beforeLines="0" w:afterLines="0" w:line="360" w:lineRule="auto"/>
        <w:ind w:firstLine="4800" w:firstLineChars="2000"/>
        <w:rPr>
          <w:rFonts w:hAnsi="宋体" w:cs="仿宋"/>
          <w:color w:val="auto"/>
          <w:highlight w:val="none"/>
        </w:rPr>
      </w:pPr>
    </w:p>
    <w:p w14:paraId="7EBD3D31">
      <w:pPr>
        <w:pStyle w:val="19"/>
        <w:snapToGrid w:val="0"/>
        <w:spacing w:beforeLines="0" w:afterLines="0" w:line="360" w:lineRule="auto"/>
        <w:ind w:firstLine="4800" w:firstLineChars="2000"/>
        <w:rPr>
          <w:rFonts w:hAnsi="宋体" w:cs="仿宋"/>
          <w:color w:val="auto"/>
          <w:highlight w:val="none"/>
        </w:rPr>
      </w:pPr>
    </w:p>
    <w:p w14:paraId="3737B4D8">
      <w:pPr>
        <w:spacing w:line="360" w:lineRule="auto"/>
        <w:rPr>
          <w:color w:val="auto"/>
          <w:sz w:val="24"/>
          <w:highlight w:val="none"/>
        </w:rPr>
      </w:pPr>
      <w:r>
        <w:rPr>
          <w:rFonts w:hint="eastAsia"/>
          <w:color w:val="auto"/>
          <w:sz w:val="24"/>
          <w:highlight w:val="none"/>
        </w:rPr>
        <w:t>38.招标代理服务费承诺函</w:t>
      </w:r>
    </w:p>
    <w:p w14:paraId="75E6DDD0">
      <w:pPr>
        <w:spacing w:line="360" w:lineRule="auto"/>
        <w:jc w:val="center"/>
        <w:rPr>
          <w:b/>
          <w:color w:val="auto"/>
          <w:sz w:val="32"/>
          <w:highlight w:val="none"/>
        </w:rPr>
      </w:pPr>
    </w:p>
    <w:p w14:paraId="00883D80">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2B106738">
      <w:pPr>
        <w:spacing w:line="360" w:lineRule="auto"/>
        <w:rPr>
          <w:color w:val="auto"/>
          <w:sz w:val="24"/>
          <w:highlight w:val="none"/>
        </w:rPr>
      </w:pPr>
    </w:p>
    <w:p w14:paraId="3B04D917">
      <w:pPr>
        <w:spacing w:line="360" w:lineRule="auto"/>
        <w:rPr>
          <w:color w:val="auto"/>
          <w:sz w:val="24"/>
          <w:highlight w:val="none"/>
        </w:rPr>
      </w:pPr>
    </w:p>
    <w:p w14:paraId="499F4274">
      <w:pPr>
        <w:spacing w:line="360" w:lineRule="auto"/>
        <w:rPr>
          <w:color w:val="auto"/>
          <w:sz w:val="24"/>
          <w:highlight w:val="none"/>
        </w:rPr>
      </w:pPr>
    </w:p>
    <w:p w14:paraId="31DECB2E">
      <w:pPr>
        <w:spacing w:line="360" w:lineRule="auto"/>
        <w:rPr>
          <w:color w:val="auto"/>
          <w:sz w:val="24"/>
          <w:highlight w:val="none"/>
        </w:rPr>
      </w:pPr>
    </w:p>
    <w:p w14:paraId="023D9A12">
      <w:pPr>
        <w:spacing w:line="360" w:lineRule="auto"/>
        <w:ind w:firstLine="480" w:firstLineChars="200"/>
        <w:rPr>
          <w:color w:val="auto"/>
          <w:sz w:val="24"/>
          <w:highlight w:val="none"/>
        </w:rPr>
      </w:pPr>
    </w:p>
    <w:p w14:paraId="612890A2">
      <w:pPr>
        <w:spacing w:line="360" w:lineRule="auto"/>
        <w:ind w:firstLine="480" w:firstLineChars="200"/>
        <w:rPr>
          <w:color w:val="auto"/>
          <w:sz w:val="24"/>
          <w:highlight w:val="none"/>
        </w:rPr>
      </w:pPr>
    </w:p>
    <w:p w14:paraId="4A83E7A0">
      <w:pPr>
        <w:spacing w:line="360" w:lineRule="auto"/>
        <w:ind w:firstLine="480" w:firstLineChars="200"/>
        <w:rPr>
          <w:color w:val="auto"/>
          <w:sz w:val="24"/>
          <w:highlight w:val="none"/>
        </w:rPr>
      </w:pPr>
    </w:p>
    <w:p w14:paraId="6106EB56">
      <w:pPr>
        <w:pStyle w:val="10"/>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567BD28F">
      <w:pPr>
        <w:pStyle w:val="10"/>
        <w:spacing w:line="360" w:lineRule="auto"/>
        <w:ind w:firstLine="374" w:firstLineChars="156"/>
        <w:rPr>
          <w:rFonts w:ascii="宋体" w:hAnsi="宋体"/>
          <w:color w:val="auto"/>
          <w:sz w:val="24"/>
          <w:szCs w:val="24"/>
          <w:highlight w:val="none"/>
        </w:rPr>
      </w:pPr>
    </w:p>
    <w:p w14:paraId="331F4FEA">
      <w:pPr>
        <w:pStyle w:val="10"/>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51B2DB87">
      <w:pPr>
        <w:pStyle w:val="10"/>
        <w:spacing w:line="360" w:lineRule="auto"/>
        <w:ind w:firstLine="374" w:firstLineChars="156"/>
        <w:jc w:val="center"/>
        <w:rPr>
          <w:rFonts w:ascii="宋体" w:hAnsi="宋体"/>
          <w:color w:val="auto"/>
          <w:sz w:val="24"/>
          <w:szCs w:val="24"/>
          <w:highlight w:val="none"/>
        </w:rPr>
      </w:pPr>
    </w:p>
    <w:p w14:paraId="069AD3EF">
      <w:pPr>
        <w:pStyle w:val="10"/>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3DEAB696">
      <w:pPr>
        <w:pStyle w:val="19"/>
        <w:snapToGrid w:val="0"/>
        <w:spacing w:beforeLines="0" w:afterLines="0" w:line="360" w:lineRule="auto"/>
        <w:rPr>
          <w:color w:val="auto"/>
          <w:highlight w:val="none"/>
        </w:rPr>
      </w:pPr>
    </w:p>
    <w:p w14:paraId="4B1A79CB">
      <w:pPr>
        <w:pStyle w:val="10"/>
        <w:spacing w:line="500" w:lineRule="exact"/>
        <w:ind w:firstLine="0"/>
        <w:jc w:val="left"/>
        <w:rPr>
          <w:rFonts w:ascii="宋体" w:hAnsi="宋体"/>
          <w:color w:val="auto"/>
          <w:sz w:val="24"/>
          <w:szCs w:val="24"/>
          <w:highlight w:val="none"/>
          <w:u w:val="single"/>
        </w:rPr>
      </w:pPr>
    </w:p>
    <w:p w14:paraId="40E8FBDA">
      <w:pPr>
        <w:pStyle w:val="10"/>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1DA7BF07">
      <w:pPr>
        <w:pStyle w:val="10"/>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358A180C">
      <w:pPr>
        <w:snapToGrid w:val="0"/>
        <w:jc w:val="left"/>
        <w:rPr>
          <w:rFonts w:ascii="宋体" w:hAnsi="宋体"/>
          <w:color w:val="auto"/>
          <w:sz w:val="24"/>
          <w:highlight w:val="none"/>
        </w:rPr>
      </w:pPr>
    </w:p>
    <w:p w14:paraId="6DEEDF6F">
      <w:pPr>
        <w:snapToGrid w:val="0"/>
        <w:jc w:val="left"/>
        <w:rPr>
          <w:rFonts w:ascii="宋体" w:hAnsi="宋体"/>
          <w:color w:val="auto"/>
          <w:sz w:val="24"/>
          <w:highlight w:val="none"/>
        </w:rPr>
      </w:pPr>
    </w:p>
    <w:p w14:paraId="1908E122">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661EEE7E">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3D2F3C6F">
      <w:pPr>
        <w:tabs>
          <w:tab w:val="left" w:pos="1418"/>
        </w:tabs>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银行账号：1205210409001029749</w:t>
      </w:r>
    </w:p>
    <w:p w14:paraId="38ED2C05">
      <w:pPr>
        <w:tabs>
          <w:tab w:val="left" w:pos="1418"/>
        </w:tabs>
        <w:snapToGrid w:val="0"/>
        <w:spacing w:before="50" w:after="50"/>
        <w:rPr>
          <w:rFonts w:ascii="宋体" w:hAnsi="宋体"/>
          <w:color w:val="auto"/>
          <w:sz w:val="24"/>
          <w:highlight w:val="none"/>
        </w:rPr>
      </w:pPr>
    </w:p>
    <w:p w14:paraId="6511846A">
      <w:pPr>
        <w:tabs>
          <w:tab w:val="left" w:pos="1418"/>
        </w:tabs>
        <w:snapToGrid w:val="0"/>
        <w:spacing w:before="50" w:after="50"/>
        <w:rPr>
          <w:rFonts w:ascii="宋体" w:hAnsi="宋体"/>
          <w:color w:val="auto"/>
          <w:spacing w:val="20"/>
          <w:sz w:val="24"/>
          <w:szCs w:val="20"/>
          <w:highlight w:val="none"/>
          <w:u w:val="single"/>
        </w:rPr>
      </w:pPr>
    </w:p>
    <w:p w14:paraId="06C027AB">
      <w:pPr>
        <w:pStyle w:val="19"/>
        <w:snapToGrid w:val="0"/>
        <w:spacing w:beforeLines="0" w:afterLines="0" w:line="360" w:lineRule="auto"/>
        <w:rPr>
          <w:color w:val="auto"/>
          <w:highlight w:val="none"/>
        </w:rPr>
      </w:pPr>
    </w:p>
    <w:p w14:paraId="0DF986F5">
      <w:pPr>
        <w:pStyle w:val="3"/>
        <w:ind w:firstLine="280"/>
        <w:rPr>
          <w:color w:val="auto"/>
          <w:highlight w:val="none"/>
        </w:rPr>
      </w:pPr>
    </w:p>
    <w:p w14:paraId="73E3808C">
      <w:pPr>
        <w:pStyle w:val="3"/>
        <w:ind w:firstLine="280"/>
        <w:rPr>
          <w:color w:val="auto"/>
          <w:highlight w:val="none"/>
        </w:rPr>
      </w:pPr>
    </w:p>
    <w:p w14:paraId="27361B2E">
      <w:pPr>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39.开标一览表 </w:t>
      </w:r>
    </w:p>
    <w:p w14:paraId="27497123">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53583A92">
      <w:pPr>
        <w:snapToGrid w:val="0"/>
        <w:spacing w:before="50" w:after="50"/>
        <w:rPr>
          <w:rFonts w:ascii="宋体" w:hAnsi="宋体"/>
          <w:color w:val="auto"/>
          <w:sz w:val="24"/>
          <w:highlight w:val="none"/>
        </w:rPr>
      </w:pPr>
      <w:r>
        <w:rPr>
          <w:rFonts w:hint="eastAsia" w:ascii="宋体" w:hAnsi="宋体"/>
          <w:color w:val="auto"/>
          <w:sz w:val="24"/>
          <w:highlight w:val="none"/>
        </w:rPr>
        <w:t>招标编号：   项目名称：    投标人名称：单位：元</w:t>
      </w:r>
    </w:p>
    <w:tbl>
      <w:tblPr>
        <w:tblStyle w:val="3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25885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1CF82913">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329657AF">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2367F3CD">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2CD6895C">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10DD7954">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投标报价</w:t>
            </w:r>
          </w:p>
        </w:tc>
      </w:tr>
      <w:tr w14:paraId="24719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440C8E87">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07BDBB82">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1021BDBE">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70AE657">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99C12C1">
            <w:pPr>
              <w:snapToGrid w:val="0"/>
              <w:spacing w:before="50" w:after="50"/>
              <w:rPr>
                <w:rFonts w:ascii="宋体" w:hAnsi="宋体"/>
                <w:color w:val="auto"/>
                <w:sz w:val="32"/>
                <w:szCs w:val="21"/>
                <w:highlight w:val="none"/>
              </w:rPr>
            </w:pPr>
          </w:p>
        </w:tc>
      </w:tr>
      <w:tr w14:paraId="70C9C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67A2CEB2">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695BEF73">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5E858155">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F9AA112">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CDBFFE7">
            <w:pPr>
              <w:snapToGrid w:val="0"/>
              <w:spacing w:before="50" w:after="50"/>
              <w:rPr>
                <w:rFonts w:ascii="宋体" w:hAnsi="宋体"/>
                <w:color w:val="auto"/>
                <w:sz w:val="32"/>
                <w:szCs w:val="21"/>
                <w:highlight w:val="none"/>
              </w:rPr>
            </w:pPr>
          </w:p>
        </w:tc>
      </w:tr>
      <w:tr w14:paraId="41213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59A5B9D8">
            <w:pPr>
              <w:snapToGrid w:val="0"/>
              <w:spacing w:before="50" w:after="50"/>
              <w:jc w:val="left"/>
              <w:rPr>
                <w:rFonts w:ascii="宋体" w:hAnsi="宋体"/>
                <w:bCs/>
                <w:color w:val="auto"/>
                <w:sz w:val="24"/>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41ECF083">
            <w:pPr>
              <w:snapToGrid w:val="0"/>
              <w:spacing w:before="50" w:after="50"/>
              <w:jc w:val="center"/>
              <w:rPr>
                <w:rFonts w:ascii="宋体" w:hAnsi="宋体"/>
                <w:color w:val="auto"/>
                <w:sz w:val="24"/>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49E58494">
            <w:pPr>
              <w:snapToGrid w:val="0"/>
              <w:spacing w:before="50" w:after="50"/>
              <w:jc w:val="center"/>
              <w:rPr>
                <w:rFonts w:ascii="宋体" w:hAnsi="宋体"/>
                <w:color w:val="auto"/>
                <w:sz w:val="24"/>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5372889">
            <w:pPr>
              <w:snapToGrid w:val="0"/>
              <w:spacing w:before="50" w:after="50"/>
              <w:rPr>
                <w:rFonts w:ascii="宋体" w:hAnsi="宋体"/>
                <w:color w:val="auto"/>
                <w:sz w:val="24"/>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A557144">
            <w:pPr>
              <w:snapToGrid w:val="0"/>
              <w:spacing w:before="50" w:after="50"/>
              <w:rPr>
                <w:rFonts w:ascii="宋体" w:hAnsi="宋体"/>
                <w:color w:val="auto"/>
                <w:sz w:val="24"/>
                <w:szCs w:val="21"/>
                <w:highlight w:val="none"/>
              </w:rPr>
            </w:pPr>
          </w:p>
        </w:tc>
      </w:tr>
      <w:tr w14:paraId="1198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14:paraId="1F67A228">
            <w:pPr>
              <w:snapToGrid w:val="0"/>
              <w:spacing w:before="50" w:after="50"/>
              <w:rPr>
                <w:rFonts w:ascii="宋体" w:hAnsi="宋体"/>
                <w:color w:val="auto"/>
                <w:sz w:val="24"/>
                <w:szCs w:val="21"/>
                <w:highlight w:val="none"/>
              </w:rPr>
            </w:pPr>
            <w:r>
              <w:rPr>
                <w:rFonts w:hint="eastAsia" w:ascii="宋体" w:hAnsi="宋体"/>
                <w:color w:val="auto"/>
                <w:sz w:val="24"/>
                <w:szCs w:val="21"/>
                <w:highlight w:val="none"/>
              </w:rPr>
              <w:t>投标费用及利润</w:t>
            </w:r>
          </w:p>
        </w:tc>
        <w:tc>
          <w:tcPr>
            <w:tcW w:w="1985" w:type="dxa"/>
            <w:tcBorders>
              <w:top w:val="single" w:color="auto" w:sz="4" w:space="0"/>
              <w:left w:val="single" w:color="auto" w:sz="4" w:space="0"/>
              <w:bottom w:val="single" w:color="auto" w:sz="4" w:space="0"/>
              <w:right w:val="single" w:color="auto" w:sz="4" w:space="0"/>
            </w:tcBorders>
            <w:vAlign w:val="center"/>
          </w:tcPr>
          <w:p w14:paraId="13309B9C">
            <w:pPr>
              <w:snapToGrid w:val="0"/>
              <w:spacing w:before="50" w:after="50"/>
              <w:rPr>
                <w:rFonts w:ascii="宋体" w:hAnsi="宋体"/>
                <w:color w:val="auto"/>
                <w:sz w:val="24"/>
                <w:szCs w:val="21"/>
                <w:highlight w:val="none"/>
              </w:rPr>
            </w:pPr>
          </w:p>
        </w:tc>
      </w:tr>
      <w:tr w14:paraId="24CA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4B2AF412">
            <w:pPr>
              <w:snapToGrid w:val="0"/>
              <w:spacing w:before="50" w:after="50"/>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hint="eastAsia"/>
                <w:color w:val="auto"/>
                <w:sz w:val="24"/>
                <w:highlight w:val="none"/>
              </w:rPr>
              <w:t>人民币元￥</w:t>
            </w:r>
          </w:p>
        </w:tc>
      </w:tr>
    </w:tbl>
    <w:p w14:paraId="33D7408D">
      <w:pPr>
        <w:snapToGrid w:val="0"/>
        <w:spacing w:before="50" w:after="50"/>
        <w:rPr>
          <w:rFonts w:ascii="宋体" w:hAnsi="宋体"/>
          <w:color w:val="auto"/>
          <w:sz w:val="24"/>
          <w:szCs w:val="20"/>
          <w:highlight w:val="none"/>
        </w:rPr>
      </w:pPr>
    </w:p>
    <w:p w14:paraId="47955FBF">
      <w:pPr>
        <w:snapToGrid w:val="0"/>
        <w:spacing w:line="360" w:lineRule="auto"/>
        <w:rPr>
          <w:rFonts w:ascii="宋体" w:hAnsi="宋体"/>
          <w:color w:val="auto"/>
          <w:sz w:val="24"/>
          <w:highlight w:val="none"/>
        </w:rPr>
      </w:pPr>
    </w:p>
    <w:p w14:paraId="20850849">
      <w:pPr>
        <w:snapToGrid w:val="0"/>
        <w:spacing w:line="360" w:lineRule="auto"/>
        <w:rPr>
          <w:rFonts w:ascii="宋体" w:hAnsi="宋体"/>
          <w:color w:val="auto"/>
          <w:sz w:val="24"/>
          <w:highlight w:val="none"/>
        </w:rPr>
      </w:pPr>
    </w:p>
    <w:p w14:paraId="1E95D9D8">
      <w:pPr>
        <w:snapToGrid w:val="0"/>
        <w:spacing w:line="360" w:lineRule="auto"/>
        <w:rPr>
          <w:rFonts w:ascii="宋体" w:hAnsi="宋体"/>
          <w:color w:val="auto"/>
          <w:sz w:val="24"/>
          <w:highlight w:val="none"/>
        </w:rPr>
      </w:pPr>
    </w:p>
    <w:p w14:paraId="3BE5A46A">
      <w:pPr>
        <w:snapToGrid w:val="0"/>
        <w:spacing w:line="360" w:lineRule="auto"/>
        <w:rPr>
          <w:rFonts w:ascii="宋体" w:hAnsi="宋体"/>
          <w:color w:val="auto"/>
          <w:sz w:val="24"/>
          <w:highlight w:val="none"/>
        </w:rPr>
      </w:pPr>
    </w:p>
    <w:p w14:paraId="4E2BCB19">
      <w:pPr>
        <w:snapToGrid w:val="0"/>
        <w:spacing w:line="360" w:lineRule="auto"/>
        <w:rPr>
          <w:rFonts w:ascii="宋体" w:hAnsi="宋体"/>
          <w:color w:val="auto"/>
          <w:sz w:val="24"/>
          <w:highlight w:val="none"/>
        </w:rPr>
      </w:pPr>
    </w:p>
    <w:p w14:paraId="4A720409">
      <w:pPr>
        <w:snapToGrid w:val="0"/>
        <w:spacing w:line="360" w:lineRule="auto"/>
        <w:rPr>
          <w:rFonts w:ascii="宋体" w:hAnsi="宋体"/>
          <w:color w:val="auto"/>
          <w:sz w:val="24"/>
          <w:highlight w:val="none"/>
        </w:rPr>
      </w:pPr>
    </w:p>
    <w:p w14:paraId="180D1EFD">
      <w:pPr>
        <w:snapToGrid w:val="0"/>
        <w:spacing w:line="360" w:lineRule="auto"/>
        <w:rPr>
          <w:rFonts w:ascii="宋体" w:hAnsi="宋体"/>
          <w:color w:val="auto"/>
          <w:sz w:val="24"/>
          <w:highlight w:val="none"/>
        </w:rPr>
      </w:pPr>
    </w:p>
    <w:p w14:paraId="42E2EAF9">
      <w:pPr>
        <w:snapToGrid w:val="0"/>
        <w:spacing w:line="360" w:lineRule="auto"/>
        <w:rPr>
          <w:rFonts w:ascii="宋体" w:hAnsi="宋体"/>
          <w:color w:val="auto"/>
          <w:sz w:val="24"/>
          <w:highlight w:val="none"/>
        </w:rPr>
      </w:pPr>
    </w:p>
    <w:p w14:paraId="5C44E308">
      <w:pPr>
        <w:snapToGrid w:val="0"/>
        <w:spacing w:line="360" w:lineRule="auto"/>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xml:space="preserve">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0BA0D4E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、投标费用包括项目实施所需的人工费、服务费、运输费、安装调试费、购买及制作标书费、税费及其他一切费用。</w:t>
      </w:r>
    </w:p>
    <w:p w14:paraId="3FA6AD76">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3、以上报价应与“投标报价明细表”中的“投标总价”相一致。</w:t>
      </w:r>
    </w:p>
    <w:p w14:paraId="207D4176">
      <w:pPr>
        <w:snapToGrid w:val="0"/>
        <w:spacing w:line="360" w:lineRule="auto"/>
        <w:ind w:left="-2" w:leftChars="-1" w:right="-817" w:rightChars="-389"/>
        <w:rPr>
          <w:rFonts w:ascii="宋体" w:hAnsi="宋体"/>
          <w:color w:val="auto"/>
          <w:sz w:val="24"/>
          <w:highlight w:val="none"/>
        </w:rPr>
      </w:pPr>
    </w:p>
    <w:p w14:paraId="65C8A1DB">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p>
    <w:p w14:paraId="71CBD7AF">
      <w:pPr>
        <w:snapToGrid w:val="0"/>
        <w:spacing w:line="360" w:lineRule="auto"/>
        <w:ind w:right="-817" w:rightChars="-389"/>
        <w:rPr>
          <w:rFonts w:ascii="宋体" w:hAnsi="宋体"/>
          <w:color w:val="auto"/>
          <w:sz w:val="24"/>
          <w:highlight w:val="none"/>
        </w:rPr>
      </w:pPr>
      <w:r>
        <w:rPr>
          <w:rFonts w:hint="eastAsia" w:ascii="宋体" w:hAnsi="宋体"/>
          <w:color w:val="auto"/>
          <w:sz w:val="24"/>
          <w:highlight w:val="none"/>
        </w:rPr>
        <w:t>投标人名称（盖章）：日期：年月日</w:t>
      </w:r>
    </w:p>
    <w:p w14:paraId="7F748E92">
      <w:pPr>
        <w:pStyle w:val="3"/>
        <w:ind w:firstLine="280"/>
        <w:rPr>
          <w:color w:val="auto"/>
          <w:highlight w:val="none"/>
        </w:rPr>
      </w:pPr>
    </w:p>
    <w:p w14:paraId="12DDAA63">
      <w:pPr>
        <w:pStyle w:val="3"/>
        <w:ind w:firstLine="280"/>
        <w:rPr>
          <w:color w:val="auto"/>
          <w:highlight w:val="none"/>
        </w:rPr>
      </w:pPr>
    </w:p>
    <w:p w14:paraId="23824BC2">
      <w:pPr>
        <w:pStyle w:val="3"/>
        <w:ind w:firstLine="280"/>
        <w:rPr>
          <w:color w:val="auto"/>
          <w:highlight w:val="none"/>
        </w:rPr>
      </w:pPr>
    </w:p>
    <w:p w14:paraId="1A6010E3">
      <w:pPr>
        <w:pStyle w:val="3"/>
        <w:ind w:firstLine="280"/>
        <w:rPr>
          <w:color w:val="auto"/>
          <w:highlight w:val="none"/>
        </w:rPr>
      </w:pPr>
    </w:p>
    <w:p w14:paraId="6A628118">
      <w:pPr>
        <w:pStyle w:val="3"/>
        <w:ind w:firstLine="280"/>
        <w:rPr>
          <w:color w:val="auto"/>
          <w:highlight w:val="none"/>
        </w:rPr>
      </w:pPr>
    </w:p>
    <w:p w14:paraId="0C3537F1">
      <w:pPr>
        <w:pStyle w:val="3"/>
        <w:ind w:firstLine="280"/>
        <w:rPr>
          <w:color w:val="auto"/>
          <w:highlight w:val="none"/>
        </w:rPr>
      </w:pPr>
    </w:p>
    <w:p w14:paraId="71BDB719">
      <w:pPr>
        <w:pStyle w:val="3"/>
        <w:ind w:firstLine="280"/>
        <w:rPr>
          <w:color w:val="auto"/>
          <w:highlight w:val="none"/>
        </w:rPr>
      </w:pPr>
    </w:p>
    <w:p w14:paraId="420AD660">
      <w:pPr>
        <w:pStyle w:val="3"/>
        <w:ind w:firstLine="280"/>
        <w:rPr>
          <w:color w:val="auto"/>
          <w:highlight w:val="none"/>
        </w:rPr>
      </w:pPr>
    </w:p>
    <w:p w14:paraId="3FDD9B75">
      <w:pPr>
        <w:pStyle w:val="3"/>
        <w:ind w:firstLine="280"/>
        <w:rPr>
          <w:color w:val="auto"/>
          <w:highlight w:val="none"/>
        </w:rPr>
      </w:pPr>
    </w:p>
    <w:p w14:paraId="2871B401">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36F706B2">
      <w:pPr>
        <w:pStyle w:val="3"/>
        <w:ind w:firstLine="280"/>
        <w:rPr>
          <w:color w:val="auto"/>
          <w:highlight w:val="none"/>
        </w:rPr>
      </w:pPr>
    </w:p>
    <w:p w14:paraId="01F77016">
      <w:pPr>
        <w:spacing w:line="360" w:lineRule="auto"/>
        <w:rPr>
          <w:i/>
          <w:color w:val="auto"/>
          <w:sz w:val="28"/>
          <w:szCs w:val="28"/>
          <w:highlight w:val="none"/>
        </w:rPr>
      </w:pPr>
    </w:p>
    <w:p w14:paraId="202FC35D">
      <w:pPr>
        <w:rPr>
          <w:color w:val="auto"/>
          <w:highlight w:val="none"/>
        </w:rPr>
      </w:pPr>
      <w:r>
        <w:rPr>
          <w:color w:val="auto"/>
          <w:highlight w:val="none"/>
        </w:rPr>
        <w:drawing>
          <wp:inline distT="0" distB="0" distL="0" distR="0">
            <wp:extent cx="5172075" cy="38442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rPr>
          <w:color w:val="auto"/>
          <w:highlight w:val="none"/>
        </w:rPr>
        <w:drawing>
          <wp:inline distT="0" distB="0" distL="0" distR="0">
            <wp:extent cx="5274310" cy="306578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p w14:paraId="191E9A03">
      <w:pPr>
        <w:rPr>
          <w:color w:val="auto"/>
          <w:highlight w:val="none"/>
        </w:rPr>
      </w:pP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创艺简标宋">
    <w:altName w:val="微软雅黑"/>
    <w:panose1 w:val="00000000000000000000"/>
    <w:charset w:val="86"/>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27E0">
    <w:pPr>
      <w:pStyle w:val="24"/>
      <w:framePr w:wrap="around" w:vAnchor="text" w:hAnchor="margin" w:xAlign="outside" w:y="1"/>
      <w:rPr>
        <w:rStyle w:val="38"/>
        <w:rFonts w:ascii="宋体" w:hAnsi="宋体"/>
        <w:sz w:val="28"/>
        <w:szCs w:val="28"/>
      </w:rPr>
    </w:pPr>
  </w:p>
  <w:p w14:paraId="1B763995">
    <w:pPr>
      <w:pStyle w:val="85"/>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2E3C">
    <w:pPr>
      <w:pStyle w:val="24"/>
      <w:framePr w:wrap="around" w:vAnchor="text" w:hAnchor="margin" w:xAlign="outside" w:y="1"/>
      <w:rPr>
        <w:rStyle w:val="38"/>
      </w:rPr>
    </w:pPr>
    <w:r>
      <w:fldChar w:fldCharType="begin"/>
    </w:r>
    <w:r>
      <w:rPr>
        <w:rStyle w:val="38"/>
      </w:rPr>
      <w:instrText xml:space="preserve">PAGE  </w:instrText>
    </w:r>
    <w:r>
      <w:fldChar w:fldCharType="end"/>
    </w:r>
  </w:p>
  <w:p w14:paraId="416804AC">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5CF4">
    <w:pPr>
      <w:pStyle w:val="19"/>
      <w:snapToGrid w:val="0"/>
      <w:spacing w:beforeLines="0" w:afterLines="0" w:line="360" w:lineRule="auto"/>
      <w:rPr>
        <w:rFonts w:hAnsi="宋体"/>
        <w:sz w:val="21"/>
        <w:szCs w:val="21"/>
        <w:u w:val="single"/>
      </w:rPr>
    </w:pPr>
    <w:r>
      <w:rPr>
        <w:rFonts w:hint="eastAsia" w:cs="Arial"/>
        <w:sz w:val="21"/>
        <w:szCs w:val="21"/>
        <w:u w:val="single"/>
      </w:rPr>
      <w:t xml:space="preserve">湖州市森林资源高水平保护与高质量发展研究项目                                     </w:t>
    </w:r>
    <w:r>
      <w:rPr>
        <w:rFonts w:hint="eastAsia" w:hAnsi="宋体" w:cs="Arial"/>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00E216D2"/>
    <w:rsid w:val="0000065E"/>
    <w:rsid w:val="00005157"/>
    <w:rsid w:val="00006763"/>
    <w:rsid w:val="00017C00"/>
    <w:rsid w:val="00020D08"/>
    <w:rsid w:val="000301EE"/>
    <w:rsid w:val="00031257"/>
    <w:rsid w:val="00031E10"/>
    <w:rsid w:val="0003640D"/>
    <w:rsid w:val="000378C6"/>
    <w:rsid w:val="00041A3D"/>
    <w:rsid w:val="00043750"/>
    <w:rsid w:val="00045E78"/>
    <w:rsid w:val="000469D2"/>
    <w:rsid w:val="00050DF1"/>
    <w:rsid w:val="00052B45"/>
    <w:rsid w:val="000537F8"/>
    <w:rsid w:val="00071560"/>
    <w:rsid w:val="00075831"/>
    <w:rsid w:val="00076AAB"/>
    <w:rsid w:val="0008165F"/>
    <w:rsid w:val="000847EA"/>
    <w:rsid w:val="00094C67"/>
    <w:rsid w:val="00096A1A"/>
    <w:rsid w:val="00097DC1"/>
    <w:rsid w:val="000A48E3"/>
    <w:rsid w:val="000B6720"/>
    <w:rsid w:val="000B6A5E"/>
    <w:rsid w:val="000C5297"/>
    <w:rsid w:val="000C5822"/>
    <w:rsid w:val="000D703D"/>
    <w:rsid w:val="000E3D09"/>
    <w:rsid w:val="000E4E0F"/>
    <w:rsid w:val="000E5D2F"/>
    <w:rsid w:val="000E6032"/>
    <w:rsid w:val="000E7331"/>
    <w:rsid w:val="000F629F"/>
    <w:rsid w:val="00111D83"/>
    <w:rsid w:val="00115FEC"/>
    <w:rsid w:val="00116E71"/>
    <w:rsid w:val="00121003"/>
    <w:rsid w:val="00121E54"/>
    <w:rsid w:val="00137F13"/>
    <w:rsid w:val="00143EC2"/>
    <w:rsid w:val="00145824"/>
    <w:rsid w:val="00152E96"/>
    <w:rsid w:val="00153FF2"/>
    <w:rsid w:val="001541D3"/>
    <w:rsid w:val="0016025A"/>
    <w:rsid w:val="001638C2"/>
    <w:rsid w:val="00163A04"/>
    <w:rsid w:val="00163BAC"/>
    <w:rsid w:val="00170E30"/>
    <w:rsid w:val="0017145A"/>
    <w:rsid w:val="00172C46"/>
    <w:rsid w:val="00176308"/>
    <w:rsid w:val="0017682C"/>
    <w:rsid w:val="0018046D"/>
    <w:rsid w:val="0018441F"/>
    <w:rsid w:val="00186646"/>
    <w:rsid w:val="00187591"/>
    <w:rsid w:val="00190EAD"/>
    <w:rsid w:val="00194D1F"/>
    <w:rsid w:val="001E35CF"/>
    <w:rsid w:val="001F1AE5"/>
    <w:rsid w:val="001F470F"/>
    <w:rsid w:val="00201764"/>
    <w:rsid w:val="00206DEE"/>
    <w:rsid w:val="00215E4C"/>
    <w:rsid w:val="00217225"/>
    <w:rsid w:val="00220761"/>
    <w:rsid w:val="002232DA"/>
    <w:rsid w:val="00225466"/>
    <w:rsid w:val="0022551C"/>
    <w:rsid w:val="002278E7"/>
    <w:rsid w:val="00230DB6"/>
    <w:rsid w:val="002404F4"/>
    <w:rsid w:val="002413DF"/>
    <w:rsid w:val="00243520"/>
    <w:rsid w:val="00245DDA"/>
    <w:rsid w:val="00245F9D"/>
    <w:rsid w:val="0025351F"/>
    <w:rsid w:val="00261962"/>
    <w:rsid w:val="00262D1F"/>
    <w:rsid w:val="00281467"/>
    <w:rsid w:val="00282E8B"/>
    <w:rsid w:val="00285874"/>
    <w:rsid w:val="00292065"/>
    <w:rsid w:val="0029341E"/>
    <w:rsid w:val="00294B8B"/>
    <w:rsid w:val="002A0CC6"/>
    <w:rsid w:val="002B695B"/>
    <w:rsid w:val="002C7F68"/>
    <w:rsid w:val="002D217E"/>
    <w:rsid w:val="002D3533"/>
    <w:rsid w:val="002E0129"/>
    <w:rsid w:val="002E5879"/>
    <w:rsid w:val="002F45C9"/>
    <w:rsid w:val="00301566"/>
    <w:rsid w:val="00304DC0"/>
    <w:rsid w:val="00306391"/>
    <w:rsid w:val="0030728A"/>
    <w:rsid w:val="00313155"/>
    <w:rsid w:val="003312A0"/>
    <w:rsid w:val="00332E97"/>
    <w:rsid w:val="00341258"/>
    <w:rsid w:val="003537CF"/>
    <w:rsid w:val="003606C7"/>
    <w:rsid w:val="00363B40"/>
    <w:rsid w:val="003745DA"/>
    <w:rsid w:val="00397F58"/>
    <w:rsid w:val="003B5AED"/>
    <w:rsid w:val="003B6788"/>
    <w:rsid w:val="003B761B"/>
    <w:rsid w:val="003C476D"/>
    <w:rsid w:val="003C5678"/>
    <w:rsid w:val="003C7D7C"/>
    <w:rsid w:val="003D5ABD"/>
    <w:rsid w:val="003D777B"/>
    <w:rsid w:val="003F3529"/>
    <w:rsid w:val="003F3D77"/>
    <w:rsid w:val="004012F9"/>
    <w:rsid w:val="00424EA2"/>
    <w:rsid w:val="00426CD2"/>
    <w:rsid w:val="00427EAA"/>
    <w:rsid w:val="0043548A"/>
    <w:rsid w:val="00435FF5"/>
    <w:rsid w:val="0044312F"/>
    <w:rsid w:val="004458DF"/>
    <w:rsid w:val="00455896"/>
    <w:rsid w:val="00455B52"/>
    <w:rsid w:val="00455E50"/>
    <w:rsid w:val="00480751"/>
    <w:rsid w:val="00493B7F"/>
    <w:rsid w:val="004A02FF"/>
    <w:rsid w:val="004A0644"/>
    <w:rsid w:val="004A7516"/>
    <w:rsid w:val="004B0641"/>
    <w:rsid w:val="004B2A30"/>
    <w:rsid w:val="004B5E1F"/>
    <w:rsid w:val="004C61BB"/>
    <w:rsid w:val="004D5D40"/>
    <w:rsid w:val="004E2AC0"/>
    <w:rsid w:val="004F523E"/>
    <w:rsid w:val="005072C4"/>
    <w:rsid w:val="00510F01"/>
    <w:rsid w:val="00511F63"/>
    <w:rsid w:val="00514702"/>
    <w:rsid w:val="00520D64"/>
    <w:rsid w:val="00527A13"/>
    <w:rsid w:val="00527A85"/>
    <w:rsid w:val="00530F24"/>
    <w:rsid w:val="005350D7"/>
    <w:rsid w:val="00542831"/>
    <w:rsid w:val="005436A6"/>
    <w:rsid w:val="00544E38"/>
    <w:rsid w:val="00550C0A"/>
    <w:rsid w:val="005576A8"/>
    <w:rsid w:val="00563642"/>
    <w:rsid w:val="00565BDD"/>
    <w:rsid w:val="00570BC1"/>
    <w:rsid w:val="0057110D"/>
    <w:rsid w:val="00574CB8"/>
    <w:rsid w:val="00576584"/>
    <w:rsid w:val="00577134"/>
    <w:rsid w:val="00580CC3"/>
    <w:rsid w:val="005907D8"/>
    <w:rsid w:val="00592CE3"/>
    <w:rsid w:val="00592CEA"/>
    <w:rsid w:val="00594C9B"/>
    <w:rsid w:val="005A0038"/>
    <w:rsid w:val="005A1285"/>
    <w:rsid w:val="005A4D82"/>
    <w:rsid w:val="005B1AB2"/>
    <w:rsid w:val="005C009E"/>
    <w:rsid w:val="005C6C99"/>
    <w:rsid w:val="005D1563"/>
    <w:rsid w:val="005E1E28"/>
    <w:rsid w:val="005E3222"/>
    <w:rsid w:val="005E3CA1"/>
    <w:rsid w:val="005E49CF"/>
    <w:rsid w:val="005E4D99"/>
    <w:rsid w:val="005F771F"/>
    <w:rsid w:val="005F7738"/>
    <w:rsid w:val="00607217"/>
    <w:rsid w:val="00613FF7"/>
    <w:rsid w:val="0061765C"/>
    <w:rsid w:val="00620785"/>
    <w:rsid w:val="006217D5"/>
    <w:rsid w:val="0062250A"/>
    <w:rsid w:val="0063005F"/>
    <w:rsid w:val="00633F64"/>
    <w:rsid w:val="00636C22"/>
    <w:rsid w:val="006414A1"/>
    <w:rsid w:val="0064603E"/>
    <w:rsid w:val="0065566B"/>
    <w:rsid w:val="00670607"/>
    <w:rsid w:val="00672A5F"/>
    <w:rsid w:val="006804FB"/>
    <w:rsid w:val="00681104"/>
    <w:rsid w:val="006812A7"/>
    <w:rsid w:val="0068571F"/>
    <w:rsid w:val="00687FFD"/>
    <w:rsid w:val="00693654"/>
    <w:rsid w:val="00693F81"/>
    <w:rsid w:val="006B00F4"/>
    <w:rsid w:val="006B7826"/>
    <w:rsid w:val="006C0CCB"/>
    <w:rsid w:val="006C0E9E"/>
    <w:rsid w:val="006C15D4"/>
    <w:rsid w:val="006C1AF3"/>
    <w:rsid w:val="006C339F"/>
    <w:rsid w:val="006C3E5D"/>
    <w:rsid w:val="006E506C"/>
    <w:rsid w:val="006E6D4D"/>
    <w:rsid w:val="006F659B"/>
    <w:rsid w:val="00701FA9"/>
    <w:rsid w:val="00714C84"/>
    <w:rsid w:val="00716AC2"/>
    <w:rsid w:val="00727A5A"/>
    <w:rsid w:val="007306F9"/>
    <w:rsid w:val="00731FA8"/>
    <w:rsid w:val="00737CA4"/>
    <w:rsid w:val="007417F1"/>
    <w:rsid w:val="00741BDA"/>
    <w:rsid w:val="0074426A"/>
    <w:rsid w:val="00753439"/>
    <w:rsid w:val="00754903"/>
    <w:rsid w:val="00755DB4"/>
    <w:rsid w:val="007644A3"/>
    <w:rsid w:val="00784160"/>
    <w:rsid w:val="0079280F"/>
    <w:rsid w:val="00793235"/>
    <w:rsid w:val="0079456F"/>
    <w:rsid w:val="007A098C"/>
    <w:rsid w:val="007A187E"/>
    <w:rsid w:val="007A2842"/>
    <w:rsid w:val="007B2EF2"/>
    <w:rsid w:val="007B40C9"/>
    <w:rsid w:val="007B4B8A"/>
    <w:rsid w:val="007B79D9"/>
    <w:rsid w:val="007D69A6"/>
    <w:rsid w:val="007D7BF0"/>
    <w:rsid w:val="007D7C8B"/>
    <w:rsid w:val="007E1C32"/>
    <w:rsid w:val="007E27D0"/>
    <w:rsid w:val="007E7997"/>
    <w:rsid w:val="007F062E"/>
    <w:rsid w:val="007F2783"/>
    <w:rsid w:val="00803840"/>
    <w:rsid w:val="008117C6"/>
    <w:rsid w:val="00811F1C"/>
    <w:rsid w:val="00811FAF"/>
    <w:rsid w:val="008147C3"/>
    <w:rsid w:val="00817B44"/>
    <w:rsid w:val="00836455"/>
    <w:rsid w:val="00844889"/>
    <w:rsid w:val="00857DF3"/>
    <w:rsid w:val="0086188A"/>
    <w:rsid w:val="00864CB7"/>
    <w:rsid w:val="008740FC"/>
    <w:rsid w:val="008911E0"/>
    <w:rsid w:val="00895507"/>
    <w:rsid w:val="008A0355"/>
    <w:rsid w:val="008A080E"/>
    <w:rsid w:val="008A3907"/>
    <w:rsid w:val="008B39CC"/>
    <w:rsid w:val="008B4D85"/>
    <w:rsid w:val="008C73D2"/>
    <w:rsid w:val="008D7FF2"/>
    <w:rsid w:val="008F5436"/>
    <w:rsid w:val="00900C1C"/>
    <w:rsid w:val="00903690"/>
    <w:rsid w:val="0090582A"/>
    <w:rsid w:val="00905A2D"/>
    <w:rsid w:val="0091230E"/>
    <w:rsid w:val="009243DF"/>
    <w:rsid w:val="00926726"/>
    <w:rsid w:val="0094315D"/>
    <w:rsid w:val="00946605"/>
    <w:rsid w:val="00953637"/>
    <w:rsid w:val="00953BEA"/>
    <w:rsid w:val="0095412D"/>
    <w:rsid w:val="00954E66"/>
    <w:rsid w:val="00956E67"/>
    <w:rsid w:val="00963377"/>
    <w:rsid w:val="00966C54"/>
    <w:rsid w:val="009671D6"/>
    <w:rsid w:val="009773EA"/>
    <w:rsid w:val="00995597"/>
    <w:rsid w:val="009A02A8"/>
    <w:rsid w:val="009A2B1C"/>
    <w:rsid w:val="009A57D5"/>
    <w:rsid w:val="009B442D"/>
    <w:rsid w:val="009B51B3"/>
    <w:rsid w:val="009C5C6E"/>
    <w:rsid w:val="009C6D6B"/>
    <w:rsid w:val="009D03CF"/>
    <w:rsid w:val="009D3C9B"/>
    <w:rsid w:val="009D4661"/>
    <w:rsid w:val="009D5FCC"/>
    <w:rsid w:val="009E2530"/>
    <w:rsid w:val="00A05C7E"/>
    <w:rsid w:val="00A06B07"/>
    <w:rsid w:val="00A07599"/>
    <w:rsid w:val="00A07847"/>
    <w:rsid w:val="00A10AA7"/>
    <w:rsid w:val="00A12AFD"/>
    <w:rsid w:val="00A1666E"/>
    <w:rsid w:val="00A16964"/>
    <w:rsid w:val="00A261BE"/>
    <w:rsid w:val="00A2735F"/>
    <w:rsid w:val="00A27D7D"/>
    <w:rsid w:val="00A342FB"/>
    <w:rsid w:val="00A36966"/>
    <w:rsid w:val="00A36B91"/>
    <w:rsid w:val="00A404AF"/>
    <w:rsid w:val="00A4141B"/>
    <w:rsid w:val="00A45ED9"/>
    <w:rsid w:val="00A46FCA"/>
    <w:rsid w:val="00A53491"/>
    <w:rsid w:val="00A72999"/>
    <w:rsid w:val="00A766B5"/>
    <w:rsid w:val="00A76E1E"/>
    <w:rsid w:val="00A81BAD"/>
    <w:rsid w:val="00A83BB2"/>
    <w:rsid w:val="00A91B01"/>
    <w:rsid w:val="00A93B7F"/>
    <w:rsid w:val="00AA5A22"/>
    <w:rsid w:val="00AB3057"/>
    <w:rsid w:val="00AD5AD3"/>
    <w:rsid w:val="00AD6F71"/>
    <w:rsid w:val="00AE185C"/>
    <w:rsid w:val="00AE64A4"/>
    <w:rsid w:val="00AF4A9D"/>
    <w:rsid w:val="00AF526F"/>
    <w:rsid w:val="00B074B2"/>
    <w:rsid w:val="00B0753F"/>
    <w:rsid w:val="00B15231"/>
    <w:rsid w:val="00B166C2"/>
    <w:rsid w:val="00B225B8"/>
    <w:rsid w:val="00B318B1"/>
    <w:rsid w:val="00B323A1"/>
    <w:rsid w:val="00B36958"/>
    <w:rsid w:val="00B429D3"/>
    <w:rsid w:val="00B448AA"/>
    <w:rsid w:val="00B54766"/>
    <w:rsid w:val="00B56485"/>
    <w:rsid w:val="00B6035E"/>
    <w:rsid w:val="00B62E50"/>
    <w:rsid w:val="00B7460D"/>
    <w:rsid w:val="00B753D8"/>
    <w:rsid w:val="00B77DB4"/>
    <w:rsid w:val="00B84C48"/>
    <w:rsid w:val="00B86F4D"/>
    <w:rsid w:val="00B87D20"/>
    <w:rsid w:val="00B94268"/>
    <w:rsid w:val="00B94CF2"/>
    <w:rsid w:val="00BA3B49"/>
    <w:rsid w:val="00BA5099"/>
    <w:rsid w:val="00BA7B9F"/>
    <w:rsid w:val="00BC239B"/>
    <w:rsid w:val="00BC6180"/>
    <w:rsid w:val="00BD2C4F"/>
    <w:rsid w:val="00BD4936"/>
    <w:rsid w:val="00BE0818"/>
    <w:rsid w:val="00BE17F2"/>
    <w:rsid w:val="00BE7FE3"/>
    <w:rsid w:val="00BF2457"/>
    <w:rsid w:val="00BF3D1E"/>
    <w:rsid w:val="00BF3F78"/>
    <w:rsid w:val="00C0749A"/>
    <w:rsid w:val="00C07DB4"/>
    <w:rsid w:val="00C108CD"/>
    <w:rsid w:val="00C20D2A"/>
    <w:rsid w:val="00C22869"/>
    <w:rsid w:val="00C23D17"/>
    <w:rsid w:val="00C35D7D"/>
    <w:rsid w:val="00C443CA"/>
    <w:rsid w:val="00C52778"/>
    <w:rsid w:val="00C55931"/>
    <w:rsid w:val="00C55E6A"/>
    <w:rsid w:val="00C56221"/>
    <w:rsid w:val="00C5713F"/>
    <w:rsid w:val="00C62367"/>
    <w:rsid w:val="00C658A3"/>
    <w:rsid w:val="00C77122"/>
    <w:rsid w:val="00C80A28"/>
    <w:rsid w:val="00C82983"/>
    <w:rsid w:val="00C86606"/>
    <w:rsid w:val="00C921D5"/>
    <w:rsid w:val="00CA3D69"/>
    <w:rsid w:val="00CA672F"/>
    <w:rsid w:val="00CB02D4"/>
    <w:rsid w:val="00CC2530"/>
    <w:rsid w:val="00CC433D"/>
    <w:rsid w:val="00CC5B1E"/>
    <w:rsid w:val="00CC6356"/>
    <w:rsid w:val="00CC66D9"/>
    <w:rsid w:val="00CC69EF"/>
    <w:rsid w:val="00CD1157"/>
    <w:rsid w:val="00CD69D3"/>
    <w:rsid w:val="00CE15F6"/>
    <w:rsid w:val="00CE5F7D"/>
    <w:rsid w:val="00CF0027"/>
    <w:rsid w:val="00CF3F65"/>
    <w:rsid w:val="00CF4D15"/>
    <w:rsid w:val="00CF69D6"/>
    <w:rsid w:val="00D11CA3"/>
    <w:rsid w:val="00D12431"/>
    <w:rsid w:val="00D17391"/>
    <w:rsid w:val="00D21587"/>
    <w:rsid w:val="00D32C4D"/>
    <w:rsid w:val="00D44A09"/>
    <w:rsid w:val="00D52F74"/>
    <w:rsid w:val="00D60431"/>
    <w:rsid w:val="00D61AE1"/>
    <w:rsid w:val="00D66197"/>
    <w:rsid w:val="00D6699D"/>
    <w:rsid w:val="00D77943"/>
    <w:rsid w:val="00D828CA"/>
    <w:rsid w:val="00D85B32"/>
    <w:rsid w:val="00D905F5"/>
    <w:rsid w:val="00D945F2"/>
    <w:rsid w:val="00D97303"/>
    <w:rsid w:val="00DA2C0B"/>
    <w:rsid w:val="00DC4528"/>
    <w:rsid w:val="00DC7CEA"/>
    <w:rsid w:val="00DD4384"/>
    <w:rsid w:val="00DD43B7"/>
    <w:rsid w:val="00DD5EF8"/>
    <w:rsid w:val="00DE3BDF"/>
    <w:rsid w:val="00DE4508"/>
    <w:rsid w:val="00DE6445"/>
    <w:rsid w:val="00DF2C3C"/>
    <w:rsid w:val="00DF59A9"/>
    <w:rsid w:val="00DF5A55"/>
    <w:rsid w:val="00DF7680"/>
    <w:rsid w:val="00E03E48"/>
    <w:rsid w:val="00E04876"/>
    <w:rsid w:val="00E04893"/>
    <w:rsid w:val="00E1309F"/>
    <w:rsid w:val="00E176AB"/>
    <w:rsid w:val="00E216D2"/>
    <w:rsid w:val="00E418DD"/>
    <w:rsid w:val="00E44564"/>
    <w:rsid w:val="00E50A54"/>
    <w:rsid w:val="00E53B98"/>
    <w:rsid w:val="00E64A41"/>
    <w:rsid w:val="00E7015C"/>
    <w:rsid w:val="00E70D0F"/>
    <w:rsid w:val="00E74DE5"/>
    <w:rsid w:val="00E7714E"/>
    <w:rsid w:val="00E81C29"/>
    <w:rsid w:val="00E929BF"/>
    <w:rsid w:val="00EA1686"/>
    <w:rsid w:val="00EA22E4"/>
    <w:rsid w:val="00EA3A60"/>
    <w:rsid w:val="00EA6C37"/>
    <w:rsid w:val="00EA6EA2"/>
    <w:rsid w:val="00EB29FB"/>
    <w:rsid w:val="00EB50DC"/>
    <w:rsid w:val="00EC34E8"/>
    <w:rsid w:val="00EC437C"/>
    <w:rsid w:val="00EC7EDF"/>
    <w:rsid w:val="00ED0594"/>
    <w:rsid w:val="00ED4A14"/>
    <w:rsid w:val="00ED4F3F"/>
    <w:rsid w:val="00EE283F"/>
    <w:rsid w:val="00EE2907"/>
    <w:rsid w:val="00EF6575"/>
    <w:rsid w:val="00F0426C"/>
    <w:rsid w:val="00F0721D"/>
    <w:rsid w:val="00F10484"/>
    <w:rsid w:val="00F15EA5"/>
    <w:rsid w:val="00F2735D"/>
    <w:rsid w:val="00F30279"/>
    <w:rsid w:val="00F352CA"/>
    <w:rsid w:val="00F40D92"/>
    <w:rsid w:val="00F54F60"/>
    <w:rsid w:val="00F560F3"/>
    <w:rsid w:val="00F64F7C"/>
    <w:rsid w:val="00F67AD9"/>
    <w:rsid w:val="00F741D1"/>
    <w:rsid w:val="00F82E6B"/>
    <w:rsid w:val="00F83B9B"/>
    <w:rsid w:val="00F85B94"/>
    <w:rsid w:val="00F8664C"/>
    <w:rsid w:val="00F93157"/>
    <w:rsid w:val="00F9792D"/>
    <w:rsid w:val="00FA61C7"/>
    <w:rsid w:val="00FB3450"/>
    <w:rsid w:val="00FC0CBC"/>
    <w:rsid w:val="00FD09E6"/>
    <w:rsid w:val="00FD23CF"/>
    <w:rsid w:val="00FD3A28"/>
    <w:rsid w:val="00FD404E"/>
    <w:rsid w:val="00FD78E0"/>
    <w:rsid w:val="00FE28A5"/>
    <w:rsid w:val="00FE6519"/>
    <w:rsid w:val="00FF643C"/>
    <w:rsid w:val="01046D86"/>
    <w:rsid w:val="011D6E67"/>
    <w:rsid w:val="0125718A"/>
    <w:rsid w:val="01324B2B"/>
    <w:rsid w:val="026B3007"/>
    <w:rsid w:val="039447DF"/>
    <w:rsid w:val="04EE335F"/>
    <w:rsid w:val="07D96C64"/>
    <w:rsid w:val="0A6120F4"/>
    <w:rsid w:val="0CCA19BF"/>
    <w:rsid w:val="0E811E04"/>
    <w:rsid w:val="101B67A7"/>
    <w:rsid w:val="11876494"/>
    <w:rsid w:val="12F86697"/>
    <w:rsid w:val="139122B9"/>
    <w:rsid w:val="13B44A8A"/>
    <w:rsid w:val="13F54E26"/>
    <w:rsid w:val="147B2405"/>
    <w:rsid w:val="15781EB2"/>
    <w:rsid w:val="15FF5130"/>
    <w:rsid w:val="16C917DC"/>
    <w:rsid w:val="16E4756A"/>
    <w:rsid w:val="17CA65CA"/>
    <w:rsid w:val="18E5190D"/>
    <w:rsid w:val="19E435FD"/>
    <w:rsid w:val="1A2D437D"/>
    <w:rsid w:val="1BC837A0"/>
    <w:rsid w:val="1C335F6E"/>
    <w:rsid w:val="1C3919D2"/>
    <w:rsid w:val="1CA0431D"/>
    <w:rsid w:val="1CDD3AD1"/>
    <w:rsid w:val="1EF328AA"/>
    <w:rsid w:val="21E11013"/>
    <w:rsid w:val="22E75EE8"/>
    <w:rsid w:val="25090731"/>
    <w:rsid w:val="291853E7"/>
    <w:rsid w:val="295757E3"/>
    <w:rsid w:val="2A554419"/>
    <w:rsid w:val="2B7D3C27"/>
    <w:rsid w:val="2BEE216F"/>
    <w:rsid w:val="2CF52909"/>
    <w:rsid w:val="2DD647F5"/>
    <w:rsid w:val="2E1F5CFC"/>
    <w:rsid w:val="2EDF252C"/>
    <w:rsid w:val="2F8206DF"/>
    <w:rsid w:val="306B04F2"/>
    <w:rsid w:val="312C248C"/>
    <w:rsid w:val="323B0398"/>
    <w:rsid w:val="32A62DA3"/>
    <w:rsid w:val="33A02298"/>
    <w:rsid w:val="352248AD"/>
    <w:rsid w:val="35460273"/>
    <w:rsid w:val="36243BAE"/>
    <w:rsid w:val="378B76CC"/>
    <w:rsid w:val="39EA588E"/>
    <w:rsid w:val="3AA77E8B"/>
    <w:rsid w:val="3B1D08C2"/>
    <w:rsid w:val="3B8013C1"/>
    <w:rsid w:val="3BB20394"/>
    <w:rsid w:val="3DFA0860"/>
    <w:rsid w:val="3DFF1573"/>
    <w:rsid w:val="3EF7239A"/>
    <w:rsid w:val="41AC02DA"/>
    <w:rsid w:val="41F70094"/>
    <w:rsid w:val="43121254"/>
    <w:rsid w:val="43BD0C0D"/>
    <w:rsid w:val="45C76855"/>
    <w:rsid w:val="460E4B7B"/>
    <w:rsid w:val="46324DD1"/>
    <w:rsid w:val="46326C27"/>
    <w:rsid w:val="46553FB5"/>
    <w:rsid w:val="46E13B7F"/>
    <w:rsid w:val="47566328"/>
    <w:rsid w:val="4794408B"/>
    <w:rsid w:val="48435459"/>
    <w:rsid w:val="48B620CF"/>
    <w:rsid w:val="4B4A5586"/>
    <w:rsid w:val="4C200B48"/>
    <w:rsid w:val="4D93224D"/>
    <w:rsid w:val="4DD317A9"/>
    <w:rsid w:val="4DD70B1D"/>
    <w:rsid w:val="4E2C44E9"/>
    <w:rsid w:val="4EDF645D"/>
    <w:rsid w:val="50016325"/>
    <w:rsid w:val="52BB45E9"/>
    <w:rsid w:val="54A43723"/>
    <w:rsid w:val="558372C8"/>
    <w:rsid w:val="55C8387E"/>
    <w:rsid w:val="56AF1DF3"/>
    <w:rsid w:val="57027CC3"/>
    <w:rsid w:val="577F6889"/>
    <w:rsid w:val="5AFF7D61"/>
    <w:rsid w:val="5B8C14FC"/>
    <w:rsid w:val="5BBC60B0"/>
    <w:rsid w:val="5CB870AA"/>
    <w:rsid w:val="5CEC1D8E"/>
    <w:rsid w:val="5D5850AB"/>
    <w:rsid w:val="5DD46E27"/>
    <w:rsid w:val="5DDFF4FF"/>
    <w:rsid w:val="61110B4D"/>
    <w:rsid w:val="61F23488"/>
    <w:rsid w:val="63BF7C32"/>
    <w:rsid w:val="652A7EDD"/>
    <w:rsid w:val="65B95CDD"/>
    <w:rsid w:val="6609788A"/>
    <w:rsid w:val="665533E3"/>
    <w:rsid w:val="677F4291"/>
    <w:rsid w:val="67E85935"/>
    <w:rsid w:val="68ED0400"/>
    <w:rsid w:val="6AAA265F"/>
    <w:rsid w:val="6B2D5DC9"/>
    <w:rsid w:val="6B3D766F"/>
    <w:rsid w:val="6B7A60B0"/>
    <w:rsid w:val="6C943AB3"/>
    <w:rsid w:val="6D067350"/>
    <w:rsid w:val="6D55144C"/>
    <w:rsid w:val="6DA34120"/>
    <w:rsid w:val="6DB56A2D"/>
    <w:rsid w:val="6DE34F55"/>
    <w:rsid w:val="6DF4769C"/>
    <w:rsid w:val="6E0913DE"/>
    <w:rsid w:val="6E822F4B"/>
    <w:rsid w:val="7076529E"/>
    <w:rsid w:val="70787AE6"/>
    <w:rsid w:val="70842CEE"/>
    <w:rsid w:val="70BF1314"/>
    <w:rsid w:val="714341C0"/>
    <w:rsid w:val="72BC4A36"/>
    <w:rsid w:val="73077950"/>
    <w:rsid w:val="74E62789"/>
    <w:rsid w:val="755550F4"/>
    <w:rsid w:val="75F98670"/>
    <w:rsid w:val="766964A3"/>
    <w:rsid w:val="77E3618D"/>
    <w:rsid w:val="780676AA"/>
    <w:rsid w:val="79114078"/>
    <w:rsid w:val="79361866"/>
    <w:rsid w:val="79EF6EA4"/>
    <w:rsid w:val="7AD324E9"/>
    <w:rsid w:val="7AE85868"/>
    <w:rsid w:val="7B000AAA"/>
    <w:rsid w:val="7B174540"/>
    <w:rsid w:val="7BB8101D"/>
    <w:rsid w:val="7BC736D0"/>
    <w:rsid w:val="7C77BF25"/>
    <w:rsid w:val="7E0727AF"/>
    <w:rsid w:val="7F732D4C"/>
    <w:rsid w:val="7FB26005"/>
    <w:rsid w:val="7FBA87AB"/>
    <w:rsid w:val="7FFD4E57"/>
    <w:rsid w:val="DA6F9143"/>
    <w:rsid w:val="DDA96AE4"/>
    <w:rsid w:val="ED79D208"/>
    <w:rsid w:val="EF25DA57"/>
    <w:rsid w:val="FB2FDAD5"/>
    <w:rsid w:val="FF6DB8FB"/>
    <w:rsid w:val="FFFF84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5">
    <w:name w:val="heading 2"/>
    <w:basedOn w:val="1"/>
    <w:next w:val="1"/>
    <w:link w:val="47"/>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sz w:val="28"/>
    </w:rPr>
  </w:style>
  <w:style w:type="paragraph" w:styleId="3">
    <w:name w:val="Body Text First Indent"/>
    <w:basedOn w:val="2"/>
    <w:link w:val="66"/>
    <w:qFormat/>
    <w:uiPriority w:val="0"/>
    <w:pPr>
      <w:spacing w:line="390" w:lineRule="atLeast"/>
      <w:ind w:firstLine="420" w:firstLineChars="100"/>
    </w:pPr>
    <w:rPr>
      <w:rFonts w:ascii="Calibri" w:hAnsi="Calibri"/>
    </w:rPr>
  </w:style>
  <w:style w:type="paragraph" w:styleId="8">
    <w:name w:val="Note Heading"/>
    <w:basedOn w:val="1"/>
    <w:next w:val="1"/>
    <w:link w:val="51"/>
    <w:qFormat/>
    <w:uiPriority w:val="0"/>
    <w:pPr>
      <w:jc w:val="center"/>
    </w:pPr>
    <w:rPr>
      <w:rFonts w:ascii="time new roman" w:hAnsi="time new roman" w:eastAsia="长城粗隶书"/>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link w:val="52"/>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3"/>
    <w:qFormat/>
    <w:uiPriority w:val="0"/>
    <w:pPr>
      <w:shd w:val="clear" w:color="auto" w:fill="000080"/>
    </w:pPr>
  </w:style>
  <w:style w:type="paragraph" w:styleId="13">
    <w:name w:val="annotation text"/>
    <w:basedOn w:val="1"/>
    <w:link w:val="54"/>
    <w:qFormat/>
    <w:uiPriority w:val="0"/>
    <w:pPr>
      <w:jc w:val="left"/>
    </w:pPr>
  </w:style>
  <w:style w:type="paragraph" w:styleId="14">
    <w:name w:val="Body Text 3"/>
    <w:basedOn w:val="1"/>
    <w:link w:val="55"/>
    <w:qFormat/>
    <w:uiPriority w:val="0"/>
    <w:pPr>
      <w:snapToGrid w:val="0"/>
      <w:spacing w:before="50" w:after="50"/>
    </w:pPr>
    <w:rPr>
      <w:rFonts w:hAnsi="宋体" w:eastAsia="仿宋_GB2312"/>
      <w:b/>
      <w:bCs/>
      <w:sz w:val="24"/>
      <w:szCs w:val="20"/>
    </w:rPr>
  </w:style>
  <w:style w:type="paragraph" w:styleId="15">
    <w:name w:val="Body Text Indent"/>
    <w:basedOn w:val="1"/>
    <w:link w:val="56"/>
    <w:qFormat/>
    <w:uiPriority w:val="0"/>
    <w:pPr>
      <w:spacing w:line="200" w:lineRule="exact"/>
      <w:ind w:firstLine="301"/>
    </w:pPr>
    <w:rPr>
      <w:rFonts w:ascii="宋体" w:hAnsi="Courier New"/>
      <w:spacing w:val="-4"/>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9">
    <w:name w:val="Plain Text"/>
    <w:basedOn w:val="1"/>
    <w:link w:val="58"/>
    <w:qFormat/>
    <w:uiPriority w:val="0"/>
    <w:pPr>
      <w:spacing w:beforeLines="50" w:afterLines="50" w:line="400" w:lineRule="exact"/>
    </w:pPr>
    <w:rPr>
      <w:rFonts w:ascii="宋体" w:hAnsi="Courier New"/>
      <w:sz w:val="24"/>
    </w:rPr>
  </w:style>
  <w:style w:type="paragraph" w:styleId="20">
    <w:name w:val="toc 8"/>
    <w:basedOn w:val="1"/>
    <w:next w:val="1"/>
    <w:qFormat/>
    <w:uiPriority w:val="0"/>
    <w:pPr>
      <w:ind w:left="2940" w:leftChars="1400"/>
    </w:pPr>
  </w:style>
  <w:style w:type="paragraph" w:styleId="21">
    <w:name w:val="Date"/>
    <w:basedOn w:val="1"/>
    <w:next w:val="1"/>
    <w:link w:val="59"/>
    <w:qFormat/>
    <w:uiPriority w:val="0"/>
    <w:pPr>
      <w:ind w:left="2500" w:leftChars="2500"/>
    </w:pPr>
    <w:rPr>
      <w:rFonts w:eastAsia="楷体_GB2312"/>
      <w:sz w:val="32"/>
      <w:szCs w:val="20"/>
    </w:rPr>
  </w:style>
  <w:style w:type="paragraph" w:styleId="22">
    <w:name w:val="Body Text Indent 2"/>
    <w:basedOn w:val="1"/>
    <w:link w:val="60"/>
    <w:qFormat/>
    <w:uiPriority w:val="0"/>
    <w:pPr>
      <w:snapToGrid w:val="0"/>
      <w:ind w:firstLine="542" w:firstLineChars="225"/>
    </w:pPr>
    <w:rPr>
      <w:rFonts w:ascii="仿宋_GB2312" w:hAnsi="宋体" w:cs="Arial"/>
      <w:b/>
      <w:bCs/>
      <w:color w:val="000000"/>
      <w:sz w:val="24"/>
    </w:rPr>
  </w:style>
  <w:style w:type="paragraph" w:styleId="23">
    <w:name w:val="Balloon Text"/>
    <w:basedOn w:val="1"/>
    <w:link w:val="61"/>
    <w:qFormat/>
    <w:uiPriority w:val="0"/>
    <w:rPr>
      <w:rFonts w:ascii="time new roman" w:hAnsi="time new roman" w:eastAsia="长城粗隶书" w:cs="Courier New"/>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Body Text Indent 3"/>
    <w:basedOn w:val="1"/>
    <w:link w:val="62"/>
    <w:qFormat/>
    <w:uiPriority w:val="0"/>
    <w:pPr>
      <w:snapToGrid w:val="0"/>
      <w:ind w:firstLine="480" w:firstLineChars="200"/>
      <w:jc w:val="left"/>
    </w:pPr>
    <w:rPr>
      <w:rFonts w:ascii="仿宋_GB2312" w:hAnsi="宋体" w:eastAsia="仿宋_GB2312"/>
      <w:color w:val="000000"/>
      <w:sz w:val="24"/>
    </w:rPr>
  </w:style>
  <w:style w:type="paragraph" w:styleId="29">
    <w:name w:val="index 7"/>
    <w:basedOn w:val="1"/>
    <w:next w:val="1"/>
    <w:qFormat/>
    <w:uiPriority w:val="0"/>
    <w:pPr>
      <w:ind w:left="1200" w:leftChars="1200"/>
    </w:pPr>
  </w:style>
  <w:style w:type="paragraph" w:styleId="30">
    <w:name w:val="Body Text 2"/>
    <w:basedOn w:val="1"/>
    <w:link w:val="63"/>
    <w:qFormat/>
    <w:uiPriority w:val="0"/>
    <w:pPr>
      <w:widowControl/>
      <w:snapToGrid w:val="0"/>
      <w:spacing w:before="50" w:afterLines="50" w:line="400" w:lineRule="exact"/>
      <w:jc w:val="left"/>
    </w:pPr>
    <w:rPr>
      <w:rFonts w:ascii="宋体" w:hAnsi="宋体"/>
      <w:color w:val="000000"/>
      <w:sz w:val="24"/>
    </w:rPr>
  </w:style>
  <w:style w:type="paragraph" w:styleId="31">
    <w:name w:val="Normal (Web)"/>
    <w:basedOn w:val="1"/>
    <w:qFormat/>
    <w:uiPriority w:val="0"/>
    <w:pPr>
      <w:widowControl/>
      <w:spacing w:line="300" w:lineRule="atLeast"/>
      <w:jc w:val="left"/>
    </w:pPr>
    <w:rPr>
      <w:rFonts w:ascii="宋体" w:hAnsi="宋体" w:cs="宋体"/>
      <w:kern w:val="0"/>
      <w:sz w:val="24"/>
    </w:rPr>
  </w:style>
  <w:style w:type="paragraph" w:styleId="32">
    <w:name w:val="Title"/>
    <w:basedOn w:val="1"/>
    <w:next w:val="1"/>
    <w:link w:val="64"/>
    <w:qFormat/>
    <w:uiPriority w:val="0"/>
    <w:pPr>
      <w:spacing w:before="240" w:after="60" w:line="480" w:lineRule="exact"/>
      <w:jc w:val="center"/>
      <w:outlineLvl w:val="0"/>
    </w:pPr>
    <w:rPr>
      <w:rFonts w:ascii="Cambria" w:hAnsi="Cambria"/>
      <w:b/>
      <w:bCs/>
      <w:sz w:val="32"/>
      <w:szCs w:val="32"/>
    </w:rPr>
  </w:style>
  <w:style w:type="paragraph" w:styleId="33">
    <w:name w:val="annotation subject"/>
    <w:basedOn w:val="13"/>
    <w:next w:val="13"/>
    <w:link w:val="65"/>
    <w:qFormat/>
    <w:uiPriority w:val="0"/>
    <w:rPr>
      <w:b/>
      <w:bCs/>
    </w:rPr>
  </w:style>
  <w:style w:type="table" w:styleId="35">
    <w:name w:val="Table Grid"/>
    <w:basedOn w:val="3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4">
    <w:name w:val="页眉 字符"/>
    <w:basedOn w:val="36"/>
    <w:link w:val="25"/>
    <w:qFormat/>
    <w:uiPriority w:val="0"/>
    <w:rPr>
      <w:sz w:val="18"/>
      <w:szCs w:val="18"/>
    </w:rPr>
  </w:style>
  <w:style w:type="character" w:customStyle="1" w:styleId="45">
    <w:name w:val="页脚 字符"/>
    <w:basedOn w:val="36"/>
    <w:link w:val="24"/>
    <w:semiHidden/>
    <w:qFormat/>
    <w:uiPriority w:val="99"/>
    <w:rPr>
      <w:sz w:val="18"/>
      <w:szCs w:val="18"/>
    </w:rPr>
  </w:style>
  <w:style w:type="character" w:customStyle="1" w:styleId="46">
    <w:name w:val="标题 1 字符"/>
    <w:basedOn w:val="36"/>
    <w:link w:val="4"/>
    <w:qFormat/>
    <w:uiPriority w:val="0"/>
    <w:rPr>
      <w:rFonts w:ascii="time new roman" w:hAnsi="time new roman" w:eastAsia="长城粗隶书" w:cs="Courier New"/>
      <w:b/>
      <w:bCs/>
      <w:kern w:val="44"/>
      <w:sz w:val="44"/>
      <w:szCs w:val="44"/>
    </w:rPr>
  </w:style>
  <w:style w:type="character" w:customStyle="1" w:styleId="47">
    <w:name w:val="标题 2 字符"/>
    <w:basedOn w:val="36"/>
    <w:link w:val="5"/>
    <w:qFormat/>
    <w:uiPriority w:val="0"/>
    <w:rPr>
      <w:rFonts w:ascii="Arial" w:hAnsi="Arial" w:eastAsia="黑体" w:cs="Times New Roman"/>
      <w:b/>
      <w:bCs/>
      <w:sz w:val="32"/>
      <w:szCs w:val="32"/>
    </w:rPr>
  </w:style>
  <w:style w:type="character" w:customStyle="1" w:styleId="48">
    <w:name w:val="标题 3 字符"/>
    <w:basedOn w:val="36"/>
    <w:link w:val="6"/>
    <w:qFormat/>
    <w:uiPriority w:val="0"/>
    <w:rPr>
      <w:rFonts w:ascii="Times New Roman" w:hAnsi="Times New Roman" w:eastAsia="宋体" w:cs="Times New Roman"/>
      <w:b/>
      <w:bCs/>
      <w:sz w:val="32"/>
      <w:szCs w:val="32"/>
    </w:rPr>
  </w:style>
  <w:style w:type="character" w:customStyle="1" w:styleId="49">
    <w:name w:val="标题 4 字符"/>
    <w:basedOn w:val="36"/>
    <w:link w:val="7"/>
    <w:qFormat/>
    <w:uiPriority w:val="0"/>
    <w:rPr>
      <w:rFonts w:ascii="Cambria" w:hAnsi="Cambria" w:eastAsia="宋体" w:cs="Times New Roman"/>
      <w:b/>
      <w:bCs/>
      <w:sz w:val="28"/>
      <w:szCs w:val="28"/>
    </w:rPr>
  </w:style>
  <w:style w:type="character" w:customStyle="1" w:styleId="50">
    <w:name w:val="正文文本 字符"/>
    <w:basedOn w:val="36"/>
    <w:link w:val="2"/>
    <w:qFormat/>
    <w:uiPriority w:val="0"/>
    <w:rPr>
      <w:rFonts w:ascii="Times New Roman" w:hAnsi="Times New Roman" w:eastAsia="宋体" w:cs="Times New Roman"/>
      <w:sz w:val="28"/>
      <w:szCs w:val="24"/>
    </w:rPr>
  </w:style>
  <w:style w:type="character" w:customStyle="1" w:styleId="51">
    <w:name w:val="注释标题 字符"/>
    <w:basedOn w:val="36"/>
    <w:link w:val="8"/>
    <w:qFormat/>
    <w:uiPriority w:val="0"/>
    <w:rPr>
      <w:rFonts w:ascii="time new roman" w:hAnsi="time new roman" w:eastAsia="长城粗隶书" w:cs="Times New Roman"/>
      <w:szCs w:val="24"/>
    </w:rPr>
  </w:style>
  <w:style w:type="character" w:customStyle="1" w:styleId="52">
    <w:name w:val="正文缩进 字符"/>
    <w:link w:val="10"/>
    <w:qFormat/>
    <w:uiPriority w:val="0"/>
    <w:rPr>
      <w:rFonts w:ascii="Times New Roman" w:hAnsi="Times New Roman" w:eastAsia="宋体" w:cs="Times New Roman"/>
      <w:szCs w:val="20"/>
    </w:rPr>
  </w:style>
  <w:style w:type="character" w:customStyle="1" w:styleId="53">
    <w:name w:val="文档结构图 字符"/>
    <w:basedOn w:val="36"/>
    <w:link w:val="12"/>
    <w:qFormat/>
    <w:uiPriority w:val="0"/>
    <w:rPr>
      <w:rFonts w:ascii="Times New Roman" w:hAnsi="Times New Roman" w:eastAsia="宋体" w:cs="Times New Roman"/>
      <w:szCs w:val="24"/>
      <w:shd w:val="clear" w:color="auto" w:fill="000080"/>
    </w:rPr>
  </w:style>
  <w:style w:type="character" w:customStyle="1" w:styleId="54">
    <w:name w:val="批注文字 字符"/>
    <w:basedOn w:val="36"/>
    <w:link w:val="13"/>
    <w:qFormat/>
    <w:uiPriority w:val="0"/>
    <w:rPr>
      <w:rFonts w:ascii="Times New Roman" w:hAnsi="Times New Roman" w:eastAsia="宋体" w:cs="Times New Roman"/>
      <w:szCs w:val="24"/>
    </w:rPr>
  </w:style>
  <w:style w:type="character" w:customStyle="1" w:styleId="55">
    <w:name w:val="正文文本 3 字符"/>
    <w:basedOn w:val="36"/>
    <w:link w:val="14"/>
    <w:qFormat/>
    <w:uiPriority w:val="0"/>
    <w:rPr>
      <w:rFonts w:ascii="Times New Roman" w:hAnsi="宋体" w:eastAsia="仿宋_GB2312" w:cs="Times New Roman"/>
      <w:b/>
      <w:bCs/>
      <w:sz w:val="24"/>
      <w:szCs w:val="20"/>
    </w:rPr>
  </w:style>
  <w:style w:type="character" w:customStyle="1" w:styleId="56">
    <w:name w:val="正文文本缩进 字符"/>
    <w:basedOn w:val="36"/>
    <w:link w:val="15"/>
    <w:qFormat/>
    <w:uiPriority w:val="0"/>
    <w:rPr>
      <w:rFonts w:ascii="宋体" w:hAnsi="Courier New" w:eastAsia="宋体" w:cs="Times New Roman"/>
      <w:spacing w:val="-4"/>
      <w:sz w:val="18"/>
      <w:szCs w:val="20"/>
    </w:rPr>
  </w:style>
  <w:style w:type="character" w:customStyle="1" w:styleId="57">
    <w:name w:val="纯文本 Char"/>
    <w:basedOn w:val="36"/>
    <w:qFormat/>
    <w:uiPriority w:val="0"/>
    <w:rPr>
      <w:rFonts w:ascii="宋体" w:hAnsi="Courier New" w:eastAsia="宋体" w:cs="Courier New"/>
      <w:szCs w:val="21"/>
    </w:rPr>
  </w:style>
  <w:style w:type="character" w:customStyle="1" w:styleId="58">
    <w:name w:val="纯文本 字符"/>
    <w:link w:val="19"/>
    <w:qFormat/>
    <w:uiPriority w:val="0"/>
    <w:rPr>
      <w:rFonts w:ascii="宋体" w:hAnsi="Courier New" w:eastAsia="宋体" w:cs="Times New Roman"/>
      <w:sz w:val="24"/>
      <w:szCs w:val="24"/>
    </w:rPr>
  </w:style>
  <w:style w:type="character" w:customStyle="1" w:styleId="59">
    <w:name w:val="日期 字符"/>
    <w:basedOn w:val="36"/>
    <w:link w:val="21"/>
    <w:qFormat/>
    <w:uiPriority w:val="0"/>
    <w:rPr>
      <w:rFonts w:ascii="Times New Roman" w:hAnsi="Times New Roman" w:eastAsia="楷体_GB2312" w:cs="Times New Roman"/>
      <w:sz w:val="32"/>
      <w:szCs w:val="20"/>
    </w:rPr>
  </w:style>
  <w:style w:type="character" w:customStyle="1" w:styleId="60">
    <w:name w:val="正文文本缩进 2 字符"/>
    <w:basedOn w:val="36"/>
    <w:link w:val="22"/>
    <w:qFormat/>
    <w:uiPriority w:val="0"/>
    <w:rPr>
      <w:rFonts w:ascii="仿宋_GB2312" w:hAnsi="宋体" w:eastAsia="宋体" w:cs="Arial"/>
      <w:b/>
      <w:bCs/>
      <w:color w:val="000000"/>
      <w:sz w:val="24"/>
      <w:szCs w:val="24"/>
    </w:rPr>
  </w:style>
  <w:style w:type="character" w:customStyle="1" w:styleId="61">
    <w:name w:val="批注框文本 字符"/>
    <w:basedOn w:val="36"/>
    <w:link w:val="23"/>
    <w:qFormat/>
    <w:uiPriority w:val="0"/>
    <w:rPr>
      <w:rFonts w:ascii="time new roman" w:hAnsi="time new roman" w:eastAsia="长城粗隶书" w:cs="Courier New"/>
      <w:sz w:val="18"/>
      <w:szCs w:val="18"/>
    </w:rPr>
  </w:style>
  <w:style w:type="character" w:customStyle="1" w:styleId="62">
    <w:name w:val="正文文本缩进 3 字符"/>
    <w:basedOn w:val="36"/>
    <w:link w:val="28"/>
    <w:qFormat/>
    <w:uiPriority w:val="0"/>
    <w:rPr>
      <w:rFonts w:ascii="仿宋_GB2312" w:hAnsi="宋体" w:eastAsia="仿宋_GB2312" w:cs="Times New Roman"/>
      <w:color w:val="000000"/>
      <w:sz w:val="24"/>
      <w:szCs w:val="24"/>
    </w:rPr>
  </w:style>
  <w:style w:type="character" w:customStyle="1" w:styleId="63">
    <w:name w:val="正文文本 2 字符"/>
    <w:basedOn w:val="36"/>
    <w:link w:val="30"/>
    <w:qFormat/>
    <w:uiPriority w:val="0"/>
    <w:rPr>
      <w:rFonts w:ascii="宋体" w:hAnsi="宋体" w:eastAsia="宋体" w:cs="Times New Roman"/>
      <w:color w:val="000000"/>
      <w:sz w:val="24"/>
      <w:szCs w:val="24"/>
    </w:rPr>
  </w:style>
  <w:style w:type="character" w:customStyle="1" w:styleId="64">
    <w:name w:val="标题 字符"/>
    <w:basedOn w:val="36"/>
    <w:link w:val="32"/>
    <w:qFormat/>
    <w:uiPriority w:val="0"/>
    <w:rPr>
      <w:rFonts w:ascii="Cambria" w:hAnsi="Cambria" w:eastAsia="宋体" w:cs="Times New Roman"/>
      <w:b/>
      <w:bCs/>
      <w:sz w:val="32"/>
      <w:szCs w:val="32"/>
    </w:rPr>
  </w:style>
  <w:style w:type="character" w:customStyle="1" w:styleId="65">
    <w:name w:val="批注主题 字符"/>
    <w:basedOn w:val="54"/>
    <w:link w:val="33"/>
    <w:qFormat/>
    <w:uiPriority w:val="0"/>
    <w:rPr>
      <w:rFonts w:ascii="Times New Roman" w:hAnsi="Times New Roman" w:eastAsia="宋体" w:cs="Times New Roman"/>
      <w:b/>
      <w:bCs/>
      <w:szCs w:val="24"/>
    </w:rPr>
  </w:style>
  <w:style w:type="character" w:customStyle="1" w:styleId="66">
    <w:name w:val="正文文本首行缩进 字符"/>
    <w:basedOn w:val="50"/>
    <w:link w:val="3"/>
    <w:qFormat/>
    <w:uiPriority w:val="0"/>
    <w:rPr>
      <w:rFonts w:ascii="Calibri" w:hAnsi="Calibri" w:eastAsia="宋体" w:cs="Times New Roman"/>
      <w:sz w:val="28"/>
      <w:szCs w:val="24"/>
    </w:rPr>
  </w:style>
  <w:style w:type="character" w:customStyle="1" w:styleId="67">
    <w:name w:val="font51"/>
    <w:qFormat/>
    <w:uiPriority w:val="0"/>
    <w:rPr>
      <w:rFonts w:hint="eastAsia" w:ascii="宋体" w:hAnsi="宋体" w:eastAsia="宋体" w:cs="宋体"/>
      <w:color w:val="000000"/>
      <w:sz w:val="22"/>
      <w:szCs w:val="22"/>
      <w:u w:val="none"/>
    </w:rPr>
  </w:style>
  <w:style w:type="character" w:customStyle="1" w:styleId="68">
    <w:name w:val="font21"/>
    <w:qFormat/>
    <w:uiPriority w:val="0"/>
    <w:rPr>
      <w:rFonts w:hint="eastAsia" w:ascii="宋体" w:hAnsi="宋体" w:eastAsia="宋体" w:cs="宋体"/>
      <w:color w:val="000000"/>
      <w:sz w:val="22"/>
      <w:szCs w:val="22"/>
      <w:u w:val="none"/>
    </w:rPr>
  </w:style>
  <w:style w:type="character" w:customStyle="1" w:styleId="69">
    <w:name w:val="font11"/>
    <w:qFormat/>
    <w:uiPriority w:val="0"/>
    <w:rPr>
      <w:rFonts w:hint="default" w:ascii="Times New Roman" w:hAnsi="Times New Roman" w:cs="Times New Roman"/>
      <w:color w:val="000000"/>
      <w:sz w:val="21"/>
      <w:szCs w:val="21"/>
      <w:u w:val="none"/>
    </w:rPr>
  </w:style>
  <w:style w:type="character" w:customStyle="1" w:styleId="70">
    <w:name w:val="纯文本 Char3"/>
    <w:qFormat/>
    <w:uiPriority w:val="0"/>
    <w:rPr>
      <w:rFonts w:ascii="宋体" w:hAnsi="Courier New" w:eastAsia="宋体"/>
      <w:kern w:val="2"/>
      <w:sz w:val="24"/>
      <w:szCs w:val="24"/>
      <w:lang w:val="en-US" w:eastAsia="zh-CN" w:bidi="ar-SA"/>
    </w:rPr>
  </w:style>
  <w:style w:type="character" w:customStyle="1" w:styleId="71">
    <w:name w:val="font01"/>
    <w:qFormat/>
    <w:uiPriority w:val="0"/>
    <w:rPr>
      <w:rFonts w:hint="eastAsia" w:ascii="长城粗隶书" w:eastAsia="长城粗隶书"/>
      <w:color w:val="000000"/>
      <w:sz w:val="21"/>
      <w:szCs w:val="21"/>
      <w:u w:val="none"/>
    </w:rPr>
  </w:style>
  <w:style w:type="character" w:customStyle="1" w:styleId="72">
    <w:name w:val="ca-22"/>
    <w:qFormat/>
    <w:uiPriority w:val="0"/>
  </w:style>
  <w:style w:type="character" w:customStyle="1" w:styleId="73">
    <w:name w:val="apple-converted-space"/>
    <w:qFormat/>
    <w:uiPriority w:val="0"/>
  </w:style>
  <w:style w:type="character" w:customStyle="1" w:styleId="74">
    <w:name w:val="style8"/>
    <w:qFormat/>
    <w:uiPriority w:val="0"/>
  </w:style>
  <w:style w:type="character" w:customStyle="1" w:styleId="75">
    <w:name w:val="apple-style-span"/>
    <w:qFormat/>
    <w:uiPriority w:val="0"/>
  </w:style>
  <w:style w:type="character" w:customStyle="1" w:styleId="76">
    <w:name w:val="列表段落 字符"/>
    <w:link w:val="77"/>
    <w:qFormat/>
    <w:uiPriority w:val="34"/>
    <w:rPr>
      <w:rFonts w:ascii="Calibri" w:hAnsi="Calibri"/>
    </w:rPr>
  </w:style>
  <w:style w:type="paragraph" w:styleId="77">
    <w:name w:val="List Paragraph"/>
    <w:basedOn w:val="1"/>
    <w:link w:val="76"/>
    <w:qFormat/>
    <w:uiPriority w:val="34"/>
    <w:pPr>
      <w:ind w:firstLine="420" w:firstLineChars="200"/>
    </w:pPr>
    <w:rPr>
      <w:rFonts w:ascii="Calibri" w:hAnsi="Calibri" w:eastAsiaTheme="minorEastAsia" w:cstheme="minorBidi"/>
      <w:szCs w:val="22"/>
    </w:rPr>
  </w:style>
  <w:style w:type="character" w:customStyle="1" w:styleId="78">
    <w:name w:val="普通文字 Char1"/>
    <w:qFormat/>
    <w:uiPriority w:val="0"/>
    <w:rPr>
      <w:rFonts w:ascii="宋体" w:hAnsi="Courier New" w:eastAsia="宋体"/>
      <w:kern w:val="2"/>
      <w:sz w:val="21"/>
      <w:szCs w:val="24"/>
      <w:lang w:val="en-US" w:eastAsia="zh-CN" w:bidi="ar-SA"/>
    </w:rPr>
  </w:style>
  <w:style w:type="character" w:customStyle="1" w:styleId="79">
    <w:name w:val="unnamed11"/>
    <w:qFormat/>
    <w:uiPriority w:val="0"/>
    <w:rPr>
      <w:color w:val="000000"/>
      <w:sz w:val="20"/>
      <w:szCs w:val="20"/>
    </w:rPr>
  </w:style>
  <w:style w:type="paragraph" w:customStyle="1" w:styleId="80">
    <w:name w:val="正文2"/>
    <w:basedOn w:val="1"/>
    <w:qFormat/>
    <w:uiPriority w:val="0"/>
    <w:pPr>
      <w:spacing w:before="156" w:line="360" w:lineRule="auto"/>
      <w:ind w:firstLine="510" w:firstLineChars="200"/>
    </w:pPr>
    <w:rPr>
      <w:sz w:val="24"/>
      <w:szCs w:val="20"/>
    </w:rPr>
  </w:style>
  <w:style w:type="paragraph" w:customStyle="1" w:styleId="8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8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5">
    <w:name w:val="Char"/>
    <w:basedOn w:val="1"/>
    <w:qFormat/>
    <w:uiPriority w:val="0"/>
    <w:pPr>
      <w:ind w:firstLine="640" w:firstLineChars="200"/>
    </w:pPr>
    <w:rPr>
      <w:rFonts w:ascii="宋体" w:hAnsi="宋体" w:cs="宋体"/>
      <w:color w:val="000000"/>
      <w:kern w:val="0"/>
      <w:szCs w:val="21"/>
    </w:rPr>
  </w:style>
  <w:style w:type="paragraph" w:styleId="86">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p0"/>
    <w:next w:val="29"/>
    <w:qFormat/>
    <w:uiPriority w:val="0"/>
    <w:pPr>
      <w:snapToGrid w:val="0"/>
    </w:pPr>
    <w:rPr>
      <w:rFonts w:ascii="Times New Roman" w:hAnsi="Times New Roman" w:eastAsia="宋体" w:cs="Times New Roman"/>
      <w:sz w:val="21"/>
      <w:szCs w:val="21"/>
      <w:lang w:val="en-US" w:eastAsia="zh-CN" w:bidi="ar-SA"/>
    </w:rPr>
  </w:style>
  <w:style w:type="paragraph" w:customStyle="1" w:styleId="9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92">
    <w:name w:val="Char2"/>
    <w:basedOn w:val="12"/>
    <w:next w:val="1"/>
    <w:qFormat/>
    <w:uiPriority w:val="0"/>
    <w:rPr>
      <w:rFonts w:ascii="宋体" w:hAnsi="宋体"/>
    </w:rPr>
  </w:style>
  <w:style w:type="paragraph" w:customStyle="1" w:styleId="93">
    <w:name w:val="Char Char Char"/>
    <w:basedOn w:val="12"/>
    <w:qFormat/>
    <w:uiPriority w:val="0"/>
    <w:rPr>
      <w:rFonts w:ascii="Tahoma" w:hAnsi="Tahoma"/>
      <w:sz w:val="24"/>
    </w:rPr>
  </w:style>
  <w:style w:type="paragraph" w:customStyle="1" w:styleId="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1"/>
    <w:basedOn w:val="1"/>
    <w:qFormat/>
    <w:uiPriority w:val="0"/>
    <w:rPr>
      <w:rFonts w:ascii="Tahoma" w:hAnsi="Tahoma"/>
      <w:sz w:val="24"/>
    </w:rPr>
  </w:style>
  <w:style w:type="paragraph" w:customStyle="1" w:styleId="96">
    <w:name w:val="正文文字"/>
    <w:basedOn w:val="1"/>
    <w:qFormat/>
    <w:uiPriority w:val="0"/>
    <w:pPr>
      <w:spacing w:line="360" w:lineRule="auto"/>
      <w:ind w:firstLine="420"/>
    </w:pPr>
    <w:rPr>
      <w:sz w:val="24"/>
    </w:rPr>
  </w:style>
  <w:style w:type="paragraph" w:customStyle="1" w:styleId="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99">
    <w:name w:val="正文样式1"/>
    <w:basedOn w:val="1"/>
    <w:link w:val="100"/>
    <w:qFormat/>
    <w:uiPriority w:val="0"/>
    <w:pPr>
      <w:spacing w:beforeLines="50" w:afterLines="50" w:line="360" w:lineRule="auto"/>
      <w:ind w:firstLine="200" w:firstLineChars="200"/>
    </w:pPr>
    <w:rPr>
      <w:szCs w:val="20"/>
    </w:rPr>
  </w:style>
  <w:style w:type="character" w:customStyle="1" w:styleId="100">
    <w:name w:val="正文样式1 Char"/>
    <w:link w:val="99"/>
    <w:qFormat/>
    <w:uiPriority w:val="0"/>
    <w:rPr>
      <w:rFonts w:ascii="Times New Roman" w:hAnsi="Times New Roman" w:eastAsia="宋体" w:cs="Times New Roman"/>
      <w:kern w:val="2"/>
      <w:sz w:val="21"/>
    </w:rPr>
  </w:style>
  <w:style w:type="character" w:customStyle="1" w:styleId="101">
    <w:name w:val="纯文本 Char2"/>
    <w:basedOn w:val="36"/>
    <w:qFormat/>
    <w:uiPriority w:val="0"/>
    <w:rPr>
      <w:rFonts w:ascii="宋体" w:hAnsi="Courier New" w:eastAsia="宋体" w:cs="Courier New"/>
      <w:szCs w:val="21"/>
    </w:rPr>
  </w:style>
  <w:style w:type="paragraph" w:customStyle="1" w:styleId="102">
    <w:name w:val="段"/>
    <w:qFormat/>
    <w:uiPriority w:val="0"/>
    <w:pPr>
      <w:autoSpaceDE w:val="0"/>
      <w:autoSpaceDN w:val="0"/>
      <w:ind w:firstLine="200" w:firstLineChars="200"/>
      <w:jc w:val="both"/>
    </w:pPr>
    <w:rPr>
      <w:rFonts w:ascii="Arial" w:hAnsi="Arial" w:eastAsia="宋体" w:cs="Times New Roman"/>
      <w:kern w:val="2"/>
      <w:sz w:val="21"/>
      <w:szCs w:val="22"/>
      <w:lang w:val="en-US" w:eastAsia="zh-CN" w:bidi="ar-SA"/>
    </w:rPr>
  </w:style>
  <w:style w:type="character" w:customStyle="1" w:styleId="103">
    <w:name w:val="纯文本 Char4"/>
    <w:qFormat/>
    <w:uiPriority w:val="0"/>
    <w:rPr>
      <w:rFonts w:ascii="宋体" w:hAnsi="Courier New" w:eastAsia="宋体" w:cs="Times New Roman"/>
      <w:kern w:val="0"/>
      <w:szCs w:val="21"/>
    </w:rPr>
  </w:style>
  <w:style w:type="paragraph" w:customStyle="1" w:styleId="104">
    <w:name w:val="Body Text First Indent1"/>
    <w:basedOn w:val="2"/>
    <w:qFormat/>
    <w:uiPriority w:val="0"/>
    <w:pPr>
      <w:spacing w:after="0"/>
      <w:ind w:firstLine="100" w:firstLineChars="100"/>
    </w:pPr>
    <w:rPr>
      <w:rFonts w:ascii="Tahoma" w:hAnsi="Tahoma"/>
      <w:sz w:val="21"/>
    </w:rPr>
  </w:style>
  <w:style w:type="character" w:customStyle="1" w:styleId="105">
    <w:name w:val="正文文本缩进 Char1"/>
    <w:qFormat/>
    <w:uiPriority w:val="0"/>
    <w:rPr>
      <w:rFonts w:ascii="Times New Roman" w:hAnsi="Times New Roman" w:eastAsia="宋体" w:cs="Times New Roman"/>
      <w:kern w:val="0"/>
      <w:sz w:val="20"/>
      <w:szCs w:val="20"/>
    </w:rPr>
  </w:style>
  <w:style w:type="paragraph" w:customStyle="1" w:styleId="106">
    <w:name w:val="首行缩进"/>
    <w:basedOn w:val="1"/>
    <w:qFormat/>
    <w:uiPriority w:val="0"/>
    <w:pPr>
      <w:ind w:firstLine="480" w:firstLineChars="200"/>
    </w:pPr>
    <w:rPr>
      <w:rFonts w:ascii="Calibri" w:hAnsi="Calibri"/>
      <w:lang w:val="zh-CN"/>
    </w:rPr>
  </w:style>
  <w:style w:type="paragraph" w:customStyle="1" w:styleId="107">
    <w:name w:val="样式 列表编号 + 段后: 0.5 行"/>
    <w:basedOn w:val="9"/>
    <w:qFormat/>
    <w:uiPriority w:val="0"/>
    <w:pPr>
      <w:tabs>
        <w:tab w:val="left" w:pos="360"/>
        <w:tab w:val="clear" w:pos="454"/>
        <w:tab w:val="clear" w:pos="720"/>
      </w:tabs>
      <w:ind w:left="360" w:hanging="36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52</Pages>
  <Words>1836</Words>
  <Characters>2638</Characters>
  <Lines>211</Lines>
  <Paragraphs>59</Paragraphs>
  <TotalTime>12</TotalTime>
  <ScaleCrop>false</ScaleCrop>
  <LinksUpToDate>false</LinksUpToDate>
  <CharactersWithSpaces>2714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2021-11-28T00:30:00Z</dcterms:created>
  <dc:creator>NTKO</dc:creator>
  <cp:lastModifiedBy>NTKO</cp:lastModifiedBy>
  <cp:lastPrinted>2022-04-13T11:15:00Z</cp:lastPrinted>
  <dcterms:modified xsi:type="dcterms:W3CDTF">2024-11-11T03:20:33Z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54BACD54CA6C40A9ABD0665932407959_13</vt:lpwstr>
  </property>
</Properties>
</file>