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3826239">
      <w:pPr>
        <w:rPr>
          <w:rFonts w:ascii="Times New Roman" w:hAnsi="Times New Roman" w:eastAsia="华文新魏" w:cs="Times New Roman"/>
          <w:b/>
          <w:color w:val="auto"/>
          <w:spacing w:val="-14"/>
          <w:sz w:val="52"/>
          <w:szCs w:val="52"/>
        </w:rPr>
      </w:pPr>
      <w:bookmarkStart w:id="0" w:name="OLE_LINK1"/>
    </w:p>
    <w:p w14:paraId="00434CB7">
      <w:pPr>
        <w:spacing w:after="120"/>
        <w:jc w:val="center"/>
        <w:rPr>
          <w:rFonts w:ascii="Times New Roman" w:hAnsi="Calibri" w:eastAsia="宋体" w:cs="Times New Roman"/>
          <w:color w:val="auto"/>
          <w:spacing w:val="-22"/>
          <w:kern w:val="0"/>
        </w:rPr>
      </w:pPr>
      <w:r>
        <w:rPr>
          <w:rFonts w:hint="eastAsia" w:ascii="Times New Roman" w:hAnsi="Times New Roman" w:eastAsia="华文新魏" w:cs="Times New Roman"/>
          <w:b/>
          <w:color w:val="auto"/>
          <w:spacing w:val="-22"/>
          <w:sz w:val="52"/>
          <w:szCs w:val="52"/>
        </w:rPr>
        <w:t xml:space="preserve">新城垃圾中转站渗滤液处置项目  </w:t>
      </w:r>
    </w:p>
    <w:p w14:paraId="1C8F76FF">
      <w:pPr>
        <w:snapToGrid w:val="0"/>
        <w:spacing w:line="312" w:lineRule="auto"/>
        <w:jc w:val="center"/>
        <w:rPr>
          <w:rFonts w:ascii="Times New Roman" w:hAnsi="Times New Roman" w:eastAsia="华文新魏" w:cs="Times New Roman"/>
          <w:b/>
          <w:color w:val="auto"/>
          <w:sz w:val="52"/>
        </w:rPr>
      </w:pPr>
    </w:p>
    <w:p w14:paraId="138D2792">
      <w:pPr>
        <w:snapToGrid w:val="0"/>
        <w:spacing w:line="312" w:lineRule="auto"/>
        <w:jc w:val="center"/>
        <w:rPr>
          <w:rFonts w:ascii="Times New Roman" w:hAnsi="Times New Roman" w:eastAsia="华文新魏" w:cs="Times New Roman"/>
          <w:b/>
          <w:color w:val="auto"/>
          <w:sz w:val="52"/>
        </w:rPr>
      </w:pPr>
      <w:r>
        <w:rPr>
          <w:rFonts w:hint="eastAsia" w:ascii="Times New Roman" w:hAnsi="Times New Roman" w:eastAsia="华文新魏" w:cs="Times New Roman"/>
          <w:b/>
          <w:color w:val="auto"/>
          <w:sz w:val="52"/>
        </w:rPr>
        <w:t>招标文件</w:t>
      </w:r>
    </w:p>
    <w:p w14:paraId="47787A7D">
      <w:pPr>
        <w:snapToGrid w:val="0"/>
        <w:spacing w:before="120" w:line="312" w:lineRule="auto"/>
        <w:rPr>
          <w:rFonts w:ascii="Times New Roman" w:hAnsi="Times New Roman" w:eastAsia="华文新魏" w:cs="Times New Roman"/>
          <w:b/>
          <w:color w:val="auto"/>
          <w:sz w:val="32"/>
        </w:rPr>
      </w:pPr>
    </w:p>
    <w:p w14:paraId="156C03D3">
      <w:pPr>
        <w:snapToGrid w:val="0"/>
        <w:spacing w:before="120" w:line="312" w:lineRule="auto"/>
        <w:ind w:left="1602" w:hanging="1602" w:hangingChars="500"/>
        <w:rPr>
          <w:rFonts w:ascii="Times New Roman" w:hAnsi="Times New Roman" w:eastAsia="华文新魏" w:cs="Times New Roman"/>
          <w:b/>
          <w:color w:val="auto"/>
          <w:sz w:val="32"/>
        </w:rPr>
      </w:pPr>
    </w:p>
    <w:p w14:paraId="33F95146">
      <w:pPr>
        <w:snapToGrid w:val="0"/>
        <w:spacing w:before="120" w:line="312" w:lineRule="auto"/>
        <w:ind w:left="1602" w:hanging="1602" w:hangingChars="500"/>
        <w:rPr>
          <w:rFonts w:ascii="Times New Roman" w:hAnsi="Times New Roman" w:eastAsia="华文新魏" w:cs="Times New Roman"/>
          <w:b/>
          <w:color w:val="auto"/>
          <w:sz w:val="32"/>
        </w:rPr>
      </w:pPr>
      <w:r>
        <w:rPr>
          <w:rFonts w:hint="eastAsia" w:ascii="Times New Roman" w:hAnsi="Times New Roman" w:eastAsia="华文新魏" w:cs="Times New Roman"/>
          <w:b/>
          <w:color w:val="auto"/>
          <w:sz w:val="32"/>
        </w:rPr>
        <w:t>项目名称</w:t>
      </w:r>
      <w:r>
        <w:rPr>
          <w:rFonts w:hint="eastAsia" w:ascii="Times New Roman" w:hAnsi="Times New Roman" w:eastAsia="华文新魏" w:cs="Times New Roman"/>
          <w:color w:val="auto"/>
          <w:sz w:val="32"/>
        </w:rPr>
        <w:t>：</w:t>
      </w:r>
      <w:r>
        <w:rPr>
          <w:rFonts w:hint="eastAsia" w:ascii="Times New Roman" w:hAnsi="Times New Roman" w:eastAsia="华文新魏" w:cs="Times New Roman"/>
          <w:b/>
          <w:color w:val="auto"/>
          <w:sz w:val="32"/>
        </w:rPr>
        <w:t xml:space="preserve">新城垃圾中转站渗滤液处置项目  </w:t>
      </w:r>
    </w:p>
    <w:p w14:paraId="51748218">
      <w:pPr>
        <w:pStyle w:val="84"/>
        <w:ind w:firstLine="0" w:firstLineChars="0"/>
        <w:rPr>
          <w:rFonts w:hint="eastAsia"/>
          <w:color w:val="auto"/>
        </w:rPr>
      </w:pPr>
    </w:p>
    <w:p w14:paraId="75ACDE1F">
      <w:pPr>
        <w:snapToGrid w:val="0"/>
        <w:spacing w:before="120" w:line="312" w:lineRule="auto"/>
        <w:rPr>
          <w:rFonts w:ascii="Times New Roman" w:hAnsi="Times New Roman" w:eastAsia="华文新魏" w:cs="Times New Roman"/>
          <w:b/>
          <w:color w:val="auto"/>
          <w:sz w:val="32"/>
        </w:rPr>
      </w:pPr>
      <w:r>
        <w:rPr>
          <w:rFonts w:hint="eastAsia" w:ascii="Times New Roman" w:hAnsi="Times New Roman" w:eastAsia="华文新魏" w:cs="Times New Roman"/>
          <w:b/>
          <w:color w:val="auto"/>
          <w:sz w:val="32"/>
        </w:rPr>
        <w:t>项目编号：SZGXZS2025033</w:t>
      </w:r>
    </w:p>
    <w:p w14:paraId="612FD8AC">
      <w:pPr>
        <w:snapToGrid w:val="0"/>
        <w:spacing w:before="120" w:line="312" w:lineRule="auto"/>
        <w:rPr>
          <w:rFonts w:ascii="Times New Roman" w:hAnsi="Times New Roman" w:eastAsia="华文新魏" w:cs="Times New Roman"/>
          <w:b/>
          <w:color w:val="auto"/>
          <w:w w:val="95"/>
          <w:sz w:val="32"/>
        </w:rPr>
      </w:pPr>
    </w:p>
    <w:p w14:paraId="6DED3447">
      <w:pPr>
        <w:snapToGrid w:val="0"/>
        <w:spacing w:before="120" w:line="312" w:lineRule="auto"/>
        <w:ind w:left="1520" w:hanging="1522" w:hangingChars="500"/>
        <w:rPr>
          <w:rFonts w:ascii="Times New Roman" w:hAnsi="Times New Roman" w:eastAsia="华文新魏" w:cs="Times New Roman"/>
          <w:color w:val="auto"/>
          <w:sz w:val="32"/>
        </w:rPr>
      </w:pPr>
      <w:r>
        <w:rPr>
          <w:rFonts w:hint="eastAsia" w:ascii="Times New Roman" w:hAnsi="Times New Roman" w:eastAsia="华文新魏" w:cs="Times New Roman"/>
          <w:b/>
          <w:color w:val="auto"/>
          <w:w w:val="95"/>
          <w:sz w:val="32"/>
        </w:rPr>
        <w:t>采购单位：</w:t>
      </w:r>
      <w:r>
        <w:rPr>
          <w:rFonts w:hint="eastAsia" w:ascii="Times New Roman" w:hAnsi="Times New Roman" w:eastAsia="华文新魏" w:cs="Times New Roman"/>
          <w:b/>
          <w:color w:val="auto"/>
          <w:sz w:val="32"/>
        </w:rPr>
        <w:t>舟山市新城公用事业管理中心</w:t>
      </w:r>
    </w:p>
    <w:p w14:paraId="33F7243F">
      <w:pPr>
        <w:snapToGrid w:val="0"/>
        <w:spacing w:before="120" w:line="312" w:lineRule="auto"/>
        <w:rPr>
          <w:rFonts w:ascii="Times New Roman" w:hAnsi="Times New Roman" w:eastAsia="华文新魏" w:cs="Times New Roman"/>
          <w:b/>
          <w:color w:val="auto"/>
          <w:w w:val="95"/>
          <w:sz w:val="32"/>
        </w:rPr>
      </w:pPr>
    </w:p>
    <w:p w14:paraId="59F64595">
      <w:pPr>
        <w:snapToGrid w:val="0"/>
        <w:spacing w:before="120" w:line="312" w:lineRule="auto"/>
        <w:rPr>
          <w:rFonts w:ascii="Times New Roman" w:hAnsi="Times New Roman" w:eastAsia="华文新魏" w:cs="Times New Roman"/>
          <w:b/>
          <w:color w:val="auto"/>
          <w:w w:val="95"/>
          <w:sz w:val="32"/>
        </w:rPr>
      </w:pPr>
      <w:r>
        <w:rPr>
          <w:rFonts w:hint="eastAsia" w:ascii="Times New Roman" w:hAnsi="Times New Roman" w:eastAsia="华文新魏" w:cs="Times New Roman"/>
          <w:b/>
          <w:color w:val="auto"/>
          <w:w w:val="95"/>
          <w:sz w:val="32"/>
        </w:rPr>
        <w:t>代理机构：深圳市国信招标有限公司</w:t>
      </w:r>
    </w:p>
    <w:p w14:paraId="10242FE4">
      <w:pPr>
        <w:snapToGrid w:val="0"/>
        <w:spacing w:before="120" w:line="312" w:lineRule="auto"/>
        <w:ind w:left="5961" w:hanging="5968" w:hangingChars="1961"/>
        <w:rPr>
          <w:rFonts w:ascii="Times New Roman" w:hAnsi="Times New Roman" w:eastAsia="华文新魏" w:cs="Times New Roman"/>
          <w:b/>
          <w:color w:val="auto"/>
          <w:w w:val="95"/>
          <w:sz w:val="32"/>
        </w:rPr>
      </w:pPr>
    </w:p>
    <w:p w14:paraId="7309BBCB">
      <w:pPr>
        <w:snapToGrid w:val="0"/>
        <w:spacing w:before="120" w:line="312" w:lineRule="auto"/>
        <w:rPr>
          <w:rFonts w:ascii="Times New Roman" w:hAnsi="Times New Roman" w:eastAsia="华文新魏" w:cs="Times New Roman"/>
          <w:b/>
          <w:color w:val="auto"/>
          <w:w w:val="95"/>
          <w:sz w:val="32"/>
        </w:rPr>
      </w:pPr>
    </w:p>
    <w:p w14:paraId="4D0D7B4D">
      <w:pPr>
        <w:snapToGrid w:val="0"/>
        <w:spacing w:before="120" w:line="312" w:lineRule="auto"/>
        <w:ind w:left="6046" w:leftChars="2625" w:hanging="533" w:hangingChars="175"/>
        <w:rPr>
          <w:rFonts w:ascii="Times New Roman" w:hAnsi="Times New Roman" w:eastAsia="华文新魏" w:cs="Times New Roman"/>
          <w:b/>
          <w:color w:val="auto"/>
          <w:w w:val="95"/>
          <w:sz w:val="32"/>
        </w:rPr>
      </w:pPr>
      <w:r>
        <w:rPr>
          <w:rFonts w:ascii="Times New Roman" w:hAnsi="Times New Roman" w:eastAsia="华文新魏" w:cs="Times New Roman"/>
          <w:b/>
          <w:color w:val="auto"/>
          <w:w w:val="95"/>
          <w:sz w:val="32"/>
        </w:rPr>
        <w:t>202</w:t>
      </w:r>
      <w:r>
        <w:rPr>
          <w:rFonts w:hint="eastAsia" w:ascii="Times New Roman" w:hAnsi="Times New Roman" w:eastAsia="华文新魏" w:cs="Times New Roman"/>
          <w:b/>
          <w:color w:val="auto"/>
          <w:w w:val="95"/>
          <w:sz w:val="32"/>
        </w:rPr>
        <w:t>5</w:t>
      </w:r>
      <w:r>
        <w:rPr>
          <w:rFonts w:ascii="Times New Roman" w:hAnsi="Times New Roman" w:eastAsia="华文新魏" w:cs="Times New Roman"/>
          <w:b/>
          <w:color w:val="auto"/>
          <w:w w:val="95"/>
          <w:sz w:val="32"/>
        </w:rPr>
        <w:t>年</w:t>
      </w:r>
      <w:r>
        <w:rPr>
          <w:rFonts w:hint="eastAsia" w:ascii="Times New Roman" w:hAnsi="Times New Roman" w:eastAsia="华文新魏" w:cs="Times New Roman"/>
          <w:b/>
          <w:color w:val="auto"/>
          <w:w w:val="95"/>
          <w:sz w:val="32"/>
        </w:rPr>
        <w:t>0</w:t>
      </w:r>
      <w:r>
        <w:rPr>
          <w:rFonts w:hint="eastAsia" w:ascii="Times New Roman" w:hAnsi="Times New Roman" w:eastAsia="华文新魏" w:cs="Times New Roman"/>
          <w:b/>
          <w:color w:val="auto"/>
          <w:w w:val="95"/>
          <w:sz w:val="32"/>
          <w:lang w:val="en-US" w:eastAsia="zh-CN"/>
        </w:rPr>
        <w:t>4</w:t>
      </w:r>
      <w:r>
        <w:rPr>
          <w:rFonts w:hint="eastAsia" w:ascii="Times New Roman" w:hAnsi="Times New Roman" w:eastAsia="华文新魏" w:cs="Times New Roman"/>
          <w:b/>
          <w:color w:val="auto"/>
          <w:w w:val="95"/>
          <w:sz w:val="32"/>
        </w:rPr>
        <w:t>月</w:t>
      </w:r>
      <w:r>
        <w:rPr>
          <w:rFonts w:hint="eastAsia" w:ascii="Times New Roman" w:hAnsi="Times New Roman" w:eastAsia="华文新魏" w:cs="Times New Roman"/>
          <w:b/>
          <w:color w:val="auto"/>
          <w:w w:val="95"/>
          <w:sz w:val="32"/>
          <w:lang w:val="en-US" w:eastAsia="zh-CN"/>
        </w:rPr>
        <w:t>03</w:t>
      </w:r>
      <w:r>
        <w:rPr>
          <w:rFonts w:hint="eastAsia" w:ascii="Times New Roman" w:hAnsi="Times New Roman" w:eastAsia="华文新魏" w:cs="Times New Roman"/>
          <w:b/>
          <w:color w:val="auto"/>
          <w:w w:val="95"/>
          <w:sz w:val="32"/>
        </w:rPr>
        <w:t>日</w:t>
      </w:r>
    </w:p>
    <w:p w14:paraId="3CCC7577">
      <w:pPr>
        <w:widowControl/>
        <w:spacing w:line="312" w:lineRule="auto"/>
        <w:jc w:val="left"/>
        <w:rPr>
          <w:rFonts w:ascii="Times New Roman" w:hAnsi="Times New Roman" w:eastAsia="创艺简标宋" w:cs="Times New Roman"/>
          <w:color w:val="auto"/>
          <w:kern w:val="0"/>
          <w:sz w:val="44"/>
        </w:rPr>
        <w:sectPr>
          <w:headerReference r:id="rId3" w:type="default"/>
          <w:footerReference r:id="rId4" w:type="default"/>
          <w:pgSz w:w="11906" w:h="16838"/>
          <w:pgMar w:top="1304" w:right="1106" w:bottom="1304" w:left="1531" w:header="1304" w:footer="1304" w:gutter="0"/>
          <w:cols w:space="720" w:num="1"/>
        </w:sectPr>
      </w:pPr>
    </w:p>
    <w:p w14:paraId="497C3F07">
      <w:pPr>
        <w:snapToGrid w:val="0"/>
        <w:spacing w:before="120" w:line="312" w:lineRule="auto"/>
        <w:rPr>
          <w:rFonts w:ascii="Times New Roman" w:hAnsi="Times New Roman" w:eastAsia="创艺简标宋" w:cs="Times New Roman"/>
          <w:color w:val="auto"/>
          <w:sz w:val="44"/>
        </w:rPr>
      </w:pPr>
    </w:p>
    <w:p w14:paraId="52778CE3">
      <w:pPr>
        <w:snapToGrid w:val="0"/>
        <w:spacing w:before="120" w:line="312" w:lineRule="auto"/>
        <w:jc w:val="center"/>
        <w:rPr>
          <w:rFonts w:ascii="Times New Roman" w:hAnsi="Times New Roman" w:eastAsia="宋体" w:cs="Times New Roman"/>
          <w:b/>
          <w:color w:val="auto"/>
          <w:sz w:val="44"/>
        </w:rPr>
      </w:pPr>
      <w:r>
        <w:rPr>
          <w:rFonts w:hint="eastAsia" w:ascii="Times New Roman" w:hAnsi="Times New Roman" w:eastAsia="宋体" w:cs="Times New Roman"/>
          <w:b/>
          <w:color w:val="auto"/>
          <w:sz w:val="44"/>
        </w:rPr>
        <w:t>目  录</w:t>
      </w:r>
    </w:p>
    <w:p w14:paraId="46052AA1">
      <w:pPr>
        <w:spacing w:after="120"/>
        <w:ind w:firstLine="210" w:firstLineChars="100"/>
        <w:rPr>
          <w:rFonts w:ascii="Times New Roman" w:hAnsi="Times New Roman" w:eastAsia="宋体" w:cs="Times New Roman"/>
          <w:color w:val="auto"/>
          <w:kern w:val="0"/>
        </w:rPr>
      </w:pPr>
    </w:p>
    <w:p w14:paraId="6F01E17C">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color w:val="auto"/>
          <w:sz w:val="24"/>
        </w:rPr>
      </w:pPr>
      <w:r>
        <w:rPr>
          <w:rFonts w:hint="eastAsia" w:ascii="Times New Roman" w:hAnsi="Times New Roman" w:eastAsia="宋体" w:cs="Times New Roman"/>
          <w:color w:val="auto"/>
          <w:sz w:val="24"/>
        </w:rPr>
        <w:t>采购公告</w:t>
      </w:r>
    </w:p>
    <w:p w14:paraId="6B8C8F47">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color w:val="auto"/>
          <w:sz w:val="24"/>
        </w:rPr>
      </w:pPr>
      <w:r>
        <w:rPr>
          <w:rFonts w:hint="eastAsia" w:ascii="Times New Roman" w:hAnsi="Times New Roman" w:eastAsia="宋体" w:cs="Times New Roman"/>
          <w:color w:val="auto"/>
          <w:sz w:val="24"/>
        </w:rPr>
        <w:t>招标需求</w:t>
      </w:r>
    </w:p>
    <w:p w14:paraId="79FB6E41">
      <w:pPr>
        <w:widowControl/>
        <w:numPr>
          <w:ilvl w:val="0"/>
          <w:numId w:val="6"/>
        </w:numPr>
        <w:overflowPunct w:val="0"/>
        <w:autoSpaceDE w:val="0"/>
        <w:autoSpaceDN w:val="0"/>
        <w:adjustRightInd w:val="0"/>
        <w:snapToGrid w:val="0"/>
        <w:spacing w:line="360" w:lineRule="auto"/>
        <w:textAlignment w:val="baseline"/>
        <w:rPr>
          <w:rFonts w:ascii="Times New Roman" w:hAnsi="Times New Roman" w:eastAsia="宋体" w:cs="Times New Roman"/>
          <w:color w:val="auto"/>
          <w:sz w:val="24"/>
        </w:rPr>
      </w:pPr>
      <w:r>
        <w:rPr>
          <w:rFonts w:hint="eastAsia" w:ascii="Times New Roman" w:hAnsi="Times New Roman" w:eastAsia="宋体" w:cs="Times New Roman"/>
          <w:color w:val="auto"/>
          <w:sz w:val="24"/>
        </w:rPr>
        <w:t>投标人须知</w:t>
      </w:r>
    </w:p>
    <w:p w14:paraId="3285B984">
      <w:pPr>
        <w:snapToGrid w:val="0"/>
        <w:spacing w:line="360" w:lineRule="auto"/>
        <w:ind w:left="1440"/>
        <w:rPr>
          <w:rFonts w:ascii="Times New Roman" w:hAnsi="Times New Roman" w:eastAsia="宋体" w:cs="Times New Roman"/>
          <w:color w:val="auto"/>
          <w:sz w:val="24"/>
        </w:rPr>
      </w:pPr>
      <w:r>
        <w:rPr>
          <w:rFonts w:hint="eastAsia" w:ascii="Times New Roman" w:hAnsi="Times New Roman" w:eastAsia="宋体" w:cs="Times New Roman"/>
          <w:color w:val="auto"/>
          <w:sz w:val="24"/>
        </w:rPr>
        <w:t>前附表</w:t>
      </w:r>
    </w:p>
    <w:p w14:paraId="3CD709A7">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color w:val="auto"/>
          <w:sz w:val="24"/>
        </w:rPr>
      </w:pPr>
      <w:r>
        <w:rPr>
          <w:rFonts w:hint="eastAsia" w:ascii="Times New Roman" w:hAnsi="Times New Roman" w:eastAsia="宋体" w:cs="Times New Roman"/>
          <w:color w:val="auto"/>
          <w:sz w:val="24"/>
        </w:rPr>
        <w:t>总则</w:t>
      </w:r>
    </w:p>
    <w:p w14:paraId="51D47835">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color w:val="auto"/>
          <w:sz w:val="24"/>
        </w:rPr>
      </w:pPr>
      <w:r>
        <w:rPr>
          <w:rFonts w:hint="eastAsia" w:ascii="Times New Roman" w:hAnsi="Times New Roman" w:eastAsia="宋体" w:cs="Times New Roman"/>
          <w:color w:val="auto"/>
          <w:sz w:val="24"/>
        </w:rPr>
        <w:t>招标文件</w:t>
      </w:r>
    </w:p>
    <w:p w14:paraId="7B5651B9">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color w:val="auto"/>
          <w:sz w:val="24"/>
        </w:rPr>
      </w:pPr>
      <w:r>
        <w:rPr>
          <w:rFonts w:hint="eastAsia" w:ascii="Times New Roman" w:hAnsi="Times New Roman" w:eastAsia="宋体" w:cs="Times New Roman"/>
          <w:color w:val="auto"/>
          <w:sz w:val="24"/>
        </w:rPr>
        <w:t>投标文件编制</w:t>
      </w:r>
    </w:p>
    <w:p w14:paraId="3674BC95">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color w:val="auto"/>
          <w:sz w:val="24"/>
        </w:rPr>
      </w:pPr>
      <w:r>
        <w:rPr>
          <w:rFonts w:hint="eastAsia" w:ascii="Times New Roman" w:hAnsi="Times New Roman" w:eastAsia="宋体" w:cs="Times New Roman"/>
          <w:color w:val="auto"/>
          <w:sz w:val="24"/>
        </w:rPr>
        <w:t>开标</w:t>
      </w:r>
    </w:p>
    <w:p w14:paraId="31B8A012">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color w:val="auto"/>
          <w:sz w:val="24"/>
        </w:rPr>
      </w:pPr>
      <w:r>
        <w:rPr>
          <w:rFonts w:hint="eastAsia" w:ascii="Times New Roman" w:hAnsi="Times New Roman" w:eastAsia="宋体" w:cs="Times New Roman"/>
          <w:color w:val="auto"/>
          <w:sz w:val="24"/>
        </w:rPr>
        <w:t>评标</w:t>
      </w:r>
    </w:p>
    <w:p w14:paraId="1B57F1E8">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color w:val="auto"/>
          <w:sz w:val="24"/>
        </w:rPr>
      </w:pPr>
      <w:r>
        <w:rPr>
          <w:rFonts w:hint="eastAsia" w:ascii="Times New Roman" w:hAnsi="Times New Roman" w:eastAsia="宋体" w:cs="Times New Roman"/>
          <w:color w:val="auto"/>
          <w:sz w:val="24"/>
        </w:rPr>
        <w:t>定标</w:t>
      </w:r>
    </w:p>
    <w:p w14:paraId="6C2BAF10">
      <w:pPr>
        <w:widowControl/>
        <w:numPr>
          <w:ilvl w:val="1"/>
          <w:numId w:val="7"/>
        </w:numPr>
        <w:tabs>
          <w:tab w:val="left" w:pos="1305"/>
        </w:tabs>
        <w:overflowPunct w:val="0"/>
        <w:autoSpaceDE w:val="0"/>
        <w:autoSpaceDN w:val="0"/>
        <w:adjustRightInd w:val="0"/>
        <w:snapToGrid w:val="0"/>
        <w:spacing w:line="360" w:lineRule="auto"/>
        <w:textAlignment w:val="baseline"/>
        <w:rPr>
          <w:rFonts w:ascii="Times New Roman" w:hAnsi="Times New Roman" w:eastAsia="宋体" w:cs="Times New Roman"/>
          <w:color w:val="auto"/>
          <w:sz w:val="24"/>
        </w:rPr>
      </w:pPr>
      <w:r>
        <w:rPr>
          <w:rFonts w:hint="eastAsia" w:ascii="Times New Roman" w:hAnsi="Times New Roman" w:eastAsia="宋体" w:cs="Times New Roman"/>
          <w:color w:val="auto"/>
          <w:sz w:val="24"/>
        </w:rPr>
        <w:t>合同授予</w:t>
      </w:r>
    </w:p>
    <w:p w14:paraId="5C0179CA">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color w:val="auto"/>
          <w:sz w:val="24"/>
        </w:rPr>
      </w:pPr>
      <w:r>
        <w:rPr>
          <w:rFonts w:hint="eastAsia" w:ascii="Times New Roman" w:hAnsi="Times New Roman" w:eastAsia="宋体" w:cs="Times New Roman"/>
          <w:color w:val="auto"/>
          <w:sz w:val="24"/>
        </w:rPr>
        <w:t>第四章   评标方法及评分标准</w:t>
      </w:r>
    </w:p>
    <w:p w14:paraId="55132965">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color w:val="auto"/>
          <w:sz w:val="24"/>
        </w:rPr>
      </w:pPr>
      <w:r>
        <w:rPr>
          <w:rFonts w:hint="eastAsia" w:ascii="Times New Roman" w:hAnsi="Times New Roman" w:eastAsia="宋体" w:cs="Times New Roman"/>
          <w:color w:val="auto"/>
          <w:sz w:val="24"/>
        </w:rPr>
        <w:t>第五章   政府采购合同主要条款</w:t>
      </w:r>
    </w:p>
    <w:p w14:paraId="4DFD1E2F">
      <w:pPr>
        <w:widowControl/>
        <w:overflowPunct w:val="0"/>
        <w:autoSpaceDE w:val="0"/>
        <w:autoSpaceDN w:val="0"/>
        <w:adjustRightInd w:val="0"/>
        <w:snapToGrid w:val="0"/>
        <w:spacing w:line="360" w:lineRule="auto"/>
        <w:ind w:left="165"/>
        <w:textAlignment w:val="baseline"/>
        <w:rPr>
          <w:rFonts w:ascii="Times New Roman" w:hAnsi="Times New Roman" w:eastAsia="宋体" w:cs="Times New Roman"/>
          <w:color w:val="auto"/>
          <w:sz w:val="24"/>
        </w:rPr>
      </w:pPr>
      <w:r>
        <w:rPr>
          <w:rFonts w:hint="eastAsia" w:ascii="Times New Roman" w:hAnsi="Times New Roman" w:eastAsia="宋体" w:cs="Times New Roman"/>
          <w:color w:val="auto"/>
          <w:sz w:val="24"/>
        </w:rPr>
        <w:t>第六章   投标文件相关格式</w:t>
      </w:r>
    </w:p>
    <w:p w14:paraId="070CDC98">
      <w:pPr>
        <w:snapToGrid w:val="0"/>
        <w:spacing w:before="120" w:line="312" w:lineRule="auto"/>
        <w:outlineLvl w:val="0"/>
        <w:rPr>
          <w:rFonts w:ascii="Times New Roman" w:hAnsi="Times New Roman" w:eastAsia="宋体" w:cs="Times New Roman"/>
          <w:color w:val="auto"/>
        </w:rPr>
      </w:pPr>
    </w:p>
    <w:p w14:paraId="0BCD7FD9">
      <w:pPr>
        <w:snapToGrid w:val="0"/>
        <w:spacing w:before="120" w:line="312" w:lineRule="auto"/>
        <w:outlineLvl w:val="0"/>
        <w:rPr>
          <w:rFonts w:ascii="Times New Roman" w:hAnsi="Times New Roman" w:eastAsia="宋体" w:cs="Times New Roman"/>
          <w:color w:val="auto"/>
        </w:rPr>
      </w:pPr>
    </w:p>
    <w:p w14:paraId="1BF061E5">
      <w:pPr>
        <w:snapToGrid w:val="0"/>
        <w:spacing w:before="120" w:line="312" w:lineRule="auto"/>
        <w:outlineLvl w:val="0"/>
        <w:rPr>
          <w:rFonts w:ascii="Times New Roman" w:hAnsi="Times New Roman" w:eastAsia="宋体" w:cs="Times New Roman"/>
          <w:color w:val="auto"/>
        </w:rPr>
      </w:pPr>
    </w:p>
    <w:p w14:paraId="42E266E4">
      <w:pPr>
        <w:snapToGrid w:val="0"/>
        <w:spacing w:before="120" w:line="312" w:lineRule="auto"/>
        <w:outlineLvl w:val="0"/>
        <w:rPr>
          <w:rFonts w:ascii="Times New Roman" w:hAnsi="Times New Roman" w:eastAsia="宋体" w:cs="Times New Roman"/>
          <w:color w:val="auto"/>
        </w:rPr>
      </w:pPr>
    </w:p>
    <w:p w14:paraId="27A88139">
      <w:pPr>
        <w:snapToGrid w:val="0"/>
        <w:spacing w:before="120" w:line="312" w:lineRule="auto"/>
        <w:outlineLvl w:val="0"/>
        <w:rPr>
          <w:rFonts w:ascii="Times New Roman" w:hAnsi="Times New Roman" w:eastAsia="宋体" w:cs="Times New Roman"/>
          <w:color w:val="auto"/>
        </w:rPr>
      </w:pPr>
    </w:p>
    <w:p w14:paraId="65BA986F">
      <w:pPr>
        <w:snapToGrid w:val="0"/>
        <w:spacing w:before="120" w:line="312" w:lineRule="auto"/>
        <w:outlineLvl w:val="0"/>
        <w:rPr>
          <w:rFonts w:ascii="Times New Roman" w:hAnsi="Times New Roman" w:eastAsia="宋体" w:cs="Times New Roman"/>
          <w:color w:val="auto"/>
        </w:rPr>
      </w:pPr>
    </w:p>
    <w:p w14:paraId="213F273E">
      <w:pPr>
        <w:snapToGrid w:val="0"/>
        <w:spacing w:before="120" w:line="312" w:lineRule="auto"/>
        <w:outlineLvl w:val="0"/>
        <w:rPr>
          <w:rFonts w:ascii="Times New Roman" w:hAnsi="Times New Roman" w:eastAsia="宋体" w:cs="Times New Roman"/>
          <w:color w:val="auto"/>
        </w:rPr>
      </w:pPr>
    </w:p>
    <w:p w14:paraId="481727F7">
      <w:pPr>
        <w:widowControl/>
        <w:spacing w:line="312" w:lineRule="auto"/>
        <w:jc w:val="left"/>
        <w:rPr>
          <w:rFonts w:ascii="Times New Roman" w:hAnsi="Times New Roman" w:eastAsia="宋体" w:cs="Times New Roman"/>
          <w:color w:val="auto"/>
          <w:kern w:val="0"/>
        </w:rPr>
        <w:sectPr>
          <w:pgSz w:w="11906" w:h="16838"/>
          <w:pgMar w:top="1304" w:right="1106" w:bottom="1304" w:left="1531" w:header="1304" w:footer="1304" w:gutter="0"/>
          <w:cols w:space="720" w:num="1"/>
        </w:sectPr>
      </w:pPr>
    </w:p>
    <w:p w14:paraId="654DB38F">
      <w:pPr>
        <w:snapToGrid w:val="0"/>
        <w:spacing w:before="120" w:line="312" w:lineRule="auto"/>
        <w:jc w:val="center"/>
        <w:outlineLvl w:val="0"/>
        <w:rPr>
          <w:rFonts w:ascii="Times New Roman" w:hAnsi="Times New Roman" w:eastAsia="黑体" w:cs="Times New Roman"/>
          <w:color w:val="auto"/>
          <w:sz w:val="30"/>
        </w:rPr>
      </w:pPr>
      <w:r>
        <w:rPr>
          <w:rFonts w:hint="eastAsia" w:ascii="Times New Roman" w:hAnsi="Times New Roman" w:eastAsia="黑体" w:cs="Times New Roman"/>
          <w:color w:val="auto"/>
          <w:sz w:val="30"/>
        </w:rPr>
        <w:t>第一章 公开招标采购公告</w:t>
      </w:r>
    </w:p>
    <w:p w14:paraId="1ACB220F">
      <w:pPr>
        <w:spacing w:line="312" w:lineRule="auto"/>
        <w:rPr>
          <w:rFonts w:ascii="Times New Roman" w:hAnsi="Times New Roman" w:eastAsia="宋体" w:cs="Times New Roman"/>
          <w:color w:val="auto"/>
        </w:rPr>
      </w:pPr>
    </w:p>
    <w:p w14:paraId="4F86F665">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rPr>
        <w:t>根据《中华人民</w:t>
      </w:r>
      <w:r>
        <w:rPr>
          <w:rFonts w:hint="eastAsia" w:ascii="Times New Roman" w:hAnsi="Times New Roman" w:eastAsia="宋体" w:cs="Times New Roman"/>
          <w:color w:val="auto"/>
          <w:szCs w:val="21"/>
        </w:rPr>
        <w:t>共和国政府采购法》等规定，受舟山市新城公用事业管理中心委托，现就新城垃圾中转站渗滤液处置项目进行公开招标，欢迎符合资质要求并能提供相关服务的供应商参加投标。</w:t>
      </w:r>
    </w:p>
    <w:p w14:paraId="622D6AA1">
      <w:pPr>
        <w:widowControl/>
        <w:spacing w:line="360" w:lineRule="auto"/>
        <w:jc w:val="left"/>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一、项目名称：</w:t>
      </w:r>
      <w:r>
        <w:rPr>
          <w:rFonts w:hint="eastAsia" w:ascii="Times New Roman" w:hAnsi="Times New Roman" w:eastAsia="宋体" w:cs="Times New Roman"/>
          <w:color w:val="auto"/>
          <w:szCs w:val="21"/>
        </w:rPr>
        <w:t xml:space="preserve">新城垃圾中转站渗滤液处置项目  </w:t>
      </w:r>
    </w:p>
    <w:p w14:paraId="23FA68F6">
      <w:pPr>
        <w:widowControl/>
        <w:spacing w:line="360" w:lineRule="auto"/>
        <w:jc w:val="left"/>
        <w:rPr>
          <w:rFonts w:ascii="Times New Roman" w:hAnsi="Times New Roman" w:eastAsia="宋体" w:cs="Times New Roman"/>
          <w:b/>
          <w:bCs/>
          <w:color w:val="auto"/>
          <w:sz w:val="28"/>
          <w:szCs w:val="28"/>
        </w:rPr>
      </w:pPr>
      <w:r>
        <w:rPr>
          <w:rFonts w:hint="eastAsia" w:ascii="Times New Roman" w:hAnsi="Times New Roman" w:eastAsia="宋体" w:cs="Times New Roman"/>
          <w:b/>
          <w:bCs/>
          <w:color w:val="auto"/>
          <w:szCs w:val="21"/>
        </w:rPr>
        <w:t>二、项目编号：</w:t>
      </w:r>
      <w:r>
        <w:rPr>
          <w:rFonts w:hint="eastAsia" w:ascii="Times New Roman" w:hAnsi="Times New Roman" w:eastAsia="宋体" w:cs="Times New Roman"/>
          <w:color w:val="auto"/>
          <w:kern w:val="0"/>
          <w:szCs w:val="21"/>
          <w:shd w:val="clear" w:color="auto" w:fill="FFFFFF"/>
        </w:rPr>
        <w:t>SZGXZS2025033</w:t>
      </w:r>
    </w:p>
    <w:p w14:paraId="2E5CEF8F">
      <w:pPr>
        <w:widowControl/>
        <w:spacing w:line="360" w:lineRule="auto"/>
        <w:rPr>
          <w:rFonts w:ascii="Times New Roman" w:hAnsi="Times New Roman" w:eastAsia="宋体" w:cs="Times New Roman"/>
          <w:color w:val="auto"/>
          <w:kern w:val="0"/>
          <w:szCs w:val="21"/>
          <w:shd w:val="clear" w:color="auto" w:fill="FFFFFF"/>
        </w:rPr>
      </w:pPr>
      <w:r>
        <w:rPr>
          <w:rFonts w:hint="eastAsia" w:ascii="Times New Roman" w:hAnsi="Times New Roman" w:eastAsia="宋体" w:cs="Times New Roman"/>
          <w:b/>
          <w:bCs/>
          <w:color w:val="auto"/>
          <w:kern w:val="0"/>
          <w:szCs w:val="21"/>
        </w:rPr>
        <w:t>三、采购组织类型：</w:t>
      </w:r>
      <w:r>
        <w:rPr>
          <w:rFonts w:hint="eastAsia" w:ascii="Times New Roman" w:hAnsi="Times New Roman" w:eastAsia="宋体" w:cs="Times New Roman"/>
          <w:color w:val="auto"/>
          <w:kern w:val="0"/>
          <w:szCs w:val="21"/>
          <w:shd w:val="clear" w:color="auto" w:fill="FFFFFF"/>
        </w:rPr>
        <w:t>分散采购委托代理</w:t>
      </w:r>
    </w:p>
    <w:p w14:paraId="707C38D6">
      <w:pPr>
        <w:widowControl/>
        <w:spacing w:line="360" w:lineRule="auto"/>
        <w:rPr>
          <w:rFonts w:hint="eastAsia" w:eastAsia="宋体"/>
          <w:color w:val="auto"/>
        </w:rPr>
      </w:pPr>
      <w:r>
        <w:rPr>
          <w:rFonts w:hint="eastAsia" w:ascii="Times New Roman" w:hAnsi="Times New Roman" w:eastAsia="宋体" w:cs="Times New Roman"/>
          <w:color w:val="auto"/>
          <w:kern w:val="0"/>
          <w:szCs w:val="21"/>
          <w:shd w:val="clear" w:color="auto" w:fill="FFFFFF"/>
        </w:rPr>
        <w:t>四、</w:t>
      </w:r>
      <w:r>
        <w:rPr>
          <w:rFonts w:hint="eastAsia" w:ascii="Times New Roman" w:hAnsi="Times New Roman" w:eastAsia="宋体" w:cs="Times New Roman"/>
          <w:b/>
          <w:bCs/>
          <w:color w:val="auto"/>
          <w:kern w:val="0"/>
          <w:szCs w:val="21"/>
        </w:rPr>
        <w:t>招标项目概况（内容、用途、数量、简要技术要求等）</w:t>
      </w:r>
      <w:r>
        <w:rPr>
          <w:rFonts w:ascii="Times New Roman" w:hAnsi="Times New Roman" w:eastAsia="宋体" w:cs="Times New Roman"/>
          <w:b/>
          <w:bCs/>
          <w:color w:val="auto"/>
          <w:kern w:val="0"/>
          <w:szCs w:val="21"/>
        </w:rPr>
        <w:t>:</w:t>
      </w:r>
    </w:p>
    <w:tbl>
      <w:tblPr>
        <w:tblStyle w:val="63"/>
        <w:tblpPr w:leftFromText="180" w:rightFromText="180" w:vertAnchor="text" w:horzAnchor="page" w:tblpXSpec="center" w:tblpY="207"/>
        <w:tblOverlap w:val="never"/>
        <w:tblW w:w="913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3"/>
        <w:gridCol w:w="3492"/>
        <w:gridCol w:w="1068"/>
        <w:gridCol w:w="1156"/>
        <w:gridCol w:w="1328"/>
        <w:gridCol w:w="1351"/>
      </w:tblGrid>
      <w:tr w14:paraId="2CF930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9" w:hRule="atLeast"/>
          <w:jc w:val="center"/>
        </w:trPr>
        <w:tc>
          <w:tcPr>
            <w:tcW w:w="743" w:type="dxa"/>
            <w:tcBorders>
              <w:top w:val="single" w:color="000000" w:sz="4" w:space="0"/>
              <w:left w:val="single" w:color="000000" w:sz="4" w:space="0"/>
              <w:bottom w:val="single" w:color="000000" w:sz="4" w:space="0"/>
              <w:right w:val="single" w:color="000000" w:sz="4" w:space="0"/>
            </w:tcBorders>
            <w:vAlign w:val="center"/>
          </w:tcPr>
          <w:p w14:paraId="246193FA">
            <w:pPr>
              <w:widowControl/>
              <w:spacing w:line="240"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序号</w:t>
            </w:r>
          </w:p>
        </w:tc>
        <w:tc>
          <w:tcPr>
            <w:tcW w:w="3492" w:type="dxa"/>
            <w:tcBorders>
              <w:top w:val="single" w:color="000000" w:sz="4" w:space="0"/>
              <w:left w:val="single" w:color="000000" w:sz="4" w:space="0"/>
              <w:bottom w:val="single" w:color="000000" w:sz="4" w:space="0"/>
              <w:right w:val="single" w:color="auto" w:sz="4" w:space="0"/>
            </w:tcBorders>
            <w:vAlign w:val="center"/>
          </w:tcPr>
          <w:p w14:paraId="77A3BA96">
            <w:pPr>
              <w:widowControl/>
              <w:spacing w:line="240" w:lineRule="auto"/>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rPr>
              <w:t>项目名称及内容</w:t>
            </w:r>
          </w:p>
        </w:tc>
        <w:tc>
          <w:tcPr>
            <w:tcW w:w="1068" w:type="dxa"/>
            <w:tcBorders>
              <w:top w:val="single" w:color="000000" w:sz="4" w:space="0"/>
              <w:left w:val="single" w:color="auto" w:sz="4" w:space="0"/>
              <w:bottom w:val="single" w:color="000000" w:sz="4" w:space="0"/>
              <w:right w:val="single" w:color="auto" w:sz="4" w:space="0"/>
            </w:tcBorders>
            <w:vAlign w:val="center"/>
          </w:tcPr>
          <w:p w14:paraId="500C1032">
            <w:pPr>
              <w:widowControl/>
              <w:spacing w:line="240" w:lineRule="auto"/>
              <w:jc w:val="center"/>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服务期限</w:t>
            </w:r>
          </w:p>
        </w:tc>
        <w:tc>
          <w:tcPr>
            <w:tcW w:w="1156" w:type="dxa"/>
            <w:tcBorders>
              <w:top w:val="single" w:color="000000" w:sz="4" w:space="0"/>
              <w:left w:val="single" w:color="000000" w:sz="4" w:space="0"/>
              <w:bottom w:val="single" w:color="000000" w:sz="4" w:space="0"/>
              <w:right w:val="single" w:color="auto" w:sz="4" w:space="0"/>
            </w:tcBorders>
            <w:vAlign w:val="center"/>
          </w:tcPr>
          <w:p w14:paraId="39E39C35">
            <w:pPr>
              <w:widowControl/>
              <w:spacing w:line="240"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预算金额（万元）</w:t>
            </w:r>
          </w:p>
        </w:tc>
        <w:tc>
          <w:tcPr>
            <w:tcW w:w="1328" w:type="dxa"/>
            <w:tcBorders>
              <w:top w:val="single" w:color="000000" w:sz="4" w:space="0"/>
              <w:left w:val="single" w:color="auto" w:sz="4" w:space="0"/>
              <w:bottom w:val="single" w:color="000000" w:sz="4" w:space="0"/>
              <w:right w:val="single" w:color="000000" w:sz="4" w:space="0"/>
            </w:tcBorders>
            <w:vAlign w:val="center"/>
          </w:tcPr>
          <w:p w14:paraId="14E925F8">
            <w:pPr>
              <w:widowControl/>
              <w:spacing w:line="240" w:lineRule="auto"/>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最高限价（单价）</w:t>
            </w:r>
          </w:p>
        </w:tc>
        <w:tc>
          <w:tcPr>
            <w:tcW w:w="1351" w:type="dxa"/>
            <w:tcBorders>
              <w:top w:val="single" w:color="000000" w:sz="4" w:space="0"/>
              <w:left w:val="single" w:color="000000" w:sz="4" w:space="0"/>
              <w:bottom w:val="single" w:color="000000" w:sz="4" w:space="0"/>
              <w:right w:val="single" w:color="000000" w:sz="4" w:space="0"/>
            </w:tcBorders>
            <w:vAlign w:val="center"/>
          </w:tcPr>
          <w:p w14:paraId="26BF9CCC">
            <w:pPr>
              <w:widowControl/>
              <w:spacing w:line="240" w:lineRule="auto"/>
              <w:ind w:firstLine="420" w:firstLineChars="200"/>
              <w:jc w:val="left"/>
              <w:rPr>
                <w:rFonts w:ascii="Times New Roman" w:hAnsi="Times New Roman" w:eastAsia="宋体" w:cs="Times New Roman"/>
                <w:color w:val="auto"/>
                <w:szCs w:val="21"/>
              </w:rPr>
            </w:pPr>
            <w:r>
              <w:rPr>
                <w:rFonts w:hint="eastAsia" w:ascii="Times New Roman" w:hAnsi="Times New Roman" w:eastAsia="宋体" w:cs="Times New Roman"/>
                <w:color w:val="auto"/>
                <w:szCs w:val="21"/>
              </w:rPr>
              <w:t>备注</w:t>
            </w:r>
          </w:p>
        </w:tc>
      </w:tr>
      <w:tr w14:paraId="74E196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5" w:hRule="atLeast"/>
          <w:jc w:val="center"/>
        </w:trPr>
        <w:tc>
          <w:tcPr>
            <w:tcW w:w="743" w:type="dxa"/>
            <w:tcBorders>
              <w:top w:val="single" w:color="000000" w:sz="4" w:space="0"/>
              <w:left w:val="single" w:color="000000" w:sz="4" w:space="0"/>
              <w:bottom w:val="single" w:color="000000" w:sz="4" w:space="0"/>
              <w:right w:val="single" w:color="000000" w:sz="4" w:space="0"/>
            </w:tcBorders>
            <w:vAlign w:val="center"/>
          </w:tcPr>
          <w:p w14:paraId="26840BC2">
            <w:pPr>
              <w:widowControl/>
              <w:jc w:val="left"/>
              <w:rPr>
                <w:rFonts w:ascii="Times New Roman" w:hAnsi="Times New Roman" w:eastAsia="宋体" w:cs="Times New Roman"/>
                <w:color w:val="auto"/>
                <w:szCs w:val="21"/>
              </w:rPr>
            </w:pPr>
            <w:r>
              <w:rPr>
                <w:rFonts w:hint="eastAsia" w:ascii="Times New Roman" w:hAnsi="Times New Roman" w:eastAsia="宋体" w:cs="Times New Roman"/>
                <w:color w:val="auto"/>
                <w:szCs w:val="21"/>
              </w:rPr>
              <w:t>1</w:t>
            </w:r>
          </w:p>
        </w:tc>
        <w:tc>
          <w:tcPr>
            <w:tcW w:w="3492" w:type="dxa"/>
            <w:tcBorders>
              <w:top w:val="single" w:color="000000" w:sz="4" w:space="0"/>
              <w:left w:val="single" w:color="000000" w:sz="4" w:space="0"/>
              <w:bottom w:val="single" w:color="000000" w:sz="4" w:space="0"/>
              <w:right w:val="single" w:color="auto" w:sz="4" w:space="0"/>
            </w:tcBorders>
            <w:vAlign w:val="center"/>
          </w:tcPr>
          <w:p w14:paraId="00F267A2">
            <w:pPr>
              <w:widowControl/>
              <w:spacing w:line="240" w:lineRule="auto"/>
              <w:jc w:val="left"/>
              <w:rPr>
                <w:rFonts w:ascii="Times New Roman" w:hAnsi="Times New Roman" w:eastAsia="宋体" w:cs="Times New Roman"/>
                <w:color w:val="auto"/>
                <w:szCs w:val="21"/>
              </w:rPr>
            </w:pPr>
            <w:r>
              <w:rPr>
                <w:rFonts w:hint="eastAsia" w:ascii="Times New Roman" w:hAnsi="Times New Roman" w:eastAsia="宋体" w:cs="Times New Roman"/>
                <w:color w:val="auto"/>
                <w:szCs w:val="21"/>
              </w:rPr>
              <w:t xml:space="preserve">新城垃圾中转站渗滤液处置项目  </w:t>
            </w:r>
          </w:p>
        </w:tc>
        <w:tc>
          <w:tcPr>
            <w:tcW w:w="1068" w:type="dxa"/>
            <w:tcBorders>
              <w:top w:val="single" w:color="000000" w:sz="4" w:space="0"/>
              <w:left w:val="single" w:color="auto" w:sz="4" w:space="0"/>
              <w:bottom w:val="single" w:color="000000" w:sz="4" w:space="0"/>
              <w:right w:val="single" w:color="auto" w:sz="4" w:space="0"/>
            </w:tcBorders>
            <w:vAlign w:val="center"/>
          </w:tcPr>
          <w:p w14:paraId="46A49918">
            <w:pPr>
              <w:widowControl/>
              <w:spacing w:line="240"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1年</w:t>
            </w:r>
          </w:p>
        </w:tc>
        <w:tc>
          <w:tcPr>
            <w:tcW w:w="1156" w:type="dxa"/>
            <w:tcBorders>
              <w:top w:val="single" w:color="000000" w:sz="4" w:space="0"/>
              <w:left w:val="single" w:color="000000" w:sz="4" w:space="0"/>
              <w:bottom w:val="single" w:color="000000" w:sz="4" w:space="0"/>
              <w:right w:val="single" w:color="auto" w:sz="4" w:space="0"/>
            </w:tcBorders>
            <w:vAlign w:val="center"/>
          </w:tcPr>
          <w:p w14:paraId="5E8EDB2D">
            <w:pPr>
              <w:widowControl/>
              <w:spacing w:line="240"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132.60</w:t>
            </w:r>
          </w:p>
        </w:tc>
        <w:tc>
          <w:tcPr>
            <w:tcW w:w="1328" w:type="dxa"/>
            <w:tcBorders>
              <w:top w:val="single" w:color="000000" w:sz="4" w:space="0"/>
              <w:left w:val="single" w:color="auto" w:sz="4" w:space="0"/>
              <w:bottom w:val="single" w:color="000000" w:sz="4" w:space="0"/>
              <w:right w:val="single" w:color="000000" w:sz="4" w:space="0"/>
            </w:tcBorders>
            <w:vAlign w:val="center"/>
          </w:tcPr>
          <w:p w14:paraId="45B90244">
            <w:pPr>
              <w:widowControl/>
              <w:spacing w:line="240" w:lineRule="auto"/>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val="en-US" w:eastAsia="zh-CN"/>
              </w:rPr>
              <w:t>102元/m³</w:t>
            </w:r>
          </w:p>
        </w:tc>
        <w:tc>
          <w:tcPr>
            <w:tcW w:w="1351" w:type="dxa"/>
            <w:tcBorders>
              <w:top w:val="single" w:color="000000" w:sz="4" w:space="0"/>
              <w:left w:val="single" w:color="000000" w:sz="4" w:space="0"/>
              <w:bottom w:val="single" w:color="000000" w:sz="4" w:space="0"/>
              <w:right w:val="single" w:color="000000" w:sz="4" w:space="0"/>
            </w:tcBorders>
            <w:vAlign w:val="center"/>
          </w:tcPr>
          <w:p w14:paraId="6CAAB7D7">
            <w:pPr>
              <w:widowControl/>
              <w:spacing w:line="240" w:lineRule="auto"/>
              <w:jc w:val="left"/>
              <w:rPr>
                <w:rFonts w:ascii="Times New Roman" w:hAnsi="Times New Roman" w:eastAsia="宋体" w:cs="Times New Roman"/>
                <w:color w:val="auto"/>
                <w:szCs w:val="21"/>
              </w:rPr>
            </w:pPr>
            <w:r>
              <w:rPr>
                <w:rFonts w:hint="eastAsia" w:ascii="Times New Roman" w:hAnsi="Times New Roman" w:eastAsia="宋体" w:cs="Times New Roman"/>
                <w:color w:val="auto"/>
                <w:szCs w:val="21"/>
                <w:lang w:val="en-US" w:eastAsia="zh-CN"/>
              </w:rPr>
              <w:t>暂定处理量为30m³/d</w:t>
            </w:r>
          </w:p>
        </w:tc>
      </w:tr>
    </w:tbl>
    <w:p w14:paraId="6C7FEE85">
      <w:pPr>
        <w:widowControl/>
        <w:spacing w:line="360" w:lineRule="auto"/>
        <w:jc w:val="left"/>
        <w:rPr>
          <w:rFonts w:ascii="Times New Roman" w:hAnsi="Times New Roman" w:eastAsia="宋体" w:cs="Times New Roman"/>
          <w:color w:val="auto"/>
          <w:szCs w:val="21"/>
        </w:rPr>
      </w:pPr>
    </w:p>
    <w:p w14:paraId="397C0683">
      <w:pPr>
        <w:widowControl/>
        <w:spacing w:line="360" w:lineRule="auto"/>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五、投标供应商资格要求</w:t>
      </w:r>
      <w:r>
        <w:rPr>
          <w:rFonts w:ascii="Times New Roman" w:hAnsi="Times New Roman" w:eastAsia="宋体" w:cs="Times New Roman"/>
          <w:b/>
          <w:bCs/>
          <w:color w:val="auto"/>
          <w:kern w:val="0"/>
          <w:szCs w:val="21"/>
        </w:rPr>
        <w:t>:</w:t>
      </w:r>
    </w:p>
    <w:p w14:paraId="78C7B415">
      <w:pPr>
        <w:widowControl/>
        <w:shd w:val="clear" w:color="auto" w:fill="FFFFFF"/>
        <w:spacing w:line="360" w:lineRule="auto"/>
        <w:ind w:firstLine="420" w:firstLineChars="200"/>
        <w:jc w:val="left"/>
        <w:rPr>
          <w:rFonts w:ascii="Times New Roman" w:hAnsi="Times New Roman" w:eastAsia="宋体" w:cs="Times New Roman"/>
          <w:color w:val="auto"/>
          <w:kern w:val="0"/>
          <w:szCs w:val="21"/>
        </w:rPr>
      </w:pPr>
      <w:r>
        <w:rPr>
          <w:rFonts w:ascii="Times New Roman" w:hAnsi="Times New Roman" w:eastAsia="宋体" w:cs="Times New Roman"/>
          <w:color w:val="auto"/>
          <w:kern w:val="0"/>
          <w:szCs w:val="21"/>
        </w:rPr>
        <w:t>1.</w:t>
      </w:r>
      <w:r>
        <w:rPr>
          <w:rFonts w:hint="eastAsia" w:ascii="宋体" w:hAnsi="宋体" w:eastAsia="宋体" w:cs="宋体"/>
          <w:color w:val="auto"/>
          <w:kern w:val="0"/>
          <w:szCs w:val="21"/>
        </w:rPr>
        <w:t>①</w:t>
      </w:r>
      <w:r>
        <w:rPr>
          <w:rFonts w:hint="eastAsia" w:ascii="Times New Roman" w:hAnsi="Times New Roman" w:eastAsia="宋体" w:cs="Times New Roman"/>
          <w:color w:val="auto"/>
          <w:kern w:val="0"/>
          <w:szCs w:val="21"/>
        </w:rPr>
        <w:t>具有独立承担民事责任的能力；</w:t>
      </w:r>
      <w:r>
        <w:rPr>
          <w:rFonts w:hint="eastAsia" w:ascii="宋体" w:hAnsi="宋体" w:eastAsia="宋体" w:cs="宋体"/>
          <w:color w:val="auto"/>
          <w:kern w:val="0"/>
          <w:szCs w:val="21"/>
        </w:rPr>
        <w:t>②</w:t>
      </w:r>
      <w:r>
        <w:rPr>
          <w:rFonts w:hint="eastAsia" w:ascii="Times New Roman" w:hAnsi="Times New Roman" w:eastAsia="宋体" w:cs="Times New Roman"/>
          <w:color w:val="auto"/>
          <w:kern w:val="0"/>
          <w:szCs w:val="21"/>
        </w:rPr>
        <w:t>具有良好的商业信誉和健全的财务会计制度；</w:t>
      </w:r>
      <w:r>
        <w:rPr>
          <w:rFonts w:hint="eastAsia" w:ascii="宋体" w:hAnsi="宋体" w:eastAsia="宋体" w:cs="宋体"/>
          <w:color w:val="auto"/>
          <w:kern w:val="0"/>
          <w:szCs w:val="21"/>
        </w:rPr>
        <w:t>③</w:t>
      </w:r>
      <w:r>
        <w:rPr>
          <w:rFonts w:hint="eastAsia" w:ascii="Times New Roman" w:hAnsi="Times New Roman" w:eastAsia="宋体" w:cs="Times New Roman"/>
          <w:color w:val="auto"/>
          <w:kern w:val="0"/>
          <w:szCs w:val="21"/>
        </w:rPr>
        <w:t>具有履行合同所必需的设备和专业技术能力；</w:t>
      </w:r>
      <w:r>
        <w:rPr>
          <w:rFonts w:hint="eastAsia" w:ascii="宋体" w:hAnsi="宋体" w:eastAsia="宋体" w:cs="宋体"/>
          <w:color w:val="auto"/>
          <w:kern w:val="0"/>
          <w:szCs w:val="21"/>
        </w:rPr>
        <w:t>④</w:t>
      </w:r>
      <w:r>
        <w:rPr>
          <w:rFonts w:hint="eastAsia" w:ascii="Times New Roman" w:hAnsi="Times New Roman" w:eastAsia="宋体" w:cs="Times New Roman"/>
          <w:color w:val="auto"/>
          <w:kern w:val="0"/>
          <w:szCs w:val="21"/>
        </w:rPr>
        <w:t>参加政府采购活动前三年内，无依法缴纳税收和社会保障资金的不良记录；</w:t>
      </w:r>
      <w:r>
        <w:rPr>
          <w:rFonts w:hint="eastAsia" w:ascii="宋体" w:hAnsi="宋体" w:eastAsia="宋体" w:cs="宋体"/>
          <w:color w:val="auto"/>
          <w:kern w:val="0"/>
          <w:szCs w:val="21"/>
        </w:rPr>
        <w:t>⑤</w:t>
      </w:r>
      <w:r>
        <w:rPr>
          <w:rFonts w:hint="eastAsia" w:ascii="Times New Roman" w:hAnsi="Times New Roman" w:eastAsia="宋体" w:cs="Times New Roman"/>
          <w:color w:val="auto"/>
          <w:kern w:val="0"/>
          <w:szCs w:val="21"/>
        </w:rPr>
        <w:t>参加政府采购活动前三年内，在经营活动中没有重大违法记录；</w:t>
      </w:r>
      <w:r>
        <w:rPr>
          <w:rFonts w:hint="eastAsia" w:ascii="宋体" w:hAnsi="宋体" w:eastAsia="宋体" w:cs="宋体"/>
          <w:color w:val="auto"/>
          <w:kern w:val="0"/>
          <w:szCs w:val="21"/>
        </w:rPr>
        <w:t>⑥</w:t>
      </w:r>
      <w:r>
        <w:rPr>
          <w:rFonts w:hint="eastAsia" w:ascii="Times New Roman" w:hAnsi="Times New Roman" w:eastAsia="宋体" w:cs="Times New Roman"/>
          <w:color w:val="auto"/>
          <w:kern w:val="0"/>
          <w:szCs w:val="21"/>
        </w:rPr>
        <w:t>法律、行政法规规定的其他条件。</w:t>
      </w:r>
    </w:p>
    <w:p w14:paraId="313617E8">
      <w:pPr>
        <w:widowControl/>
        <w:shd w:val="clear" w:color="auto" w:fill="FFFFFF"/>
        <w:spacing w:line="360" w:lineRule="auto"/>
        <w:ind w:firstLine="420" w:firstLineChars="200"/>
        <w:jc w:val="left"/>
        <w:rPr>
          <w:rFonts w:ascii="Times New Roman" w:hAnsi="Times New Roman" w:eastAsia="宋体" w:cs="Times New Roman"/>
          <w:color w:val="auto"/>
          <w:kern w:val="0"/>
          <w:szCs w:val="21"/>
        </w:rPr>
      </w:pPr>
      <w:r>
        <w:rPr>
          <w:rFonts w:ascii="Times New Roman" w:hAnsi="Times New Roman" w:eastAsia="宋体" w:cs="Times New Roman"/>
          <w:color w:val="auto"/>
          <w:kern w:val="0"/>
          <w:szCs w:val="21"/>
        </w:rPr>
        <w:t>2.</w:t>
      </w:r>
      <w:r>
        <w:rPr>
          <w:rFonts w:hint="eastAsia" w:ascii="Times New Roman" w:hAnsi="Times New Roman" w:eastAsia="宋体" w:cs="Times New Roman"/>
          <w:color w:val="auto"/>
          <w:kern w:val="0"/>
          <w:szCs w:val="21"/>
        </w:rPr>
        <w:t>未被</w:t>
      </w:r>
      <w:r>
        <w:rPr>
          <w:rFonts w:ascii="Times New Roman" w:hAnsi="Times New Roman" w:eastAsia="宋体" w:cs="Times New Roman"/>
          <w:color w:val="auto"/>
          <w:kern w:val="0"/>
          <w:szCs w:val="21"/>
        </w:rPr>
        <w:t>“</w:t>
      </w:r>
      <w:r>
        <w:rPr>
          <w:rFonts w:hint="eastAsia" w:ascii="Times New Roman" w:hAnsi="Times New Roman" w:eastAsia="宋体" w:cs="Times New Roman"/>
          <w:color w:val="auto"/>
          <w:kern w:val="0"/>
          <w:szCs w:val="21"/>
        </w:rPr>
        <w:t>信用中国</w:t>
      </w:r>
      <w:r>
        <w:rPr>
          <w:rFonts w:ascii="Times New Roman" w:hAnsi="Times New Roman" w:eastAsia="宋体" w:cs="Times New Roman"/>
          <w:color w:val="auto"/>
          <w:kern w:val="0"/>
          <w:szCs w:val="21"/>
        </w:rPr>
        <w:t>”</w:t>
      </w: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www.creditchina.gov.cn</w:t>
      </w:r>
      <w:r>
        <w:rPr>
          <w:rFonts w:hint="eastAsia" w:ascii="Times New Roman" w:hAnsi="Times New Roman" w:eastAsia="宋体" w:cs="Times New Roman"/>
          <w:color w:val="auto"/>
          <w:kern w:val="0"/>
          <w:szCs w:val="21"/>
        </w:rPr>
        <w:t>）、中国政府采购网（</w:t>
      </w:r>
      <w:r>
        <w:rPr>
          <w:rFonts w:ascii="Times New Roman" w:hAnsi="Times New Roman" w:eastAsia="宋体" w:cs="Times New Roman"/>
          <w:color w:val="auto"/>
          <w:kern w:val="0"/>
          <w:szCs w:val="21"/>
        </w:rPr>
        <w:t>www.ccgp.gov.cn</w:t>
      </w:r>
      <w:r>
        <w:rPr>
          <w:rFonts w:hint="eastAsia" w:ascii="Times New Roman" w:hAnsi="Times New Roman" w:eastAsia="宋体" w:cs="Times New Roman"/>
          <w:color w:val="auto"/>
          <w:kern w:val="0"/>
          <w:szCs w:val="21"/>
        </w:rPr>
        <w:t>）列入失信被执行人、重大税收违法案件当事人名单、政府采购严重违法失信行为记录名单。</w:t>
      </w:r>
    </w:p>
    <w:p w14:paraId="711F5874">
      <w:pPr>
        <w:widowControl/>
        <w:shd w:val="clear" w:color="auto" w:fill="FFFFFF"/>
        <w:spacing w:line="360" w:lineRule="auto"/>
        <w:ind w:firstLine="420" w:firstLineChars="200"/>
        <w:jc w:val="left"/>
        <w:rPr>
          <w:rFonts w:ascii="Times New Roman" w:hAnsi="Times New Roman" w:eastAsia="宋体" w:cs="Times New Roman"/>
          <w:b/>
          <w:bCs/>
          <w:color w:val="auto"/>
          <w:kern w:val="0"/>
          <w:szCs w:val="21"/>
        </w:rPr>
      </w:pPr>
      <w:r>
        <w:rPr>
          <w:rFonts w:hint="eastAsia" w:ascii="Times New Roman" w:hAnsi="Times New Roman" w:eastAsia="宋体" w:cs="Times New Roman"/>
          <w:color w:val="auto"/>
          <w:kern w:val="0"/>
          <w:szCs w:val="21"/>
        </w:rPr>
        <w:t>3.本项目专门面向中小企业。本项目对应的中小企业划分标准所属行业：</w:t>
      </w:r>
      <w:r>
        <w:rPr>
          <w:rFonts w:hint="eastAsia" w:ascii="Times New Roman" w:hAnsi="Times New Roman" w:eastAsia="宋体" w:cs="Times New Roman"/>
          <w:b/>
          <w:bCs/>
          <w:color w:val="auto"/>
          <w:kern w:val="0"/>
          <w:szCs w:val="21"/>
        </w:rPr>
        <w:t>其他未列明行业。</w:t>
      </w:r>
    </w:p>
    <w:p w14:paraId="2F2BA324">
      <w:pPr>
        <w:widowControl/>
        <w:shd w:val="clear" w:color="auto" w:fill="FFFFFF"/>
        <w:spacing w:line="360" w:lineRule="auto"/>
        <w:jc w:val="left"/>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六、</w:t>
      </w:r>
      <w:r>
        <w:rPr>
          <w:rFonts w:hint="eastAsia" w:ascii="Times New Roman" w:hAnsi="Times New Roman" w:eastAsia="宋体" w:cs="Times New Roman"/>
          <w:b/>
          <w:color w:val="auto"/>
          <w:kern w:val="0"/>
          <w:szCs w:val="21"/>
        </w:rPr>
        <w:t>公告期限：</w:t>
      </w:r>
      <w:r>
        <w:rPr>
          <w:rFonts w:hint="eastAsia" w:ascii="Times New Roman" w:hAnsi="Times New Roman" w:eastAsia="宋体" w:cs="Times New Roman"/>
          <w:b/>
          <w:color w:val="auto"/>
          <w:kern w:val="0"/>
          <w:szCs w:val="21"/>
          <w:u w:val="single"/>
        </w:rPr>
        <w:t>自公告发布之日起</w:t>
      </w:r>
      <w:r>
        <w:rPr>
          <w:rFonts w:ascii="Times New Roman" w:hAnsi="Times New Roman" w:eastAsia="宋体" w:cs="Times New Roman"/>
          <w:b/>
          <w:color w:val="auto"/>
          <w:kern w:val="0"/>
          <w:szCs w:val="21"/>
          <w:u w:val="single"/>
        </w:rPr>
        <w:t>5</w:t>
      </w:r>
      <w:r>
        <w:rPr>
          <w:rFonts w:hint="eastAsia" w:ascii="Times New Roman" w:hAnsi="Times New Roman" w:eastAsia="宋体" w:cs="Times New Roman"/>
          <w:b/>
          <w:color w:val="auto"/>
          <w:kern w:val="0"/>
          <w:szCs w:val="21"/>
          <w:u w:val="single"/>
        </w:rPr>
        <w:t>个工作日</w:t>
      </w:r>
    </w:p>
    <w:p w14:paraId="7C06C477">
      <w:pPr>
        <w:snapToGrid w:val="0"/>
        <w:spacing w:line="360" w:lineRule="auto"/>
        <w:rPr>
          <w:rFonts w:ascii="Times New Roman" w:hAnsi="Times New Roman" w:eastAsia="宋体" w:cs="Times New Roman"/>
          <w:color w:val="auto"/>
          <w:szCs w:val="21"/>
        </w:rPr>
      </w:pPr>
      <w:r>
        <w:rPr>
          <w:rFonts w:hint="eastAsia" w:ascii="Times New Roman" w:hAnsi="Times New Roman" w:eastAsia="宋体" w:cs="Times New Roman"/>
          <w:b/>
          <w:bCs/>
          <w:color w:val="auto"/>
          <w:szCs w:val="21"/>
        </w:rPr>
        <w:t>七、注册及采购文件的获取</w:t>
      </w:r>
      <w:r>
        <w:rPr>
          <w:rFonts w:hint="eastAsia" w:ascii="Times New Roman" w:hAnsi="Times New Roman" w:eastAsia="宋体" w:cs="Times New Roman"/>
          <w:color w:val="auto"/>
          <w:szCs w:val="21"/>
        </w:rPr>
        <w:t>：</w:t>
      </w:r>
    </w:p>
    <w:p w14:paraId="057E9A77">
      <w:pPr>
        <w:widowControl/>
        <w:shd w:val="clear" w:color="auto" w:fill="FFFFFF"/>
        <w:spacing w:line="360" w:lineRule="auto"/>
        <w:ind w:firstLine="417" w:firstLine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1.</w:t>
      </w:r>
      <w:r>
        <w:rPr>
          <w:rFonts w:hint="eastAsia" w:ascii="Times New Roman" w:hAnsi="Times New Roman" w:eastAsia="宋体" w:cs="Times New Roman"/>
          <w:b/>
          <w:bCs/>
          <w:color w:val="auto"/>
          <w:kern w:val="0"/>
          <w:szCs w:val="21"/>
          <w:shd w:val="clear" w:color="auto" w:fill="FFFFFF"/>
        </w:rPr>
        <w:t>本项目只实行网上获取采购文件。</w:t>
      </w:r>
    </w:p>
    <w:p w14:paraId="32CEA6BF">
      <w:pPr>
        <w:widowControl/>
        <w:shd w:val="clear" w:color="auto" w:fill="FFFFFF"/>
        <w:spacing w:line="360" w:lineRule="auto"/>
        <w:ind w:firstLine="417" w:firstLine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2.</w:t>
      </w:r>
      <w:r>
        <w:rPr>
          <w:rFonts w:hint="eastAsia" w:ascii="Times New Roman" w:hAnsi="Times New Roman" w:eastAsia="宋体" w:cs="Times New Roman"/>
          <w:b/>
          <w:bCs/>
          <w:color w:val="auto"/>
          <w:kern w:val="0"/>
          <w:szCs w:val="21"/>
          <w:shd w:val="clear" w:color="auto" w:fill="FFFFFF"/>
        </w:rPr>
        <w:t>获取采购文件网址</w:t>
      </w:r>
      <w:r>
        <w:rPr>
          <w:rFonts w:hint="eastAsia" w:ascii="Times New Roman" w:hAnsi="Times New Roman" w:eastAsia="宋体" w:cs="Times New Roman"/>
          <w:color w:val="auto"/>
          <w:kern w:val="0"/>
          <w:szCs w:val="21"/>
          <w:shd w:val="clear" w:color="auto" w:fill="FFFFFF"/>
        </w:rPr>
        <w:t>：浙江政府采购网</w:t>
      </w:r>
      <w:r>
        <w:rPr>
          <w:color w:val="auto"/>
        </w:rPr>
        <w:fldChar w:fldCharType="begin"/>
      </w:r>
      <w:r>
        <w:rPr>
          <w:color w:val="auto"/>
        </w:rPr>
        <w:instrText xml:space="preserve"> HYPERLINK "http://www.zjzfcg.gov.cn" </w:instrText>
      </w:r>
      <w:r>
        <w:rPr>
          <w:color w:val="auto"/>
        </w:rPr>
        <w:fldChar w:fldCharType="separate"/>
      </w:r>
      <w:r>
        <w:rPr>
          <w:rFonts w:ascii="Times New Roman" w:hAnsi="Times New Roman" w:eastAsia="宋体" w:cs="Times New Roman"/>
          <w:color w:val="auto"/>
          <w:kern w:val="0"/>
          <w:szCs w:val="21"/>
          <w:u w:val="single"/>
          <w:shd w:val="clear" w:color="auto" w:fill="FFFFFF"/>
        </w:rPr>
        <w:t>www.zjzfcg.gov.cn</w:t>
      </w:r>
      <w:r>
        <w:rPr>
          <w:rFonts w:ascii="Times New Roman" w:hAnsi="Times New Roman" w:eastAsia="宋体" w:cs="Times New Roman"/>
          <w:color w:val="auto"/>
          <w:kern w:val="0"/>
          <w:szCs w:val="21"/>
          <w:u w:val="single"/>
          <w:shd w:val="clear" w:color="auto" w:fill="FFFFFF"/>
        </w:rPr>
        <w:fldChar w:fldCharType="end"/>
      </w:r>
      <w:r>
        <w:rPr>
          <w:rFonts w:hint="eastAsia" w:ascii="Times New Roman" w:hAnsi="Times New Roman" w:eastAsia="宋体" w:cs="Times New Roman"/>
          <w:color w:val="auto"/>
          <w:kern w:val="0"/>
          <w:szCs w:val="21"/>
          <w:shd w:val="clear" w:color="auto" w:fill="FFFFFF"/>
        </w:rPr>
        <w:t>（用</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政采云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注册账号、密码登录系统后获取采购文件）</w:t>
      </w:r>
    </w:p>
    <w:p w14:paraId="2FFEF691">
      <w:pPr>
        <w:widowControl/>
        <w:shd w:val="clear" w:color="auto" w:fill="FFFFFF"/>
        <w:spacing w:line="360" w:lineRule="auto"/>
        <w:ind w:left="416" w:leftChars="198"/>
        <w:jc w:val="left"/>
        <w:rPr>
          <w:rFonts w:ascii="Times New Roman" w:hAnsi="Times New Roman" w:eastAsia="宋体" w:cs="Times New Roman"/>
          <w:b/>
          <w:bCs/>
          <w:color w:val="auto"/>
          <w:kern w:val="0"/>
          <w:szCs w:val="21"/>
          <w:shd w:val="clear" w:color="auto" w:fill="FFFFFF"/>
        </w:rPr>
      </w:pPr>
      <w:r>
        <w:rPr>
          <w:rFonts w:ascii="Times New Roman" w:hAnsi="Times New Roman" w:eastAsia="宋体" w:cs="Times New Roman"/>
          <w:b/>
          <w:bCs/>
          <w:color w:val="auto"/>
          <w:kern w:val="0"/>
          <w:szCs w:val="21"/>
          <w:shd w:val="clear" w:color="auto" w:fill="FFFFFF"/>
        </w:rPr>
        <w:t>3.</w:t>
      </w:r>
      <w:r>
        <w:rPr>
          <w:rFonts w:hint="eastAsia" w:ascii="Times New Roman" w:hAnsi="Times New Roman" w:eastAsia="宋体" w:cs="Times New Roman"/>
          <w:b/>
          <w:bCs/>
          <w:color w:val="auto"/>
          <w:kern w:val="0"/>
          <w:szCs w:val="21"/>
          <w:shd w:val="clear" w:color="auto" w:fill="FFFFFF"/>
        </w:rPr>
        <w:t>免费注册网址：浙江政府采购网（供应商注册页面）：</w:t>
      </w:r>
    </w:p>
    <w:p w14:paraId="7912DB0E">
      <w:pPr>
        <w:widowControl/>
        <w:shd w:val="clear" w:color="auto" w:fill="FFFFFF"/>
        <w:spacing w:line="360" w:lineRule="auto"/>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u w:val="single"/>
          <w:shd w:val="clear" w:color="auto" w:fill="FFFFFF"/>
        </w:rPr>
        <w:t>https://middle.zcygov.cn/settle-front/#/registry</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政采云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，咨询电话：</w:t>
      </w:r>
      <w:r>
        <w:rPr>
          <w:rFonts w:ascii="Times New Roman" w:hAnsi="Times New Roman" w:eastAsia="宋体" w:cs="Times New Roman"/>
          <w:color w:val="auto"/>
          <w:kern w:val="0"/>
          <w:szCs w:val="21"/>
          <w:shd w:val="clear" w:color="auto" w:fill="FFFFFF"/>
        </w:rPr>
        <w:t>95763</w:t>
      </w:r>
      <w:r>
        <w:rPr>
          <w:rFonts w:hint="eastAsia" w:ascii="Times New Roman" w:hAnsi="Times New Roman" w:eastAsia="宋体" w:cs="Times New Roman"/>
          <w:color w:val="auto"/>
          <w:kern w:val="0"/>
          <w:szCs w:val="21"/>
          <w:shd w:val="clear" w:color="auto" w:fill="FFFFFF"/>
        </w:rPr>
        <w:t>。已经注册成功的供应商无需重复注册。</w:t>
      </w:r>
    </w:p>
    <w:p w14:paraId="662797FC">
      <w:pPr>
        <w:widowControl/>
        <w:shd w:val="clear" w:color="auto" w:fill="FFFFFF"/>
        <w:spacing w:line="360" w:lineRule="auto"/>
        <w:ind w:firstLine="422" w:firstLineChars="200"/>
        <w:jc w:val="left"/>
        <w:rPr>
          <w:rFonts w:ascii="Times New Roman" w:hAnsi="Times New Roman" w:eastAsia="宋体" w:cs="Times New Roman"/>
          <w:color w:val="auto"/>
          <w:kern w:val="0"/>
          <w:szCs w:val="21"/>
          <w:shd w:val="clear" w:color="auto" w:fill="FFFFFF"/>
        </w:rPr>
      </w:pPr>
      <w:r>
        <w:rPr>
          <w:rFonts w:hint="eastAsia" w:ascii="Times New Roman" w:hAnsi="Times New Roman" w:eastAsia="宋体" w:cs="Times New Roman"/>
          <w:b/>
          <w:bCs/>
          <w:color w:val="auto"/>
          <w:kern w:val="0"/>
          <w:szCs w:val="21"/>
          <w:shd w:val="clear" w:color="auto" w:fill="FFFFFF"/>
        </w:rPr>
        <w:t>4.获取采购文件时间：</w:t>
      </w:r>
      <w:r>
        <w:rPr>
          <w:rFonts w:hint="eastAsia" w:ascii="Times New Roman" w:hAnsi="Times New Roman" w:eastAsia="宋体" w:cs="Times New Roman"/>
          <w:color w:val="auto"/>
          <w:kern w:val="0"/>
          <w:szCs w:val="21"/>
          <w:shd w:val="clear" w:color="auto" w:fill="FFFFFF"/>
        </w:rPr>
        <w:t>公告发布之日至投标截止时间</w:t>
      </w:r>
    </w:p>
    <w:p w14:paraId="11078785">
      <w:pPr>
        <w:widowControl/>
        <w:shd w:val="clear" w:color="auto" w:fill="FFFFFF"/>
        <w:spacing w:line="360" w:lineRule="auto"/>
        <w:jc w:val="left"/>
        <w:rPr>
          <w:rFonts w:ascii="Times New Roman" w:hAnsi="Times New Roman" w:eastAsia="宋体" w:cs="Times New Roman"/>
          <w:b/>
          <w:bCs/>
          <w:color w:val="auto"/>
          <w:szCs w:val="21"/>
        </w:rPr>
      </w:pPr>
    </w:p>
    <w:p w14:paraId="739DFF38">
      <w:pPr>
        <w:widowControl/>
        <w:shd w:val="clear" w:color="auto" w:fill="FFFFFF"/>
        <w:spacing w:line="360" w:lineRule="auto"/>
        <w:jc w:val="left"/>
        <w:rPr>
          <w:rFonts w:hint="eastAsia" w:ascii="Times New Roman" w:hAnsi="Times New Roman" w:eastAsia="宋体" w:cs="Times New Roman"/>
          <w:b/>
          <w:bCs/>
          <w:color w:val="auto"/>
          <w:szCs w:val="21"/>
        </w:rPr>
      </w:pPr>
    </w:p>
    <w:p w14:paraId="26839237">
      <w:pPr>
        <w:widowControl/>
        <w:shd w:val="clear" w:color="auto" w:fill="FFFFFF"/>
        <w:spacing w:line="360" w:lineRule="auto"/>
        <w:jc w:val="left"/>
        <w:rPr>
          <w:rFonts w:hint="eastAsia" w:ascii="Times New Roman" w:hAnsi="Times New Roman" w:eastAsia="宋体" w:cs="Times New Roman"/>
          <w:b/>
          <w:bCs/>
          <w:color w:val="auto"/>
          <w:szCs w:val="21"/>
        </w:rPr>
      </w:pPr>
    </w:p>
    <w:p w14:paraId="31C7B708">
      <w:pPr>
        <w:widowControl/>
        <w:shd w:val="clear" w:color="auto" w:fill="FFFFFF"/>
        <w:spacing w:line="360" w:lineRule="auto"/>
        <w:jc w:val="left"/>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八、投标文件的制作及递交：</w:t>
      </w:r>
    </w:p>
    <w:p w14:paraId="5CC46F97">
      <w:pPr>
        <w:widowControl/>
        <w:shd w:val="clear" w:color="auto" w:fill="FFFFFF"/>
        <w:spacing w:line="360" w:lineRule="auto"/>
        <w:ind w:firstLine="420" w:firstLineChars="200"/>
        <w:jc w:val="left"/>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shd w:val="clear" w:color="auto" w:fill="FFFFFF"/>
        </w:rPr>
        <w:t>1.</w:t>
      </w:r>
      <w:r>
        <w:rPr>
          <w:rFonts w:hint="eastAsia" w:ascii="Times New Roman" w:hAnsi="Times New Roman" w:eastAsia="宋体" w:cs="Times New Roman"/>
          <w:color w:val="auto"/>
          <w:kern w:val="0"/>
          <w:szCs w:val="21"/>
          <w:shd w:val="clear" w:color="auto" w:fill="FFFFFF"/>
        </w:rPr>
        <w:t>供应商须</w:t>
      </w:r>
      <w:r>
        <w:rPr>
          <w:rFonts w:hint="eastAsia" w:ascii="Times New Roman" w:hAnsi="Times New Roman" w:eastAsia="宋体" w:cs="Times New Roman"/>
          <w:b/>
          <w:bCs/>
          <w:color w:val="auto"/>
          <w:kern w:val="0"/>
          <w:szCs w:val="21"/>
          <w:shd w:val="clear" w:color="auto" w:fill="FFFFFF"/>
        </w:rPr>
        <w:t>在线获取</w:t>
      </w:r>
      <w:r>
        <w:rPr>
          <w:rFonts w:ascii="Times New Roman" w:hAnsi="Times New Roman" w:eastAsia="宋体" w:cs="Times New Roman"/>
          <w:b/>
          <w:bCs/>
          <w:color w:val="auto"/>
          <w:kern w:val="0"/>
          <w:szCs w:val="21"/>
          <w:shd w:val="clear" w:color="auto" w:fill="FFFFFF"/>
        </w:rPr>
        <w:t>CA</w:t>
      </w:r>
      <w:r>
        <w:rPr>
          <w:rFonts w:hint="eastAsia" w:ascii="Times New Roman" w:hAnsi="Times New Roman" w:eastAsia="宋体" w:cs="Times New Roman"/>
          <w:b/>
          <w:bCs/>
          <w:color w:val="auto"/>
          <w:kern w:val="0"/>
          <w:szCs w:val="21"/>
          <w:shd w:val="clear" w:color="auto" w:fill="FFFFFF"/>
        </w:rPr>
        <w:t>数字证书</w:t>
      </w:r>
      <w:r>
        <w:rPr>
          <w:rFonts w:hint="eastAsia" w:ascii="Times New Roman" w:hAnsi="Times New Roman" w:eastAsia="宋体" w:cs="Times New Roman"/>
          <w:color w:val="auto"/>
          <w:kern w:val="0"/>
          <w:szCs w:val="21"/>
          <w:shd w:val="clear" w:color="auto" w:fill="FFFFFF"/>
        </w:rPr>
        <w:t>（完成</w:t>
      </w:r>
      <w:r>
        <w:rPr>
          <w:rFonts w:ascii="Times New Roman" w:hAnsi="Times New Roman" w:eastAsia="宋体" w:cs="Times New Roman"/>
          <w:color w:val="auto"/>
          <w:kern w:val="0"/>
          <w:szCs w:val="21"/>
          <w:shd w:val="clear" w:color="auto" w:fill="FFFFFF"/>
        </w:rPr>
        <w:t>CA</w:t>
      </w:r>
      <w:r>
        <w:rPr>
          <w:rFonts w:hint="eastAsia" w:ascii="Times New Roman" w:hAnsi="Times New Roman" w:eastAsia="宋体" w:cs="Times New Roman"/>
          <w:color w:val="auto"/>
          <w:kern w:val="0"/>
          <w:szCs w:val="21"/>
          <w:shd w:val="clear" w:color="auto" w:fill="FFFFFF"/>
        </w:rPr>
        <w:t>数字证书办理预计一周左右，建议各投标人自行把握时间）</w:t>
      </w:r>
      <w:r>
        <w:rPr>
          <w:rFonts w:hint="eastAsia" w:ascii="Times New Roman" w:hAnsi="Times New Roman" w:eastAsia="宋体" w:cs="Times New Roman"/>
          <w:b/>
          <w:bCs/>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并登录</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浙江政府采购网</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w:t>
      </w:r>
      <w:r>
        <w:rPr>
          <w:color w:val="auto"/>
        </w:rPr>
        <w:fldChar w:fldCharType="begin"/>
      </w:r>
      <w:r>
        <w:rPr>
          <w:color w:val="auto"/>
        </w:rPr>
        <w:instrText xml:space="preserve"> HYPERLINK "http://www.zjzfcg.gov.cn" </w:instrText>
      </w:r>
      <w:r>
        <w:rPr>
          <w:color w:val="auto"/>
        </w:rPr>
        <w:fldChar w:fldCharType="separate"/>
      </w:r>
      <w:r>
        <w:rPr>
          <w:rFonts w:ascii="Times New Roman" w:hAnsi="Times New Roman" w:eastAsia="宋体" w:cs="Times New Roman"/>
          <w:color w:val="auto"/>
          <w:kern w:val="0"/>
          <w:szCs w:val="21"/>
          <w:u w:val="single"/>
          <w:shd w:val="clear" w:color="auto" w:fill="FFFFFF"/>
        </w:rPr>
        <w:t>www.zjzfcg.gov.cn</w:t>
      </w:r>
      <w:r>
        <w:rPr>
          <w:rFonts w:ascii="Times New Roman" w:hAnsi="Times New Roman" w:eastAsia="宋体" w:cs="Times New Roman"/>
          <w:color w:val="auto"/>
          <w:kern w:val="0"/>
          <w:szCs w:val="21"/>
          <w:u w:val="single"/>
          <w:shd w:val="clear" w:color="auto" w:fill="FFFFFF"/>
        </w:rPr>
        <w:fldChar w:fldCharType="end"/>
      </w:r>
      <w:r>
        <w:rPr>
          <w:rFonts w:hint="eastAsia" w:ascii="Times New Roman" w:hAnsi="Times New Roman" w:eastAsia="宋体" w:cs="Times New Roman"/>
          <w:color w:val="auto"/>
          <w:kern w:val="0"/>
          <w:szCs w:val="21"/>
          <w:shd w:val="clear" w:color="auto" w:fill="FFFFFF"/>
        </w:rPr>
        <w:t>），进入</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下载专区</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下载</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电子交易客户端</w:t>
      </w:r>
      <w:r>
        <w:rPr>
          <w:rFonts w:ascii="Times New Roman" w:hAnsi="Times New Roman" w:eastAsia="宋体" w:cs="Times New Roman"/>
          <w:color w:val="auto"/>
          <w:kern w:val="0"/>
          <w:szCs w:val="21"/>
          <w:shd w:val="clear" w:color="auto" w:fill="FFFFFF"/>
        </w:rPr>
        <w:t>”</w:t>
      </w:r>
      <w:r>
        <w:rPr>
          <w:rFonts w:hint="eastAsia" w:ascii="Times New Roman" w:hAnsi="Times New Roman" w:eastAsia="宋体" w:cs="Times New Roman"/>
          <w:color w:val="auto"/>
          <w:kern w:val="0"/>
          <w:szCs w:val="21"/>
          <w:shd w:val="clear" w:color="auto" w:fill="FFFFFF"/>
        </w:rPr>
        <w:t>，制作投标文件。</w:t>
      </w:r>
    </w:p>
    <w:p w14:paraId="4C90869C">
      <w:pPr>
        <w:widowControl/>
        <w:spacing w:line="360" w:lineRule="auto"/>
        <w:ind w:firstLine="420" w:firstLineChars="200"/>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shd w:val="clear" w:color="auto" w:fill="FFFFFF"/>
        </w:rPr>
        <w:t>2.</w:t>
      </w:r>
      <w:r>
        <w:rPr>
          <w:rFonts w:hint="eastAsia" w:ascii="Times New Roman" w:hAnsi="Times New Roman" w:eastAsia="宋体" w:cs="Times New Roman"/>
          <w:color w:val="auto"/>
          <w:kern w:val="0"/>
          <w:szCs w:val="21"/>
          <w:shd w:val="clear" w:color="auto" w:fill="FFFFFF"/>
        </w:rPr>
        <w:t>投标人将加密的电子版投标文件于投标截止时间前上传到政采云系统中。</w:t>
      </w:r>
    </w:p>
    <w:p w14:paraId="7DCF7BCD">
      <w:pPr>
        <w:widowControl/>
        <w:shd w:val="clear" w:color="auto" w:fill="FFFFFF"/>
        <w:spacing w:line="360" w:lineRule="auto"/>
        <w:ind w:left="420" w:leftChars="200"/>
        <w:jc w:val="left"/>
        <w:rPr>
          <w:rFonts w:ascii="Times New Roman" w:hAnsi="Times New Roman" w:eastAsia="宋体" w:cs="Times New Roman"/>
          <w:color w:val="auto"/>
          <w:kern w:val="0"/>
          <w:szCs w:val="21"/>
          <w:u w:val="single"/>
          <w:shd w:val="clear" w:color="auto" w:fill="FFFFFF"/>
        </w:rPr>
      </w:pPr>
      <w:r>
        <w:rPr>
          <w:rFonts w:ascii="Times New Roman" w:hAnsi="Times New Roman" w:eastAsia="宋体" w:cs="Times New Roman"/>
          <w:color w:val="auto"/>
          <w:kern w:val="0"/>
          <w:szCs w:val="21"/>
          <w:shd w:val="clear" w:color="auto" w:fill="FFFFFF"/>
        </w:rPr>
        <w:t>3.</w:t>
      </w:r>
      <w:r>
        <w:rPr>
          <w:rFonts w:hint="eastAsia" w:ascii="Times New Roman" w:hAnsi="Times New Roman" w:eastAsia="宋体" w:cs="Times New Roman"/>
          <w:color w:val="auto"/>
          <w:kern w:val="0"/>
          <w:szCs w:val="21"/>
          <w:shd w:val="clear" w:color="auto" w:fill="FFFFFF"/>
        </w:rPr>
        <w:t>具体的投标文件加密上传等操作详见政采云平台操作指南。</w:t>
      </w:r>
      <w:r>
        <w:rPr>
          <w:color w:val="auto"/>
        </w:rPr>
        <w:fldChar w:fldCharType="begin"/>
      </w:r>
      <w:r>
        <w:rPr>
          <w:color w:val="auto"/>
        </w:rPr>
        <w:instrText xml:space="preserve">HYPERLINK "https://edu.zcygov.cn/luban/e-biding?utm=a0004.2ef5001f.0001.0109.da8b35e0da8611e98d8937b7ef8a3544"</w:instrText>
      </w:r>
      <w:r>
        <w:rPr>
          <w:rFonts w:hint="eastAsia"/>
          <w:color w:val="auto"/>
        </w:rPr>
        <w:fldChar w:fldCharType="separate"/>
      </w:r>
      <w:r>
        <w:rPr>
          <w:rFonts w:ascii="Times New Roman" w:hAnsi="Times New Roman" w:eastAsia="宋体" w:cs="Times New Roman"/>
          <w:color w:val="auto"/>
          <w:kern w:val="0"/>
          <w:szCs w:val="21"/>
          <w:u w:val="single"/>
          <w:shd w:val="clear" w:color="auto" w:fill="FFFFFF"/>
        </w:rPr>
        <w:t>https://edu.zcygov.cn/luban/e-biding?utm=a0004.2ef5001f.0001.0109.da8b35e0da8611e98d8937b7ef8a3544</w:t>
      </w:r>
      <w:r>
        <w:rPr>
          <w:color w:val="auto"/>
        </w:rPr>
        <w:fldChar w:fldCharType="end"/>
      </w:r>
    </w:p>
    <w:p w14:paraId="5F9541B7">
      <w:pPr>
        <w:widowControl/>
        <w:spacing w:line="360" w:lineRule="auto"/>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九、投标保证金：无。</w:t>
      </w:r>
    </w:p>
    <w:p w14:paraId="6B8B57F0">
      <w:pPr>
        <w:widowControl/>
        <w:spacing w:line="360" w:lineRule="auto"/>
        <w:rPr>
          <w:rFonts w:ascii="Times New Roman" w:hAnsi="Times New Roman" w:eastAsia="宋体" w:cs="Times New Roman"/>
          <w:b/>
          <w:bCs/>
          <w:color w:val="auto"/>
          <w:kern w:val="0"/>
          <w:szCs w:val="21"/>
        </w:rPr>
      </w:pPr>
      <w:r>
        <w:rPr>
          <w:rFonts w:hint="eastAsia" w:ascii="Times New Roman" w:hAnsi="Times New Roman" w:eastAsia="宋体" w:cs="Times New Roman"/>
          <w:b/>
          <w:bCs/>
          <w:color w:val="auto"/>
          <w:kern w:val="0"/>
          <w:szCs w:val="21"/>
        </w:rPr>
        <w:t>十、投标截止时间和地址：</w:t>
      </w:r>
    </w:p>
    <w:p w14:paraId="2E9020EE">
      <w:pPr>
        <w:spacing w:line="360" w:lineRule="auto"/>
        <w:ind w:firstLine="632" w:firstLineChars="300"/>
        <w:rPr>
          <w:rFonts w:ascii="Times New Roman" w:hAnsi="Times New Roman" w:eastAsia="宋体" w:cs="Times New Roman"/>
          <w:b/>
          <w:color w:val="auto"/>
          <w:szCs w:val="21"/>
        </w:rPr>
      </w:pPr>
      <w:r>
        <w:rPr>
          <w:rFonts w:ascii="Times New Roman" w:hAnsi="Times New Roman" w:eastAsia="宋体" w:cs="Times New Roman"/>
          <w:b/>
          <w:color w:val="auto"/>
          <w:szCs w:val="21"/>
        </w:rPr>
        <w:t>1.</w:t>
      </w:r>
      <w:r>
        <w:rPr>
          <w:rFonts w:hint="eastAsia" w:ascii="Times New Roman" w:hAnsi="Times New Roman" w:eastAsia="宋体" w:cs="Times New Roman"/>
          <w:b/>
          <w:color w:val="auto"/>
          <w:szCs w:val="21"/>
        </w:rPr>
        <w:t>本项目实行电子投标。</w:t>
      </w:r>
    </w:p>
    <w:p w14:paraId="6A32A55E">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投标人应准备电子投标文件、以介质存储的数据电文形式的备份投标文件；</w:t>
      </w:r>
    </w:p>
    <w:p w14:paraId="68ABA0A0">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）电子投标文件，按政采云平台项目采购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电子交易操作指南及本招标文件要求递交。</w:t>
      </w:r>
      <w:r>
        <w:rPr>
          <w:rFonts w:hint="eastAsia" w:ascii="Times New Roman" w:hAnsi="Times New Roman" w:eastAsia="宋体" w:cs="Times New Roman"/>
          <w:color w:val="auto"/>
          <w:szCs w:val="21"/>
          <w:shd w:val="clear" w:color="auto" w:fill="FFFFFF"/>
        </w:rPr>
        <w:t>投标人应于</w:t>
      </w:r>
      <w:bookmarkStart w:id="1" w:name="_Hlk100345522"/>
      <w:r>
        <w:rPr>
          <w:rFonts w:hint="eastAsia" w:ascii="Times New Roman" w:hAnsi="Times New Roman" w:eastAsia="宋体" w:cs="Times New Roman"/>
          <w:color w:val="auto"/>
          <w:szCs w:val="21"/>
          <w:shd w:val="clear" w:color="auto" w:fill="FFFFFF"/>
        </w:rPr>
        <w:t>2025年</w:t>
      </w:r>
      <w:r>
        <w:rPr>
          <w:rFonts w:hint="eastAsia" w:ascii="Times New Roman" w:hAnsi="Times New Roman" w:eastAsia="宋体" w:cs="Times New Roman"/>
          <w:color w:val="auto"/>
          <w:szCs w:val="21"/>
          <w:shd w:val="clear" w:color="auto" w:fill="FFFFFF"/>
          <w:lang w:val="en-US" w:eastAsia="zh-CN"/>
        </w:rPr>
        <w:t>04</w:t>
      </w:r>
      <w:r>
        <w:rPr>
          <w:rFonts w:hint="eastAsia" w:ascii="Times New Roman" w:hAnsi="Times New Roman" w:eastAsia="宋体" w:cs="Times New Roman"/>
          <w:color w:val="auto"/>
          <w:szCs w:val="21"/>
          <w:shd w:val="clear" w:color="auto" w:fill="FFFFFF"/>
        </w:rPr>
        <w:t>月</w:t>
      </w:r>
      <w:r>
        <w:rPr>
          <w:rFonts w:hint="eastAsia" w:ascii="Times New Roman" w:hAnsi="Times New Roman" w:eastAsia="宋体" w:cs="Times New Roman"/>
          <w:color w:val="auto"/>
          <w:szCs w:val="21"/>
          <w:shd w:val="clear" w:color="auto" w:fill="FFFFFF"/>
          <w:lang w:val="en-US" w:eastAsia="zh-CN"/>
        </w:rPr>
        <w:t>28</w:t>
      </w:r>
      <w:r>
        <w:rPr>
          <w:rFonts w:hint="eastAsia" w:ascii="Times New Roman" w:hAnsi="Times New Roman" w:eastAsia="宋体" w:cs="Times New Roman"/>
          <w:color w:val="auto"/>
          <w:szCs w:val="21"/>
          <w:shd w:val="clear" w:color="auto" w:fill="FFFFFF"/>
        </w:rPr>
        <w:t>日</w:t>
      </w:r>
      <w:r>
        <w:rPr>
          <w:rFonts w:hint="eastAsia" w:ascii="Times New Roman" w:hAnsi="Times New Roman" w:eastAsia="宋体" w:cs="Times New Roman"/>
          <w:color w:val="auto"/>
          <w:szCs w:val="21"/>
          <w:shd w:val="clear" w:color="auto" w:fill="FFFFFF"/>
          <w:lang w:val="en-US" w:eastAsia="zh-CN"/>
        </w:rPr>
        <w:t>14</w:t>
      </w:r>
      <w:r>
        <w:rPr>
          <w:rFonts w:hint="eastAsia" w:ascii="Times New Roman" w:hAnsi="Times New Roman" w:eastAsia="宋体" w:cs="Times New Roman"/>
          <w:color w:val="auto"/>
          <w:szCs w:val="21"/>
          <w:shd w:val="clear" w:color="auto" w:fill="FFFFFF"/>
        </w:rPr>
        <w:t>：1</w:t>
      </w:r>
      <w:r>
        <w:rPr>
          <w:rFonts w:ascii="Times New Roman" w:hAnsi="Times New Roman" w:eastAsia="宋体" w:cs="Times New Roman"/>
          <w:color w:val="auto"/>
          <w:szCs w:val="21"/>
          <w:shd w:val="clear" w:color="auto" w:fill="FFFFFF"/>
        </w:rPr>
        <w:t>5</w:t>
      </w:r>
      <w:bookmarkEnd w:id="1"/>
      <w:r>
        <w:rPr>
          <w:rFonts w:hint="eastAsia" w:ascii="Times New Roman" w:hAnsi="Times New Roman" w:eastAsia="宋体" w:cs="Times New Roman"/>
          <w:color w:val="auto"/>
          <w:szCs w:val="21"/>
          <w:shd w:val="clear" w:color="auto" w:fill="FFFFFF"/>
        </w:rPr>
        <w:t>前将加密的电子版投标文件上传到政采云系统中（不准时上传视为无效标）。</w:t>
      </w:r>
      <w:r>
        <w:rPr>
          <w:rFonts w:ascii="Times New Roman" w:hAnsi="Times New Roman" w:eastAsia="宋体" w:cs="Times New Roman"/>
          <w:b/>
          <w:color w:val="auto"/>
          <w:szCs w:val="21"/>
          <w:shd w:val="clear" w:color="auto" w:fill="FFFFFF"/>
        </w:rPr>
        <w:t>CA</w:t>
      </w:r>
      <w:r>
        <w:rPr>
          <w:rFonts w:hint="eastAsia" w:ascii="Times New Roman" w:hAnsi="Times New Roman" w:eastAsia="宋体" w:cs="Times New Roman"/>
          <w:b/>
          <w:color w:val="auto"/>
          <w:szCs w:val="21"/>
          <w:shd w:val="clear" w:color="auto" w:fill="FFFFFF"/>
        </w:rPr>
        <w:t>数字证书随身携带或准时解码。</w:t>
      </w:r>
    </w:p>
    <w:p w14:paraId="1BDBBF9F">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4E6FD4E6">
      <w:pPr>
        <w:widowControl/>
        <w:shd w:val="clear" w:color="auto" w:fill="FFFFFF"/>
        <w:spacing w:line="360" w:lineRule="auto"/>
        <w:ind w:firstLine="516" w:firstLineChars="246"/>
        <w:jc w:val="left"/>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投标人应于2025年</w:t>
      </w:r>
      <w:r>
        <w:rPr>
          <w:rFonts w:hint="eastAsia" w:ascii="Times New Roman" w:hAnsi="Times New Roman" w:eastAsia="宋体" w:cs="Times New Roman"/>
          <w:color w:val="auto"/>
          <w:kern w:val="0"/>
          <w:szCs w:val="21"/>
          <w:lang w:val="en-US" w:eastAsia="zh-CN"/>
        </w:rPr>
        <w:t>04</w:t>
      </w:r>
      <w:r>
        <w:rPr>
          <w:rFonts w:hint="eastAsia" w:ascii="Times New Roman" w:hAnsi="Times New Roman" w:eastAsia="宋体" w:cs="Times New Roman"/>
          <w:color w:val="auto"/>
          <w:kern w:val="0"/>
          <w:szCs w:val="21"/>
        </w:rPr>
        <w:t>月</w:t>
      </w:r>
      <w:r>
        <w:rPr>
          <w:rFonts w:hint="eastAsia" w:ascii="Times New Roman" w:hAnsi="Times New Roman" w:eastAsia="宋体" w:cs="Times New Roman"/>
          <w:color w:val="auto"/>
          <w:kern w:val="0"/>
          <w:szCs w:val="21"/>
          <w:lang w:val="en-US" w:eastAsia="zh-CN"/>
        </w:rPr>
        <w:t>27</w:t>
      </w:r>
      <w:r>
        <w:rPr>
          <w:rFonts w:hint="eastAsia" w:ascii="Times New Roman" w:hAnsi="Times New Roman" w:eastAsia="宋体" w:cs="Times New Roman"/>
          <w:color w:val="auto"/>
          <w:kern w:val="0"/>
          <w:szCs w:val="21"/>
        </w:rPr>
        <w:t>日</w:t>
      </w:r>
      <w:r>
        <w:rPr>
          <w:rFonts w:ascii="Times New Roman" w:hAnsi="Times New Roman" w:eastAsia="宋体" w:cs="Times New Roman"/>
          <w:color w:val="auto"/>
          <w:kern w:val="0"/>
          <w:szCs w:val="21"/>
        </w:rPr>
        <w:t>11</w:t>
      </w: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30</w:t>
      </w:r>
      <w:r>
        <w:rPr>
          <w:rFonts w:hint="eastAsia" w:ascii="Times New Roman" w:hAnsi="Times New Roman" w:eastAsia="宋体" w:cs="Times New Roman"/>
          <w:color w:val="auto"/>
          <w:kern w:val="0"/>
          <w:szCs w:val="21"/>
        </w:rPr>
        <w:t>（北京时间）前将备份的投标文件寄于采购代理公司，地址：舟山市定海区昌国路</w:t>
      </w:r>
      <w:r>
        <w:rPr>
          <w:rFonts w:ascii="Times New Roman" w:hAnsi="Times New Roman" w:eastAsia="宋体" w:cs="Times New Roman"/>
          <w:color w:val="auto"/>
          <w:kern w:val="0"/>
          <w:szCs w:val="21"/>
        </w:rPr>
        <w:t>232</w:t>
      </w:r>
      <w:r>
        <w:rPr>
          <w:rFonts w:hint="eastAsia" w:ascii="Times New Roman" w:hAnsi="Times New Roman" w:eastAsia="宋体" w:cs="Times New Roman"/>
          <w:color w:val="auto"/>
          <w:kern w:val="0"/>
          <w:szCs w:val="21"/>
        </w:rPr>
        <w:t>号中楼</w:t>
      </w:r>
      <w:r>
        <w:rPr>
          <w:rFonts w:ascii="Times New Roman" w:hAnsi="Times New Roman" w:eastAsia="宋体" w:cs="Times New Roman"/>
          <w:color w:val="auto"/>
          <w:kern w:val="0"/>
          <w:szCs w:val="21"/>
        </w:rPr>
        <w:t>202</w:t>
      </w:r>
      <w:r>
        <w:rPr>
          <w:rFonts w:hint="eastAsia" w:ascii="Times New Roman" w:hAnsi="Times New Roman" w:eastAsia="宋体" w:cs="Times New Roman"/>
          <w:color w:val="auto"/>
          <w:kern w:val="0"/>
          <w:szCs w:val="21"/>
        </w:rPr>
        <w:t>深圳市国信招标有限公司舟山分公司，未按时寄到的自行承担风险。也可开标会现场递交。</w:t>
      </w:r>
    </w:p>
    <w:p w14:paraId="1276A793">
      <w:pPr>
        <w:widowControl/>
        <w:shd w:val="clear" w:color="auto" w:fill="FFFFFF"/>
        <w:spacing w:line="360" w:lineRule="auto"/>
        <w:ind w:firstLine="519" w:firstLineChars="246"/>
        <w:jc w:val="left"/>
        <w:rPr>
          <w:rFonts w:ascii="Times New Roman" w:hAnsi="Times New Roman" w:eastAsia="宋体" w:cs="Times New Roman"/>
          <w:b/>
          <w:color w:val="auto"/>
          <w:kern w:val="0"/>
          <w:szCs w:val="21"/>
        </w:rPr>
      </w:pPr>
      <w:r>
        <w:rPr>
          <w:rFonts w:hint="eastAsia" w:ascii="Times New Roman" w:hAnsi="Times New Roman" w:eastAsia="宋体" w:cs="Times New Roman"/>
          <w:b/>
          <w:color w:val="auto"/>
          <w:kern w:val="0"/>
          <w:szCs w:val="21"/>
        </w:rPr>
        <w:t>投标人可以不提供备份投标文件，造成项目开评标活动无法进行下去的，投标无效，相关风险由投标人自行承担。</w:t>
      </w:r>
    </w:p>
    <w:p w14:paraId="162BF066">
      <w:pPr>
        <w:widowControl/>
        <w:shd w:val="clear" w:color="auto" w:fill="FFFFFF"/>
        <w:spacing w:line="360" w:lineRule="auto"/>
        <w:ind w:firstLine="413" w:firstLineChars="196"/>
        <w:jc w:val="left"/>
        <w:rPr>
          <w:rFonts w:ascii="Times New Roman" w:hAnsi="Times New Roman" w:eastAsia="宋体" w:cs="Times New Roman"/>
          <w:bCs/>
          <w:color w:val="auto"/>
          <w:kern w:val="0"/>
          <w:szCs w:val="21"/>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开标时间：</w:t>
      </w:r>
      <w:r>
        <w:rPr>
          <w:rFonts w:hint="eastAsia" w:ascii="Times New Roman" w:hAnsi="Times New Roman" w:eastAsia="宋体" w:cs="Times New Roman"/>
          <w:color w:val="auto"/>
          <w:kern w:val="0"/>
          <w:szCs w:val="21"/>
        </w:rPr>
        <w:t>2025年</w:t>
      </w:r>
      <w:r>
        <w:rPr>
          <w:rFonts w:hint="eastAsia" w:ascii="Times New Roman" w:hAnsi="Times New Roman" w:eastAsia="宋体" w:cs="Times New Roman"/>
          <w:color w:val="auto"/>
          <w:kern w:val="0"/>
          <w:szCs w:val="21"/>
          <w:lang w:val="en-US" w:eastAsia="zh-CN"/>
        </w:rPr>
        <w:t>04</w:t>
      </w:r>
      <w:r>
        <w:rPr>
          <w:rFonts w:hint="eastAsia" w:ascii="Times New Roman" w:hAnsi="Times New Roman" w:eastAsia="宋体" w:cs="Times New Roman"/>
          <w:color w:val="auto"/>
          <w:kern w:val="0"/>
          <w:szCs w:val="21"/>
        </w:rPr>
        <w:t>月</w:t>
      </w:r>
      <w:r>
        <w:rPr>
          <w:rFonts w:hint="eastAsia" w:ascii="Times New Roman" w:hAnsi="Times New Roman" w:eastAsia="宋体" w:cs="Times New Roman"/>
          <w:color w:val="auto"/>
          <w:kern w:val="0"/>
          <w:szCs w:val="21"/>
          <w:lang w:val="en-US" w:eastAsia="zh-CN"/>
        </w:rPr>
        <w:t>28</w:t>
      </w:r>
      <w:r>
        <w:rPr>
          <w:rFonts w:hint="eastAsia" w:ascii="Times New Roman" w:hAnsi="Times New Roman" w:eastAsia="宋体" w:cs="Times New Roman"/>
          <w:color w:val="auto"/>
          <w:kern w:val="0"/>
          <w:szCs w:val="21"/>
        </w:rPr>
        <w:t>日</w:t>
      </w:r>
      <w:r>
        <w:rPr>
          <w:rFonts w:hint="eastAsia" w:ascii="Times New Roman" w:hAnsi="Times New Roman" w:eastAsia="宋体" w:cs="Times New Roman"/>
          <w:color w:val="auto"/>
          <w:kern w:val="0"/>
          <w:szCs w:val="21"/>
          <w:lang w:val="en-US" w:eastAsia="zh-CN"/>
        </w:rPr>
        <w:t>14</w:t>
      </w:r>
      <w:r>
        <w:rPr>
          <w:rFonts w:hint="eastAsia" w:ascii="Times New Roman" w:hAnsi="Times New Roman" w:eastAsia="宋体" w:cs="Times New Roman"/>
          <w:color w:val="auto"/>
          <w:kern w:val="0"/>
          <w:szCs w:val="21"/>
        </w:rPr>
        <w:t>：1</w:t>
      </w:r>
      <w:r>
        <w:rPr>
          <w:rFonts w:ascii="Times New Roman" w:hAnsi="Times New Roman" w:eastAsia="宋体" w:cs="Times New Roman"/>
          <w:color w:val="auto"/>
          <w:kern w:val="0"/>
          <w:szCs w:val="21"/>
        </w:rPr>
        <w:t>5</w:t>
      </w:r>
    </w:p>
    <w:p w14:paraId="12F42EC3">
      <w:pPr>
        <w:widowControl/>
        <w:shd w:val="clear" w:color="auto" w:fill="FFFFFF"/>
        <w:spacing w:line="360" w:lineRule="auto"/>
        <w:ind w:firstLine="410"/>
        <w:jc w:val="left"/>
        <w:rPr>
          <w:rFonts w:ascii="Times New Roman" w:hAnsi="Times New Roman" w:eastAsia="宋体" w:cs="Times New Roman"/>
          <w:color w:val="auto"/>
          <w:kern w:val="0"/>
          <w:szCs w:val="21"/>
        </w:rPr>
      </w:pPr>
      <w:r>
        <w:rPr>
          <w:rFonts w:ascii="Times New Roman" w:hAnsi="Times New Roman" w:eastAsia="宋体" w:cs="Times New Roman"/>
          <w:b/>
          <w:bCs/>
          <w:color w:val="auto"/>
          <w:szCs w:val="21"/>
        </w:rPr>
        <w:t>3.</w:t>
      </w:r>
      <w:r>
        <w:rPr>
          <w:rFonts w:hint="eastAsia" w:ascii="Times New Roman" w:hAnsi="Times New Roman" w:eastAsia="宋体" w:cs="Times New Roman"/>
          <w:b/>
          <w:bCs/>
          <w:color w:val="auto"/>
          <w:szCs w:val="21"/>
        </w:rPr>
        <w:t>开标地点：</w:t>
      </w:r>
      <w:r>
        <w:rPr>
          <w:rFonts w:hint="eastAsia" w:ascii="Times New Roman" w:hAnsi="Times New Roman" w:eastAsia="宋体" w:cs="Times New Roman"/>
          <w:color w:val="auto"/>
          <w:kern w:val="0"/>
          <w:szCs w:val="21"/>
        </w:rPr>
        <w:t>舟山市公共资源交易中心（舟山市新城翁山路555号四楼（大宗商品交易中心同幢西边））开标室</w:t>
      </w:r>
    </w:p>
    <w:p w14:paraId="65D94766">
      <w:pPr>
        <w:widowControl/>
        <w:shd w:val="clear" w:color="auto" w:fill="FFFFFF"/>
        <w:spacing w:line="360" w:lineRule="auto"/>
        <w:jc w:val="left"/>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十一、其他事项：</w:t>
      </w:r>
    </w:p>
    <w:p w14:paraId="545971D7">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szCs w:val="21"/>
        </w:rPr>
        <w:t>1.</w:t>
      </w:r>
      <w:r>
        <w:rPr>
          <w:rFonts w:hint="eastAsia" w:ascii="Times New Roman" w:hAnsi="Times New Roman" w:eastAsia="宋体" w:cs="Times New Roman"/>
          <w:color w:val="auto"/>
        </w:rPr>
        <w:t>本项目公告期限为</w:t>
      </w:r>
      <w:r>
        <w:rPr>
          <w:rFonts w:ascii="Times New Roman" w:hAnsi="Times New Roman" w:eastAsia="宋体" w:cs="Times New Roman"/>
          <w:color w:val="auto"/>
        </w:rPr>
        <w:t>5</w:t>
      </w:r>
      <w:r>
        <w:rPr>
          <w:rFonts w:hint="eastAsia" w:ascii="Times New Roman" w:hAnsi="Times New Roman" w:eastAsia="宋体" w:cs="Times New Roman"/>
          <w:color w:val="auto"/>
        </w:rPr>
        <w:t>个工作日，供应商认为采购文件使自己的权益受到损害的，可以自获取采购文件之日或者采购文件公告期限届满之日（公告期限届满后获取采购文件的，以公告期限届满之日为准）起</w:t>
      </w:r>
      <w:r>
        <w:rPr>
          <w:rFonts w:ascii="Times New Roman" w:hAnsi="Times New Roman" w:eastAsia="宋体" w:cs="Times New Roman"/>
          <w:color w:val="auto"/>
        </w:rPr>
        <w:t>7</w:t>
      </w:r>
      <w:r>
        <w:rPr>
          <w:rFonts w:hint="eastAsia" w:ascii="Times New Roman" w:hAnsi="Times New Roman" w:eastAsia="宋体" w:cs="Times New Roman"/>
          <w:color w:val="auto"/>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89BFD74">
      <w:pPr>
        <w:spacing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投标人应在合同签订前成为浙江政府采购网正式注册供应商。</w:t>
      </w:r>
    </w:p>
    <w:p w14:paraId="3CD55DE1">
      <w:pPr>
        <w:widowControl/>
        <w:spacing w:line="360" w:lineRule="auto"/>
        <w:rPr>
          <w:rFonts w:hint="eastAsia" w:ascii="Times New Roman" w:hAnsi="Times New Roman" w:eastAsia="宋体" w:cs="Times New Roman"/>
          <w:b/>
          <w:bCs/>
          <w:color w:val="auto"/>
          <w:kern w:val="0"/>
          <w:szCs w:val="21"/>
        </w:rPr>
      </w:pPr>
    </w:p>
    <w:p w14:paraId="647EBFEC">
      <w:pPr>
        <w:widowControl/>
        <w:spacing w:line="360" w:lineRule="auto"/>
        <w:rPr>
          <w:rFonts w:ascii="Times New Roman" w:hAnsi="Times New Roman" w:eastAsia="宋体" w:cs="Times New Roman"/>
          <w:color w:val="auto"/>
          <w:kern w:val="0"/>
          <w:szCs w:val="21"/>
        </w:rPr>
      </w:pPr>
      <w:r>
        <w:rPr>
          <w:rFonts w:hint="eastAsia" w:ascii="Times New Roman" w:hAnsi="Times New Roman" w:eastAsia="宋体" w:cs="Times New Roman"/>
          <w:b/>
          <w:bCs/>
          <w:color w:val="auto"/>
          <w:kern w:val="0"/>
          <w:szCs w:val="21"/>
        </w:rPr>
        <w:t>十二、联系方式：</w:t>
      </w:r>
    </w:p>
    <w:p w14:paraId="531A54FE">
      <w:pPr>
        <w:widowControl/>
        <w:spacing w:line="360" w:lineRule="auto"/>
        <w:ind w:firstLine="420"/>
        <w:rPr>
          <w:rFonts w:ascii="Times New Roman" w:hAnsi="Times New Roman" w:eastAsia="宋体" w:cs="Times New Roman"/>
          <w:color w:val="auto"/>
          <w:kern w:val="0"/>
          <w:szCs w:val="21"/>
          <w:shd w:val="clear" w:color="auto" w:fill="FFFFFF"/>
        </w:rPr>
      </w:pPr>
      <w:r>
        <w:rPr>
          <w:rFonts w:ascii="Times New Roman" w:hAnsi="Times New Roman" w:eastAsia="宋体" w:cs="Times New Roman"/>
          <w:color w:val="auto"/>
          <w:kern w:val="0"/>
          <w:szCs w:val="21"/>
          <w:shd w:val="clear" w:color="auto" w:fill="FFFFFF"/>
        </w:rPr>
        <w:t>1.</w:t>
      </w:r>
      <w:r>
        <w:rPr>
          <w:rFonts w:hint="eastAsia" w:ascii="Times New Roman" w:hAnsi="Times New Roman" w:eastAsia="宋体" w:cs="Times New Roman"/>
          <w:color w:val="auto"/>
          <w:kern w:val="0"/>
          <w:szCs w:val="21"/>
          <w:shd w:val="clear" w:color="auto" w:fill="FFFFFF"/>
        </w:rPr>
        <w:t>采购代理机构名称：深圳市国信招标有限公司舟山分公司</w:t>
      </w:r>
    </w:p>
    <w:p w14:paraId="4367D2FA">
      <w:pPr>
        <w:widowControl/>
        <w:spacing w:line="360" w:lineRule="auto"/>
        <w:ind w:firstLine="420"/>
        <w:rPr>
          <w:rFonts w:ascii="Times New Roman" w:hAnsi="Times New Roman" w:eastAsia="宋体" w:cs="Times New Roman"/>
          <w:color w:val="auto"/>
          <w:kern w:val="0"/>
          <w:szCs w:val="21"/>
          <w:shd w:val="clear" w:color="auto" w:fill="FFFFFF"/>
        </w:rPr>
      </w:pPr>
      <w:r>
        <w:rPr>
          <w:rFonts w:hint="eastAsia" w:ascii="Times New Roman" w:hAnsi="Times New Roman" w:eastAsia="宋体" w:cs="Times New Roman"/>
          <w:color w:val="auto"/>
          <w:kern w:val="0"/>
          <w:szCs w:val="21"/>
          <w:shd w:val="clear" w:color="auto" w:fill="FFFFFF"/>
        </w:rPr>
        <w:t>联系人：朱女士、任女士</w:t>
      </w:r>
    </w:p>
    <w:p w14:paraId="18F3F155">
      <w:pPr>
        <w:widowControl/>
        <w:spacing w:line="360" w:lineRule="auto"/>
        <w:ind w:firstLine="420"/>
        <w:rPr>
          <w:rFonts w:ascii="Times New Roman" w:hAnsi="Times New Roman" w:eastAsia="宋体" w:cs="Times New Roman"/>
          <w:color w:val="auto"/>
          <w:kern w:val="0"/>
          <w:szCs w:val="21"/>
          <w:shd w:val="clear" w:color="auto" w:fill="FFFFFF"/>
        </w:rPr>
      </w:pPr>
      <w:r>
        <w:rPr>
          <w:rFonts w:hint="eastAsia" w:ascii="Times New Roman" w:hAnsi="Times New Roman" w:eastAsia="宋体" w:cs="Times New Roman"/>
          <w:color w:val="auto"/>
          <w:kern w:val="0"/>
          <w:szCs w:val="21"/>
          <w:shd w:val="clear" w:color="auto" w:fill="FFFFFF"/>
        </w:rPr>
        <w:t>联系电话：</w:t>
      </w:r>
      <w:r>
        <w:rPr>
          <w:rFonts w:ascii="Times New Roman" w:hAnsi="Times New Roman" w:eastAsia="宋体" w:cs="Times New Roman"/>
          <w:color w:val="auto"/>
          <w:kern w:val="0"/>
          <w:szCs w:val="21"/>
          <w:shd w:val="clear" w:color="auto" w:fill="FFFFFF"/>
        </w:rPr>
        <w:t>0580-2054476</w:t>
      </w:r>
      <w:r>
        <w:rPr>
          <w:rFonts w:hint="eastAsia" w:ascii="Times New Roman" w:hAnsi="Times New Roman" w:eastAsia="宋体" w:cs="Times New Roman"/>
          <w:color w:val="auto"/>
          <w:kern w:val="0"/>
          <w:szCs w:val="21"/>
          <w:shd w:val="clear" w:color="auto" w:fill="FFFFFF"/>
        </w:rPr>
        <w:t>，</w:t>
      </w:r>
      <w:r>
        <w:rPr>
          <w:rFonts w:ascii="Times New Roman" w:hAnsi="Times New Roman" w:eastAsia="宋体" w:cs="Times New Roman"/>
          <w:color w:val="auto"/>
          <w:kern w:val="0"/>
          <w:szCs w:val="21"/>
          <w:shd w:val="clear" w:color="auto" w:fill="FFFFFF"/>
        </w:rPr>
        <w:t>13857236444</w:t>
      </w:r>
      <w:r>
        <w:rPr>
          <w:rFonts w:hint="eastAsia" w:ascii="Times New Roman" w:hAnsi="Times New Roman" w:eastAsia="宋体" w:cs="Times New Roman"/>
          <w:color w:val="auto"/>
          <w:kern w:val="0"/>
          <w:szCs w:val="21"/>
          <w:shd w:val="clear" w:color="auto" w:fill="FFFFFF"/>
        </w:rPr>
        <w:t>，</w:t>
      </w:r>
      <w:r>
        <w:rPr>
          <w:rFonts w:ascii="Times New Roman" w:hAnsi="Times New Roman" w:eastAsia="宋体" w:cs="Times New Roman"/>
          <w:color w:val="auto"/>
          <w:kern w:val="0"/>
          <w:szCs w:val="21"/>
          <w:shd w:val="clear" w:color="auto" w:fill="FFFFFF"/>
        </w:rPr>
        <w:t>13567673203</w:t>
      </w:r>
    </w:p>
    <w:p w14:paraId="63BACEF0">
      <w:pPr>
        <w:widowControl/>
        <w:spacing w:line="360" w:lineRule="auto"/>
        <w:ind w:firstLine="420"/>
        <w:rPr>
          <w:rFonts w:ascii="Times New Roman" w:hAnsi="Times New Roman" w:eastAsia="宋体" w:cs="Times New Roman"/>
          <w:color w:val="auto"/>
          <w:kern w:val="0"/>
          <w:szCs w:val="21"/>
          <w:shd w:val="clear" w:color="auto" w:fill="FFFFFF"/>
        </w:rPr>
      </w:pPr>
      <w:r>
        <w:rPr>
          <w:rFonts w:hint="eastAsia" w:ascii="Times New Roman" w:hAnsi="Times New Roman" w:eastAsia="宋体" w:cs="Times New Roman"/>
          <w:color w:val="auto"/>
          <w:kern w:val="0"/>
          <w:szCs w:val="21"/>
          <w:shd w:val="clear" w:color="auto" w:fill="FFFFFF"/>
        </w:rPr>
        <w:t>质疑答复联系人：王女士</w:t>
      </w:r>
    </w:p>
    <w:p w14:paraId="6A9B047F">
      <w:pPr>
        <w:widowControl/>
        <w:spacing w:line="360" w:lineRule="auto"/>
        <w:ind w:firstLine="420"/>
        <w:rPr>
          <w:rFonts w:ascii="Times New Roman" w:hAnsi="Times New Roman" w:eastAsia="宋体" w:cs="Times New Roman"/>
          <w:color w:val="auto"/>
          <w:kern w:val="0"/>
          <w:szCs w:val="21"/>
          <w:shd w:val="clear" w:color="auto" w:fill="FFFFFF"/>
        </w:rPr>
      </w:pPr>
      <w:r>
        <w:rPr>
          <w:rFonts w:hint="eastAsia" w:ascii="Times New Roman" w:hAnsi="Times New Roman" w:eastAsia="宋体" w:cs="Times New Roman"/>
          <w:color w:val="auto"/>
          <w:kern w:val="0"/>
          <w:szCs w:val="21"/>
          <w:shd w:val="clear" w:color="auto" w:fill="FFFFFF"/>
        </w:rPr>
        <w:t>联系电话：</w:t>
      </w:r>
      <w:r>
        <w:rPr>
          <w:rFonts w:ascii="Times New Roman" w:hAnsi="Times New Roman" w:eastAsia="宋体" w:cs="Times New Roman"/>
          <w:color w:val="auto"/>
          <w:kern w:val="0"/>
          <w:szCs w:val="21"/>
          <w:shd w:val="clear" w:color="auto" w:fill="FFFFFF"/>
        </w:rPr>
        <w:t>0580-2054476</w:t>
      </w:r>
      <w:r>
        <w:rPr>
          <w:rFonts w:hint="eastAsia" w:ascii="Times New Roman" w:hAnsi="Times New Roman" w:eastAsia="宋体" w:cs="Times New Roman"/>
          <w:color w:val="auto"/>
          <w:kern w:val="0"/>
          <w:szCs w:val="21"/>
          <w:shd w:val="clear" w:color="auto" w:fill="FFFFFF"/>
        </w:rPr>
        <w:t>，</w:t>
      </w:r>
      <w:r>
        <w:rPr>
          <w:rFonts w:ascii="Times New Roman" w:hAnsi="Times New Roman" w:eastAsia="宋体" w:cs="Times New Roman"/>
          <w:color w:val="auto"/>
          <w:kern w:val="0"/>
          <w:szCs w:val="21"/>
          <w:shd w:val="clear" w:color="auto" w:fill="FFFFFF"/>
        </w:rPr>
        <w:t>13587045176</w:t>
      </w:r>
    </w:p>
    <w:p w14:paraId="003CCD23">
      <w:pPr>
        <w:widowControl/>
        <w:spacing w:line="360" w:lineRule="auto"/>
        <w:ind w:firstLine="420"/>
        <w:rPr>
          <w:rFonts w:ascii="Times New Roman" w:hAnsi="Times New Roman" w:eastAsia="宋体" w:cs="Times New Roman"/>
          <w:color w:val="auto"/>
          <w:kern w:val="0"/>
          <w:szCs w:val="21"/>
          <w:shd w:val="clear" w:color="auto" w:fill="FFFFFF"/>
        </w:rPr>
      </w:pPr>
      <w:r>
        <w:rPr>
          <w:rFonts w:hint="eastAsia" w:ascii="Times New Roman" w:hAnsi="Times New Roman" w:eastAsia="宋体" w:cs="Times New Roman"/>
          <w:color w:val="auto"/>
          <w:kern w:val="0"/>
          <w:szCs w:val="21"/>
          <w:shd w:val="clear" w:color="auto" w:fill="FFFFFF"/>
        </w:rPr>
        <w:t>传真：</w:t>
      </w:r>
      <w:r>
        <w:rPr>
          <w:rFonts w:ascii="Times New Roman" w:hAnsi="Times New Roman" w:eastAsia="宋体" w:cs="Times New Roman"/>
          <w:color w:val="auto"/>
          <w:kern w:val="0"/>
          <w:szCs w:val="21"/>
          <w:shd w:val="clear" w:color="auto" w:fill="FFFFFF"/>
        </w:rPr>
        <w:t>0580-2054476</w:t>
      </w:r>
    </w:p>
    <w:p w14:paraId="16AF1A49">
      <w:pPr>
        <w:widowControl/>
        <w:spacing w:line="360" w:lineRule="auto"/>
        <w:ind w:firstLine="420"/>
        <w:rPr>
          <w:rFonts w:ascii="Times New Roman" w:hAnsi="Times New Roman" w:eastAsia="宋体" w:cs="Times New Roman"/>
          <w:color w:val="auto"/>
          <w:kern w:val="0"/>
          <w:szCs w:val="21"/>
          <w:shd w:val="clear" w:color="auto" w:fill="FFFFFF"/>
        </w:rPr>
      </w:pPr>
      <w:r>
        <w:rPr>
          <w:rFonts w:hint="eastAsia" w:ascii="Times New Roman" w:hAnsi="Times New Roman" w:eastAsia="宋体" w:cs="Times New Roman"/>
          <w:color w:val="auto"/>
          <w:kern w:val="0"/>
          <w:szCs w:val="21"/>
          <w:shd w:val="clear" w:color="auto" w:fill="FFFFFF"/>
        </w:rPr>
        <w:t>地址：舟山市定海区昌国路</w:t>
      </w:r>
      <w:r>
        <w:rPr>
          <w:rFonts w:ascii="Times New Roman" w:hAnsi="Times New Roman" w:eastAsia="宋体" w:cs="Times New Roman"/>
          <w:color w:val="auto"/>
          <w:kern w:val="0"/>
          <w:szCs w:val="21"/>
          <w:shd w:val="clear" w:color="auto" w:fill="FFFFFF"/>
        </w:rPr>
        <w:t>232</w:t>
      </w:r>
      <w:r>
        <w:rPr>
          <w:rFonts w:hint="eastAsia" w:ascii="Times New Roman" w:hAnsi="Times New Roman" w:eastAsia="宋体" w:cs="Times New Roman"/>
          <w:color w:val="auto"/>
          <w:kern w:val="0"/>
          <w:szCs w:val="21"/>
          <w:shd w:val="clear" w:color="auto" w:fill="FFFFFF"/>
        </w:rPr>
        <w:t>号中楼</w:t>
      </w:r>
      <w:r>
        <w:rPr>
          <w:rFonts w:ascii="Times New Roman" w:hAnsi="Times New Roman" w:eastAsia="宋体" w:cs="Times New Roman"/>
          <w:color w:val="auto"/>
          <w:kern w:val="0"/>
          <w:szCs w:val="21"/>
          <w:shd w:val="clear" w:color="auto" w:fill="FFFFFF"/>
        </w:rPr>
        <w:t>202</w:t>
      </w:r>
    </w:p>
    <w:p w14:paraId="41E8DF93">
      <w:pPr>
        <w:widowControl/>
        <w:spacing w:line="360" w:lineRule="auto"/>
        <w:ind w:firstLine="420"/>
        <w:rPr>
          <w:rFonts w:ascii="Times New Roman" w:hAnsi="Times New Roman" w:eastAsia="宋体" w:cs="Times New Roman"/>
          <w:color w:val="auto"/>
          <w:kern w:val="0"/>
          <w:szCs w:val="21"/>
          <w:shd w:val="clear" w:color="auto" w:fill="FFFFFF"/>
        </w:rPr>
      </w:pPr>
      <w:r>
        <w:rPr>
          <w:rFonts w:hint="eastAsia" w:ascii="宋体" w:hAnsi="宋体" w:eastAsia="宋体" w:cs="Times New Roman"/>
          <w:color w:val="auto"/>
          <w:szCs w:val="21"/>
          <w:shd w:val="clear" w:color="auto" w:fill="FFFFFF"/>
        </w:rPr>
        <w:t>2</w:t>
      </w:r>
      <w:r>
        <w:rPr>
          <w:rFonts w:hint="eastAsia" w:ascii="Times New Roman" w:hAnsi="Times New Roman" w:eastAsia="宋体" w:cs="Times New Roman"/>
          <w:color w:val="auto"/>
          <w:kern w:val="0"/>
          <w:szCs w:val="21"/>
          <w:shd w:val="clear" w:color="auto" w:fill="FFFFFF"/>
        </w:rPr>
        <w:t>.采购人：舟山市新城公用事业管理中心</w:t>
      </w:r>
    </w:p>
    <w:p w14:paraId="1D862012">
      <w:pPr>
        <w:widowControl/>
        <w:spacing w:line="360" w:lineRule="auto"/>
        <w:ind w:firstLine="420"/>
        <w:rPr>
          <w:rFonts w:hint="eastAsia" w:ascii="Times New Roman" w:hAnsi="Times New Roman" w:eastAsia="宋体" w:cs="Times New Roman"/>
          <w:color w:val="auto"/>
          <w:kern w:val="0"/>
          <w:szCs w:val="21"/>
          <w:shd w:val="clear" w:color="auto" w:fill="FFFFFF"/>
          <w:lang w:eastAsia="zh-CN"/>
        </w:rPr>
      </w:pPr>
      <w:r>
        <w:rPr>
          <w:rFonts w:hint="eastAsia" w:ascii="Times New Roman" w:hAnsi="Times New Roman" w:eastAsia="宋体" w:cs="Times New Roman"/>
          <w:color w:val="auto"/>
          <w:kern w:val="0"/>
          <w:szCs w:val="21"/>
          <w:shd w:val="clear" w:color="auto" w:fill="FFFFFF"/>
        </w:rPr>
        <w:t>联系人：</w:t>
      </w:r>
      <w:r>
        <w:rPr>
          <w:rFonts w:hint="eastAsia" w:ascii="Times New Roman" w:hAnsi="Times New Roman" w:eastAsia="宋体" w:cs="Times New Roman"/>
          <w:color w:val="auto"/>
          <w:kern w:val="0"/>
          <w:szCs w:val="21"/>
          <w:shd w:val="clear" w:color="auto" w:fill="FFFFFF"/>
          <w:lang w:val="en-US" w:eastAsia="zh-CN"/>
        </w:rPr>
        <w:t>张</w:t>
      </w:r>
      <w:r>
        <w:rPr>
          <w:rFonts w:hint="eastAsia" w:ascii="Times New Roman" w:hAnsi="Times New Roman" w:eastAsia="宋体" w:cs="Times New Roman"/>
          <w:color w:val="auto"/>
          <w:kern w:val="0"/>
          <w:szCs w:val="21"/>
          <w:shd w:val="clear" w:color="auto" w:fill="FFFFFF"/>
          <w:lang w:eastAsia="zh-CN"/>
        </w:rPr>
        <w:t>女士</w:t>
      </w:r>
    </w:p>
    <w:p w14:paraId="2FA9D19D">
      <w:pPr>
        <w:widowControl/>
        <w:spacing w:line="360" w:lineRule="auto"/>
        <w:ind w:firstLine="420"/>
        <w:rPr>
          <w:rFonts w:hint="default" w:ascii="Times New Roman" w:hAnsi="Times New Roman" w:eastAsia="宋体" w:cs="Times New Roman"/>
          <w:color w:val="auto"/>
          <w:kern w:val="0"/>
          <w:szCs w:val="21"/>
          <w:shd w:val="clear" w:color="auto" w:fill="FFFFFF"/>
          <w:lang w:val="en-US" w:eastAsia="zh-CN"/>
        </w:rPr>
      </w:pPr>
      <w:r>
        <w:rPr>
          <w:rFonts w:hint="eastAsia" w:ascii="Times New Roman" w:hAnsi="Times New Roman" w:eastAsia="宋体" w:cs="Times New Roman"/>
          <w:color w:val="auto"/>
          <w:kern w:val="0"/>
          <w:szCs w:val="21"/>
          <w:shd w:val="clear" w:color="auto" w:fill="FFFFFF"/>
        </w:rPr>
        <w:t>联系电话：0580-2047786</w:t>
      </w:r>
    </w:p>
    <w:p w14:paraId="5B001D63">
      <w:pPr>
        <w:widowControl/>
        <w:spacing w:line="360" w:lineRule="auto"/>
        <w:ind w:firstLine="420"/>
        <w:rPr>
          <w:rFonts w:hint="eastAsia" w:ascii="Times New Roman" w:hAnsi="Times New Roman" w:eastAsia="宋体" w:cs="Times New Roman"/>
          <w:color w:val="auto"/>
          <w:kern w:val="0"/>
          <w:szCs w:val="21"/>
          <w:shd w:val="clear" w:color="auto" w:fill="FFFFFF"/>
          <w:lang w:eastAsia="zh-CN"/>
        </w:rPr>
      </w:pPr>
      <w:r>
        <w:rPr>
          <w:rFonts w:hint="eastAsia" w:ascii="Times New Roman" w:hAnsi="Times New Roman" w:eastAsia="宋体" w:cs="Times New Roman"/>
          <w:color w:val="auto"/>
          <w:kern w:val="0"/>
          <w:szCs w:val="21"/>
          <w:shd w:val="clear" w:color="auto" w:fill="FFFFFF"/>
        </w:rPr>
        <w:t>质疑答复联系人：</w:t>
      </w:r>
      <w:r>
        <w:rPr>
          <w:rFonts w:hint="eastAsia" w:ascii="Times New Roman" w:hAnsi="Times New Roman" w:eastAsia="宋体" w:cs="Times New Roman"/>
          <w:color w:val="auto"/>
          <w:kern w:val="0"/>
          <w:szCs w:val="21"/>
          <w:shd w:val="clear" w:color="auto" w:fill="FFFFFF"/>
          <w:lang w:eastAsia="zh-CN"/>
        </w:rPr>
        <w:t>朱先生</w:t>
      </w:r>
    </w:p>
    <w:p w14:paraId="3ABFCFDA">
      <w:pPr>
        <w:widowControl/>
        <w:spacing w:line="360" w:lineRule="auto"/>
        <w:ind w:firstLine="420"/>
        <w:rPr>
          <w:rFonts w:ascii="Times New Roman" w:hAnsi="Times New Roman" w:eastAsia="宋体" w:cs="Times New Roman"/>
          <w:color w:val="auto"/>
          <w:kern w:val="0"/>
          <w:szCs w:val="21"/>
          <w:shd w:val="clear" w:color="auto" w:fill="FFFFFF"/>
        </w:rPr>
      </w:pPr>
      <w:r>
        <w:rPr>
          <w:rFonts w:hint="eastAsia" w:ascii="Times New Roman" w:hAnsi="Times New Roman" w:eastAsia="宋体" w:cs="Times New Roman"/>
          <w:color w:val="auto"/>
          <w:kern w:val="0"/>
          <w:szCs w:val="21"/>
          <w:shd w:val="clear" w:color="auto" w:fill="FFFFFF"/>
        </w:rPr>
        <w:t>联系电话：</w:t>
      </w:r>
      <w:r>
        <w:rPr>
          <w:rFonts w:hint="eastAsia" w:ascii="Times New Roman" w:hAnsi="Times New Roman" w:eastAsia="宋体" w:cs="Times New Roman"/>
          <w:color w:val="auto"/>
          <w:kern w:val="0"/>
          <w:szCs w:val="21"/>
          <w:shd w:val="clear" w:color="auto" w:fill="FFFFFF"/>
          <w:lang w:val="en-US" w:eastAsia="zh-CN"/>
        </w:rPr>
        <w:t>0580-2046220</w:t>
      </w:r>
    </w:p>
    <w:p w14:paraId="71EDD06E">
      <w:pPr>
        <w:spacing w:line="360" w:lineRule="auto"/>
        <w:ind w:firstLine="472" w:firstLineChars="225"/>
        <w:rPr>
          <w:rFonts w:hint="eastAsia" w:ascii="宋体" w:hAnsi="宋体" w:eastAsia="宋体" w:cs="Times New Roman"/>
          <w:color w:val="auto"/>
          <w:szCs w:val="21"/>
          <w:shd w:val="clear" w:color="auto" w:fill="FFFFFF"/>
        </w:rPr>
      </w:pPr>
      <w:r>
        <w:rPr>
          <w:rFonts w:hint="eastAsia" w:ascii="宋体" w:hAnsi="宋体" w:eastAsia="宋体" w:cs="Times New Roman"/>
          <w:color w:val="auto"/>
          <w:szCs w:val="21"/>
          <w:shd w:val="clear" w:color="auto" w:fill="FFFFFF"/>
        </w:rPr>
        <w:t>地址：舟山市新城田螺峙路480号城投大厦4-5层</w:t>
      </w:r>
    </w:p>
    <w:p w14:paraId="2D59403B">
      <w:pPr>
        <w:spacing w:line="360" w:lineRule="auto"/>
        <w:ind w:firstLine="472" w:firstLineChars="225"/>
        <w:rPr>
          <w:rFonts w:hint="eastAsia" w:ascii="宋体" w:hAnsi="宋体" w:eastAsia="宋体"/>
          <w:color w:val="auto"/>
          <w:szCs w:val="21"/>
        </w:rPr>
      </w:pPr>
      <w:r>
        <w:rPr>
          <w:rFonts w:hint="eastAsia" w:ascii="宋体" w:hAnsi="宋体" w:eastAsia="宋体"/>
          <w:color w:val="auto"/>
          <w:szCs w:val="21"/>
        </w:rPr>
        <w:t>3.同级政府采购监督管理部门名称：</w:t>
      </w:r>
      <w:r>
        <w:rPr>
          <w:rFonts w:hint="eastAsia" w:ascii="宋体" w:hAnsi="宋体" w:eastAsia="宋体" w:cs="宋体"/>
          <w:color w:val="auto"/>
          <w:szCs w:val="21"/>
        </w:rPr>
        <w:t>舟山市财政局（政府采购监管处）</w:t>
      </w:r>
    </w:p>
    <w:p w14:paraId="24ED07A5">
      <w:pPr>
        <w:spacing w:line="360" w:lineRule="auto"/>
        <w:ind w:firstLine="472" w:firstLineChars="225"/>
        <w:rPr>
          <w:rFonts w:hint="eastAsia" w:ascii="宋体" w:hAnsi="宋体" w:eastAsia="宋体"/>
          <w:b/>
          <w:color w:val="auto"/>
          <w:sz w:val="30"/>
        </w:rPr>
      </w:pPr>
      <w:r>
        <w:rPr>
          <w:rFonts w:hint="eastAsia" w:ascii="宋体" w:hAnsi="宋体" w:eastAsia="宋体"/>
          <w:color w:val="auto"/>
          <w:szCs w:val="21"/>
        </w:rPr>
        <w:t>监督投诉电话：</w:t>
      </w:r>
      <w:r>
        <w:rPr>
          <w:rFonts w:hint="eastAsia" w:ascii="宋体" w:hAnsi="宋体" w:eastAsia="宋体" w:cs="宋体"/>
          <w:color w:val="auto"/>
          <w:kern w:val="0"/>
          <w:szCs w:val="21"/>
        </w:rPr>
        <w:t>0580-2282591</w:t>
      </w:r>
    </w:p>
    <w:p w14:paraId="4899BAF8">
      <w:pPr>
        <w:spacing w:line="360" w:lineRule="auto"/>
        <w:ind w:firstLine="678" w:firstLineChars="225"/>
        <w:rPr>
          <w:rFonts w:hint="eastAsia" w:ascii="宋体" w:hAnsi="宋体" w:eastAsia="宋体" w:cs="Times New Roman"/>
          <w:b/>
          <w:color w:val="auto"/>
          <w:sz w:val="30"/>
        </w:rPr>
      </w:pPr>
    </w:p>
    <w:p w14:paraId="2F632D36">
      <w:pPr>
        <w:rPr>
          <w:rFonts w:ascii="Times New Roman" w:hAnsi="Times New Roman" w:eastAsia="宋体" w:cs="Times New Roman"/>
          <w:b/>
          <w:color w:val="auto"/>
          <w:kern w:val="0"/>
          <w:sz w:val="30"/>
        </w:rPr>
      </w:pPr>
      <w:r>
        <w:rPr>
          <w:rFonts w:ascii="Times New Roman" w:hAnsi="Times New Roman" w:eastAsia="宋体" w:cs="Times New Roman"/>
          <w:b/>
          <w:color w:val="auto"/>
          <w:kern w:val="0"/>
          <w:sz w:val="30"/>
        </w:rPr>
        <w:br w:type="page"/>
      </w:r>
    </w:p>
    <w:p w14:paraId="628FA726">
      <w:pPr>
        <w:widowControl/>
        <w:jc w:val="left"/>
        <w:rPr>
          <w:rFonts w:ascii="Times New Roman" w:hAnsi="Times New Roman" w:eastAsia="宋体" w:cs="Times New Roman"/>
          <w:b/>
          <w:color w:val="auto"/>
          <w:kern w:val="0"/>
          <w:sz w:val="30"/>
        </w:rPr>
        <w:sectPr>
          <w:pgSz w:w="11906" w:h="16838"/>
          <w:pgMar w:top="1304" w:right="1531" w:bottom="1304" w:left="1531" w:header="1134" w:footer="1304" w:gutter="0"/>
          <w:cols w:space="720" w:num="1"/>
        </w:sectPr>
      </w:pPr>
    </w:p>
    <w:p w14:paraId="4862946D">
      <w:pPr>
        <w:numPr>
          <w:ilvl w:val="0"/>
          <w:numId w:val="8"/>
        </w:numPr>
        <w:snapToGrid w:val="0"/>
        <w:spacing w:line="360" w:lineRule="auto"/>
        <w:jc w:val="center"/>
        <w:rPr>
          <w:rFonts w:ascii="Times New Roman" w:hAnsi="Times New Roman" w:eastAsia="宋体" w:cs="Times New Roman"/>
          <w:b/>
          <w:color w:val="auto"/>
          <w:sz w:val="30"/>
        </w:rPr>
      </w:pPr>
      <w:r>
        <w:rPr>
          <w:rFonts w:hint="eastAsia" w:ascii="Times New Roman" w:hAnsi="Times New Roman" w:eastAsia="宋体" w:cs="Times New Roman"/>
          <w:b/>
          <w:color w:val="auto"/>
          <w:sz w:val="30"/>
          <w:lang w:eastAsia="zh-CN"/>
        </w:rPr>
        <w:t>采购</w:t>
      </w:r>
      <w:r>
        <w:rPr>
          <w:rFonts w:hint="eastAsia" w:ascii="Times New Roman" w:hAnsi="Times New Roman" w:eastAsia="宋体" w:cs="Times New Roman"/>
          <w:b/>
          <w:color w:val="auto"/>
          <w:sz w:val="30"/>
        </w:rPr>
        <w:t>需求</w:t>
      </w:r>
    </w:p>
    <w:p w14:paraId="155024F8">
      <w:pPr>
        <w:spacing w:line="312" w:lineRule="auto"/>
        <w:outlineLvl w:val="0"/>
        <w:rPr>
          <w:rFonts w:ascii="Times New Roman" w:hAnsi="Times New Roman" w:eastAsia="宋体" w:cs="Times New Roman"/>
          <w:b/>
          <w:color w:val="auto"/>
          <w:sz w:val="24"/>
        </w:rPr>
      </w:pPr>
    </w:p>
    <w:p w14:paraId="794C3BD0">
      <w:pPr>
        <w:pStyle w:val="27"/>
        <w:rPr>
          <w:rFonts w:hint="default" w:eastAsia="宋体"/>
          <w:b/>
          <w:bCs/>
          <w:color w:val="auto"/>
          <w:sz w:val="24"/>
          <w:szCs w:val="24"/>
          <w:lang w:val="en-US" w:eastAsia="zh-CN"/>
        </w:rPr>
      </w:pPr>
      <w:r>
        <w:rPr>
          <w:rFonts w:hint="eastAsia"/>
          <w:b/>
          <w:bCs/>
          <w:color w:val="auto"/>
          <w:sz w:val="24"/>
          <w:szCs w:val="24"/>
          <w:lang w:val="en-US" w:eastAsia="zh-CN"/>
        </w:rPr>
        <w:t>一、采购内容及数量</w:t>
      </w:r>
    </w:p>
    <w:tbl>
      <w:tblPr>
        <w:tblStyle w:val="63"/>
        <w:tblpPr w:leftFromText="180" w:rightFromText="180" w:vertAnchor="text" w:horzAnchor="page" w:tblpXSpec="center" w:tblpY="207"/>
        <w:tblOverlap w:val="never"/>
        <w:tblW w:w="913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3"/>
        <w:gridCol w:w="3492"/>
        <w:gridCol w:w="1068"/>
        <w:gridCol w:w="1156"/>
        <w:gridCol w:w="1328"/>
        <w:gridCol w:w="1351"/>
      </w:tblGrid>
      <w:tr w14:paraId="2B82626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79" w:hRule="atLeast"/>
          <w:jc w:val="center"/>
        </w:trPr>
        <w:tc>
          <w:tcPr>
            <w:tcW w:w="743" w:type="dxa"/>
            <w:tcBorders>
              <w:top w:val="single" w:color="000000" w:sz="4" w:space="0"/>
              <w:left w:val="single" w:color="000000" w:sz="4" w:space="0"/>
              <w:bottom w:val="single" w:color="000000" w:sz="4" w:space="0"/>
              <w:right w:val="single" w:color="000000" w:sz="4" w:space="0"/>
            </w:tcBorders>
            <w:vAlign w:val="center"/>
          </w:tcPr>
          <w:p w14:paraId="3EF4F23F">
            <w:pPr>
              <w:widowControl/>
              <w:spacing w:line="240"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序号</w:t>
            </w:r>
          </w:p>
        </w:tc>
        <w:tc>
          <w:tcPr>
            <w:tcW w:w="3492" w:type="dxa"/>
            <w:tcBorders>
              <w:top w:val="single" w:color="000000" w:sz="4" w:space="0"/>
              <w:left w:val="single" w:color="000000" w:sz="4" w:space="0"/>
              <w:bottom w:val="single" w:color="000000" w:sz="4" w:space="0"/>
              <w:right w:val="single" w:color="auto" w:sz="4" w:space="0"/>
            </w:tcBorders>
            <w:vAlign w:val="center"/>
          </w:tcPr>
          <w:p w14:paraId="2C074E2F">
            <w:pPr>
              <w:widowControl/>
              <w:spacing w:line="240" w:lineRule="auto"/>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rPr>
              <w:t>项目名称及内容</w:t>
            </w:r>
          </w:p>
        </w:tc>
        <w:tc>
          <w:tcPr>
            <w:tcW w:w="1068" w:type="dxa"/>
            <w:tcBorders>
              <w:top w:val="single" w:color="000000" w:sz="4" w:space="0"/>
              <w:left w:val="single" w:color="auto" w:sz="4" w:space="0"/>
              <w:bottom w:val="single" w:color="000000" w:sz="4" w:space="0"/>
              <w:right w:val="single" w:color="auto" w:sz="4" w:space="0"/>
            </w:tcBorders>
            <w:vAlign w:val="center"/>
          </w:tcPr>
          <w:p w14:paraId="7A614921">
            <w:pPr>
              <w:widowControl/>
              <w:spacing w:line="240" w:lineRule="auto"/>
              <w:jc w:val="center"/>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服务期限</w:t>
            </w:r>
          </w:p>
        </w:tc>
        <w:tc>
          <w:tcPr>
            <w:tcW w:w="1156" w:type="dxa"/>
            <w:tcBorders>
              <w:top w:val="single" w:color="000000" w:sz="4" w:space="0"/>
              <w:left w:val="single" w:color="000000" w:sz="4" w:space="0"/>
              <w:bottom w:val="single" w:color="000000" w:sz="4" w:space="0"/>
              <w:right w:val="single" w:color="auto" w:sz="4" w:space="0"/>
            </w:tcBorders>
            <w:vAlign w:val="center"/>
          </w:tcPr>
          <w:p w14:paraId="56CFEFDA">
            <w:pPr>
              <w:widowControl/>
              <w:spacing w:line="240"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预算金额（万元）</w:t>
            </w:r>
          </w:p>
        </w:tc>
        <w:tc>
          <w:tcPr>
            <w:tcW w:w="1328" w:type="dxa"/>
            <w:tcBorders>
              <w:top w:val="single" w:color="000000" w:sz="4" w:space="0"/>
              <w:left w:val="single" w:color="auto" w:sz="4" w:space="0"/>
              <w:bottom w:val="single" w:color="000000" w:sz="4" w:space="0"/>
              <w:right w:val="single" w:color="000000" w:sz="4" w:space="0"/>
            </w:tcBorders>
            <w:vAlign w:val="center"/>
          </w:tcPr>
          <w:p w14:paraId="181950DC">
            <w:pPr>
              <w:widowControl/>
              <w:spacing w:line="240" w:lineRule="auto"/>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最高限价（单价）</w:t>
            </w:r>
          </w:p>
        </w:tc>
        <w:tc>
          <w:tcPr>
            <w:tcW w:w="1351" w:type="dxa"/>
            <w:tcBorders>
              <w:top w:val="single" w:color="000000" w:sz="4" w:space="0"/>
              <w:left w:val="single" w:color="000000" w:sz="4" w:space="0"/>
              <w:bottom w:val="single" w:color="000000" w:sz="4" w:space="0"/>
              <w:right w:val="single" w:color="000000" w:sz="4" w:space="0"/>
            </w:tcBorders>
            <w:vAlign w:val="center"/>
          </w:tcPr>
          <w:p w14:paraId="18E25FC1">
            <w:pPr>
              <w:widowControl/>
              <w:spacing w:line="240" w:lineRule="auto"/>
              <w:ind w:firstLine="420" w:firstLineChars="200"/>
              <w:jc w:val="left"/>
              <w:rPr>
                <w:rFonts w:ascii="Times New Roman" w:hAnsi="Times New Roman" w:eastAsia="宋体" w:cs="Times New Roman"/>
                <w:color w:val="auto"/>
                <w:szCs w:val="21"/>
              </w:rPr>
            </w:pPr>
            <w:r>
              <w:rPr>
                <w:rFonts w:hint="eastAsia" w:ascii="Times New Roman" w:hAnsi="Times New Roman" w:eastAsia="宋体" w:cs="Times New Roman"/>
                <w:color w:val="auto"/>
                <w:szCs w:val="21"/>
              </w:rPr>
              <w:t>备注</w:t>
            </w:r>
          </w:p>
        </w:tc>
      </w:tr>
      <w:tr w14:paraId="38D535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5" w:hRule="atLeast"/>
          <w:jc w:val="center"/>
        </w:trPr>
        <w:tc>
          <w:tcPr>
            <w:tcW w:w="743" w:type="dxa"/>
            <w:tcBorders>
              <w:top w:val="single" w:color="000000" w:sz="4" w:space="0"/>
              <w:left w:val="single" w:color="000000" w:sz="4" w:space="0"/>
              <w:bottom w:val="single" w:color="000000" w:sz="4" w:space="0"/>
              <w:right w:val="single" w:color="000000" w:sz="4" w:space="0"/>
            </w:tcBorders>
            <w:vAlign w:val="center"/>
          </w:tcPr>
          <w:p w14:paraId="700B2227">
            <w:pPr>
              <w:widowControl/>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1</w:t>
            </w:r>
          </w:p>
        </w:tc>
        <w:tc>
          <w:tcPr>
            <w:tcW w:w="3492" w:type="dxa"/>
            <w:tcBorders>
              <w:top w:val="single" w:color="000000" w:sz="4" w:space="0"/>
              <w:left w:val="single" w:color="000000" w:sz="4" w:space="0"/>
              <w:bottom w:val="single" w:color="000000" w:sz="4" w:space="0"/>
              <w:right w:val="single" w:color="auto" w:sz="4" w:space="0"/>
            </w:tcBorders>
            <w:vAlign w:val="center"/>
          </w:tcPr>
          <w:p w14:paraId="47EB5644">
            <w:pPr>
              <w:widowControl/>
              <w:spacing w:line="240" w:lineRule="auto"/>
              <w:jc w:val="left"/>
              <w:rPr>
                <w:rFonts w:ascii="Times New Roman" w:hAnsi="Times New Roman" w:eastAsia="宋体" w:cs="Times New Roman"/>
                <w:color w:val="auto"/>
                <w:szCs w:val="21"/>
              </w:rPr>
            </w:pPr>
            <w:r>
              <w:rPr>
                <w:rFonts w:hint="eastAsia" w:ascii="Times New Roman" w:hAnsi="Times New Roman" w:eastAsia="宋体" w:cs="Times New Roman"/>
                <w:color w:val="auto"/>
                <w:szCs w:val="21"/>
              </w:rPr>
              <w:t xml:space="preserve">新城垃圾中转站渗滤液处置项目  </w:t>
            </w:r>
          </w:p>
        </w:tc>
        <w:tc>
          <w:tcPr>
            <w:tcW w:w="1068" w:type="dxa"/>
            <w:tcBorders>
              <w:top w:val="single" w:color="000000" w:sz="4" w:space="0"/>
              <w:left w:val="single" w:color="auto" w:sz="4" w:space="0"/>
              <w:bottom w:val="single" w:color="000000" w:sz="4" w:space="0"/>
              <w:right w:val="single" w:color="auto" w:sz="4" w:space="0"/>
            </w:tcBorders>
            <w:vAlign w:val="center"/>
          </w:tcPr>
          <w:p w14:paraId="5EC74D69">
            <w:pPr>
              <w:widowControl/>
              <w:spacing w:line="240"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1年</w:t>
            </w:r>
          </w:p>
        </w:tc>
        <w:tc>
          <w:tcPr>
            <w:tcW w:w="1156" w:type="dxa"/>
            <w:tcBorders>
              <w:top w:val="single" w:color="000000" w:sz="4" w:space="0"/>
              <w:left w:val="single" w:color="000000" w:sz="4" w:space="0"/>
              <w:bottom w:val="single" w:color="000000" w:sz="4" w:space="0"/>
              <w:right w:val="single" w:color="auto" w:sz="4" w:space="0"/>
            </w:tcBorders>
            <w:vAlign w:val="center"/>
          </w:tcPr>
          <w:p w14:paraId="317DBA9D">
            <w:pPr>
              <w:widowControl/>
              <w:spacing w:line="240" w:lineRule="auto"/>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132.60</w:t>
            </w:r>
          </w:p>
        </w:tc>
        <w:tc>
          <w:tcPr>
            <w:tcW w:w="1328" w:type="dxa"/>
            <w:tcBorders>
              <w:top w:val="single" w:color="000000" w:sz="4" w:space="0"/>
              <w:left w:val="single" w:color="auto" w:sz="4" w:space="0"/>
              <w:bottom w:val="single" w:color="000000" w:sz="4" w:space="0"/>
              <w:right w:val="single" w:color="000000" w:sz="4" w:space="0"/>
            </w:tcBorders>
            <w:vAlign w:val="center"/>
          </w:tcPr>
          <w:p w14:paraId="1E691BAE">
            <w:pPr>
              <w:widowControl/>
              <w:spacing w:line="240" w:lineRule="auto"/>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val="en-US" w:eastAsia="zh-CN"/>
              </w:rPr>
              <w:t>102元/m³</w:t>
            </w:r>
          </w:p>
        </w:tc>
        <w:tc>
          <w:tcPr>
            <w:tcW w:w="1351" w:type="dxa"/>
            <w:tcBorders>
              <w:top w:val="single" w:color="000000" w:sz="4" w:space="0"/>
              <w:left w:val="single" w:color="000000" w:sz="4" w:space="0"/>
              <w:bottom w:val="single" w:color="000000" w:sz="4" w:space="0"/>
              <w:right w:val="single" w:color="000000" w:sz="4" w:space="0"/>
            </w:tcBorders>
            <w:vAlign w:val="center"/>
          </w:tcPr>
          <w:p w14:paraId="48135288">
            <w:pPr>
              <w:widowControl/>
              <w:spacing w:line="240" w:lineRule="auto"/>
              <w:jc w:val="left"/>
              <w:rPr>
                <w:rFonts w:ascii="Times New Roman" w:hAnsi="Times New Roman" w:eastAsia="宋体" w:cs="Times New Roman"/>
                <w:color w:val="auto"/>
                <w:szCs w:val="21"/>
              </w:rPr>
            </w:pPr>
            <w:r>
              <w:rPr>
                <w:rFonts w:hint="eastAsia" w:ascii="Times New Roman" w:hAnsi="Times New Roman" w:eastAsia="宋体" w:cs="Times New Roman"/>
                <w:color w:val="auto"/>
                <w:szCs w:val="21"/>
                <w:lang w:val="en-US" w:eastAsia="zh-CN"/>
              </w:rPr>
              <w:t>暂定处理量为30m³/d</w:t>
            </w:r>
          </w:p>
        </w:tc>
      </w:tr>
    </w:tbl>
    <w:p w14:paraId="5A0CD30B">
      <w:pPr>
        <w:spacing w:line="360" w:lineRule="auto"/>
        <w:outlineLvl w:val="0"/>
        <w:rPr>
          <w:rFonts w:hint="eastAsia" w:eastAsia="宋体"/>
          <w:b/>
          <w:color w:val="auto"/>
          <w:sz w:val="24"/>
        </w:rPr>
      </w:pPr>
    </w:p>
    <w:p w14:paraId="3792665B">
      <w:pPr>
        <w:spacing w:line="360" w:lineRule="auto"/>
        <w:outlineLvl w:val="0"/>
        <w:rPr>
          <w:rFonts w:hint="eastAsia" w:eastAsia="宋体"/>
          <w:b/>
          <w:color w:val="auto"/>
          <w:sz w:val="24"/>
        </w:rPr>
      </w:pPr>
      <w:r>
        <w:rPr>
          <w:rFonts w:hint="eastAsia" w:eastAsia="宋体"/>
          <w:b/>
          <w:color w:val="auto"/>
          <w:sz w:val="24"/>
          <w:lang w:val="en-US" w:eastAsia="zh-CN"/>
        </w:rPr>
        <w:t>二</w:t>
      </w:r>
      <w:r>
        <w:rPr>
          <w:rFonts w:hint="eastAsia" w:eastAsia="宋体"/>
          <w:b/>
          <w:color w:val="auto"/>
          <w:sz w:val="24"/>
        </w:rPr>
        <w:t>、</w:t>
      </w:r>
      <w:r>
        <w:rPr>
          <w:rFonts w:hint="eastAsia" w:ascii="宋体" w:hAnsi="宋体" w:eastAsia="宋体"/>
          <w:b/>
          <w:bCs/>
          <w:color w:val="auto"/>
          <w:sz w:val="24"/>
        </w:rPr>
        <w:t>新城区垃圾转运站基本情况及渗滤液现状</w:t>
      </w:r>
    </w:p>
    <w:p w14:paraId="222C0A07">
      <w:pPr>
        <w:spacing w:line="360" w:lineRule="auto"/>
        <w:ind w:firstLine="420" w:firstLineChars="200"/>
        <w:outlineLvl w:val="0"/>
        <w:rPr>
          <w:rFonts w:hint="eastAsia" w:ascii="宋体" w:hAnsi="宋体" w:eastAsia="宋体" w:cs="Times New Roman"/>
          <w:color w:val="auto"/>
          <w:szCs w:val="21"/>
        </w:rPr>
      </w:pPr>
      <w:bookmarkStart w:id="2" w:name="_Hlk172297338"/>
      <w:r>
        <w:rPr>
          <w:rFonts w:hint="eastAsia" w:ascii="宋体" w:hAnsi="宋体" w:eastAsia="宋体" w:cs="Times New Roman"/>
          <w:color w:val="auto"/>
          <w:szCs w:val="21"/>
        </w:rPr>
        <w:t>对新城区6座生活垃圾中转站渗滤液进行集中处置。根据《浙江省生活垃圾中转站改造提升技术导则》（浙江省住房和城乡建设厅公告2022年第4号）和《舟山市生活垃圾压缩站安全运行提升行动实施方案》（舟公管〔2023〕18号）文件要求，将各中转站产生的垃圾渗滤液进行无害化处置达标排放。</w:t>
      </w:r>
    </w:p>
    <w:p w14:paraId="504C8F3E">
      <w:pPr>
        <w:spacing w:line="360" w:lineRule="auto"/>
        <w:ind w:firstLine="420" w:firstLineChars="200"/>
        <w:outlineLvl w:val="0"/>
        <w:rPr>
          <w:rFonts w:hint="eastAsia" w:ascii="宋体" w:hAnsi="宋体" w:eastAsia="宋体" w:cs="Times New Roman"/>
          <w:color w:val="auto"/>
          <w:szCs w:val="21"/>
        </w:rPr>
      </w:pPr>
      <w:r>
        <w:rPr>
          <w:rFonts w:hint="eastAsia" w:ascii="宋体" w:hAnsi="宋体" w:eastAsia="宋体" w:cs="Times New Roman"/>
          <w:color w:val="auto"/>
          <w:szCs w:val="21"/>
          <w:lang w:eastAsia="zh-CN"/>
        </w:rPr>
        <w:t>项目地点在孙家岙环卫基地，</w:t>
      </w:r>
      <w:r>
        <w:rPr>
          <w:rFonts w:hint="eastAsia" w:ascii="宋体" w:hAnsi="宋体" w:eastAsia="宋体" w:cs="Times New Roman"/>
          <w:color w:val="auto"/>
          <w:szCs w:val="21"/>
        </w:rPr>
        <w:t>因项目的特殊性，投标人需自行前往现场进行踏勘及工艺分析。</w:t>
      </w:r>
    </w:p>
    <w:p w14:paraId="3B7268B9">
      <w:pPr>
        <w:spacing w:line="360" w:lineRule="auto"/>
        <w:ind w:firstLine="420" w:firstLineChars="200"/>
        <w:outlineLvl w:val="0"/>
        <w:rPr>
          <w:rFonts w:hint="eastAsia" w:ascii="宋体" w:hAnsi="宋体" w:eastAsia="宋体" w:cs="Times New Roman"/>
          <w:color w:val="auto"/>
          <w:szCs w:val="21"/>
        </w:rPr>
      </w:pPr>
      <w:r>
        <w:rPr>
          <w:rFonts w:hint="eastAsia" w:ascii="宋体" w:hAnsi="宋体" w:eastAsia="宋体" w:cs="Times New Roman"/>
          <w:color w:val="auto"/>
          <w:szCs w:val="21"/>
          <w:lang w:val="en-US" w:eastAsia="zh-CN"/>
        </w:rPr>
        <w:t>6座生活垃圾中转站渗滤液污水日产生量约30-40m³，采购人已委托另外项目将渗滤液转运至孙家岙环卫基地，无需投标人收集运输</w:t>
      </w:r>
      <w:r>
        <w:rPr>
          <w:rFonts w:hint="eastAsia" w:ascii="宋体" w:hAnsi="宋体" w:eastAsia="宋体" w:cs="Times New Roman"/>
          <w:color w:val="auto"/>
          <w:szCs w:val="21"/>
        </w:rPr>
        <w:t>。</w:t>
      </w:r>
    </w:p>
    <w:p w14:paraId="562F8D18">
      <w:pPr>
        <w:spacing w:line="360" w:lineRule="auto"/>
        <w:outlineLvl w:val="0"/>
        <w:rPr>
          <w:rFonts w:hint="eastAsia" w:ascii="宋体" w:hAnsi="宋体" w:eastAsia="宋体"/>
          <w:b/>
          <w:bCs/>
          <w:color w:val="auto"/>
          <w:sz w:val="24"/>
        </w:rPr>
      </w:pPr>
    </w:p>
    <w:p w14:paraId="043078CE">
      <w:pPr>
        <w:spacing w:line="360" w:lineRule="auto"/>
        <w:outlineLvl w:val="0"/>
        <w:rPr>
          <w:rFonts w:hint="eastAsia" w:ascii="宋体" w:hAnsi="宋体" w:eastAsia="宋体"/>
          <w:b/>
          <w:bCs/>
          <w:color w:val="auto"/>
          <w:sz w:val="24"/>
          <w:lang w:eastAsia="zh-CN"/>
        </w:rPr>
      </w:pPr>
      <w:r>
        <w:rPr>
          <w:rFonts w:hint="eastAsia" w:ascii="宋体" w:hAnsi="宋体" w:eastAsia="宋体"/>
          <w:b/>
          <w:bCs/>
          <w:color w:val="auto"/>
          <w:sz w:val="24"/>
          <w:lang w:val="en-US" w:eastAsia="zh-CN"/>
        </w:rPr>
        <w:t>三</w:t>
      </w:r>
      <w:r>
        <w:rPr>
          <w:rFonts w:hint="eastAsia" w:ascii="宋体" w:hAnsi="宋体" w:eastAsia="宋体"/>
          <w:b/>
          <w:bCs/>
          <w:color w:val="auto"/>
          <w:sz w:val="24"/>
        </w:rPr>
        <w:t>、项目</w:t>
      </w:r>
      <w:r>
        <w:rPr>
          <w:rFonts w:hint="eastAsia" w:ascii="宋体" w:hAnsi="宋体" w:eastAsia="宋体"/>
          <w:b/>
          <w:bCs/>
          <w:color w:val="auto"/>
          <w:sz w:val="24"/>
          <w:lang w:val="en-US" w:eastAsia="zh-CN"/>
        </w:rPr>
        <w:t>内容</w:t>
      </w:r>
    </w:p>
    <w:p w14:paraId="64D4369F">
      <w:pPr>
        <w:spacing w:line="360" w:lineRule="auto"/>
        <w:ind w:firstLine="420" w:firstLineChars="200"/>
        <w:outlineLvl w:val="0"/>
        <w:rPr>
          <w:rFonts w:hint="eastAsia" w:ascii="宋体" w:hAnsi="宋体" w:eastAsia="宋体" w:cs="Times New Roman"/>
          <w:color w:val="auto"/>
          <w:szCs w:val="21"/>
        </w:rPr>
      </w:pPr>
      <w:r>
        <w:rPr>
          <w:rFonts w:hint="eastAsia" w:ascii="宋体" w:hAnsi="宋体" w:eastAsia="宋体" w:cs="Times New Roman"/>
          <w:color w:val="auto"/>
          <w:szCs w:val="21"/>
          <w:lang w:val="en-US" w:eastAsia="zh-CN"/>
        </w:rPr>
        <w:t>1.</w:t>
      </w:r>
      <w:r>
        <w:rPr>
          <w:rFonts w:hint="eastAsia" w:ascii="宋体" w:hAnsi="宋体" w:eastAsia="宋体" w:cs="Times New Roman"/>
          <w:color w:val="auto"/>
          <w:szCs w:val="21"/>
        </w:rPr>
        <w:t>对于水、电费的明确：水、电费由</w:t>
      </w:r>
      <w:r>
        <w:rPr>
          <w:rFonts w:hint="eastAsia" w:ascii="宋体" w:hAnsi="宋体" w:eastAsia="宋体" w:cs="Times New Roman"/>
          <w:color w:val="auto"/>
          <w:szCs w:val="21"/>
          <w:lang w:val="en-US" w:eastAsia="zh-CN"/>
        </w:rPr>
        <w:t>投标人</w:t>
      </w:r>
      <w:r>
        <w:rPr>
          <w:rFonts w:hint="eastAsia" w:ascii="宋体" w:hAnsi="宋体" w:eastAsia="宋体" w:cs="Times New Roman"/>
          <w:color w:val="auto"/>
          <w:szCs w:val="21"/>
        </w:rPr>
        <w:t>自行支付。</w:t>
      </w:r>
    </w:p>
    <w:p w14:paraId="56619EFB">
      <w:pPr>
        <w:spacing w:line="360" w:lineRule="auto"/>
        <w:ind w:firstLine="420" w:firstLineChars="200"/>
        <w:outlineLvl w:val="0"/>
        <w:rPr>
          <w:rFonts w:hint="eastAsia" w:ascii="宋体" w:hAnsi="宋体" w:eastAsia="宋体" w:cs="Times New Roman"/>
          <w:color w:val="auto"/>
          <w:szCs w:val="21"/>
          <w:lang w:val="en-US" w:eastAsia="zh-CN"/>
        </w:rPr>
      </w:pPr>
      <w:bookmarkStart w:id="3" w:name="bookmark19"/>
      <w:bookmarkEnd w:id="3"/>
      <w:bookmarkStart w:id="4" w:name="bookmark20"/>
      <w:bookmarkEnd w:id="4"/>
      <w:r>
        <w:rPr>
          <w:rFonts w:hint="eastAsia" w:ascii="宋体" w:hAnsi="宋体" w:eastAsia="宋体" w:cs="Times New Roman"/>
          <w:color w:val="auto"/>
          <w:szCs w:val="21"/>
          <w:lang w:val="en-US" w:eastAsia="zh-CN"/>
        </w:rPr>
        <w:t>2.人员配备：项目负责人一名，操作人员3人及以上。</w:t>
      </w:r>
    </w:p>
    <w:p w14:paraId="4D34DE4D">
      <w:pPr>
        <w:spacing w:line="360" w:lineRule="auto"/>
        <w:ind w:firstLine="422" w:firstLineChars="200"/>
        <w:outlineLvl w:val="0"/>
        <w:rPr>
          <w:rFonts w:hint="eastAsia" w:ascii="宋体" w:hAnsi="宋体" w:eastAsia="宋体" w:cs="Times New Roman"/>
          <w:b/>
          <w:bCs/>
          <w:color w:val="auto"/>
          <w:szCs w:val="21"/>
          <w:lang w:val="en-US" w:eastAsia="zh-CN"/>
        </w:rPr>
      </w:pPr>
      <w:r>
        <w:rPr>
          <w:rFonts w:hint="eastAsia" w:ascii="宋体" w:hAnsi="宋体" w:eastAsia="宋体" w:cs="Times New Roman"/>
          <w:b/>
          <w:bCs/>
          <w:color w:val="auto"/>
          <w:szCs w:val="21"/>
          <w:lang w:val="en-US" w:eastAsia="zh-CN"/>
        </w:rPr>
        <w:t>★3.投标人需提供一套处置能力30m³/d（含）以上的渗滤液处理设备（提供的渗滤液处理设备归属权为投标人）。（自有或租赁，若租赁，可先承诺，中标后7个工作日内提供相关证明文件；已承诺，中标后无法提供，视为放弃中标（成交）资格，并承担相关责任）；按采购人要求安置在孙家岙环卫基地，随时进行接纳处理，不得拒接或停止处理。</w:t>
      </w:r>
    </w:p>
    <w:p w14:paraId="45DB7770">
      <w:pPr>
        <w:spacing w:line="360" w:lineRule="auto"/>
        <w:ind w:firstLine="420" w:firstLineChars="200"/>
        <w:outlineLvl w:val="0"/>
        <w:rPr>
          <w:rFonts w:hint="eastAsia" w:ascii="宋体" w:hAnsi="宋体" w:eastAsia="宋体"/>
          <w:b/>
          <w:bCs/>
          <w:color w:val="auto"/>
          <w:sz w:val="24"/>
        </w:rPr>
      </w:pPr>
      <w:r>
        <w:rPr>
          <w:rFonts w:hint="eastAsia" w:ascii="宋体" w:hAnsi="宋体" w:eastAsia="宋体" w:cs="Times New Roman"/>
          <w:color w:val="auto"/>
          <w:szCs w:val="21"/>
          <w:lang w:val="en-US" w:eastAsia="zh-CN"/>
        </w:rPr>
        <w:t>4.投标人需根据采购人要求在处理设备上安装流量计以便采购人每月统计渗滤液处置量。</w:t>
      </w:r>
    </w:p>
    <w:p w14:paraId="5C0A52CF">
      <w:pPr>
        <w:spacing w:line="360" w:lineRule="auto"/>
        <w:outlineLvl w:val="0"/>
        <w:rPr>
          <w:rFonts w:hint="eastAsia" w:ascii="宋体" w:hAnsi="宋体" w:eastAsia="宋体"/>
          <w:b/>
          <w:bCs/>
          <w:color w:val="auto"/>
          <w:sz w:val="24"/>
        </w:rPr>
      </w:pPr>
    </w:p>
    <w:p w14:paraId="4D59D082">
      <w:pPr>
        <w:keepNext w:val="0"/>
        <w:keepLines w:val="0"/>
        <w:pageBreakBefore w:val="0"/>
        <w:widowControl w:val="0"/>
        <w:kinsoku/>
        <w:wordWrap/>
        <w:overflowPunct/>
        <w:topLinePunct w:val="0"/>
        <w:autoSpaceDE/>
        <w:autoSpaceDN/>
        <w:bidi w:val="0"/>
        <w:adjustRightInd/>
        <w:snapToGrid/>
        <w:spacing w:line="336" w:lineRule="auto"/>
        <w:textAlignment w:val="auto"/>
        <w:outlineLvl w:val="0"/>
        <w:rPr>
          <w:rFonts w:hint="eastAsia" w:ascii="宋体" w:hAnsi="宋体" w:eastAsia="宋体"/>
          <w:b/>
          <w:bCs/>
          <w:color w:val="auto"/>
          <w:sz w:val="24"/>
        </w:rPr>
      </w:pPr>
      <w:r>
        <w:rPr>
          <w:rFonts w:hint="eastAsia" w:ascii="宋体" w:hAnsi="宋体" w:eastAsia="宋体"/>
          <w:b/>
          <w:bCs/>
          <w:color w:val="auto"/>
          <w:sz w:val="24"/>
          <w:lang w:val="en-US" w:eastAsia="zh-CN"/>
        </w:rPr>
        <w:t>四</w:t>
      </w:r>
      <w:r>
        <w:rPr>
          <w:rFonts w:hint="eastAsia" w:ascii="宋体" w:hAnsi="宋体" w:eastAsia="宋体"/>
          <w:b/>
          <w:bCs/>
          <w:color w:val="auto"/>
          <w:sz w:val="24"/>
        </w:rPr>
        <w:t>、服务要求</w:t>
      </w:r>
    </w:p>
    <w:bookmarkEnd w:id="2"/>
    <w:p w14:paraId="5254B4B8">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针对本项目，投标人须建立项目组，项目组设项目负责人1名，项目人员若干，负责处置和作业工作。投标人加强安全生产工作，确保全年不出安全责任事故。如发生安全责任事故、工伤事故等，由投标人承担一切责任及损失。投标人必须自觉接受采购人及其它管理部门的管理、监督和检查，如遇突发事故或重大活动的突击任务，须无条件服从采购人的安排。</w:t>
      </w:r>
    </w:p>
    <w:p w14:paraId="326445D3">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2．投标人须配备具备渗滤液处置能力的装置设备，装置设备应采用一体化、模块化、智能化设计，选取先进、可靠、适用的工艺，以节省投资，减少占地面积，降低运行能耗。投标人具备的渗滤液处置装置日处理渗滤液能力须达到30m³（含）以上。中标后，须保证在25天（含）内完成装置的整体设计、采购制造、人员配备、设备安装等，随之调试运行。</w:t>
      </w:r>
    </w:p>
    <w:p w14:paraId="67130EA4">
      <w:pPr>
        <w:pStyle w:val="355"/>
        <w:keepNext w:val="0"/>
        <w:keepLines w:val="0"/>
        <w:pageBreakBefore w:val="0"/>
        <w:widowControl w:val="0"/>
        <w:numPr>
          <w:ilvl w:val="0"/>
          <w:numId w:val="0"/>
        </w:numPr>
        <w:shd w:val="clear" w:color="auto" w:fill="auto"/>
        <w:tabs>
          <w:tab w:val="left" w:pos="799"/>
        </w:tabs>
        <w:kinsoku/>
        <w:wordWrap/>
        <w:overflowPunct/>
        <w:topLinePunct w:val="0"/>
        <w:autoSpaceDE/>
        <w:autoSpaceDN/>
        <w:bidi w:val="0"/>
        <w:adjustRightInd/>
        <w:snapToGrid/>
        <w:spacing w:before="0" w:after="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3.垃圾渗滤液处置须符合《生活垃圾渗沥液处理技术规范》（CJJ150-2010）和《生活垃圾填埋场渗滤液处理工程技术规范》（HJ564-2010）等相关规定和要求。出水符合《污水综合排放标准》（GB8978-1996）三级标准后排放至污水管道，符合生活垃圾填埋场污染控制标准（GB 16889-2008），氨氮和磷酸盐排放执行《工业企业废水氮、磷污染物单间排放限值》（DB33／887-2013）：化学需氧量（mg／l）≤500，生化需氧量(mg/l)≤350,氨氮(mg/l)≤45，总氮(mg/l)≤70,悬浮物(mg/l)≤400，总磷(mg/1)≤8，PH＝6.5-9.5，动植物油(mg/l)≤100。排放水质达到《污水排入城镇下水道水质标准》（GB／T 31962-2015）中的排放标准，若未达到由此产生的后果责任由投标人承担。</w:t>
      </w:r>
    </w:p>
    <w:p w14:paraId="0DC764BA">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210" w:firstLineChars="1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4.根据现场情况，渗滤液处理装置安置地点为孙家岙环卫基地，现场只提供装置安装的基础，如水电接入、渗滤液进出口等。受孙家岙环卫基地地形限制，渗滤液处置装置的整体体积尺寸须控制在长度17米（含）、宽度6米（含）、高度3米（含）以内。</w:t>
      </w:r>
    </w:p>
    <w:p w14:paraId="326462F4">
      <w:pPr>
        <w:pStyle w:val="355"/>
        <w:keepNext w:val="0"/>
        <w:keepLines w:val="0"/>
        <w:pageBreakBefore w:val="0"/>
        <w:widowControl w:val="0"/>
        <w:numPr>
          <w:ilvl w:val="0"/>
          <w:numId w:val="0"/>
        </w:numPr>
        <w:shd w:val="clear" w:color="auto" w:fill="auto"/>
        <w:tabs>
          <w:tab w:val="left" w:pos="799"/>
        </w:tabs>
        <w:kinsoku/>
        <w:wordWrap/>
        <w:overflowPunct/>
        <w:topLinePunct w:val="0"/>
        <w:autoSpaceDE/>
        <w:autoSpaceDN/>
        <w:bidi w:val="0"/>
        <w:adjustRightInd/>
        <w:snapToGrid/>
        <w:spacing w:before="0" w:after="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5.</w:t>
      </w:r>
      <w:r>
        <w:rPr>
          <w:rFonts w:hint="eastAsia" w:ascii="宋体" w:hAnsi="宋体" w:eastAsia="宋体" w:cs="宋体"/>
          <w:color w:val="auto"/>
          <w:spacing w:val="0"/>
          <w:w w:val="100"/>
          <w:position w:val="0"/>
          <w:sz w:val="21"/>
          <w:szCs w:val="21"/>
        </w:rPr>
        <w:t>在整个运营期内</w:t>
      </w:r>
      <w:r>
        <w:rPr>
          <w:rFonts w:hint="eastAsia" w:ascii="宋体" w:hAnsi="宋体" w:eastAsia="宋体" w:cs="宋体"/>
          <w:color w:val="auto"/>
          <w:spacing w:val="0"/>
          <w:w w:val="100"/>
          <w:position w:val="0"/>
          <w:sz w:val="21"/>
          <w:szCs w:val="21"/>
          <w:lang w:eastAsia="zh-CN"/>
        </w:rPr>
        <w:t>投标人</w:t>
      </w:r>
      <w:r>
        <w:rPr>
          <w:rFonts w:hint="eastAsia" w:ascii="宋体" w:hAnsi="宋体" w:eastAsia="宋体" w:cs="宋体"/>
          <w:color w:val="auto"/>
          <w:spacing w:val="0"/>
          <w:w w:val="100"/>
          <w:position w:val="0"/>
          <w:sz w:val="21"/>
          <w:szCs w:val="21"/>
        </w:rPr>
        <w:t>应自行承担费用和风险，始终合理负责本项目的管理、运营维护和修理，使本项目处于良好的运营状态并能够安全、稳定地处理污水使之达到以上出水标准。</w:t>
      </w:r>
    </w:p>
    <w:p w14:paraId="21688866">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6.</w:t>
      </w:r>
      <w:r>
        <w:rPr>
          <w:rFonts w:hint="eastAsia" w:ascii="宋体" w:hAnsi="宋体" w:eastAsia="宋体" w:cs="宋体"/>
          <w:color w:val="auto"/>
          <w:spacing w:val="0"/>
          <w:w w:val="100"/>
          <w:position w:val="0"/>
          <w:sz w:val="21"/>
          <w:szCs w:val="21"/>
        </w:rPr>
        <w:t>污水沉淀或分离出来的废弃物，</w:t>
      </w:r>
      <w:r>
        <w:rPr>
          <w:rFonts w:hint="eastAsia" w:ascii="宋体" w:hAnsi="宋体" w:eastAsia="宋体" w:cs="宋体"/>
          <w:color w:val="auto"/>
          <w:spacing w:val="0"/>
          <w:w w:val="100"/>
          <w:position w:val="0"/>
          <w:sz w:val="21"/>
          <w:szCs w:val="21"/>
          <w:lang w:eastAsia="zh-CN"/>
        </w:rPr>
        <w:t>投标人</w:t>
      </w:r>
      <w:r>
        <w:rPr>
          <w:rFonts w:hint="eastAsia" w:ascii="宋体" w:hAnsi="宋体" w:eastAsia="宋体" w:cs="宋体"/>
          <w:color w:val="auto"/>
          <w:spacing w:val="0"/>
          <w:w w:val="100"/>
          <w:position w:val="0"/>
          <w:sz w:val="21"/>
          <w:szCs w:val="21"/>
        </w:rPr>
        <w:t>应负责运载至</w:t>
      </w:r>
      <w:r>
        <w:rPr>
          <w:rFonts w:hint="eastAsia" w:ascii="宋体" w:hAnsi="宋体" w:eastAsia="宋体" w:cs="宋体"/>
          <w:color w:val="auto"/>
          <w:spacing w:val="0"/>
          <w:w w:val="100"/>
          <w:position w:val="0"/>
          <w:sz w:val="21"/>
          <w:szCs w:val="21"/>
          <w:lang w:eastAsia="zh-CN"/>
        </w:rPr>
        <w:t>有资质的处置单位</w:t>
      </w:r>
      <w:r>
        <w:rPr>
          <w:rFonts w:hint="eastAsia" w:ascii="宋体" w:hAnsi="宋体" w:eastAsia="宋体" w:cs="宋体"/>
          <w:color w:val="auto"/>
          <w:spacing w:val="0"/>
          <w:w w:val="100"/>
          <w:position w:val="0"/>
          <w:sz w:val="21"/>
          <w:szCs w:val="21"/>
        </w:rPr>
        <w:t>，相应费用由</w:t>
      </w:r>
      <w:r>
        <w:rPr>
          <w:rFonts w:hint="eastAsia" w:ascii="宋体" w:hAnsi="宋体" w:eastAsia="宋体" w:cs="宋体"/>
          <w:color w:val="auto"/>
          <w:spacing w:val="0"/>
          <w:w w:val="100"/>
          <w:position w:val="0"/>
          <w:sz w:val="21"/>
          <w:szCs w:val="21"/>
          <w:lang w:eastAsia="zh-CN"/>
        </w:rPr>
        <w:t>投标人</w:t>
      </w:r>
      <w:r>
        <w:rPr>
          <w:rFonts w:hint="eastAsia" w:ascii="宋体" w:hAnsi="宋体" w:eastAsia="宋体" w:cs="宋体"/>
          <w:color w:val="auto"/>
          <w:spacing w:val="0"/>
          <w:w w:val="100"/>
          <w:position w:val="0"/>
          <w:sz w:val="21"/>
          <w:szCs w:val="21"/>
        </w:rPr>
        <w:t>承担。对本项目运营过程中所产生的其他废弃物，必须按国家及地方政府有关规定进行处理、排放，不得造成污染及危害公共安全。</w:t>
      </w:r>
    </w:p>
    <w:p w14:paraId="6D81F06A">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7.采购人在委托检测单位定期对处置后的渗滤液进行检验的同时，有权根据需要随时对渗滤液装置的出水水质进行抽检，保证装置全程出水达标。</w:t>
      </w:r>
    </w:p>
    <w:p w14:paraId="111D8569">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lang w:val="en-US" w:eastAsia="zh-CN"/>
        </w:rPr>
        <w:t>8.</w:t>
      </w:r>
      <w:r>
        <w:rPr>
          <w:rFonts w:hint="eastAsia" w:ascii="宋体" w:hAnsi="宋体" w:eastAsia="宋体" w:cs="宋体"/>
          <w:color w:val="auto"/>
          <w:spacing w:val="0"/>
          <w:w w:val="100"/>
          <w:position w:val="0"/>
          <w:sz w:val="21"/>
          <w:szCs w:val="21"/>
          <w:lang w:eastAsia="zh-CN"/>
        </w:rPr>
        <w:t>投标人</w:t>
      </w:r>
      <w:r>
        <w:rPr>
          <w:rFonts w:hint="eastAsia" w:ascii="宋体" w:hAnsi="宋体" w:eastAsia="宋体" w:cs="宋体"/>
          <w:color w:val="auto"/>
          <w:spacing w:val="0"/>
          <w:w w:val="100"/>
          <w:position w:val="0"/>
          <w:sz w:val="21"/>
          <w:szCs w:val="21"/>
        </w:rPr>
        <w:t>应使本项目区域保持在良好、干净、整齐及清洁的状况，包括渗滤液处理区域内整体环境保洁，实施必须的修理、购买及保存本项目必需的替换设备或零件，并保存适当库存量的零件与设备，清除和处理维修所产生的废料。</w:t>
      </w:r>
    </w:p>
    <w:p w14:paraId="7102FA5E">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9.渗滤液处理运营所需的药剂使用、膜等易耗品更换所需费用由投标人自行承担；渗滤液处理过程中使用的主要消耗件、消耗品必须及时更换，更换产生的费用由投标人自行承担。不可为降低运营成本而延迟或拒绝更换主要消耗件、易耗品与配件，如因以上原因导致渗滤液处理效率与渗滤液处理质量降低，采购人在责成投标人更换有关配件后15天内未完成的，则采购人可委托第三方实施更换，费用由投标人承担。</w:t>
      </w:r>
    </w:p>
    <w:p w14:paraId="3B182D5A">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10.投标人须有一系列的管理制度，如渗滤液处理工艺流程图、污水处理安全操作规程、渗滤液处理管理规定、渗滤液处理装置负责人职责、渗滤液处理装置操作人员职责等，保证系统运行职责分明、规范操作、安全有序。中标后，各项管理制度应上墙公示，在运营期间，必须严格遵守相关的规章制度，确保运营正常。</w:t>
      </w:r>
    </w:p>
    <w:p w14:paraId="1942A9F7">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11.服务运营过程中，装置各处置交接节点、整体流程都应有纸质或电子记录,保证系统运行有据可查。</w:t>
      </w:r>
    </w:p>
    <w:p w14:paraId="2BCFBB40">
      <w:pPr>
        <w:pStyle w:val="355"/>
        <w:keepNext w:val="0"/>
        <w:keepLines w:val="0"/>
        <w:pageBreakBefore w:val="0"/>
        <w:widowControl w:val="0"/>
        <w:numPr>
          <w:ilvl w:val="0"/>
          <w:numId w:val="0"/>
        </w:numPr>
        <w:shd w:val="clear" w:color="auto" w:fill="auto"/>
        <w:tabs>
          <w:tab w:val="left" w:pos="799"/>
        </w:tabs>
        <w:kinsoku/>
        <w:wordWrap/>
        <w:overflowPunct/>
        <w:topLinePunct w:val="0"/>
        <w:autoSpaceDE/>
        <w:autoSpaceDN/>
        <w:bidi w:val="0"/>
        <w:adjustRightInd/>
        <w:snapToGrid/>
        <w:spacing w:before="0" w:after="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12.作业人员应减少对作业区域及周边居民正常工作、生活的影响。投标人必须负责协调或处理由于渗滤液所带来的与周边单位（或居民）的各种问题的协调工作。</w:t>
      </w:r>
    </w:p>
    <w:p w14:paraId="7B9D6F5A">
      <w:pPr>
        <w:pStyle w:val="355"/>
        <w:keepNext w:val="0"/>
        <w:keepLines w:val="0"/>
        <w:pageBreakBefore w:val="0"/>
        <w:widowControl w:val="0"/>
        <w:numPr>
          <w:ilvl w:val="0"/>
          <w:numId w:val="0"/>
        </w:numPr>
        <w:shd w:val="clear" w:color="auto" w:fill="auto"/>
        <w:tabs>
          <w:tab w:val="left" w:pos="799"/>
        </w:tabs>
        <w:kinsoku/>
        <w:wordWrap/>
        <w:overflowPunct/>
        <w:topLinePunct w:val="0"/>
        <w:autoSpaceDE/>
        <w:autoSpaceDN/>
        <w:bidi w:val="0"/>
        <w:adjustRightInd/>
        <w:snapToGrid/>
        <w:spacing w:before="0" w:after="0" w:line="336" w:lineRule="auto"/>
        <w:ind w:right="0" w:rightChars="0" w:firstLine="420" w:firstLineChars="200"/>
        <w:jc w:val="both"/>
        <w:textAlignment w:val="auto"/>
        <w:rPr>
          <w:rFonts w:hint="default"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13.在服务运营期间，投标人必须安排足够的工作人员，并建立相应的排班制度，保持通讯渠道畅通，设立专门应急队伍，负责运营期间突发事件的处理，确保及时到位。</w:t>
      </w:r>
    </w:p>
    <w:p w14:paraId="34BE0376">
      <w:pPr>
        <w:pStyle w:val="355"/>
        <w:keepNext w:val="0"/>
        <w:keepLines w:val="0"/>
        <w:pageBreakBefore w:val="0"/>
        <w:widowControl w:val="0"/>
        <w:numPr>
          <w:ilvl w:val="0"/>
          <w:numId w:val="0"/>
        </w:numPr>
        <w:shd w:val="clear" w:color="auto" w:fill="auto"/>
        <w:tabs>
          <w:tab w:val="left" w:pos="823"/>
        </w:tabs>
        <w:kinsoku/>
        <w:wordWrap/>
        <w:overflowPunct/>
        <w:topLinePunct w:val="0"/>
        <w:autoSpaceDE/>
        <w:autoSpaceDN/>
        <w:bidi w:val="0"/>
        <w:adjustRightInd/>
        <w:snapToGrid/>
        <w:spacing w:before="0" w:after="0" w:line="336" w:lineRule="auto"/>
        <w:ind w:right="0" w:rightChars="0" w:firstLine="420" w:firstLineChars="200"/>
        <w:jc w:val="left"/>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14.投标人应加强安全管理，制定安全责任制度，在运营期内所发生所有的安全事故由投标人承担。投标人在运营服务期内造成人员伤亡和财产损失的，由投标人负责赔偿。</w:t>
      </w:r>
    </w:p>
    <w:p w14:paraId="0651A0C4">
      <w:pPr>
        <w:pStyle w:val="355"/>
        <w:keepNext w:val="0"/>
        <w:keepLines w:val="0"/>
        <w:pageBreakBefore w:val="0"/>
        <w:widowControl w:val="0"/>
        <w:numPr>
          <w:ilvl w:val="0"/>
          <w:numId w:val="0"/>
        </w:numPr>
        <w:shd w:val="clear" w:color="auto" w:fill="auto"/>
        <w:tabs>
          <w:tab w:val="left" w:pos="823"/>
        </w:tabs>
        <w:kinsoku/>
        <w:wordWrap/>
        <w:overflowPunct/>
        <w:topLinePunct w:val="0"/>
        <w:autoSpaceDE/>
        <w:autoSpaceDN/>
        <w:bidi w:val="0"/>
        <w:adjustRightInd/>
        <w:snapToGrid/>
        <w:spacing w:before="0" w:after="0" w:line="336" w:lineRule="auto"/>
        <w:ind w:right="0" w:rightChars="0" w:firstLine="420" w:firstLineChars="200"/>
        <w:jc w:val="left"/>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15.因违反操作规程或其他人为原因造成生产事故，导致生产设备损坏及影响渗滤液正常处理而导致经济损失，将追究相关责任单位与责任人的有关责任。</w:t>
      </w:r>
    </w:p>
    <w:p w14:paraId="10A7B700">
      <w:pPr>
        <w:pStyle w:val="355"/>
        <w:keepNext w:val="0"/>
        <w:keepLines w:val="0"/>
        <w:pageBreakBefore w:val="0"/>
        <w:widowControl w:val="0"/>
        <w:numPr>
          <w:ilvl w:val="0"/>
          <w:numId w:val="0"/>
        </w:numPr>
        <w:shd w:val="clear" w:color="auto" w:fill="auto"/>
        <w:tabs>
          <w:tab w:val="left" w:pos="823"/>
        </w:tabs>
        <w:kinsoku/>
        <w:wordWrap/>
        <w:overflowPunct/>
        <w:topLinePunct w:val="0"/>
        <w:autoSpaceDE/>
        <w:autoSpaceDN/>
        <w:bidi w:val="0"/>
        <w:adjustRightInd/>
        <w:snapToGrid/>
        <w:spacing w:before="0" w:after="0" w:line="336" w:lineRule="auto"/>
        <w:ind w:right="0" w:rightChars="0" w:firstLine="420" w:firstLineChars="20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lang w:val="en-US" w:eastAsia="zh-CN"/>
        </w:rPr>
        <w:t>16.</w:t>
      </w:r>
      <w:r>
        <w:rPr>
          <w:rFonts w:hint="eastAsia" w:ascii="宋体" w:hAnsi="宋体" w:eastAsia="宋体" w:cs="宋体"/>
          <w:color w:val="auto"/>
          <w:spacing w:val="0"/>
          <w:w w:val="100"/>
          <w:position w:val="0"/>
          <w:sz w:val="21"/>
          <w:szCs w:val="21"/>
        </w:rPr>
        <w:t>服务</w:t>
      </w:r>
      <w:r>
        <w:rPr>
          <w:rFonts w:hint="eastAsia" w:ascii="宋体" w:hAnsi="宋体" w:eastAsia="宋体" w:cs="宋体"/>
          <w:color w:val="auto"/>
          <w:spacing w:val="0"/>
          <w:w w:val="100"/>
          <w:position w:val="0"/>
          <w:sz w:val="21"/>
          <w:szCs w:val="21"/>
          <w:lang w:val="en-US" w:eastAsia="zh-CN"/>
        </w:rPr>
        <w:t>运营</w:t>
      </w:r>
      <w:r>
        <w:rPr>
          <w:rFonts w:hint="eastAsia" w:ascii="宋体" w:hAnsi="宋体" w:eastAsia="宋体" w:cs="宋体"/>
          <w:color w:val="auto"/>
          <w:spacing w:val="0"/>
          <w:w w:val="100"/>
          <w:position w:val="0"/>
          <w:sz w:val="21"/>
          <w:szCs w:val="21"/>
        </w:rPr>
        <w:t>期内，未经采购</w:t>
      </w:r>
      <w:r>
        <w:rPr>
          <w:rFonts w:hint="eastAsia" w:ascii="宋体" w:hAnsi="宋体" w:eastAsia="宋体" w:cs="宋体"/>
          <w:color w:val="auto"/>
          <w:spacing w:val="0"/>
          <w:w w:val="100"/>
          <w:position w:val="0"/>
          <w:sz w:val="21"/>
          <w:szCs w:val="21"/>
          <w:lang w:eastAsia="zh-CN"/>
        </w:rPr>
        <w:t>人</w:t>
      </w:r>
      <w:r>
        <w:rPr>
          <w:rFonts w:hint="eastAsia" w:ascii="宋体" w:hAnsi="宋体" w:eastAsia="宋体" w:cs="宋体"/>
          <w:color w:val="auto"/>
          <w:spacing w:val="0"/>
          <w:w w:val="100"/>
          <w:position w:val="0"/>
          <w:sz w:val="21"/>
          <w:szCs w:val="21"/>
        </w:rPr>
        <w:t>同意，</w:t>
      </w:r>
      <w:r>
        <w:rPr>
          <w:rFonts w:hint="eastAsia" w:ascii="宋体" w:hAnsi="宋体" w:eastAsia="宋体" w:cs="宋体"/>
          <w:color w:val="auto"/>
          <w:spacing w:val="0"/>
          <w:w w:val="100"/>
          <w:position w:val="0"/>
          <w:sz w:val="21"/>
          <w:szCs w:val="21"/>
          <w:lang w:eastAsia="zh-CN"/>
        </w:rPr>
        <w:t>投标人</w:t>
      </w:r>
      <w:r>
        <w:rPr>
          <w:rFonts w:hint="eastAsia" w:ascii="宋体" w:hAnsi="宋体" w:eastAsia="宋体" w:cs="宋体"/>
          <w:color w:val="auto"/>
          <w:spacing w:val="0"/>
          <w:w w:val="100"/>
          <w:position w:val="0"/>
          <w:sz w:val="21"/>
          <w:szCs w:val="21"/>
        </w:rPr>
        <w:t>不得将该服务项目转包给其他承包人。</w:t>
      </w:r>
    </w:p>
    <w:p w14:paraId="20C4CDE8">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bookmarkStart w:id="5" w:name="bookmark85"/>
      <w:bookmarkEnd w:id="5"/>
      <w:r>
        <w:rPr>
          <w:rFonts w:hint="eastAsia" w:ascii="宋体" w:hAnsi="宋体" w:eastAsia="宋体" w:cs="宋体"/>
          <w:color w:val="auto"/>
          <w:spacing w:val="0"/>
          <w:w w:val="100"/>
          <w:position w:val="0"/>
          <w:sz w:val="21"/>
          <w:szCs w:val="21"/>
          <w:lang w:val="en-US" w:eastAsia="zh-CN"/>
        </w:rPr>
        <w:t>17.</w:t>
      </w:r>
      <w:r>
        <w:rPr>
          <w:rFonts w:hint="eastAsia" w:ascii="宋体" w:hAnsi="宋体" w:eastAsia="宋体" w:cs="宋体"/>
          <w:color w:val="auto"/>
          <w:spacing w:val="0"/>
          <w:w w:val="100"/>
          <w:position w:val="0"/>
          <w:sz w:val="21"/>
          <w:szCs w:val="21"/>
        </w:rPr>
        <w:t>服务</w:t>
      </w:r>
      <w:r>
        <w:rPr>
          <w:rFonts w:hint="eastAsia" w:ascii="宋体" w:hAnsi="宋体" w:eastAsia="宋体" w:cs="宋体"/>
          <w:color w:val="auto"/>
          <w:spacing w:val="0"/>
          <w:w w:val="100"/>
          <w:position w:val="0"/>
          <w:sz w:val="21"/>
          <w:szCs w:val="21"/>
          <w:lang w:val="en-US" w:eastAsia="zh-CN"/>
        </w:rPr>
        <w:t>运营</w:t>
      </w:r>
      <w:r>
        <w:rPr>
          <w:rFonts w:hint="eastAsia" w:ascii="宋体" w:hAnsi="宋体" w:eastAsia="宋体" w:cs="宋体"/>
          <w:color w:val="auto"/>
          <w:spacing w:val="0"/>
          <w:w w:val="100"/>
          <w:position w:val="0"/>
          <w:sz w:val="21"/>
          <w:szCs w:val="21"/>
        </w:rPr>
        <w:t>期满，</w:t>
      </w:r>
      <w:r>
        <w:rPr>
          <w:rFonts w:hint="eastAsia" w:ascii="宋体" w:hAnsi="宋体" w:eastAsia="宋体" w:cs="宋体"/>
          <w:color w:val="auto"/>
          <w:spacing w:val="0"/>
          <w:w w:val="100"/>
          <w:position w:val="0"/>
          <w:sz w:val="21"/>
          <w:szCs w:val="21"/>
          <w:lang w:eastAsia="zh-CN"/>
        </w:rPr>
        <w:t>投标人</w:t>
      </w:r>
      <w:r>
        <w:rPr>
          <w:rFonts w:hint="eastAsia" w:ascii="宋体" w:hAnsi="宋体" w:eastAsia="宋体" w:cs="宋体"/>
          <w:color w:val="auto"/>
          <w:spacing w:val="0"/>
          <w:w w:val="100"/>
          <w:position w:val="0"/>
          <w:sz w:val="21"/>
          <w:szCs w:val="21"/>
        </w:rPr>
        <w:t>未能继续获取运营资格时，</w:t>
      </w:r>
      <w:r>
        <w:rPr>
          <w:rFonts w:hint="eastAsia" w:ascii="宋体" w:hAnsi="宋体" w:eastAsia="宋体" w:cs="宋体"/>
          <w:color w:val="auto"/>
          <w:spacing w:val="0"/>
          <w:w w:val="100"/>
          <w:position w:val="0"/>
          <w:sz w:val="21"/>
          <w:szCs w:val="21"/>
          <w:lang w:eastAsia="zh-CN"/>
        </w:rPr>
        <w:t>投标人</w:t>
      </w:r>
      <w:r>
        <w:rPr>
          <w:rFonts w:hint="eastAsia" w:ascii="宋体" w:hAnsi="宋体" w:eastAsia="宋体" w:cs="宋体"/>
          <w:color w:val="auto"/>
          <w:spacing w:val="0"/>
          <w:w w:val="100"/>
          <w:position w:val="0"/>
          <w:sz w:val="21"/>
          <w:szCs w:val="21"/>
        </w:rPr>
        <w:t>要积极配合与下一运营单位交接。不得以</w:t>
      </w:r>
      <w:r>
        <w:rPr>
          <w:rFonts w:hint="eastAsia" w:ascii="宋体" w:hAnsi="宋体" w:eastAsia="宋体" w:cs="宋体"/>
          <w:color w:val="auto"/>
          <w:spacing w:val="0"/>
          <w:w w:val="100"/>
          <w:position w:val="0"/>
          <w:sz w:val="21"/>
          <w:szCs w:val="21"/>
          <w:lang w:val="en-US" w:eastAsia="zh-CN"/>
        </w:rPr>
        <w:t>任何方式阻碍交接，影响釆购单位正常工作。</w:t>
      </w:r>
      <w:bookmarkStart w:id="6" w:name="bookmark86"/>
      <w:bookmarkEnd w:id="6"/>
    </w:p>
    <w:p w14:paraId="0ACFBE74">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18.在投标人运营期间，渗滤液处理设备必须随时接受采购人检查、考核等。</w:t>
      </w:r>
    </w:p>
    <w:p w14:paraId="1667BFF8">
      <w:pPr>
        <w:pStyle w:val="27"/>
        <w:ind w:firstLine="210"/>
        <w:rPr>
          <w:color w:val="auto"/>
        </w:rPr>
      </w:pPr>
      <w:bookmarkStart w:id="7" w:name="bookmark90"/>
      <w:bookmarkEnd w:id="7"/>
    </w:p>
    <w:p w14:paraId="31A9791F">
      <w:pPr>
        <w:pStyle w:val="52"/>
        <w:rPr>
          <w:color w:val="auto"/>
        </w:rPr>
      </w:pPr>
    </w:p>
    <w:p w14:paraId="1A794D14">
      <w:pPr>
        <w:pStyle w:val="26"/>
        <w:rPr>
          <w:color w:val="auto"/>
        </w:rPr>
      </w:pPr>
      <w:r>
        <w:rPr>
          <w:rFonts w:hint="eastAsia"/>
          <w:b/>
          <w:color w:val="auto"/>
          <w:sz w:val="24"/>
          <w:lang w:val="en-US" w:eastAsia="zh-CN"/>
        </w:rPr>
        <w:t>五</w:t>
      </w:r>
      <w:r>
        <w:rPr>
          <w:rFonts w:hint="eastAsia"/>
          <w:b/>
          <w:color w:val="auto"/>
          <w:sz w:val="24"/>
        </w:rPr>
        <w:t>、服务期限</w:t>
      </w:r>
    </w:p>
    <w:p w14:paraId="005B7224">
      <w:pPr>
        <w:pStyle w:val="26"/>
        <w:spacing w:line="360" w:lineRule="auto"/>
        <w:ind w:firstLine="420" w:firstLineChars="200"/>
        <w:rPr>
          <w:rFonts w:hint="eastAsia" w:ascii="宋体" w:hAnsi="宋体"/>
          <w:color w:val="auto"/>
          <w:szCs w:val="21"/>
        </w:rPr>
      </w:pPr>
      <w:r>
        <w:rPr>
          <w:rFonts w:hint="eastAsia" w:ascii="宋体" w:hAnsi="宋体"/>
          <w:color w:val="auto"/>
          <w:szCs w:val="21"/>
        </w:rPr>
        <w:t>合同签订之日起</w:t>
      </w:r>
      <w:r>
        <w:rPr>
          <w:rFonts w:hint="eastAsia" w:ascii="宋体" w:hAnsi="宋体"/>
          <w:color w:val="auto"/>
          <w:szCs w:val="21"/>
          <w:lang w:val="en-US" w:eastAsia="zh-CN"/>
        </w:rPr>
        <w:t>1</w:t>
      </w:r>
      <w:r>
        <w:rPr>
          <w:rFonts w:hint="eastAsia" w:ascii="宋体" w:hAnsi="宋体"/>
          <w:color w:val="auto"/>
          <w:szCs w:val="21"/>
        </w:rPr>
        <w:t>年</w:t>
      </w:r>
      <w:r>
        <w:rPr>
          <w:rFonts w:hint="eastAsia" w:ascii="宋体" w:hAnsi="宋体"/>
          <w:color w:val="auto"/>
          <w:szCs w:val="21"/>
          <w:lang w:eastAsia="zh-CN"/>
        </w:rPr>
        <w:t>，若合同到期，服务质量好，在政策、条件允许的情况下，可以续签，续签时间一年，最多续签二次。续签期间按原合同履行。如在服务期内如遇特殊情况（如政策调整等不可抗力因素），采购人有权提前终止合同，且无须就提前终止合同向投标人承担任何赔偿责任。</w:t>
      </w:r>
      <w:r>
        <w:rPr>
          <w:rFonts w:hint="eastAsia" w:ascii="宋体" w:hAnsi="宋体" w:cs="宋体"/>
          <w:color w:val="auto"/>
          <w:sz w:val="22"/>
          <w:szCs w:val="28"/>
        </w:rPr>
        <w:t xml:space="preserve"> </w:t>
      </w:r>
    </w:p>
    <w:p w14:paraId="2AE1B354">
      <w:pPr>
        <w:pStyle w:val="26"/>
        <w:rPr>
          <w:color w:val="auto"/>
        </w:rPr>
      </w:pPr>
    </w:p>
    <w:p w14:paraId="297C3402">
      <w:pPr>
        <w:spacing w:line="360" w:lineRule="auto"/>
        <w:outlineLvl w:val="0"/>
        <w:rPr>
          <w:rFonts w:hint="eastAsia" w:eastAsia="宋体"/>
          <w:b/>
          <w:color w:val="auto"/>
          <w:sz w:val="24"/>
        </w:rPr>
      </w:pPr>
      <w:r>
        <w:rPr>
          <w:rFonts w:hint="eastAsia" w:eastAsia="宋体"/>
          <w:b/>
          <w:color w:val="auto"/>
          <w:sz w:val="24"/>
          <w:lang w:val="en-US" w:eastAsia="zh-CN"/>
        </w:rPr>
        <w:t>六</w:t>
      </w:r>
      <w:r>
        <w:rPr>
          <w:rFonts w:hint="eastAsia" w:eastAsia="宋体"/>
          <w:b/>
          <w:color w:val="auto"/>
          <w:sz w:val="24"/>
        </w:rPr>
        <w:t>、付款方式</w:t>
      </w:r>
    </w:p>
    <w:p w14:paraId="1462F26A">
      <w:pPr>
        <w:pStyle w:val="84"/>
        <w:ind w:firstLine="420"/>
        <w:rPr>
          <w:rFonts w:hint="eastAsia" w:ascii="宋体" w:hAnsi="宋体" w:eastAsia="宋体" w:cstheme="minorBidi"/>
          <w:color w:val="auto"/>
          <w:kern w:val="2"/>
          <w:sz w:val="21"/>
          <w:szCs w:val="21"/>
          <w:lang w:val="en-US" w:eastAsia="zh-CN" w:bidi="ar-SA"/>
        </w:rPr>
      </w:pPr>
      <w:bookmarkStart w:id="8" w:name="_Hlk172297436"/>
      <w:r>
        <w:rPr>
          <w:rFonts w:hint="eastAsia" w:ascii="宋体" w:hAnsi="宋体" w:eastAsia="宋体" w:cstheme="minorBidi"/>
          <w:color w:val="auto"/>
          <w:kern w:val="2"/>
          <w:sz w:val="21"/>
          <w:szCs w:val="21"/>
          <w:lang w:val="en-US" w:eastAsia="zh-CN" w:bidi="ar-SA"/>
        </w:rPr>
        <w:t>1.合同生效后，费用按季支付，季度承包款按照</w:t>
      </w:r>
      <w:r>
        <w:rPr>
          <w:rFonts w:hint="eastAsia" w:eastAsia="宋体" w:cstheme="minorBidi"/>
          <w:color w:val="auto"/>
          <w:kern w:val="2"/>
          <w:sz w:val="21"/>
          <w:szCs w:val="21"/>
          <w:lang w:val="en-US" w:eastAsia="zh-CN" w:bidi="ar-SA"/>
        </w:rPr>
        <w:t>30m³/d</w:t>
      </w:r>
      <w:r>
        <w:rPr>
          <w:rFonts w:hint="eastAsia" w:ascii="宋体" w:hAnsi="宋体" w:eastAsia="宋体" w:cstheme="minorBidi"/>
          <w:color w:val="auto"/>
          <w:kern w:val="2"/>
          <w:sz w:val="21"/>
          <w:szCs w:val="21"/>
          <w:lang w:val="en-US" w:eastAsia="zh-CN" w:bidi="ar-SA"/>
        </w:rPr>
        <w:t>的处置量×中标价×天数计算，每季度的第一个月内，由采购人在收到中标人正式发票后15天内向中标人办理运营处理费价款的支付手续；第四季度费用根据当年度实际处置量对承包费用进行结算后结清。</w:t>
      </w:r>
    </w:p>
    <w:p w14:paraId="1EE89EE3">
      <w:pPr>
        <w:spacing w:line="312" w:lineRule="auto"/>
        <w:ind w:firstLine="420" w:firstLineChars="200"/>
        <w:outlineLvl w:val="0"/>
        <w:rPr>
          <w:rFonts w:hint="eastAsia" w:ascii="宋体" w:hAnsi="宋体" w:eastAsia="宋体"/>
          <w:color w:val="auto"/>
          <w:szCs w:val="21"/>
        </w:rPr>
      </w:pPr>
      <w:bookmarkStart w:id="9" w:name="bookmark26"/>
      <w:bookmarkEnd w:id="9"/>
      <w:r>
        <w:rPr>
          <w:rFonts w:hint="eastAsia" w:ascii="宋体" w:hAnsi="宋体" w:eastAsia="宋体"/>
          <w:color w:val="auto"/>
          <w:szCs w:val="21"/>
          <w:lang w:val="en-US" w:eastAsia="zh-CN"/>
        </w:rPr>
        <w:t>2.</w:t>
      </w:r>
      <w:r>
        <w:rPr>
          <w:rFonts w:hint="eastAsia" w:ascii="宋体" w:hAnsi="宋体" w:eastAsia="宋体"/>
          <w:color w:val="auto"/>
          <w:szCs w:val="21"/>
        </w:rPr>
        <w:t>在运营期间，采购</w:t>
      </w:r>
      <w:r>
        <w:rPr>
          <w:rFonts w:hint="eastAsia" w:ascii="宋体" w:hAnsi="宋体" w:eastAsia="宋体"/>
          <w:color w:val="auto"/>
          <w:szCs w:val="21"/>
          <w:lang w:eastAsia="zh-CN"/>
        </w:rPr>
        <w:t>人</w:t>
      </w:r>
      <w:r>
        <w:rPr>
          <w:rFonts w:hint="eastAsia" w:ascii="宋体" w:hAnsi="宋体" w:eastAsia="宋体"/>
          <w:color w:val="auto"/>
          <w:szCs w:val="21"/>
        </w:rPr>
        <w:t>将对中标</w:t>
      </w:r>
      <w:r>
        <w:rPr>
          <w:rFonts w:hint="eastAsia" w:ascii="宋体" w:hAnsi="宋体" w:eastAsia="宋体"/>
          <w:color w:val="auto"/>
          <w:szCs w:val="21"/>
          <w:lang w:eastAsia="zh-CN"/>
        </w:rPr>
        <w:t>人</w:t>
      </w:r>
      <w:r>
        <w:rPr>
          <w:rFonts w:hint="eastAsia" w:ascii="宋体" w:hAnsi="宋体" w:eastAsia="宋体"/>
          <w:color w:val="auto"/>
          <w:szCs w:val="21"/>
        </w:rPr>
        <w:t>进行定期不定期进行日常检查。若采购</w:t>
      </w:r>
      <w:r>
        <w:rPr>
          <w:rFonts w:hint="eastAsia" w:ascii="宋体" w:hAnsi="宋体" w:eastAsia="宋体"/>
          <w:color w:val="auto"/>
          <w:szCs w:val="21"/>
          <w:lang w:eastAsia="zh-CN"/>
        </w:rPr>
        <w:t>人</w:t>
      </w:r>
      <w:r>
        <w:rPr>
          <w:rFonts w:hint="eastAsia" w:ascii="宋体" w:hAnsi="宋体" w:eastAsia="宋体"/>
          <w:color w:val="auto"/>
          <w:szCs w:val="21"/>
        </w:rPr>
        <w:t>抽查时出现污水处理排放及脱水后污泥处理不符合标准要求的，采购</w:t>
      </w:r>
      <w:r>
        <w:rPr>
          <w:rFonts w:hint="eastAsia" w:ascii="宋体" w:hAnsi="宋体" w:eastAsia="宋体"/>
          <w:color w:val="auto"/>
          <w:szCs w:val="21"/>
          <w:lang w:eastAsia="zh-CN"/>
        </w:rPr>
        <w:t>人</w:t>
      </w:r>
      <w:r>
        <w:rPr>
          <w:rFonts w:hint="eastAsia" w:ascii="宋体" w:hAnsi="宋体" w:eastAsia="宋体"/>
          <w:color w:val="auto"/>
          <w:szCs w:val="21"/>
        </w:rPr>
        <w:t>有权</w:t>
      </w:r>
      <w:r>
        <w:rPr>
          <w:rFonts w:hint="eastAsia" w:ascii="宋体" w:hAnsi="宋体" w:eastAsia="宋体"/>
          <w:color w:val="auto"/>
          <w:szCs w:val="21"/>
          <w:lang w:eastAsia="zh-CN"/>
        </w:rPr>
        <w:t>根据考核结果扣除承包费用（考核表详见附件一）</w:t>
      </w:r>
      <w:r>
        <w:rPr>
          <w:rFonts w:hint="eastAsia" w:ascii="宋体" w:hAnsi="宋体" w:eastAsia="宋体"/>
          <w:color w:val="auto"/>
          <w:szCs w:val="21"/>
        </w:rPr>
        <w:t>，中标</w:t>
      </w:r>
      <w:r>
        <w:rPr>
          <w:rFonts w:hint="eastAsia" w:ascii="宋体" w:hAnsi="宋体" w:eastAsia="宋体"/>
          <w:color w:val="auto"/>
          <w:szCs w:val="21"/>
          <w:lang w:eastAsia="zh-CN"/>
        </w:rPr>
        <w:t>人</w:t>
      </w:r>
      <w:r>
        <w:rPr>
          <w:rFonts w:hint="eastAsia" w:ascii="宋体" w:hAnsi="宋体" w:eastAsia="宋体"/>
          <w:color w:val="auto"/>
          <w:szCs w:val="21"/>
        </w:rPr>
        <w:t>需进行整改并提交相关方案，若同一季度出现三次上述情况，釆购</w:t>
      </w:r>
      <w:r>
        <w:rPr>
          <w:rFonts w:hint="eastAsia" w:ascii="宋体" w:hAnsi="宋体" w:eastAsia="宋体"/>
          <w:color w:val="auto"/>
          <w:szCs w:val="21"/>
          <w:lang w:eastAsia="zh-CN"/>
        </w:rPr>
        <w:t>人</w:t>
      </w:r>
      <w:r>
        <w:rPr>
          <w:rFonts w:hint="eastAsia" w:ascii="宋体" w:hAnsi="宋体" w:eastAsia="宋体"/>
          <w:color w:val="auto"/>
          <w:szCs w:val="21"/>
        </w:rPr>
        <w:t>有权无条件终止</w:t>
      </w:r>
      <w:r>
        <w:rPr>
          <w:rFonts w:hint="eastAsia" w:ascii="宋体" w:hAnsi="宋体" w:eastAsia="宋体"/>
          <w:color w:val="auto"/>
          <w:szCs w:val="21"/>
          <w:lang w:eastAsia="zh-CN"/>
        </w:rPr>
        <w:t>投标人</w:t>
      </w:r>
      <w:r>
        <w:rPr>
          <w:rFonts w:hint="eastAsia" w:ascii="宋体" w:hAnsi="宋体" w:eastAsia="宋体"/>
          <w:color w:val="auto"/>
          <w:szCs w:val="21"/>
        </w:rPr>
        <w:t>合同，履约保证金不予退还。</w:t>
      </w:r>
    </w:p>
    <w:p w14:paraId="268841A1">
      <w:pPr>
        <w:spacing w:line="312" w:lineRule="auto"/>
        <w:ind w:firstLine="420" w:firstLineChars="200"/>
        <w:outlineLvl w:val="0"/>
        <w:rPr>
          <w:rFonts w:ascii="Times New Roman" w:hAnsi="Times New Roman" w:eastAsia="宋体" w:cs="Times New Roman"/>
          <w:b/>
          <w:color w:val="auto"/>
          <w:sz w:val="24"/>
        </w:rPr>
      </w:pPr>
      <w:bookmarkStart w:id="10" w:name="bookmark27"/>
      <w:bookmarkEnd w:id="10"/>
      <w:r>
        <w:rPr>
          <w:rFonts w:hint="eastAsia" w:ascii="宋体" w:hAnsi="宋体" w:eastAsia="宋体"/>
          <w:color w:val="auto"/>
          <w:szCs w:val="21"/>
          <w:lang w:val="en-US" w:eastAsia="zh-CN"/>
        </w:rPr>
        <w:t>3.</w:t>
      </w:r>
      <w:r>
        <w:rPr>
          <w:rFonts w:hint="eastAsia" w:ascii="宋体" w:hAnsi="宋体" w:eastAsia="宋体"/>
          <w:color w:val="auto"/>
          <w:szCs w:val="21"/>
        </w:rPr>
        <w:t>在运营期间，若</w:t>
      </w:r>
      <w:r>
        <w:rPr>
          <w:rFonts w:hint="eastAsia" w:ascii="宋体" w:hAnsi="宋体" w:eastAsia="宋体"/>
          <w:color w:val="auto"/>
          <w:szCs w:val="21"/>
          <w:lang w:eastAsia="zh-CN"/>
        </w:rPr>
        <w:t>相关</w:t>
      </w:r>
      <w:r>
        <w:rPr>
          <w:rFonts w:hint="eastAsia" w:ascii="宋体" w:hAnsi="宋体" w:eastAsia="宋体"/>
          <w:color w:val="auto"/>
          <w:szCs w:val="21"/>
        </w:rPr>
        <w:t>部门发现不符合标准，由中标</w:t>
      </w:r>
      <w:r>
        <w:rPr>
          <w:rFonts w:hint="eastAsia" w:ascii="宋体" w:hAnsi="宋体" w:eastAsia="宋体"/>
          <w:color w:val="auto"/>
          <w:szCs w:val="21"/>
          <w:lang w:eastAsia="zh-CN"/>
        </w:rPr>
        <w:t>人</w:t>
      </w:r>
      <w:r>
        <w:rPr>
          <w:rFonts w:hint="eastAsia" w:ascii="宋体" w:hAnsi="宋体" w:eastAsia="宋体"/>
          <w:color w:val="auto"/>
          <w:szCs w:val="21"/>
        </w:rPr>
        <w:t>承担一切责任和处罚费用。</w:t>
      </w:r>
      <w:bookmarkEnd w:id="8"/>
    </w:p>
    <w:p w14:paraId="38C9BEE7">
      <w:pPr>
        <w:pStyle w:val="730"/>
        <w:keepNext/>
        <w:keepLines/>
        <w:widowControl w:val="0"/>
        <w:numPr>
          <w:ilvl w:val="0"/>
          <w:numId w:val="0"/>
        </w:numPr>
        <w:shd w:val="clear" w:color="auto" w:fill="auto"/>
        <w:tabs>
          <w:tab w:val="left" w:pos="1103"/>
        </w:tabs>
        <w:bidi w:val="0"/>
        <w:spacing w:before="0" w:after="0" w:line="360" w:lineRule="auto"/>
        <w:ind w:right="0" w:rightChars="0"/>
        <w:jc w:val="both"/>
        <w:rPr>
          <w:rFonts w:hint="eastAsia" w:asciiTheme="minorEastAsia" w:hAnsiTheme="minorEastAsia" w:cstheme="minorEastAsia"/>
          <w:strike w:val="0"/>
          <w:dstrike w:val="0"/>
          <w:color w:val="auto"/>
          <w:sz w:val="24"/>
          <w:szCs w:val="24"/>
          <w:lang w:val="en-US" w:eastAsia="zh-CN"/>
        </w:rPr>
      </w:pPr>
    </w:p>
    <w:p w14:paraId="4E031931">
      <w:pPr>
        <w:pStyle w:val="730"/>
        <w:keepNext/>
        <w:keepLines/>
        <w:widowControl w:val="0"/>
        <w:numPr>
          <w:ilvl w:val="0"/>
          <w:numId w:val="0"/>
        </w:numPr>
        <w:shd w:val="clear" w:color="auto" w:fill="auto"/>
        <w:tabs>
          <w:tab w:val="left" w:pos="1103"/>
        </w:tabs>
        <w:bidi w:val="0"/>
        <w:spacing w:before="0" w:after="0" w:line="360" w:lineRule="auto"/>
        <w:ind w:right="0" w:rightChars="0"/>
        <w:jc w:val="both"/>
        <w:rPr>
          <w:rFonts w:hint="eastAsia" w:ascii="宋体" w:hAnsi="宋体" w:eastAsia="宋体" w:cs="宋体"/>
          <w:color w:val="auto"/>
          <w:sz w:val="21"/>
          <w:szCs w:val="21"/>
        </w:rPr>
      </w:pPr>
      <w:r>
        <w:rPr>
          <w:rFonts w:hint="eastAsia" w:asciiTheme="minorEastAsia" w:hAnsiTheme="minorEastAsia" w:cstheme="minorEastAsia"/>
          <w:strike w:val="0"/>
          <w:dstrike w:val="0"/>
          <w:color w:val="auto"/>
          <w:sz w:val="24"/>
          <w:szCs w:val="24"/>
          <w:lang w:val="en-US" w:eastAsia="zh-CN"/>
        </w:rPr>
        <w:t>七</w:t>
      </w:r>
      <w:r>
        <w:rPr>
          <w:rFonts w:hint="eastAsia" w:asciiTheme="minorEastAsia" w:hAnsiTheme="minorEastAsia" w:cstheme="minorEastAsia"/>
          <w:strike w:val="0"/>
          <w:dstrike w:val="0"/>
          <w:color w:val="auto"/>
          <w:sz w:val="24"/>
          <w:szCs w:val="24"/>
          <w:lang w:eastAsia="zh-CN"/>
        </w:rPr>
        <w:t>、</w:t>
      </w:r>
      <w:r>
        <w:rPr>
          <w:rFonts w:hint="eastAsia" w:ascii="宋体" w:hAnsi="宋体" w:eastAsia="宋体" w:cs="宋体"/>
          <w:color w:val="auto"/>
          <w:spacing w:val="0"/>
          <w:w w:val="100"/>
          <w:position w:val="0"/>
          <w:sz w:val="24"/>
          <w:szCs w:val="24"/>
        </w:rPr>
        <w:t>运行与维护方</w:t>
      </w:r>
      <w:r>
        <w:rPr>
          <w:rFonts w:hint="eastAsia" w:ascii="宋体" w:hAnsi="宋体" w:eastAsia="宋体" w:cs="宋体"/>
          <w:color w:val="auto"/>
          <w:spacing w:val="0"/>
          <w:w w:val="100"/>
          <w:position w:val="0"/>
          <w:sz w:val="21"/>
          <w:szCs w:val="21"/>
        </w:rPr>
        <w:t>案</w:t>
      </w:r>
    </w:p>
    <w:p w14:paraId="15666406">
      <w:pPr>
        <w:pStyle w:val="355"/>
        <w:keepNext w:val="0"/>
        <w:keepLines w:val="0"/>
        <w:widowControl w:val="0"/>
        <w:numPr>
          <w:ilvl w:val="0"/>
          <w:numId w:val="0"/>
        </w:numPr>
        <w:shd w:val="clear" w:color="auto" w:fill="auto"/>
        <w:tabs>
          <w:tab w:val="left" w:pos="776"/>
        </w:tabs>
        <w:bidi w:val="0"/>
        <w:spacing w:before="0" w:after="60" w:line="360" w:lineRule="auto"/>
        <w:ind w:right="0" w:rightChars="0" w:firstLine="420" w:firstLineChars="200"/>
        <w:jc w:val="both"/>
        <w:rPr>
          <w:rFonts w:hint="eastAsia" w:ascii="宋体" w:hAnsi="宋体" w:eastAsia="宋体" w:cs="宋体"/>
          <w:color w:val="auto"/>
          <w:spacing w:val="0"/>
          <w:w w:val="100"/>
          <w:position w:val="0"/>
          <w:sz w:val="21"/>
          <w:szCs w:val="21"/>
          <w:lang w:val="en-US" w:eastAsia="zh-CN"/>
        </w:rPr>
      </w:pPr>
      <w:bookmarkStart w:id="11" w:name="bookmark51"/>
      <w:bookmarkEnd w:id="11"/>
      <w:r>
        <w:rPr>
          <w:rFonts w:hint="eastAsia" w:ascii="宋体" w:hAnsi="宋体" w:eastAsia="宋体" w:cs="宋体"/>
          <w:color w:val="auto"/>
          <w:spacing w:val="0"/>
          <w:w w:val="100"/>
          <w:position w:val="0"/>
          <w:sz w:val="21"/>
          <w:szCs w:val="21"/>
          <w:lang w:val="en-US" w:eastAsia="zh-CN"/>
        </w:rPr>
        <w:t>1.投标人应根据其技术工艺的特点和本项目其他实际情况，编制本项目的《运行与维护方案》。</w:t>
      </w:r>
    </w:p>
    <w:p w14:paraId="665903BE">
      <w:pPr>
        <w:pStyle w:val="355"/>
        <w:keepNext w:val="0"/>
        <w:keepLines w:val="0"/>
        <w:widowControl w:val="0"/>
        <w:numPr>
          <w:ilvl w:val="0"/>
          <w:numId w:val="0"/>
        </w:numPr>
        <w:shd w:val="clear" w:color="auto" w:fill="auto"/>
        <w:tabs>
          <w:tab w:val="left" w:pos="776"/>
        </w:tabs>
        <w:bidi w:val="0"/>
        <w:spacing w:before="0" w:after="60" w:line="360" w:lineRule="auto"/>
        <w:ind w:right="0" w:rightChars="0" w:firstLine="420" w:firstLineChars="200"/>
        <w:jc w:val="both"/>
        <w:rPr>
          <w:rFonts w:hint="eastAsia" w:ascii="宋体" w:hAnsi="宋体" w:eastAsia="宋体" w:cs="宋体"/>
          <w:color w:val="auto"/>
          <w:spacing w:val="0"/>
          <w:w w:val="100"/>
          <w:position w:val="0"/>
          <w:sz w:val="21"/>
          <w:szCs w:val="21"/>
          <w:lang w:val="en-US" w:eastAsia="zh-CN"/>
        </w:rPr>
      </w:pPr>
      <w:bookmarkStart w:id="12" w:name="bookmark52"/>
      <w:bookmarkEnd w:id="12"/>
      <w:r>
        <w:rPr>
          <w:rFonts w:hint="eastAsia" w:ascii="宋体" w:hAnsi="宋体" w:eastAsia="宋体" w:cs="宋体"/>
          <w:color w:val="auto"/>
          <w:spacing w:val="0"/>
          <w:w w:val="100"/>
          <w:position w:val="0"/>
          <w:sz w:val="21"/>
          <w:szCs w:val="21"/>
          <w:lang w:val="en-US" w:eastAsia="zh-CN"/>
        </w:rPr>
        <w:t>2.投标人提交的《运行与维护方案》应包括以下基本内容：</w:t>
      </w:r>
    </w:p>
    <w:p w14:paraId="4C4DC191">
      <w:pPr>
        <w:pStyle w:val="355"/>
        <w:keepNext w:val="0"/>
        <w:keepLines w:val="0"/>
        <w:widowControl w:val="0"/>
        <w:numPr>
          <w:ilvl w:val="0"/>
          <w:numId w:val="0"/>
        </w:numPr>
        <w:shd w:val="clear" w:color="auto" w:fill="auto"/>
        <w:tabs>
          <w:tab w:val="left" w:pos="1042"/>
        </w:tabs>
        <w:bidi w:val="0"/>
        <w:spacing w:before="0" w:after="0" w:line="360" w:lineRule="auto"/>
        <w:ind w:left="500" w:leftChars="0" w:right="0" w:rightChars="0"/>
        <w:jc w:val="both"/>
        <w:rPr>
          <w:rFonts w:hint="eastAsia" w:ascii="宋体" w:hAnsi="宋体" w:eastAsia="宋体" w:cs="宋体"/>
          <w:color w:val="auto"/>
          <w:sz w:val="21"/>
          <w:szCs w:val="21"/>
        </w:rPr>
      </w:pPr>
      <w:bookmarkStart w:id="13" w:name="bookmark53"/>
      <w:bookmarkEnd w:id="13"/>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lang w:val="en-US" w:eastAsia="zh-CN"/>
        </w:rPr>
        <w:t>1</w:t>
      </w:r>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rPr>
        <w:t>运行班组组织结构与人员组成</w:t>
      </w:r>
    </w:p>
    <w:p w14:paraId="3CE6DC87">
      <w:pPr>
        <w:pStyle w:val="355"/>
        <w:keepNext w:val="0"/>
        <w:keepLines w:val="0"/>
        <w:widowControl w:val="0"/>
        <w:numPr>
          <w:ilvl w:val="0"/>
          <w:numId w:val="0"/>
        </w:numPr>
        <w:shd w:val="clear" w:color="auto" w:fill="auto"/>
        <w:tabs>
          <w:tab w:val="left" w:pos="993"/>
        </w:tabs>
        <w:bidi w:val="0"/>
        <w:spacing w:before="0" w:after="0" w:line="360" w:lineRule="auto"/>
        <w:ind w:left="500" w:leftChars="0" w:right="0" w:rightChars="0"/>
        <w:jc w:val="both"/>
        <w:rPr>
          <w:rFonts w:hint="eastAsia" w:ascii="宋体" w:hAnsi="宋体" w:eastAsia="宋体" w:cs="宋体"/>
          <w:color w:val="auto"/>
          <w:sz w:val="21"/>
          <w:szCs w:val="21"/>
        </w:rPr>
      </w:pPr>
      <w:bookmarkStart w:id="14" w:name="bookmark54"/>
      <w:bookmarkEnd w:id="14"/>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lang w:val="en-US" w:eastAsia="zh-CN"/>
        </w:rPr>
        <w:t>2</w:t>
      </w:r>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rPr>
        <w:t>运行质量保证措施</w:t>
      </w:r>
    </w:p>
    <w:p w14:paraId="7B8D1052">
      <w:pPr>
        <w:pStyle w:val="355"/>
        <w:keepNext w:val="0"/>
        <w:keepLines w:val="0"/>
        <w:widowControl w:val="0"/>
        <w:numPr>
          <w:ilvl w:val="0"/>
          <w:numId w:val="0"/>
        </w:numPr>
        <w:shd w:val="clear" w:color="auto" w:fill="auto"/>
        <w:tabs>
          <w:tab w:val="left" w:pos="1042"/>
        </w:tabs>
        <w:bidi w:val="0"/>
        <w:spacing w:before="0" w:after="0" w:line="360" w:lineRule="auto"/>
        <w:ind w:left="500" w:leftChars="0" w:right="0" w:rightChars="0"/>
        <w:jc w:val="both"/>
        <w:rPr>
          <w:rFonts w:hint="eastAsia" w:ascii="宋体" w:hAnsi="宋体" w:eastAsia="宋体" w:cs="宋体"/>
          <w:color w:val="auto"/>
          <w:sz w:val="21"/>
          <w:szCs w:val="21"/>
        </w:rPr>
      </w:pPr>
      <w:bookmarkStart w:id="15" w:name="bookmark55"/>
      <w:bookmarkEnd w:id="15"/>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lang w:val="en-US" w:eastAsia="zh-CN"/>
        </w:rPr>
        <w:t>3</w:t>
      </w:r>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rPr>
        <w:t>内部管理规章制度</w:t>
      </w:r>
    </w:p>
    <w:p w14:paraId="311C94CD">
      <w:pPr>
        <w:pStyle w:val="355"/>
        <w:keepNext w:val="0"/>
        <w:keepLines w:val="0"/>
        <w:widowControl w:val="0"/>
        <w:numPr>
          <w:ilvl w:val="0"/>
          <w:numId w:val="0"/>
        </w:numPr>
        <w:shd w:val="clear" w:color="auto" w:fill="auto"/>
        <w:tabs>
          <w:tab w:val="left" w:pos="993"/>
        </w:tabs>
        <w:bidi w:val="0"/>
        <w:spacing w:before="0" w:after="0" w:line="360" w:lineRule="auto"/>
        <w:ind w:left="500" w:leftChars="0" w:right="0" w:rightChars="0"/>
        <w:jc w:val="both"/>
        <w:rPr>
          <w:rFonts w:hint="eastAsia" w:ascii="宋体" w:hAnsi="宋体" w:eastAsia="宋体" w:cs="宋体"/>
          <w:color w:val="auto"/>
          <w:sz w:val="21"/>
          <w:szCs w:val="21"/>
        </w:rPr>
      </w:pPr>
      <w:bookmarkStart w:id="16" w:name="bookmark56"/>
      <w:bookmarkEnd w:id="16"/>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lang w:val="en-US" w:eastAsia="zh-CN"/>
        </w:rPr>
        <w:t>4</w:t>
      </w:r>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rPr>
        <w:t>材料更换与设备检修</w:t>
      </w:r>
    </w:p>
    <w:p w14:paraId="35E9DFD9">
      <w:pPr>
        <w:pStyle w:val="355"/>
        <w:keepNext w:val="0"/>
        <w:keepLines w:val="0"/>
        <w:widowControl w:val="0"/>
        <w:numPr>
          <w:ilvl w:val="0"/>
          <w:numId w:val="0"/>
        </w:numPr>
        <w:shd w:val="clear" w:color="auto" w:fill="auto"/>
        <w:tabs>
          <w:tab w:val="left" w:pos="1042"/>
        </w:tabs>
        <w:bidi w:val="0"/>
        <w:spacing w:before="0" w:after="0" w:line="360" w:lineRule="auto"/>
        <w:ind w:left="500" w:leftChars="0" w:right="0" w:rightChars="0"/>
        <w:jc w:val="both"/>
        <w:rPr>
          <w:rFonts w:hint="eastAsia" w:ascii="宋体" w:hAnsi="宋体" w:eastAsia="宋体" w:cs="宋体"/>
          <w:color w:val="auto"/>
          <w:sz w:val="21"/>
          <w:szCs w:val="21"/>
        </w:rPr>
      </w:pPr>
      <w:bookmarkStart w:id="17" w:name="bookmark57"/>
      <w:bookmarkEnd w:id="17"/>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lang w:val="en-US" w:eastAsia="zh-CN"/>
        </w:rPr>
        <w:t>5</w:t>
      </w:r>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rPr>
        <w:t>出水检测与报告制度</w:t>
      </w:r>
    </w:p>
    <w:p w14:paraId="0A6C94B8">
      <w:pPr>
        <w:pStyle w:val="355"/>
        <w:keepNext w:val="0"/>
        <w:keepLines w:val="0"/>
        <w:widowControl w:val="0"/>
        <w:numPr>
          <w:ilvl w:val="0"/>
          <w:numId w:val="0"/>
        </w:numPr>
        <w:shd w:val="clear" w:color="auto" w:fill="auto"/>
        <w:tabs>
          <w:tab w:val="left" w:pos="776"/>
        </w:tabs>
        <w:bidi w:val="0"/>
        <w:spacing w:before="0" w:after="60" w:line="360" w:lineRule="auto"/>
        <w:ind w:right="0" w:rightChars="0" w:firstLine="420" w:firstLineChars="200"/>
        <w:jc w:val="both"/>
        <w:rPr>
          <w:rFonts w:hint="eastAsia" w:ascii="宋体" w:hAnsi="宋体" w:eastAsia="宋体" w:cs="宋体"/>
          <w:color w:val="auto"/>
          <w:spacing w:val="0"/>
          <w:w w:val="100"/>
          <w:position w:val="0"/>
          <w:sz w:val="21"/>
          <w:szCs w:val="21"/>
          <w:lang w:val="en-US" w:eastAsia="zh-CN"/>
        </w:rPr>
      </w:pPr>
      <w:bookmarkStart w:id="18" w:name="bookmark58"/>
      <w:bookmarkEnd w:id="18"/>
      <w:r>
        <w:rPr>
          <w:rFonts w:hint="eastAsia" w:ascii="宋体" w:hAnsi="宋体" w:eastAsia="宋体" w:cs="宋体"/>
          <w:color w:val="auto"/>
          <w:spacing w:val="0"/>
          <w:w w:val="100"/>
          <w:position w:val="0"/>
          <w:sz w:val="21"/>
          <w:szCs w:val="21"/>
          <w:lang w:val="en-US" w:eastAsia="zh-CN"/>
        </w:rPr>
        <w:t>3.投标人必须建立各方面应急预案，包括岀现水浸、停水、停电、安全生产事故等。</w:t>
      </w:r>
    </w:p>
    <w:p w14:paraId="71B17FDC">
      <w:pPr>
        <w:pStyle w:val="355"/>
        <w:keepNext w:val="0"/>
        <w:keepLines w:val="0"/>
        <w:widowControl w:val="0"/>
        <w:numPr>
          <w:ilvl w:val="0"/>
          <w:numId w:val="0"/>
        </w:numPr>
        <w:shd w:val="clear" w:color="auto" w:fill="auto"/>
        <w:tabs>
          <w:tab w:val="left" w:pos="1103"/>
        </w:tabs>
        <w:bidi w:val="0"/>
        <w:spacing w:before="0" w:after="0" w:line="360" w:lineRule="auto"/>
        <w:ind w:right="0" w:rightChars="0"/>
        <w:jc w:val="both"/>
        <w:rPr>
          <w:rFonts w:hint="eastAsia" w:eastAsia="宋体" w:asciiTheme="minorEastAsia" w:hAnsiTheme="minorEastAsia" w:cstheme="minorEastAsia"/>
          <w:b/>
          <w:bCs/>
          <w:strike w:val="0"/>
          <w:dstrike w:val="0"/>
          <w:color w:val="auto"/>
          <w:kern w:val="2"/>
          <w:sz w:val="24"/>
          <w:szCs w:val="24"/>
          <w:u w:val="none"/>
          <w:shd w:val="clear" w:color="auto" w:fill="auto"/>
          <w:lang w:val="zh-TW" w:eastAsia="zh-CN" w:bidi="zh-TW"/>
        </w:rPr>
      </w:pPr>
      <w:bookmarkStart w:id="19" w:name="bookmark59"/>
      <w:bookmarkEnd w:id="19"/>
    </w:p>
    <w:p w14:paraId="3C1A7A7E">
      <w:pPr>
        <w:pStyle w:val="355"/>
        <w:keepNext w:val="0"/>
        <w:keepLines w:val="0"/>
        <w:widowControl w:val="0"/>
        <w:numPr>
          <w:ilvl w:val="0"/>
          <w:numId w:val="0"/>
        </w:numPr>
        <w:shd w:val="clear" w:color="auto" w:fill="auto"/>
        <w:tabs>
          <w:tab w:val="left" w:pos="1103"/>
        </w:tabs>
        <w:bidi w:val="0"/>
        <w:spacing w:before="0" w:after="0" w:line="360" w:lineRule="auto"/>
        <w:ind w:right="0" w:rightChars="0"/>
        <w:jc w:val="both"/>
        <w:rPr>
          <w:rFonts w:hint="eastAsia" w:eastAsia="宋体" w:asciiTheme="minorEastAsia" w:hAnsiTheme="minorEastAsia" w:cstheme="minorEastAsia"/>
          <w:b/>
          <w:bCs/>
          <w:strike w:val="0"/>
          <w:dstrike w:val="0"/>
          <w:color w:val="auto"/>
          <w:kern w:val="2"/>
          <w:sz w:val="24"/>
          <w:szCs w:val="24"/>
          <w:u w:val="none"/>
          <w:shd w:val="clear" w:color="auto" w:fill="auto"/>
          <w:lang w:val="zh-TW" w:eastAsia="zh-CN" w:bidi="zh-TW"/>
        </w:rPr>
      </w:pPr>
      <w:r>
        <w:rPr>
          <w:rFonts w:hint="eastAsia" w:eastAsia="宋体" w:asciiTheme="minorEastAsia" w:hAnsiTheme="minorEastAsia" w:cstheme="minorEastAsia"/>
          <w:b/>
          <w:bCs/>
          <w:strike w:val="0"/>
          <w:dstrike w:val="0"/>
          <w:color w:val="auto"/>
          <w:kern w:val="2"/>
          <w:sz w:val="24"/>
          <w:szCs w:val="24"/>
          <w:u w:val="none"/>
          <w:shd w:val="clear" w:color="auto" w:fill="auto"/>
          <w:lang w:val="en-US" w:eastAsia="zh-CN" w:bidi="zh-TW"/>
        </w:rPr>
        <w:t>八</w:t>
      </w:r>
      <w:r>
        <w:rPr>
          <w:rFonts w:hint="eastAsia" w:eastAsia="宋体" w:asciiTheme="minorEastAsia" w:hAnsiTheme="minorEastAsia" w:cstheme="minorEastAsia"/>
          <w:b/>
          <w:bCs/>
          <w:strike w:val="0"/>
          <w:dstrike w:val="0"/>
          <w:color w:val="auto"/>
          <w:kern w:val="2"/>
          <w:sz w:val="24"/>
          <w:szCs w:val="24"/>
          <w:u w:val="none"/>
          <w:shd w:val="clear" w:color="auto" w:fill="auto"/>
          <w:lang w:val="zh-TW" w:eastAsia="zh-CN" w:bidi="zh-TW"/>
        </w:rPr>
        <w:t>、技术管理及培训要求</w:t>
      </w:r>
    </w:p>
    <w:p w14:paraId="5694D5A5">
      <w:pPr>
        <w:pStyle w:val="730"/>
        <w:keepNext/>
        <w:keepLines/>
        <w:pageBreakBefore w:val="0"/>
        <w:widowControl w:val="0"/>
        <w:shd w:val="clear" w:color="auto" w:fill="auto"/>
        <w:kinsoku/>
        <w:wordWrap/>
        <w:overflowPunct/>
        <w:topLinePunct w:val="0"/>
        <w:autoSpaceDE/>
        <w:autoSpaceDN/>
        <w:bidi w:val="0"/>
        <w:adjustRightInd/>
        <w:snapToGrid/>
        <w:spacing w:before="0" w:line="360" w:lineRule="auto"/>
        <w:ind w:left="0" w:leftChars="0" w:right="0" w:firstLine="422" w:firstLineChars="200"/>
        <w:jc w:val="both"/>
        <w:textAlignment w:val="auto"/>
        <w:rPr>
          <w:rFonts w:hint="eastAsia" w:ascii="宋体" w:hAnsi="宋体" w:eastAsia="宋体" w:cs="宋体"/>
          <w:color w:val="auto"/>
          <w:sz w:val="21"/>
          <w:szCs w:val="21"/>
        </w:rPr>
      </w:pPr>
      <w:bookmarkStart w:id="20" w:name="bookmark60"/>
      <w:bookmarkStart w:id="21" w:name="bookmark62"/>
      <w:bookmarkStart w:id="22" w:name="bookmark61"/>
      <w:r>
        <w:rPr>
          <w:rFonts w:hint="eastAsia" w:ascii="宋体" w:hAnsi="宋体" w:eastAsia="宋体" w:cs="宋体"/>
          <w:color w:val="auto"/>
          <w:spacing w:val="0"/>
          <w:w w:val="100"/>
          <w:position w:val="0"/>
          <w:sz w:val="21"/>
          <w:szCs w:val="21"/>
          <w:lang w:val="en-US" w:eastAsia="zh-CN"/>
        </w:rPr>
        <w:t>1</w:t>
      </w:r>
      <w:r>
        <w:rPr>
          <w:rFonts w:hint="eastAsia" w:cs="宋体"/>
          <w:color w:val="auto"/>
          <w:spacing w:val="0"/>
          <w:w w:val="100"/>
          <w:position w:val="0"/>
          <w:sz w:val="21"/>
          <w:szCs w:val="21"/>
          <w:lang w:val="en-US" w:eastAsia="zh-CN"/>
        </w:rPr>
        <w:t>.</w:t>
      </w:r>
      <w:r>
        <w:rPr>
          <w:rFonts w:hint="eastAsia" w:ascii="宋体" w:hAnsi="宋体" w:eastAsia="宋体" w:cs="宋体"/>
          <w:color w:val="auto"/>
          <w:spacing w:val="0"/>
          <w:w w:val="100"/>
          <w:position w:val="0"/>
          <w:sz w:val="21"/>
          <w:szCs w:val="21"/>
        </w:rPr>
        <w:t>运行中的技术管理</w:t>
      </w:r>
      <w:bookmarkEnd w:id="20"/>
      <w:bookmarkEnd w:id="21"/>
      <w:bookmarkEnd w:id="22"/>
    </w:p>
    <w:p w14:paraId="01C478A9">
      <w:pPr>
        <w:pStyle w:val="355"/>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left="0" w:leftChars="0" w:right="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lang w:val="en-US" w:eastAsia="zh-CN"/>
        </w:rPr>
        <w:t>1.1</w:t>
      </w:r>
      <w:r>
        <w:rPr>
          <w:rFonts w:hint="eastAsia" w:ascii="宋体" w:hAnsi="宋体" w:eastAsia="宋体" w:cs="宋体"/>
          <w:color w:val="auto"/>
          <w:spacing w:val="0"/>
          <w:w w:val="100"/>
          <w:position w:val="0"/>
          <w:sz w:val="21"/>
          <w:szCs w:val="21"/>
          <w:lang w:eastAsia="zh-CN"/>
        </w:rPr>
        <w:t>投标人</w:t>
      </w:r>
      <w:r>
        <w:rPr>
          <w:rFonts w:hint="eastAsia" w:ascii="宋体" w:hAnsi="宋体" w:eastAsia="宋体" w:cs="宋体"/>
          <w:color w:val="auto"/>
          <w:spacing w:val="0"/>
          <w:w w:val="100"/>
          <w:position w:val="0"/>
          <w:sz w:val="21"/>
          <w:szCs w:val="21"/>
        </w:rPr>
        <w:t>必须建立健全的生产管理机构和规章制度，包括岗位人员责任制和安全操作规程。</w:t>
      </w:r>
    </w:p>
    <w:p w14:paraId="354788C6">
      <w:pPr>
        <w:pStyle w:val="355"/>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left="0" w:leftChars="0" w:right="0" w:firstLine="420" w:firstLineChars="20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lang w:val="en-US" w:eastAsia="zh-CN"/>
        </w:rPr>
        <w:t>1.2</w:t>
      </w:r>
      <w:r>
        <w:rPr>
          <w:rFonts w:hint="eastAsia" w:ascii="宋体" w:hAnsi="宋体" w:eastAsia="宋体" w:cs="宋体"/>
          <w:color w:val="auto"/>
          <w:spacing w:val="0"/>
          <w:w w:val="100"/>
          <w:position w:val="0"/>
          <w:sz w:val="21"/>
          <w:szCs w:val="21"/>
          <w:lang w:eastAsia="zh-CN"/>
        </w:rPr>
        <w:t>投标人</w:t>
      </w:r>
      <w:r>
        <w:rPr>
          <w:rFonts w:hint="eastAsia" w:ascii="宋体" w:hAnsi="宋体" w:eastAsia="宋体" w:cs="宋体"/>
          <w:color w:val="auto"/>
          <w:spacing w:val="0"/>
          <w:w w:val="100"/>
          <w:position w:val="0"/>
          <w:sz w:val="21"/>
          <w:szCs w:val="21"/>
        </w:rPr>
        <w:t>必须建立各建、构筑物和设备的维护、保养工作和维护记录的存档。</w:t>
      </w:r>
    </w:p>
    <w:p w14:paraId="7FEA40C9">
      <w:pPr>
        <w:pStyle w:val="355"/>
        <w:keepNext w:val="0"/>
        <w:keepLines w:val="0"/>
        <w:pageBreakBefore w:val="0"/>
        <w:widowControl w:val="0"/>
        <w:numPr>
          <w:ilvl w:val="0"/>
          <w:numId w:val="0"/>
        </w:numPr>
        <w:shd w:val="clear" w:color="auto" w:fill="auto"/>
        <w:tabs>
          <w:tab w:val="left" w:pos="823"/>
        </w:tabs>
        <w:kinsoku/>
        <w:wordWrap/>
        <w:overflowPunct/>
        <w:topLinePunct w:val="0"/>
        <w:autoSpaceDE/>
        <w:autoSpaceDN/>
        <w:bidi w:val="0"/>
        <w:adjustRightInd/>
        <w:snapToGrid/>
        <w:spacing w:before="0" w:line="360" w:lineRule="auto"/>
        <w:ind w:left="0" w:right="0" w:rightChars="0" w:firstLine="420" w:firstLineChars="200"/>
        <w:jc w:val="both"/>
        <w:textAlignment w:val="auto"/>
        <w:rPr>
          <w:rFonts w:hint="eastAsia" w:ascii="宋体" w:hAnsi="宋体" w:eastAsia="宋体" w:cs="宋体"/>
          <w:color w:val="auto"/>
          <w:sz w:val="21"/>
          <w:szCs w:val="21"/>
        </w:rPr>
      </w:pPr>
      <w:bookmarkStart w:id="23" w:name="bookmark63"/>
      <w:bookmarkEnd w:id="23"/>
      <w:r>
        <w:rPr>
          <w:rFonts w:hint="eastAsia" w:ascii="宋体" w:hAnsi="宋体" w:eastAsia="宋体" w:cs="宋体"/>
          <w:color w:val="auto"/>
          <w:spacing w:val="0"/>
          <w:w w:val="100"/>
          <w:position w:val="0"/>
          <w:sz w:val="21"/>
          <w:szCs w:val="21"/>
          <w:lang w:val="en-US" w:eastAsia="zh-CN"/>
        </w:rPr>
        <w:t>1.3</w:t>
      </w:r>
      <w:r>
        <w:rPr>
          <w:rFonts w:hint="eastAsia" w:ascii="宋体" w:hAnsi="宋体" w:eastAsia="宋体" w:cs="宋体"/>
          <w:color w:val="auto"/>
          <w:spacing w:val="0"/>
          <w:w w:val="100"/>
          <w:position w:val="0"/>
          <w:sz w:val="21"/>
          <w:szCs w:val="21"/>
          <w:lang w:eastAsia="zh-CN"/>
        </w:rPr>
        <w:t>投标人</w:t>
      </w:r>
      <w:r>
        <w:rPr>
          <w:rFonts w:hint="eastAsia" w:ascii="宋体" w:hAnsi="宋体" w:eastAsia="宋体" w:cs="宋体"/>
          <w:color w:val="auto"/>
          <w:spacing w:val="0"/>
          <w:w w:val="100"/>
          <w:position w:val="0"/>
          <w:sz w:val="21"/>
          <w:szCs w:val="21"/>
        </w:rPr>
        <w:t>必须做好渗滤液处理系统水质化验、分析及环境监督的化验、分析，保存完整的各项记录资料。</w:t>
      </w:r>
    </w:p>
    <w:p w14:paraId="27FE0019">
      <w:pPr>
        <w:pStyle w:val="355"/>
        <w:keepNext w:val="0"/>
        <w:keepLines w:val="0"/>
        <w:pageBreakBefore w:val="0"/>
        <w:widowControl w:val="0"/>
        <w:numPr>
          <w:ilvl w:val="0"/>
          <w:numId w:val="0"/>
        </w:numPr>
        <w:shd w:val="clear" w:color="auto" w:fill="auto"/>
        <w:tabs>
          <w:tab w:val="left" w:pos="823"/>
        </w:tabs>
        <w:kinsoku/>
        <w:wordWrap/>
        <w:overflowPunct/>
        <w:topLinePunct w:val="0"/>
        <w:autoSpaceDE/>
        <w:autoSpaceDN/>
        <w:bidi w:val="0"/>
        <w:adjustRightInd/>
        <w:snapToGrid/>
        <w:spacing w:before="0" w:line="360" w:lineRule="auto"/>
        <w:ind w:left="0" w:leftChars="0" w:right="0" w:rightChars="0" w:firstLine="422" w:firstLineChars="200"/>
        <w:jc w:val="both"/>
        <w:textAlignment w:val="auto"/>
        <w:rPr>
          <w:rFonts w:hint="eastAsia" w:ascii="宋体" w:hAnsi="宋体" w:eastAsia="宋体" w:cs="宋体"/>
          <w:color w:val="auto"/>
          <w:sz w:val="21"/>
          <w:szCs w:val="21"/>
        </w:rPr>
      </w:pPr>
      <w:bookmarkStart w:id="24" w:name="bookmark64"/>
      <w:bookmarkEnd w:id="24"/>
      <w:r>
        <w:rPr>
          <w:rFonts w:hint="eastAsia" w:ascii="宋体" w:hAnsi="宋体" w:eastAsia="宋体" w:cs="宋体"/>
          <w:b/>
          <w:bCs/>
          <w:color w:val="auto"/>
          <w:spacing w:val="0"/>
          <w:w w:val="100"/>
          <w:position w:val="0"/>
          <w:sz w:val="21"/>
          <w:szCs w:val="21"/>
          <w:lang w:val="en-US" w:eastAsia="zh-CN"/>
        </w:rPr>
        <w:t>2.</w:t>
      </w:r>
      <w:r>
        <w:rPr>
          <w:rFonts w:hint="eastAsia" w:ascii="宋体" w:hAnsi="宋体" w:eastAsia="宋体" w:cs="宋体"/>
          <w:b/>
          <w:bCs/>
          <w:color w:val="auto"/>
          <w:spacing w:val="0"/>
          <w:w w:val="100"/>
          <w:position w:val="0"/>
          <w:sz w:val="21"/>
          <w:szCs w:val="21"/>
        </w:rPr>
        <w:t>技术培训</w:t>
      </w:r>
    </w:p>
    <w:p w14:paraId="50D94810">
      <w:pPr>
        <w:pStyle w:val="355"/>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left="0" w:leftChars="0" w:right="0" w:firstLine="420" w:firstLineChars="200"/>
        <w:jc w:val="both"/>
        <w:textAlignment w:val="auto"/>
        <w:rPr>
          <w:rFonts w:hint="eastAsia" w:ascii="宋体" w:hAnsi="宋体" w:eastAsia="宋体" w:cs="宋体"/>
          <w:color w:val="auto"/>
          <w:spacing w:val="0"/>
          <w:w w:val="100"/>
          <w:position w:val="0"/>
          <w:sz w:val="21"/>
          <w:szCs w:val="21"/>
        </w:rPr>
      </w:pPr>
      <w:r>
        <w:rPr>
          <w:rFonts w:hint="eastAsia" w:ascii="宋体" w:hAnsi="宋体" w:eastAsia="宋体" w:cs="宋体"/>
          <w:color w:val="auto"/>
          <w:spacing w:val="0"/>
          <w:w w:val="100"/>
          <w:position w:val="0"/>
          <w:sz w:val="21"/>
          <w:szCs w:val="21"/>
          <w:lang w:eastAsia="zh-CN"/>
        </w:rPr>
        <w:t>投标人</w:t>
      </w:r>
      <w:r>
        <w:rPr>
          <w:rFonts w:hint="eastAsia" w:ascii="宋体" w:hAnsi="宋体" w:eastAsia="宋体" w:cs="宋体"/>
          <w:color w:val="auto"/>
          <w:spacing w:val="0"/>
          <w:w w:val="100"/>
          <w:position w:val="0"/>
          <w:sz w:val="21"/>
          <w:szCs w:val="21"/>
        </w:rPr>
        <w:t>应对现有及新聘请的管理、运行人员进行技术培训。培训内容包括：渗滤液处理技术、工艺流程、机械操作、环境监测手段及污染防治措施。聘请专家对生产管理和操作人员进行上岗前的专业技术培训并组织参观学习相同工艺生产实践。</w:t>
      </w:r>
    </w:p>
    <w:p w14:paraId="4BACEFEF">
      <w:pPr>
        <w:pStyle w:val="730"/>
        <w:keepNext/>
        <w:keepLines/>
        <w:pageBreakBefore w:val="0"/>
        <w:widowControl w:val="0"/>
        <w:numPr>
          <w:ilvl w:val="0"/>
          <w:numId w:val="0"/>
        </w:numPr>
        <w:shd w:val="clear" w:color="auto" w:fill="auto"/>
        <w:kinsoku/>
        <w:wordWrap/>
        <w:overflowPunct/>
        <w:topLinePunct w:val="0"/>
        <w:autoSpaceDE/>
        <w:autoSpaceDN/>
        <w:bidi w:val="0"/>
        <w:adjustRightInd/>
        <w:snapToGrid/>
        <w:spacing w:before="0" w:line="473" w:lineRule="exact"/>
        <w:ind w:right="0" w:rightChars="0"/>
        <w:jc w:val="both"/>
        <w:textAlignment w:val="auto"/>
        <w:rPr>
          <w:rFonts w:hint="eastAsia" w:eastAsia="宋体" w:asciiTheme="minorEastAsia" w:hAnsiTheme="minorEastAsia" w:cstheme="minorEastAsia"/>
          <w:b/>
          <w:bCs/>
          <w:strike w:val="0"/>
          <w:dstrike w:val="0"/>
          <w:color w:val="auto"/>
          <w:kern w:val="2"/>
          <w:sz w:val="24"/>
          <w:szCs w:val="24"/>
          <w:u w:val="none"/>
          <w:shd w:val="clear" w:color="auto" w:fill="auto"/>
          <w:lang w:val="zh-TW" w:eastAsia="zh-CN" w:bidi="zh-TW"/>
        </w:rPr>
      </w:pPr>
      <w:bookmarkStart w:id="25" w:name="bookmark67"/>
      <w:bookmarkEnd w:id="25"/>
      <w:bookmarkStart w:id="26" w:name="bookmark68"/>
      <w:bookmarkStart w:id="27" w:name="bookmark65"/>
      <w:bookmarkStart w:id="28" w:name="bookmark66"/>
    </w:p>
    <w:p w14:paraId="05372A6B">
      <w:pPr>
        <w:pStyle w:val="730"/>
        <w:keepNext/>
        <w:keepLines/>
        <w:pageBreakBefore w:val="0"/>
        <w:widowControl w:val="0"/>
        <w:numPr>
          <w:ilvl w:val="0"/>
          <w:numId w:val="0"/>
        </w:numPr>
        <w:shd w:val="clear" w:color="auto" w:fill="auto"/>
        <w:kinsoku/>
        <w:wordWrap/>
        <w:overflowPunct/>
        <w:topLinePunct w:val="0"/>
        <w:autoSpaceDE/>
        <w:autoSpaceDN/>
        <w:bidi w:val="0"/>
        <w:adjustRightInd/>
        <w:snapToGrid/>
        <w:spacing w:before="0" w:line="473" w:lineRule="exact"/>
        <w:ind w:right="0" w:rightChars="0"/>
        <w:jc w:val="both"/>
        <w:textAlignment w:val="auto"/>
        <w:rPr>
          <w:rFonts w:hint="eastAsia" w:eastAsia="宋体" w:asciiTheme="minorEastAsia" w:hAnsiTheme="minorEastAsia" w:cstheme="minorEastAsia"/>
          <w:b/>
          <w:bCs/>
          <w:strike w:val="0"/>
          <w:dstrike w:val="0"/>
          <w:color w:val="auto"/>
          <w:kern w:val="2"/>
          <w:sz w:val="24"/>
          <w:szCs w:val="24"/>
          <w:u w:val="none"/>
          <w:shd w:val="clear" w:color="auto" w:fill="auto"/>
          <w:lang w:val="zh-TW" w:eastAsia="zh-CN" w:bidi="zh-TW"/>
        </w:rPr>
      </w:pPr>
      <w:r>
        <w:rPr>
          <w:rFonts w:hint="eastAsia" w:asciiTheme="minorEastAsia" w:hAnsiTheme="minorEastAsia" w:cstheme="minorEastAsia"/>
          <w:b/>
          <w:bCs/>
          <w:strike w:val="0"/>
          <w:dstrike w:val="0"/>
          <w:color w:val="auto"/>
          <w:kern w:val="2"/>
          <w:sz w:val="24"/>
          <w:szCs w:val="24"/>
          <w:u w:val="none"/>
          <w:shd w:val="clear" w:color="auto" w:fill="auto"/>
          <w:lang w:val="en-US" w:eastAsia="zh-CN" w:bidi="zh-TW"/>
        </w:rPr>
        <w:t>九</w:t>
      </w:r>
      <w:r>
        <w:rPr>
          <w:rFonts w:hint="eastAsia" w:eastAsia="宋体" w:asciiTheme="minorEastAsia" w:hAnsiTheme="minorEastAsia" w:cstheme="minorEastAsia"/>
          <w:b/>
          <w:bCs/>
          <w:strike w:val="0"/>
          <w:dstrike w:val="0"/>
          <w:color w:val="auto"/>
          <w:kern w:val="2"/>
          <w:sz w:val="24"/>
          <w:szCs w:val="24"/>
          <w:u w:val="none"/>
          <w:shd w:val="clear" w:color="auto" w:fill="auto"/>
          <w:lang w:val="zh-TW" w:eastAsia="zh-CN" w:bidi="zh-TW"/>
        </w:rPr>
        <w:t>、环境保护要求</w:t>
      </w:r>
      <w:bookmarkEnd w:id="26"/>
    </w:p>
    <w:p w14:paraId="2EC3BDD6">
      <w:pPr>
        <w:pStyle w:val="730"/>
        <w:keepNext/>
        <w:keepLines/>
        <w:pageBreakBefore w:val="0"/>
        <w:widowControl w:val="0"/>
        <w:numPr>
          <w:ilvl w:val="0"/>
          <w:numId w:val="0"/>
        </w:numPr>
        <w:shd w:val="clear" w:color="auto" w:fill="auto"/>
        <w:tabs>
          <w:tab w:val="left" w:pos="823"/>
        </w:tabs>
        <w:kinsoku/>
        <w:wordWrap/>
        <w:overflowPunct/>
        <w:topLinePunct w:val="0"/>
        <w:autoSpaceDE/>
        <w:autoSpaceDN/>
        <w:bidi w:val="0"/>
        <w:adjustRightInd/>
        <w:snapToGrid/>
        <w:spacing w:before="0" w:line="360" w:lineRule="auto"/>
        <w:ind w:right="0" w:rightChars="0" w:firstLine="422" w:firstLineChars="200"/>
        <w:jc w:val="both"/>
        <w:textAlignment w:val="auto"/>
        <w:rPr>
          <w:rFonts w:hint="eastAsia" w:ascii="宋体" w:hAnsi="宋体" w:eastAsia="宋体" w:cs="宋体"/>
          <w:color w:val="auto"/>
          <w:sz w:val="21"/>
          <w:szCs w:val="21"/>
        </w:rPr>
      </w:pPr>
      <w:bookmarkStart w:id="29" w:name="bookmark69"/>
      <w:bookmarkEnd w:id="29"/>
      <w:bookmarkStart w:id="30" w:name="bookmark70"/>
      <w:r>
        <w:rPr>
          <w:rFonts w:hint="eastAsia" w:ascii="宋体" w:hAnsi="宋体" w:eastAsia="宋体" w:cs="宋体"/>
          <w:color w:val="auto"/>
          <w:spacing w:val="0"/>
          <w:w w:val="100"/>
          <w:position w:val="0"/>
          <w:sz w:val="21"/>
          <w:szCs w:val="21"/>
          <w:lang w:val="en-US" w:eastAsia="zh-CN"/>
        </w:rPr>
        <w:t>1</w:t>
      </w:r>
      <w:r>
        <w:rPr>
          <w:rFonts w:hint="eastAsia" w:cs="宋体"/>
          <w:color w:val="auto"/>
          <w:spacing w:val="0"/>
          <w:w w:val="100"/>
          <w:position w:val="0"/>
          <w:sz w:val="21"/>
          <w:szCs w:val="21"/>
          <w:lang w:val="en-US" w:eastAsia="zh-CN"/>
        </w:rPr>
        <w:t>.</w:t>
      </w:r>
      <w:r>
        <w:rPr>
          <w:rFonts w:hint="eastAsia" w:ascii="宋体" w:hAnsi="宋体" w:eastAsia="宋体" w:cs="宋体"/>
          <w:color w:val="auto"/>
          <w:spacing w:val="0"/>
          <w:w w:val="100"/>
          <w:position w:val="0"/>
          <w:sz w:val="21"/>
          <w:szCs w:val="21"/>
        </w:rPr>
        <w:t>污染来源</w:t>
      </w:r>
      <w:bookmarkEnd w:id="27"/>
      <w:bookmarkEnd w:id="28"/>
      <w:bookmarkEnd w:id="30"/>
    </w:p>
    <w:p w14:paraId="1BF639B2">
      <w:pPr>
        <w:pStyle w:val="355"/>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left="0" w:right="0" w:firstLine="44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渗滤液处理系统本身是治理环境污染的基础设施，但由于污染物相对集中，在处理过程中，也会对环境产生不良的影响，造成二次污染，应该进行防范和引起注意。以下为可能影响外部环境的污染源：</w:t>
      </w:r>
    </w:p>
    <w:p w14:paraId="7BEDE574">
      <w:pPr>
        <w:pStyle w:val="355"/>
        <w:keepNext w:val="0"/>
        <w:keepLines w:val="0"/>
        <w:pageBreakBefore w:val="0"/>
        <w:widowControl w:val="0"/>
        <w:numPr>
          <w:ilvl w:val="0"/>
          <w:numId w:val="0"/>
        </w:numPr>
        <w:shd w:val="clear" w:color="auto" w:fill="auto"/>
        <w:tabs>
          <w:tab w:val="left" w:pos="1008"/>
        </w:tabs>
        <w:kinsoku/>
        <w:wordWrap/>
        <w:overflowPunct/>
        <w:topLinePunct w:val="0"/>
        <w:autoSpaceDE/>
        <w:autoSpaceDN/>
        <w:bidi w:val="0"/>
        <w:adjustRightInd/>
        <w:snapToGrid/>
        <w:spacing w:before="0" w:line="360" w:lineRule="auto"/>
        <w:ind w:right="0" w:rightChars="0" w:firstLine="420" w:firstLineChars="200"/>
        <w:jc w:val="both"/>
        <w:textAlignment w:val="auto"/>
        <w:rPr>
          <w:rFonts w:hint="eastAsia" w:ascii="宋体" w:hAnsi="宋体" w:eastAsia="宋体" w:cs="宋体"/>
          <w:color w:val="auto"/>
          <w:sz w:val="21"/>
          <w:szCs w:val="21"/>
        </w:rPr>
      </w:pPr>
      <w:bookmarkStart w:id="31" w:name="bookmark71"/>
      <w:bookmarkEnd w:id="31"/>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lang w:val="en-US" w:eastAsia="zh-CN"/>
        </w:rPr>
        <w:t>1</w:t>
      </w:r>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rPr>
        <w:t>生物处理过程中产生的污泥；</w:t>
      </w:r>
    </w:p>
    <w:p w14:paraId="5C1DAFEA">
      <w:pPr>
        <w:pStyle w:val="355"/>
        <w:keepNext w:val="0"/>
        <w:keepLines w:val="0"/>
        <w:pageBreakBefore w:val="0"/>
        <w:widowControl w:val="0"/>
        <w:numPr>
          <w:ilvl w:val="0"/>
          <w:numId w:val="0"/>
        </w:numPr>
        <w:shd w:val="clear" w:color="auto" w:fill="auto"/>
        <w:tabs>
          <w:tab w:val="left" w:pos="1008"/>
        </w:tabs>
        <w:kinsoku/>
        <w:wordWrap/>
        <w:overflowPunct/>
        <w:topLinePunct w:val="0"/>
        <w:autoSpaceDE/>
        <w:autoSpaceDN/>
        <w:bidi w:val="0"/>
        <w:adjustRightInd/>
        <w:snapToGrid/>
        <w:spacing w:before="0" w:line="360" w:lineRule="auto"/>
        <w:ind w:right="0" w:rightChars="0" w:firstLine="420" w:firstLineChars="200"/>
        <w:jc w:val="both"/>
        <w:textAlignment w:val="auto"/>
        <w:rPr>
          <w:rFonts w:hint="eastAsia" w:ascii="宋体" w:hAnsi="宋体" w:eastAsia="宋体" w:cs="宋体"/>
          <w:color w:val="auto"/>
          <w:sz w:val="21"/>
          <w:szCs w:val="21"/>
        </w:rPr>
      </w:pPr>
      <w:bookmarkStart w:id="32" w:name="bookmark72"/>
      <w:bookmarkEnd w:id="32"/>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lang w:val="en-US" w:eastAsia="zh-CN"/>
        </w:rPr>
        <w:t>2</w:t>
      </w:r>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rPr>
        <w:t>纳滤和反渗透过程产生的浓缩液；</w:t>
      </w:r>
    </w:p>
    <w:p w14:paraId="15296039">
      <w:pPr>
        <w:pStyle w:val="355"/>
        <w:keepNext w:val="0"/>
        <w:keepLines w:val="0"/>
        <w:pageBreakBefore w:val="0"/>
        <w:widowControl w:val="0"/>
        <w:numPr>
          <w:ilvl w:val="0"/>
          <w:numId w:val="0"/>
        </w:numPr>
        <w:shd w:val="clear" w:color="auto" w:fill="auto"/>
        <w:tabs>
          <w:tab w:val="left" w:pos="1008"/>
        </w:tabs>
        <w:kinsoku/>
        <w:wordWrap/>
        <w:overflowPunct/>
        <w:topLinePunct w:val="0"/>
        <w:autoSpaceDE/>
        <w:autoSpaceDN/>
        <w:bidi w:val="0"/>
        <w:adjustRightInd/>
        <w:snapToGrid/>
        <w:spacing w:before="0" w:line="360" w:lineRule="auto"/>
        <w:ind w:right="0" w:rightChars="0" w:firstLine="420" w:firstLineChars="200"/>
        <w:jc w:val="both"/>
        <w:textAlignment w:val="auto"/>
        <w:rPr>
          <w:rFonts w:hint="eastAsia" w:ascii="宋体" w:hAnsi="宋体" w:eastAsia="宋体" w:cs="宋体"/>
          <w:color w:val="auto"/>
          <w:sz w:val="21"/>
          <w:szCs w:val="21"/>
        </w:rPr>
      </w:pPr>
      <w:bookmarkStart w:id="33" w:name="bookmark73"/>
      <w:bookmarkEnd w:id="33"/>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lang w:val="en-US" w:eastAsia="zh-CN"/>
        </w:rPr>
        <w:t>3</w:t>
      </w:r>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rPr>
        <w:t>污水处理过程散发的气味；</w:t>
      </w:r>
    </w:p>
    <w:p w14:paraId="3A00AD58">
      <w:pPr>
        <w:pStyle w:val="730"/>
        <w:keepNext/>
        <w:keepLines/>
        <w:pageBreakBefore w:val="0"/>
        <w:widowControl w:val="0"/>
        <w:numPr>
          <w:ilvl w:val="0"/>
          <w:numId w:val="0"/>
        </w:numPr>
        <w:shd w:val="clear" w:color="auto" w:fill="auto"/>
        <w:tabs>
          <w:tab w:val="left" w:pos="823"/>
        </w:tabs>
        <w:kinsoku/>
        <w:wordWrap/>
        <w:overflowPunct/>
        <w:topLinePunct w:val="0"/>
        <w:autoSpaceDE/>
        <w:autoSpaceDN/>
        <w:bidi w:val="0"/>
        <w:adjustRightInd/>
        <w:snapToGrid/>
        <w:spacing w:before="0" w:line="360" w:lineRule="auto"/>
        <w:ind w:right="0" w:rightChars="0" w:firstLine="422" w:firstLineChars="200"/>
        <w:jc w:val="both"/>
        <w:textAlignment w:val="auto"/>
        <w:rPr>
          <w:rFonts w:hint="eastAsia" w:ascii="宋体" w:hAnsi="宋体" w:eastAsia="宋体" w:cs="宋体"/>
          <w:color w:val="auto"/>
          <w:sz w:val="21"/>
          <w:szCs w:val="21"/>
        </w:rPr>
      </w:pPr>
      <w:bookmarkStart w:id="34" w:name="bookmark76"/>
      <w:bookmarkEnd w:id="34"/>
      <w:bookmarkStart w:id="35" w:name="bookmark75"/>
      <w:bookmarkStart w:id="36" w:name="bookmark77"/>
      <w:bookmarkStart w:id="37" w:name="bookmark74"/>
      <w:r>
        <w:rPr>
          <w:rFonts w:hint="eastAsia" w:ascii="宋体" w:hAnsi="宋体" w:eastAsia="宋体" w:cs="宋体"/>
          <w:color w:val="auto"/>
          <w:spacing w:val="0"/>
          <w:w w:val="100"/>
          <w:position w:val="0"/>
          <w:sz w:val="21"/>
          <w:szCs w:val="21"/>
          <w:lang w:val="en-US" w:eastAsia="zh-CN"/>
        </w:rPr>
        <w:t>2</w:t>
      </w:r>
      <w:r>
        <w:rPr>
          <w:rFonts w:hint="eastAsia" w:cs="宋体"/>
          <w:color w:val="auto"/>
          <w:spacing w:val="0"/>
          <w:w w:val="100"/>
          <w:position w:val="0"/>
          <w:sz w:val="21"/>
          <w:szCs w:val="21"/>
          <w:lang w:val="en-US" w:eastAsia="zh-CN"/>
        </w:rPr>
        <w:t>.</w:t>
      </w:r>
      <w:r>
        <w:rPr>
          <w:rFonts w:hint="eastAsia" w:ascii="宋体" w:hAnsi="宋体" w:eastAsia="宋体" w:cs="宋体"/>
          <w:color w:val="auto"/>
          <w:spacing w:val="0"/>
          <w:w w:val="100"/>
          <w:position w:val="0"/>
          <w:sz w:val="21"/>
          <w:szCs w:val="21"/>
        </w:rPr>
        <w:t>环境保护措施</w:t>
      </w:r>
      <w:bookmarkEnd w:id="35"/>
      <w:bookmarkEnd w:id="36"/>
      <w:bookmarkEnd w:id="37"/>
    </w:p>
    <w:p w14:paraId="50BAB925">
      <w:pPr>
        <w:pStyle w:val="355"/>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left="0" w:right="0" w:firstLine="42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rPr>
        <w:t>针对上述可能影响外部环境的污染源，本方案采取以下措施：</w:t>
      </w:r>
    </w:p>
    <w:p w14:paraId="6E67B30B">
      <w:pPr>
        <w:pStyle w:val="355"/>
        <w:keepNext w:val="0"/>
        <w:keepLines w:val="0"/>
        <w:pageBreakBefore w:val="0"/>
        <w:widowControl w:val="0"/>
        <w:shd w:val="clear" w:color="auto" w:fill="auto"/>
        <w:kinsoku/>
        <w:wordWrap/>
        <w:overflowPunct/>
        <w:topLinePunct w:val="0"/>
        <w:autoSpaceDE/>
        <w:autoSpaceDN/>
        <w:bidi w:val="0"/>
        <w:adjustRightInd/>
        <w:snapToGrid/>
        <w:spacing w:before="0" w:line="360" w:lineRule="auto"/>
        <w:ind w:left="0" w:right="0" w:firstLine="440"/>
        <w:jc w:val="both"/>
        <w:textAlignment w:val="auto"/>
        <w:rPr>
          <w:rFonts w:hint="eastAsia" w:ascii="宋体" w:hAnsi="宋体" w:eastAsia="宋体" w:cs="宋体"/>
          <w:color w:val="auto"/>
          <w:spacing w:val="0"/>
          <w:w w:val="100"/>
          <w:position w:val="0"/>
          <w:sz w:val="21"/>
          <w:szCs w:val="21"/>
        </w:rPr>
      </w:pPr>
      <w:bookmarkStart w:id="38" w:name="bookmark78"/>
      <w:bookmarkEnd w:id="38"/>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lang w:val="en-US" w:eastAsia="zh-CN"/>
        </w:rPr>
        <w:t>1</w:t>
      </w:r>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rPr>
        <w:t>渗滤液处理设施运行时杜绝跑、冒、滴、漏，采取必要的除臭手段，使气味的影响降至最低。</w:t>
      </w:r>
    </w:p>
    <w:p w14:paraId="11D96686">
      <w:pPr>
        <w:pageBreakBefore w:val="0"/>
        <w:widowControl w:val="0"/>
        <w:kinsoku/>
        <w:wordWrap/>
        <w:overflowPunct/>
        <w:topLinePunct w:val="0"/>
        <w:autoSpaceDE/>
        <w:autoSpaceDN/>
        <w:bidi w:val="0"/>
        <w:adjustRightInd/>
        <w:snapToGrid/>
        <w:spacing w:line="360" w:lineRule="auto"/>
        <w:ind w:firstLine="420" w:firstLineChars="200"/>
        <w:textAlignment w:val="auto"/>
        <w:outlineLvl w:val="0"/>
        <w:rPr>
          <w:rFonts w:hint="eastAsia" w:eastAsia="宋体"/>
          <w:b/>
          <w:color w:val="auto"/>
          <w:sz w:val="24"/>
        </w:rPr>
      </w:pPr>
      <w:bookmarkStart w:id="39" w:name="bookmark79"/>
      <w:bookmarkEnd w:id="39"/>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lang w:val="en-US" w:eastAsia="zh-CN"/>
        </w:rPr>
        <w:t>2</w:t>
      </w:r>
      <w:r>
        <w:rPr>
          <w:rFonts w:hint="eastAsia" w:ascii="宋体" w:hAnsi="宋体" w:eastAsia="宋体" w:cs="宋体"/>
          <w:color w:val="auto"/>
          <w:spacing w:val="0"/>
          <w:w w:val="100"/>
          <w:position w:val="0"/>
          <w:sz w:val="21"/>
          <w:szCs w:val="21"/>
          <w:lang w:eastAsia="zh-CN"/>
        </w:rPr>
        <w:t>）</w:t>
      </w:r>
      <w:r>
        <w:rPr>
          <w:rFonts w:hint="eastAsia" w:ascii="宋体" w:hAnsi="宋体" w:eastAsia="宋体" w:cs="宋体"/>
          <w:color w:val="auto"/>
          <w:spacing w:val="0"/>
          <w:w w:val="100"/>
          <w:position w:val="0"/>
          <w:sz w:val="21"/>
          <w:szCs w:val="21"/>
        </w:rPr>
        <w:t>在运营过程中由于设备更换需停止运营一周以上时，需申报采购</w:t>
      </w:r>
      <w:r>
        <w:rPr>
          <w:rFonts w:hint="eastAsia" w:ascii="宋体" w:hAnsi="宋体" w:eastAsia="宋体" w:cs="宋体"/>
          <w:color w:val="auto"/>
          <w:spacing w:val="0"/>
          <w:w w:val="100"/>
          <w:position w:val="0"/>
          <w:sz w:val="21"/>
          <w:szCs w:val="21"/>
          <w:lang w:eastAsia="zh-CN"/>
        </w:rPr>
        <w:t>人</w:t>
      </w:r>
      <w:r>
        <w:rPr>
          <w:rFonts w:hint="eastAsia" w:ascii="宋体" w:hAnsi="宋体" w:eastAsia="宋体" w:cs="宋体"/>
          <w:color w:val="auto"/>
          <w:spacing w:val="0"/>
          <w:w w:val="100"/>
          <w:position w:val="0"/>
          <w:sz w:val="21"/>
          <w:szCs w:val="21"/>
        </w:rPr>
        <w:t>及当地</w:t>
      </w:r>
      <w:r>
        <w:rPr>
          <w:rFonts w:hint="eastAsia" w:ascii="宋体" w:hAnsi="宋体" w:eastAsia="宋体" w:cs="宋体"/>
          <w:color w:val="auto"/>
          <w:spacing w:val="0"/>
          <w:w w:val="100"/>
          <w:position w:val="0"/>
          <w:sz w:val="21"/>
          <w:szCs w:val="21"/>
          <w:lang w:eastAsia="zh-CN"/>
        </w:rPr>
        <w:t>相关</w:t>
      </w:r>
      <w:r>
        <w:rPr>
          <w:rFonts w:hint="eastAsia" w:ascii="宋体" w:hAnsi="宋体" w:eastAsia="宋体" w:cs="宋体"/>
          <w:color w:val="auto"/>
          <w:spacing w:val="0"/>
          <w:w w:val="100"/>
          <w:position w:val="0"/>
          <w:sz w:val="21"/>
          <w:szCs w:val="21"/>
        </w:rPr>
        <w:t>部门批示。</w:t>
      </w:r>
    </w:p>
    <w:p w14:paraId="240690F2">
      <w:pPr>
        <w:spacing w:line="360" w:lineRule="auto"/>
        <w:outlineLvl w:val="0"/>
        <w:rPr>
          <w:rFonts w:hint="eastAsia" w:eastAsia="宋体"/>
          <w:b/>
          <w:color w:val="auto"/>
          <w:sz w:val="24"/>
          <w:lang w:eastAsia="zh-CN"/>
        </w:rPr>
      </w:pPr>
    </w:p>
    <w:p w14:paraId="31D7EF21">
      <w:pPr>
        <w:spacing w:line="360" w:lineRule="auto"/>
        <w:outlineLvl w:val="0"/>
        <w:rPr>
          <w:rFonts w:hint="eastAsia" w:eastAsia="宋体"/>
          <w:b/>
          <w:color w:val="auto"/>
          <w:sz w:val="24"/>
          <w:lang w:eastAsia="zh-CN"/>
        </w:rPr>
      </w:pPr>
    </w:p>
    <w:p w14:paraId="52204E54">
      <w:pPr>
        <w:spacing w:line="360" w:lineRule="auto"/>
        <w:outlineLvl w:val="0"/>
        <w:rPr>
          <w:rFonts w:hint="eastAsia" w:eastAsia="宋体"/>
          <w:b/>
          <w:color w:val="auto"/>
          <w:sz w:val="24"/>
          <w:lang w:eastAsia="zh-CN"/>
        </w:rPr>
      </w:pPr>
      <w:r>
        <w:rPr>
          <w:rFonts w:hint="eastAsia" w:eastAsia="宋体"/>
          <w:b/>
          <w:color w:val="auto"/>
          <w:sz w:val="24"/>
          <w:lang w:eastAsia="zh-CN"/>
        </w:rPr>
        <w:t>附件一：</w:t>
      </w:r>
    </w:p>
    <w:p w14:paraId="49FDBDF7">
      <w:pPr>
        <w:jc w:val="both"/>
        <w:rPr>
          <w:rFonts w:hint="eastAsia" w:ascii="黑体" w:eastAsia="黑体"/>
          <w:color w:val="auto"/>
          <w:sz w:val="36"/>
          <w:szCs w:val="36"/>
          <w:highlight w:val="none"/>
          <w:lang w:eastAsia="zh-CN"/>
        </w:rPr>
      </w:pPr>
      <w:r>
        <w:rPr>
          <w:rFonts w:hint="eastAsia" w:ascii="黑体" w:eastAsia="黑体"/>
          <w:color w:val="auto"/>
          <w:sz w:val="36"/>
          <w:szCs w:val="36"/>
          <w:highlight w:val="none"/>
          <w:lang w:eastAsia="zh-CN"/>
        </w:rPr>
        <w:t>孙家岙渗滤液处置</w:t>
      </w:r>
      <w:r>
        <w:rPr>
          <w:rFonts w:hint="eastAsia" w:ascii="黑体" w:eastAsia="黑体"/>
          <w:color w:val="auto"/>
          <w:sz w:val="36"/>
          <w:szCs w:val="36"/>
          <w:highlight w:val="none"/>
        </w:rPr>
        <w:t>服务考核评分表</w:t>
      </w:r>
      <w:r>
        <w:rPr>
          <w:rFonts w:hint="eastAsia" w:ascii="黑体" w:eastAsia="黑体"/>
          <w:color w:val="auto"/>
          <w:sz w:val="36"/>
          <w:szCs w:val="36"/>
          <w:highlight w:val="none"/>
          <w:lang w:eastAsia="zh-CN"/>
        </w:rPr>
        <w:t>（</w:t>
      </w:r>
      <w:r>
        <w:rPr>
          <w:rFonts w:hint="eastAsia" w:ascii="黑体" w:eastAsia="黑体"/>
          <w:color w:val="auto"/>
          <w:sz w:val="36"/>
          <w:szCs w:val="36"/>
          <w:highlight w:val="none"/>
          <w:lang w:val="en-US" w:eastAsia="zh-CN"/>
        </w:rPr>
        <w:t xml:space="preserve">   年 月</w:t>
      </w:r>
      <w:r>
        <w:rPr>
          <w:rFonts w:hint="eastAsia" w:ascii="黑体" w:eastAsia="黑体"/>
          <w:color w:val="auto"/>
          <w:sz w:val="36"/>
          <w:szCs w:val="36"/>
          <w:highlight w:val="none"/>
          <w:lang w:eastAsia="zh-CN"/>
        </w:rPr>
        <w:t>）</w:t>
      </w:r>
    </w:p>
    <w:tbl>
      <w:tblPr>
        <w:tblStyle w:val="62"/>
        <w:tblW w:w="103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3"/>
        <w:gridCol w:w="5579"/>
        <w:gridCol w:w="631"/>
        <w:gridCol w:w="2325"/>
        <w:gridCol w:w="672"/>
      </w:tblGrid>
      <w:tr w14:paraId="7064E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3" w:hRule="atLeast"/>
          <w:jc w:val="center"/>
        </w:trPr>
        <w:tc>
          <w:tcPr>
            <w:tcW w:w="1093" w:type="dxa"/>
            <w:noWrap w:val="0"/>
            <w:vAlign w:val="center"/>
          </w:tcPr>
          <w:p w14:paraId="5E743A1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考核项目</w:t>
            </w:r>
          </w:p>
        </w:tc>
        <w:tc>
          <w:tcPr>
            <w:tcW w:w="5579" w:type="dxa"/>
            <w:noWrap w:val="0"/>
            <w:vAlign w:val="center"/>
          </w:tcPr>
          <w:p w14:paraId="179CEAE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考核内容及评分标准</w:t>
            </w:r>
          </w:p>
        </w:tc>
        <w:tc>
          <w:tcPr>
            <w:tcW w:w="631" w:type="dxa"/>
            <w:noWrap w:val="0"/>
            <w:vAlign w:val="center"/>
          </w:tcPr>
          <w:p w14:paraId="07B5E74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分值</w:t>
            </w:r>
          </w:p>
        </w:tc>
        <w:tc>
          <w:tcPr>
            <w:tcW w:w="2325" w:type="dxa"/>
            <w:noWrap w:val="0"/>
            <w:vAlign w:val="center"/>
          </w:tcPr>
          <w:p w14:paraId="3922C7F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得分</w:t>
            </w:r>
          </w:p>
        </w:tc>
        <w:tc>
          <w:tcPr>
            <w:tcW w:w="672" w:type="dxa"/>
            <w:noWrap w:val="0"/>
            <w:vAlign w:val="center"/>
          </w:tcPr>
          <w:p w14:paraId="0E19F80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r>
              <w:rPr>
                <w:rFonts w:hint="eastAsia"/>
                <w:color w:val="auto"/>
                <w:sz w:val="18"/>
                <w:szCs w:val="18"/>
              </w:rPr>
              <w:t>扣分</w:t>
            </w:r>
          </w:p>
        </w:tc>
      </w:tr>
      <w:tr w14:paraId="6FC17C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restart"/>
            <w:noWrap w:val="0"/>
            <w:vAlign w:val="center"/>
          </w:tcPr>
          <w:p w14:paraId="06A06B4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档案管理</w:t>
            </w:r>
          </w:p>
          <w:p w14:paraId="6642AA7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w:t>
            </w:r>
            <w:r>
              <w:rPr>
                <w:rFonts w:hint="eastAsia" w:ascii="宋体" w:hAnsi="宋体" w:cs="宋体"/>
                <w:color w:val="auto"/>
                <w:sz w:val="18"/>
                <w:szCs w:val="18"/>
                <w:lang w:val="en-US" w:eastAsia="zh-CN"/>
              </w:rPr>
              <w:t>10</w:t>
            </w:r>
            <w:r>
              <w:rPr>
                <w:rFonts w:hint="eastAsia" w:ascii="宋体" w:hAnsi="宋体" w:eastAsia="宋体" w:cs="宋体"/>
                <w:color w:val="auto"/>
                <w:sz w:val="18"/>
                <w:szCs w:val="18"/>
              </w:rPr>
              <w:t>分）</w:t>
            </w:r>
          </w:p>
        </w:tc>
        <w:tc>
          <w:tcPr>
            <w:tcW w:w="5579" w:type="dxa"/>
            <w:noWrap w:val="0"/>
            <w:vAlign w:val="center"/>
          </w:tcPr>
          <w:p w14:paraId="4EF49FA4">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建立各种规章制度，如对员工管理制度；各工种作业人员的岗位责任制、安全作业规范等管理制度；设施</w:t>
            </w:r>
            <w:r>
              <w:rPr>
                <w:rFonts w:hint="eastAsia" w:ascii="宋体" w:hAnsi="宋体" w:cs="宋体"/>
                <w:color w:val="auto"/>
                <w:sz w:val="18"/>
                <w:szCs w:val="18"/>
                <w:lang w:eastAsia="zh-CN"/>
              </w:rPr>
              <w:t>设备维修</w:t>
            </w:r>
            <w:r>
              <w:rPr>
                <w:rFonts w:hint="eastAsia" w:ascii="宋体" w:hAnsi="宋体" w:eastAsia="宋体" w:cs="宋体"/>
                <w:color w:val="auto"/>
                <w:sz w:val="18"/>
                <w:szCs w:val="18"/>
              </w:rPr>
              <w:t>管理</w:t>
            </w:r>
            <w:r>
              <w:rPr>
                <w:rFonts w:hint="eastAsia" w:ascii="宋体" w:hAnsi="宋体" w:cs="宋体"/>
                <w:color w:val="auto"/>
                <w:sz w:val="18"/>
                <w:szCs w:val="18"/>
                <w:lang w:eastAsia="zh-CN"/>
              </w:rPr>
              <w:t>保养</w:t>
            </w:r>
            <w:r>
              <w:rPr>
                <w:rFonts w:hint="eastAsia" w:ascii="宋体" w:hAnsi="宋体" w:eastAsia="宋体" w:cs="宋体"/>
                <w:color w:val="auto"/>
                <w:sz w:val="18"/>
                <w:szCs w:val="18"/>
              </w:rPr>
              <w:t>制度；各种内部（奖惩）考核制度等；建立必需的台账资料：内部巡查</w:t>
            </w:r>
            <w:r>
              <w:rPr>
                <w:rFonts w:hint="eastAsia" w:ascii="宋体" w:hAnsi="宋体" w:cs="宋体"/>
                <w:color w:val="auto"/>
                <w:sz w:val="18"/>
                <w:szCs w:val="18"/>
                <w:lang w:eastAsia="zh-CN"/>
              </w:rPr>
              <w:t>台账</w:t>
            </w:r>
            <w:r>
              <w:rPr>
                <w:rFonts w:hint="eastAsia" w:ascii="宋体" w:hAnsi="宋体" w:eastAsia="宋体" w:cs="宋体"/>
                <w:color w:val="auto"/>
                <w:sz w:val="18"/>
                <w:szCs w:val="18"/>
              </w:rPr>
              <w:t>、</w:t>
            </w:r>
            <w:r>
              <w:rPr>
                <w:rFonts w:hint="eastAsia" w:ascii="宋体" w:hAnsi="宋体" w:cs="宋体"/>
                <w:color w:val="auto"/>
                <w:sz w:val="18"/>
                <w:szCs w:val="18"/>
                <w:lang w:eastAsia="zh-CN"/>
              </w:rPr>
              <w:t>人员考勤</w:t>
            </w:r>
            <w:r>
              <w:rPr>
                <w:rFonts w:hint="eastAsia" w:ascii="宋体" w:hAnsi="宋体" w:eastAsia="宋体" w:cs="宋体"/>
                <w:color w:val="auto"/>
                <w:sz w:val="18"/>
                <w:szCs w:val="18"/>
              </w:rPr>
              <w:t>台账</w:t>
            </w:r>
            <w:r>
              <w:rPr>
                <w:rFonts w:hint="eastAsia" w:ascii="宋体" w:hAnsi="宋体" w:cs="宋体"/>
                <w:color w:val="auto"/>
                <w:sz w:val="18"/>
                <w:szCs w:val="18"/>
                <w:lang w:eastAsia="zh-CN"/>
              </w:rPr>
              <w:t>、渗滤液处置</w:t>
            </w:r>
            <w:r>
              <w:rPr>
                <w:rFonts w:hint="eastAsia" w:ascii="宋体" w:hAnsi="宋体" w:eastAsia="宋体" w:cs="宋体"/>
                <w:color w:val="auto"/>
                <w:sz w:val="18"/>
                <w:szCs w:val="18"/>
              </w:rPr>
              <w:t>数据台账</w:t>
            </w:r>
            <w:r>
              <w:rPr>
                <w:rFonts w:hint="eastAsia" w:ascii="宋体" w:hAnsi="宋体" w:cs="宋体"/>
                <w:color w:val="auto"/>
                <w:sz w:val="18"/>
                <w:szCs w:val="18"/>
                <w:lang w:eastAsia="zh-CN"/>
              </w:rPr>
              <w:t>、</w:t>
            </w:r>
            <w:r>
              <w:rPr>
                <w:rFonts w:hint="eastAsia" w:ascii="宋体" w:hAnsi="宋体" w:eastAsia="宋体" w:cs="宋体"/>
                <w:color w:val="auto"/>
                <w:sz w:val="18"/>
                <w:szCs w:val="18"/>
              </w:rPr>
              <w:t>安全管理台帐等</w:t>
            </w:r>
          </w:p>
        </w:tc>
        <w:tc>
          <w:tcPr>
            <w:tcW w:w="631" w:type="dxa"/>
            <w:noWrap w:val="0"/>
            <w:vAlign w:val="center"/>
          </w:tcPr>
          <w:p w14:paraId="371F198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eastAsia="zh-CN"/>
              </w:rPr>
            </w:pPr>
            <w:r>
              <w:rPr>
                <w:rFonts w:hint="eastAsia" w:ascii="宋体" w:hAnsi="宋体" w:cs="宋体"/>
                <w:color w:val="auto"/>
                <w:sz w:val="18"/>
                <w:szCs w:val="18"/>
                <w:lang w:val="en-US" w:eastAsia="zh-CN"/>
              </w:rPr>
              <w:t>5</w:t>
            </w:r>
          </w:p>
        </w:tc>
        <w:tc>
          <w:tcPr>
            <w:tcW w:w="2325" w:type="dxa"/>
            <w:noWrap w:val="0"/>
            <w:vAlign w:val="center"/>
          </w:tcPr>
          <w:p w14:paraId="1D4C466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未做到的，每项扣</w:t>
            </w:r>
            <w:r>
              <w:rPr>
                <w:rFonts w:hint="eastAsia" w:ascii="宋体" w:hAnsi="宋体" w:cs="宋体"/>
                <w:color w:val="auto"/>
                <w:sz w:val="18"/>
                <w:szCs w:val="18"/>
                <w:lang w:val="en-US" w:eastAsia="zh-CN"/>
              </w:rPr>
              <w:t>1</w:t>
            </w:r>
            <w:r>
              <w:rPr>
                <w:rFonts w:hint="eastAsia" w:ascii="宋体" w:hAnsi="宋体" w:eastAsia="宋体" w:cs="宋体"/>
                <w:color w:val="auto"/>
                <w:sz w:val="18"/>
                <w:szCs w:val="18"/>
              </w:rPr>
              <w:t>分</w:t>
            </w:r>
          </w:p>
        </w:tc>
        <w:tc>
          <w:tcPr>
            <w:tcW w:w="672" w:type="dxa"/>
            <w:noWrap w:val="0"/>
            <w:vAlign w:val="center"/>
          </w:tcPr>
          <w:p w14:paraId="7E224AF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0FDA30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continue"/>
            <w:noWrap w:val="0"/>
            <w:vAlign w:val="center"/>
          </w:tcPr>
          <w:p w14:paraId="4F34B67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5579" w:type="dxa"/>
            <w:noWrap w:val="0"/>
            <w:vAlign w:val="center"/>
          </w:tcPr>
          <w:p w14:paraId="7D310631">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kern w:val="0"/>
                <w:sz w:val="18"/>
                <w:szCs w:val="18"/>
              </w:rPr>
              <w:t>台帐资料齐全，每月及时报送</w:t>
            </w:r>
          </w:p>
        </w:tc>
        <w:tc>
          <w:tcPr>
            <w:tcW w:w="631" w:type="dxa"/>
            <w:noWrap w:val="0"/>
            <w:vAlign w:val="center"/>
          </w:tcPr>
          <w:p w14:paraId="2E91486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eastAsia="zh-CN"/>
              </w:rPr>
            </w:pPr>
            <w:r>
              <w:rPr>
                <w:rFonts w:hint="eastAsia" w:ascii="宋体" w:hAnsi="宋体" w:cs="宋体"/>
                <w:color w:val="auto"/>
                <w:sz w:val="18"/>
                <w:szCs w:val="18"/>
                <w:lang w:val="en-US" w:eastAsia="zh-CN"/>
              </w:rPr>
              <w:t>5</w:t>
            </w:r>
          </w:p>
        </w:tc>
        <w:tc>
          <w:tcPr>
            <w:tcW w:w="2325" w:type="dxa"/>
            <w:noWrap w:val="0"/>
            <w:vAlign w:val="center"/>
          </w:tcPr>
          <w:p w14:paraId="17A15A4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未做到的，每项扣</w:t>
            </w:r>
            <w:r>
              <w:rPr>
                <w:rFonts w:hint="eastAsia" w:ascii="宋体" w:hAnsi="宋体" w:cs="宋体"/>
                <w:color w:val="auto"/>
                <w:sz w:val="18"/>
                <w:szCs w:val="18"/>
                <w:lang w:val="en-US" w:eastAsia="zh-CN"/>
              </w:rPr>
              <w:t>1</w:t>
            </w:r>
            <w:r>
              <w:rPr>
                <w:rFonts w:hint="eastAsia" w:ascii="宋体" w:hAnsi="宋体" w:eastAsia="宋体" w:cs="宋体"/>
                <w:color w:val="auto"/>
                <w:sz w:val="18"/>
                <w:szCs w:val="18"/>
              </w:rPr>
              <w:t>分</w:t>
            </w:r>
          </w:p>
        </w:tc>
        <w:tc>
          <w:tcPr>
            <w:tcW w:w="672" w:type="dxa"/>
            <w:noWrap w:val="0"/>
            <w:vAlign w:val="center"/>
          </w:tcPr>
          <w:p w14:paraId="11A5463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3D6DB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restart"/>
            <w:noWrap w:val="0"/>
            <w:vAlign w:val="center"/>
          </w:tcPr>
          <w:p w14:paraId="50D912C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人员管理</w:t>
            </w:r>
          </w:p>
          <w:p w14:paraId="3C2BCA8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w:t>
            </w:r>
            <w:r>
              <w:rPr>
                <w:rFonts w:hint="eastAsia" w:ascii="宋体" w:hAnsi="宋体" w:cs="宋体"/>
                <w:color w:val="auto"/>
                <w:sz w:val="18"/>
                <w:szCs w:val="18"/>
                <w:lang w:val="en-US" w:eastAsia="zh-CN"/>
              </w:rPr>
              <w:t>15</w:t>
            </w:r>
            <w:r>
              <w:rPr>
                <w:rFonts w:hint="eastAsia" w:ascii="宋体" w:hAnsi="宋体" w:eastAsia="宋体" w:cs="宋体"/>
                <w:color w:val="auto"/>
                <w:sz w:val="18"/>
                <w:szCs w:val="18"/>
              </w:rPr>
              <w:t>分)</w:t>
            </w:r>
          </w:p>
        </w:tc>
        <w:tc>
          <w:tcPr>
            <w:tcW w:w="5579" w:type="dxa"/>
            <w:noWrap w:val="0"/>
            <w:vAlign w:val="center"/>
          </w:tcPr>
          <w:p w14:paraId="181C50EA">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lang w:val="en-US" w:eastAsia="zh-CN"/>
              </w:rPr>
            </w:pPr>
            <w:r>
              <w:rPr>
                <w:rFonts w:hint="eastAsia" w:ascii="宋体" w:hAnsi="宋体" w:eastAsia="宋体" w:cs="宋体"/>
                <w:color w:val="auto"/>
                <w:sz w:val="18"/>
                <w:szCs w:val="18"/>
                <w:lang w:val="en-US" w:eastAsia="zh-CN"/>
              </w:rPr>
              <w:t>根据项目要求配置相应数量的人员</w:t>
            </w:r>
          </w:p>
        </w:tc>
        <w:tc>
          <w:tcPr>
            <w:tcW w:w="631" w:type="dxa"/>
            <w:noWrap w:val="0"/>
            <w:vAlign w:val="center"/>
          </w:tcPr>
          <w:p w14:paraId="4D5186E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eastAsia="zh-CN"/>
              </w:rPr>
            </w:pPr>
            <w:r>
              <w:rPr>
                <w:rFonts w:hint="eastAsia" w:ascii="宋体" w:hAnsi="宋体" w:cs="宋体"/>
                <w:color w:val="auto"/>
                <w:sz w:val="18"/>
                <w:szCs w:val="18"/>
                <w:lang w:val="en-US" w:eastAsia="zh-CN"/>
              </w:rPr>
              <w:t>8</w:t>
            </w:r>
          </w:p>
        </w:tc>
        <w:tc>
          <w:tcPr>
            <w:tcW w:w="2325" w:type="dxa"/>
            <w:noWrap w:val="0"/>
            <w:vAlign w:val="center"/>
          </w:tcPr>
          <w:p w14:paraId="36DD05C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未配备齐全，每个扣2分，不设下限</w:t>
            </w:r>
          </w:p>
        </w:tc>
        <w:tc>
          <w:tcPr>
            <w:tcW w:w="672" w:type="dxa"/>
            <w:noWrap w:val="0"/>
            <w:vAlign w:val="center"/>
          </w:tcPr>
          <w:p w14:paraId="13C8CDD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0A45B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continue"/>
            <w:noWrap w:val="0"/>
            <w:vAlign w:val="center"/>
          </w:tcPr>
          <w:p w14:paraId="00EDD871">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5579" w:type="dxa"/>
            <w:noWrap w:val="0"/>
            <w:vAlign w:val="center"/>
          </w:tcPr>
          <w:p w14:paraId="36AB7ABF">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工作人员分工明确，各司其职。</w:t>
            </w:r>
          </w:p>
        </w:tc>
        <w:tc>
          <w:tcPr>
            <w:tcW w:w="631" w:type="dxa"/>
            <w:noWrap w:val="0"/>
            <w:vAlign w:val="center"/>
          </w:tcPr>
          <w:p w14:paraId="76420DD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eastAsia="zh-CN"/>
              </w:rPr>
            </w:pPr>
            <w:r>
              <w:rPr>
                <w:rFonts w:hint="eastAsia" w:ascii="宋体" w:hAnsi="宋体" w:cs="宋体"/>
                <w:color w:val="auto"/>
                <w:sz w:val="18"/>
                <w:szCs w:val="18"/>
                <w:lang w:val="en-US" w:eastAsia="zh-CN"/>
              </w:rPr>
              <w:t>2</w:t>
            </w:r>
          </w:p>
        </w:tc>
        <w:tc>
          <w:tcPr>
            <w:tcW w:w="2325" w:type="dxa"/>
            <w:noWrap w:val="0"/>
            <w:vAlign w:val="center"/>
          </w:tcPr>
          <w:p w14:paraId="5595344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未做到的，本项不得分</w:t>
            </w:r>
          </w:p>
        </w:tc>
        <w:tc>
          <w:tcPr>
            <w:tcW w:w="672" w:type="dxa"/>
            <w:noWrap w:val="0"/>
            <w:vAlign w:val="center"/>
          </w:tcPr>
          <w:p w14:paraId="40961EC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3F709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continue"/>
            <w:noWrap w:val="0"/>
            <w:vAlign w:val="center"/>
          </w:tcPr>
          <w:p w14:paraId="28BBDCE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5579" w:type="dxa"/>
            <w:noWrap w:val="0"/>
            <w:vAlign w:val="center"/>
          </w:tcPr>
          <w:p w14:paraId="0CE648A3">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工作人员特殊岗位需持证上岗</w:t>
            </w:r>
          </w:p>
        </w:tc>
        <w:tc>
          <w:tcPr>
            <w:tcW w:w="631" w:type="dxa"/>
            <w:noWrap w:val="0"/>
            <w:vAlign w:val="center"/>
          </w:tcPr>
          <w:p w14:paraId="779E78F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eastAsia="zh-CN"/>
              </w:rPr>
            </w:pPr>
            <w:r>
              <w:rPr>
                <w:rFonts w:hint="eastAsia" w:ascii="宋体" w:hAnsi="宋体" w:cs="宋体"/>
                <w:color w:val="auto"/>
                <w:sz w:val="18"/>
                <w:szCs w:val="18"/>
                <w:lang w:val="en-US" w:eastAsia="zh-CN"/>
              </w:rPr>
              <w:t>2</w:t>
            </w:r>
          </w:p>
        </w:tc>
        <w:tc>
          <w:tcPr>
            <w:tcW w:w="2325" w:type="dxa"/>
            <w:noWrap w:val="0"/>
            <w:vAlign w:val="center"/>
          </w:tcPr>
          <w:p w14:paraId="1C29A5F0">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未做到的，本项不得分</w:t>
            </w:r>
          </w:p>
        </w:tc>
        <w:tc>
          <w:tcPr>
            <w:tcW w:w="672" w:type="dxa"/>
            <w:noWrap w:val="0"/>
            <w:vAlign w:val="center"/>
          </w:tcPr>
          <w:p w14:paraId="326B776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3803C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continue"/>
            <w:noWrap w:val="0"/>
            <w:vAlign w:val="center"/>
          </w:tcPr>
          <w:p w14:paraId="2188CDD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5579" w:type="dxa"/>
            <w:noWrap w:val="0"/>
            <w:vAlign w:val="center"/>
          </w:tcPr>
          <w:p w14:paraId="1792A8F5">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工作人员服务态度良好，听从</w:t>
            </w:r>
            <w:r>
              <w:rPr>
                <w:rFonts w:hint="eastAsia" w:ascii="宋体" w:hAnsi="宋体" w:cs="宋体"/>
                <w:color w:val="auto"/>
                <w:sz w:val="18"/>
                <w:szCs w:val="18"/>
                <w:lang w:eastAsia="zh-CN"/>
              </w:rPr>
              <w:t>甲方</w:t>
            </w:r>
            <w:r>
              <w:rPr>
                <w:rFonts w:hint="eastAsia" w:ascii="宋体" w:hAnsi="宋体" w:eastAsia="宋体" w:cs="宋体"/>
                <w:color w:val="auto"/>
                <w:sz w:val="18"/>
                <w:szCs w:val="18"/>
              </w:rPr>
              <w:t>工作人员指挥</w:t>
            </w:r>
          </w:p>
        </w:tc>
        <w:tc>
          <w:tcPr>
            <w:tcW w:w="631" w:type="dxa"/>
            <w:noWrap w:val="0"/>
            <w:vAlign w:val="center"/>
          </w:tcPr>
          <w:p w14:paraId="3472E14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eastAsia="zh-CN"/>
              </w:rPr>
            </w:pPr>
            <w:r>
              <w:rPr>
                <w:rFonts w:hint="eastAsia" w:ascii="宋体" w:hAnsi="宋体" w:cs="宋体"/>
                <w:color w:val="auto"/>
                <w:sz w:val="18"/>
                <w:szCs w:val="18"/>
                <w:lang w:val="en-US" w:eastAsia="zh-CN"/>
              </w:rPr>
              <w:t>3</w:t>
            </w:r>
          </w:p>
        </w:tc>
        <w:tc>
          <w:tcPr>
            <w:tcW w:w="2325" w:type="dxa"/>
            <w:noWrap w:val="0"/>
            <w:vAlign w:val="center"/>
          </w:tcPr>
          <w:p w14:paraId="64BEC71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未做到的，本项不得分</w:t>
            </w:r>
          </w:p>
        </w:tc>
        <w:tc>
          <w:tcPr>
            <w:tcW w:w="672" w:type="dxa"/>
            <w:noWrap w:val="0"/>
            <w:vAlign w:val="center"/>
          </w:tcPr>
          <w:p w14:paraId="78D01AD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60BB2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restart"/>
            <w:noWrap w:val="0"/>
            <w:vAlign w:val="center"/>
          </w:tcPr>
          <w:p w14:paraId="6019A23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 xml:space="preserve"> </w:t>
            </w:r>
            <w:r>
              <w:rPr>
                <w:rFonts w:hint="eastAsia" w:ascii="宋体" w:hAnsi="宋体" w:cs="宋体"/>
                <w:color w:val="auto"/>
                <w:sz w:val="18"/>
                <w:szCs w:val="18"/>
                <w:lang w:eastAsia="zh-CN"/>
              </w:rPr>
              <w:t>设备</w:t>
            </w:r>
            <w:r>
              <w:rPr>
                <w:rFonts w:hint="eastAsia" w:ascii="宋体" w:hAnsi="宋体" w:eastAsia="宋体" w:cs="宋体"/>
                <w:color w:val="auto"/>
                <w:sz w:val="18"/>
                <w:szCs w:val="18"/>
              </w:rPr>
              <w:t>管理</w:t>
            </w:r>
          </w:p>
          <w:p w14:paraId="053615C1">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w:t>
            </w:r>
            <w:r>
              <w:rPr>
                <w:rFonts w:hint="eastAsia" w:ascii="宋体" w:hAnsi="宋体" w:cs="宋体"/>
                <w:color w:val="auto"/>
                <w:sz w:val="18"/>
                <w:szCs w:val="18"/>
                <w:lang w:val="en-US" w:eastAsia="zh-CN"/>
              </w:rPr>
              <w:t>20</w:t>
            </w:r>
            <w:r>
              <w:rPr>
                <w:rFonts w:hint="eastAsia" w:ascii="宋体" w:hAnsi="宋体" w:eastAsia="宋体" w:cs="宋体"/>
                <w:color w:val="auto"/>
                <w:sz w:val="18"/>
                <w:szCs w:val="18"/>
              </w:rPr>
              <w:t>分)</w:t>
            </w:r>
          </w:p>
        </w:tc>
        <w:tc>
          <w:tcPr>
            <w:tcW w:w="5579" w:type="dxa"/>
            <w:noWrap w:val="0"/>
            <w:vAlign w:val="center"/>
          </w:tcPr>
          <w:p w14:paraId="46C7CF8C">
            <w:pPr>
              <w:keepNext w:val="0"/>
              <w:keepLines w:val="0"/>
              <w:pageBreakBefore w:val="0"/>
              <w:tabs>
                <w:tab w:val="left" w:pos="975"/>
              </w:tabs>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lang w:eastAsia="zh-CN"/>
              </w:rPr>
            </w:pPr>
            <w:r>
              <w:rPr>
                <w:rFonts w:hint="eastAsia" w:ascii="宋体" w:hAnsi="宋体" w:eastAsia="宋体" w:cs="宋体"/>
                <w:color w:val="auto"/>
                <w:sz w:val="18"/>
                <w:szCs w:val="18"/>
                <w:lang w:val="en-US" w:eastAsia="zh-CN"/>
              </w:rPr>
              <w:t>根据</w:t>
            </w:r>
            <w:r>
              <w:rPr>
                <w:rFonts w:hint="eastAsia" w:ascii="宋体" w:hAnsi="宋体" w:cs="宋体"/>
                <w:color w:val="auto"/>
                <w:sz w:val="18"/>
                <w:szCs w:val="18"/>
                <w:lang w:val="en-US" w:eastAsia="zh-CN"/>
              </w:rPr>
              <w:t>合同规定</w:t>
            </w:r>
            <w:r>
              <w:rPr>
                <w:rFonts w:hint="eastAsia" w:ascii="宋体" w:hAnsi="宋体" w:eastAsia="宋体" w:cs="宋体"/>
                <w:color w:val="auto"/>
                <w:sz w:val="18"/>
                <w:szCs w:val="18"/>
              </w:rPr>
              <w:t>要求配置</w:t>
            </w:r>
            <w:r>
              <w:rPr>
                <w:rFonts w:hint="eastAsia" w:ascii="宋体" w:hAnsi="宋体" w:cs="宋体"/>
                <w:color w:val="auto"/>
                <w:sz w:val="18"/>
                <w:szCs w:val="18"/>
                <w:lang w:eastAsia="zh-CN"/>
              </w:rPr>
              <w:t>渗滤液处置设备和其他配套设施</w:t>
            </w:r>
          </w:p>
        </w:tc>
        <w:tc>
          <w:tcPr>
            <w:tcW w:w="631" w:type="dxa"/>
            <w:noWrap w:val="0"/>
            <w:vAlign w:val="center"/>
          </w:tcPr>
          <w:p w14:paraId="177A49D7">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r>
              <w:rPr>
                <w:rFonts w:hint="eastAsia" w:ascii="宋体" w:hAnsi="宋体" w:cs="宋体"/>
                <w:color w:val="auto"/>
                <w:sz w:val="18"/>
                <w:szCs w:val="18"/>
                <w:lang w:val="en-US" w:eastAsia="zh-CN"/>
              </w:rPr>
              <w:t>5</w:t>
            </w:r>
          </w:p>
        </w:tc>
        <w:tc>
          <w:tcPr>
            <w:tcW w:w="2325" w:type="dxa"/>
            <w:noWrap w:val="0"/>
            <w:vAlign w:val="center"/>
          </w:tcPr>
          <w:p w14:paraId="09CF611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未做到的，本项不得分</w:t>
            </w:r>
          </w:p>
        </w:tc>
        <w:tc>
          <w:tcPr>
            <w:tcW w:w="672" w:type="dxa"/>
            <w:noWrap w:val="0"/>
            <w:vAlign w:val="center"/>
          </w:tcPr>
          <w:p w14:paraId="1C7B8C0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0A9B3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continue"/>
            <w:noWrap w:val="0"/>
            <w:vAlign w:val="center"/>
          </w:tcPr>
          <w:p w14:paraId="786380C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5579" w:type="dxa"/>
            <w:noWrap w:val="0"/>
            <w:vAlign w:val="center"/>
          </w:tcPr>
          <w:p w14:paraId="6393E6A1">
            <w:pPr>
              <w:keepNext w:val="0"/>
              <w:keepLines w:val="0"/>
              <w:pageBreakBefore w:val="0"/>
              <w:tabs>
                <w:tab w:val="left" w:pos="975"/>
              </w:tabs>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lang w:eastAsia="zh-CN"/>
              </w:rPr>
            </w:pPr>
            <w:r>
              <w:rPr>
                <w:rFonts w:hint="eastAsia" w:ascii="宋体" w:hAnsi="宋体" w:eastAsia="宋体" w:cs="宋体"/>
                <w:color w:val="auto"/>
                <w:sz w:val="18"/>
                <w:szCs w:val="18"/>
              </w:rPr>
              <w:t>文明作业</w:t>
            </w:r>
          </w:p>
        </w:tc>
        <w:tc>
          <w:tcPr>
            <w:tcW w:w="631" w:type="dxa"/>
            <w:noWrap w:val="0"/>
            <w:vAlign w:val="center"/>
          </w:tcPr>
          <w:p w14:paraId="55FC8C9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3</w:t>
            </w:r>
          </w:p>
        </w:tc>
        <w:tc>
          <w:tcPr>
            <w:tcW w:w="2325" w:type="dxa"/>
            <w:noWrap w:val="0"/>
            <w:vAlign w:val="center"/>
          </w:tcPr>
          <w:p w14:paraId="2397A074">
            <w:pPr>
              <w:keepNext w:val="0"/>
              <w:keepLines w:val="0"/>
              <w:pageBreakBefore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被发现或遭投诉的，1次扣1分</w:t>
            </w:r>
          </w:p>
        </w:tc>
        <w:tc>
          <w:tcPr>
            <w:tcW w:w="672" w:type="dxa"/>
            <w:noWrap w:val="0"/>
            <w:vAlign w:val="center"/>
          </w:tcPr>
          <w:p w14:paraId="310A141C">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color w:val="auto"/>
                <w:sz w:val="18"/>
                <w:szCs w:val="18"/>
                <w:lang w:val="en"/>
              </w:rPr>
            </w:pPr>
          </w:p>
        </w:tc>
      </w:tr>
      <w:tr w14:paraId="10B50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continue"/>
            <w:noWrap w:val="0"/>
            <w:vAlign w:val="center"/>
          </w:tcPr>
          <w:p w14:paraId="04CC0571">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5579" w:type="dxa"/>
            <w:noWrap w:val="0"/>
            <w:vAlign w:val="center"/>
          </w:tcPr>
          <w:p w14:paraId="25DF67CA">
            <w:pPr>
              <w:keepNext w:val="0"/>
              <w:keepLines w:val="0"/>
              <w:pageBreakBefore w:val="0"/>
              <w:tabs>
                <w:tab w:val="left" w:pos="975"/>
              </w:tabs>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lang w:eastAsia="zh-CN"/>
              </w:rPr>
            </w:pPr>
            <w:r>
              <w:rPr>
                <w:rFonts w:hint="eastAsia" w:ascii="宋体" w:hAnsi="宋体" w:cs="宋体"/>
                <w:color w:val="auto"/>
                <w:sz w:val="18"/>
                <w:szCs w:val="18"/>
                <w:lang w:eastAsia="zh-CN"/>
              </w:rPr>
              <w:t>渗滤液处置设备保持整洁，处置区域内整体环境保持整洁</w:t>
            </w:r>
          </w:p>
        </w:tc>
        <w:tc>
          <w:tcPr>
            <w:tcW w:w="631" w:type="dxa"/>
            <w:noWrap w:val="0"/>
            <w:vAlign w:val="center"/>
          </w:tcPr>
          <w:p w14:paraId="493D8129">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r>
              <w:rPr>
                <w:rFonts w:hint="eastAsia" w:ascii="宋体" w:hAnsi="宋体" w:cs="宋体"/>
                <w:color w:val="auto"/>
                <w:sz w:val="18"/>
                <w:szCs w:val="18"/>
                <w:lang w:val="en-US" w:eastAsia="zh-CN"/>
              </w:rPr>
              <w:t>10</w:t>
            </w:r>
          </w:p>
        </w:tc>
        <w:tc>
          <w:tcPr>
            <w:tcW w:w="2325" w:type="dxa"/>
            <w:noWrap w:val="0"/>
            <w:vAlign w:val="center"/>
          </w:tcPr>
          <w:p w14:paraId="0FFBD0F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未做到的，</w:t>
            </w:r>
            <w:r>
              <w:rPr>
                <w:rFonts w:hint="eastAsia" w:ascii="宋体" w:hAnsi="宋体" w:cs="宋体"/>
                <w:color w:val="auto"/>
                <w:sz w:val="18"/>
                <w:szCs w:val="18"/>
                <w:lang w:eastAsia="zh-CN"/>
              </w:rPr>
              <w:t>每发现一次</w:t>
            </w:r>
            <w:r>
              <w:rPr>
                <w:rFonts w:hint="eastAsia" w:ascii="宋体" w:hAnsi="宋体" w:eastAsia="宋体" w:cs="宋体"/>
                <w:color w:val="auto"/>
                <w:sz w:val="18"/>
                <w:szCs w:val="18"/>
              </w:rPr>
              <w:t>扣1分，不设下限</w:t>
            </w:r>
          </w:p>
        </w:tc>
        <w:tc>
          <w:tcPr>
            <w:tcW w:w="672" w:type="dxa"/>
            <w:noWrap w:val="0"/>
            <w:vAlign w:val="center"/>
          </w:tcPr>
          <w:p w14:paraId="453AAA55">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eastAsia="宋体"/>
                <w:color w:val="auto"/>
                <w:sz w:val="18"/>
                <w:szCs w:val="18"/>
                <w:lang w:val="en-US" w:eastAsia="zh-CN"/>
              </w:rPr>
            </w:pPr>
          </w:p>
        </w:tc>
      </w:tr>
      <w:tr w14:paraId="3AE06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continue"/>
            <w:noWrap w:val="0"/>
            <w:vAlign w:val="center"/>
          </w:tcPr>
          <w:p w14:paraId="50E3AFE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5579" w:type="dxa"/>
            <w:noWrap w:val="0"/>
            <w:vAlign w:val="center"/>
          </w:tcPr>
          <w:p w14:paraId="78559A1E">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各类证件</w:t>
            </w:r>
            <w:r>
              <w:rPr>
                <w:rFonts w:hint="eastAsia" w:ascii="宋体" w:hAnsi="宋体" w:eastAsia="宋体" w:cs="宋体"/>
                <w:color w:val="auto"/>
                <w:sz w:val="18"/>
                <w:szCs w:val="18"/>
                <w:lang w:eastAsia="zh-CN"/>
              </w:rPr>
              <w:t>、检测报告等</w:t>
            </w:r>
            <w:r>
              <w:rPr>
                <w:rFonts w:hint="eastAsia" w:ascii="宋体" w:hAnsi="宋体" w:eastAsia="宋体" w:cs="宋体"/>
                <w:color w:val="auto"/>
                <w:sz w:val="18"/>
                <w:szCs w:val="18"/>
              </w:rPr>
              <w:t>放置醒目位置，备查</w:t>
            </w:r>
          </w:p>
        </w:tc>
        <w:tc>
          <w:tcPr>
            <w:tcW w:w="631" w:type="dxa"/>
            <w:noWrap w:val="0"/>
            <w:vAlign w:val="center"/>
          </w:tcPr>
          <w:p w14:paraId="777C334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2</w:t>
            </w:r>
          </w:p>
        </w:tc>
        <w:tc>
          <w:tcPr>
            <w:tcW w:w="2325" w:type="dxa"/>
            <w:noWrap w:val="0"/>
            <w:vAlign w:val="center"/>
          </w:tcPr>
          <w:p w14:paraId="63DAEDE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未做到的，每发现一次扣0.5分</w:t>
            </w:r>
          </w:p>
        </w:tc>
        <w:tc>
          <w:tcPr>
            <w:tcW w:w="672" w:type="dxa"/>
            <w:noWrap w:val="0"/>
            <w:vAlign w:val="center"/>
          </w:tcPr>
          <w:p w14:paraId="72EEA589">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eastAsia="宋体"/>
                <w:color w:val="auto"/>
                <w:sz w:val="18"/>
                <w:szCs w:val="18"/>
                <w:lang w:val="en-US" w:eastAsia="zh-CN"/>
              </w:rPr>
            </w:pPr>
          </w:p>
        </w:tc>
      </w:tr>
      <w:tr w14:paraId="1CF01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restart"/>
            <w:noWrap w:val="0"/>
            <w:vAlign w:val="center"/>
          </w:tcPr>
          <w:p w14:paraId="1F06302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cs="宋体"/>
                <w:color w:val="auto"/>
                <w:sz w:val="18"/>
                <w:szCs w:val="18"/>
                <w:lang w:eastAsia="zh-CN"/>
              </w:rPr>
              <w:t>环境</w:t>
            </w:r>
            <w:r>
              <w:rPr>
                <w:rFonts w:hint="eastAsia" w:ascii="宋体" w:hAnsi="宋体" w:eastAsia="宋体" w:cs="宋体"/>
                <w:color w:val="auto"/>
                <w:sz w:val="18"/>
                <w:szCs w:val="18"/>
              </w:rPr>
              <w:t>管理（</w:t>
            </w:r>
            <w:r>
              <w:rPr>
                <w:rFonts w:hint="eastAsia" w:ascii="宋体" w:hAnsi="宋体" w:cs="宋体"/>
                <w:color w:val="auto"/>
                <w:sz w:val="18"/>
                <w:szCs w:val="18"/>
                <w:lang w:val="en-US" w:eastAsia="zh-CN"/>
              </w:rPr>
              <w:t>15</w:t>
            </w:r>
            <w:r>
              <w:rPr>
                <w:rFonts w:hint="eastAsia" w:ascii="宋体" w:hAnsi="宋体" w:eastAsia="宋体" w:cs="宋体"/>
                <w:color w:val="auto"/>
                <w:sz w:val="18"/>
                <w:szCs w:val="18"/>
              </w:rPr>
              <w:t>分）</w:t>
            </w:r>
          </w:p>
        </w:tc>
        <w:tc>
          <w:tcPr>
            <w:tcW w:w="5579" w:type="dxa"/>
            <w:noWrap w:val="0"/>
            <w:vAlign w:val="center"/>
          </w:tcPr>
          <w:p w14:paraId="2F777B93">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渗滤液处理设施运行时杜绝跑、冒、滴、漏，采取必要的除臭手段，使气味的影响降至最低。</w:t>
            </w:r>
          </w:p>
        </w:tc>
        <w:tc>
          <w:tcPr>
            <w:tcW w:w="631" w:type="dxa"/>
            <w:noWrap w:val="0"/>
            <w:vAlign w:val="center"/>
          </w:tcPr>
          <w:p w14:paraId="22AB2A78">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r>
              <w:rPr>
                <w:rFonts w:hint="eastAsia" w:ascii="宋体" w:hAnsi="宋体" w:cs="宋体"/>
                <w:color w:val="auto"/>
                <w:sz w:val="18"/>
                <w:szCs w:val="18"/>
                <w:lang w:val="en-US" w:eastAsia="zh-CN"/>
              </w:rPr>
              <w:t>10</w:t>
            </w:r>
          </w:p>
        </w:tc>
        <w:tc>
          <w:tcPr>
            <w:tcW w:w="2325" w:type="dxa"/>
            <w:noWrap w:val="0"/>
            <w:vAlign w:val="center"/>
          </w:tcPr>
          <w:p w14:paraId="708E1EE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未做到的，每</w:t>
            </w:r>
            <w:r>
              <w:rPr>
                <w:rFonts w:hint="eastAsia" w:ascii="宋体" w:hAnsi="宋体" w:cs="宋体"/>
                <w:color w:val="auto"/>
                <w:sz w:val="18"/>
                <w:szCs w:val="18"/>
                <w:lang w:eastAsia="zh-CN"/>
              </w:rPr>
              <w:t>次</w:t>
            </w:r>
            <w:r>
              <w:rPr>
                <w:rFonts w:hint="eastAsia" w:ascii="宋体" w:hAnsi="宋体" w:eastAsia="宋体" w:cs="宋体"/>
                <w:color w:val="auto"/>
                <w:sz w:val="18"/>
                <w:szCs w:val="18"/>
              </w:rPr>
              <w:t>扣</w:t>
            </w:r>
            <w:r>
              <w:rPr>
                <w:rFonts w:hint="eastAsia" w:ascii="宋体" w:hAnsi="宋体" w:cs="宋体"/>
                <w:color w:val="auto"/>
                <w:sz w:val="18"/>
                <w:szCs w:val="18"/>
                <w:lang w:val="en-US" w:eastAsia="zh-CN"/>
              </w:rPr>
              <w:t>1</w:t>
            </w:r>
            <w:r>
              <w:rPr>
                <w:rFonts w:hint="eastAsia" w:ascii="宋体" w:hAnsi="宋体" w:eastAsia="宋体" w:cs="宋体"/>
                <w:color w:val="auto"/>
                <w:sz w:val="18"/>
                <w:szCs w:val="18"/>
              </w:rPr>
              <w:t>分</w:t>
            </w:r>
          </w:p>
        </w:tc>
        <w:tc>
          <w:tcPr>
            <w:tcW w:w="672" w:type="dxa"/>
            <w:noWrap w:val="0"/>
            <w:vAlign w:val="center"/>
          </w:tcPr>
          <w:p w14:paraId="226847E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eastAsia="宋体"/>
                <w:color w:val="auto"/>
                <w:sz w:val="18"/>
                <w:szCs w:val="18"/>
                <w:lang w:val="en" w:eastAsia="zh-CN"/>
              </w:rPr>
            </w:pPr>
          </w:p>
        </w:tc>
      </w:tr>
      <w:tr w14:paraId="63E75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continue"/>
            <w:noWrap w:val="0"/>
            <w:vAlign w:val="center"/>
          </w:tcPr>
          <w:p w14:paraId="05234E0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5579" w:type="dxa"/>
            <w:noWrap w:val="0"/>
            <w:vAlign w:val="center"/>
          </w:tcPr>
          <w:p w14:paraId="6C7DC374">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在运营过程中由于设备更换需停止运营一周以上时，需申报采购人及当地相关部门批示</w:t>
            </w:r>
          </w:p>
        </w:tc>
        <w:tc>
          <w:tcPr>
            <w:tcW w:w="631" w:type="dxa"/>
            <w:noWrap w:val="0"/>
            <w:vAlign w:val="center"/>
          </w:tcPr>
          <w:p w14:paraId="3FD48332">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eastAsia="zh-CN"/>
              </w:rPr>
            </w:pPr>
            <w:r>
              <w:rPr>
                <w:rFonts w:hint="eastAsia" w:ascii="宋体" w:hAnsi="宋体" w:cs="宋体"/>
                <w:color w:val="auto"/>
                <w:sz w:val="18"/>
                <w:szCs w:val="18"/>
                <w:lang w:val="en-US" w:eastAsia="zh-CN"/>
              </w:rPr>
              <w:t>5</w:t>
            </w:r>
          </w:p>
        </w:tc>
        <w:tc>
          <w:tcPr>
            <w:tcW w:w="2325" w:type="dxa"/>
            <w:noWrap w:val="0"/>
            <w:vAlign w:val="center"/>
          </w:tcPr>
          <w:p w14:paraId="18683542">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未做到的，本项不得分</w:t>
            </w:r>
          </w:p>
        </w:tc>
        <w:tc>
          <w:tcPr>
            <w:tcW w:w="672" w:type="dxa"/>
            <w:noWrap w:val="0"/>
            <w:vAlign w:val="center"/>
          </w:tcPr>
          <w:p w14:paraId="05BEDC40">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eastAsia="宋体"/>
                <w:color w:val="auto"/>
                <w:sz w:val="18"/>
                <w:szCs w:val="18"/>
                <w:lang w:val="en-US" w:eastAsia="zh-CN"/>
              </w:rPr>
            </w:pPr>
          </w:p>
        </w:tc>
      </w:tr>
      <w:tr w14:paraId="49E08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restart"/>
            <w:noWrap w:val="0"/>
            <w:vAlign w:val="center"/>
          </w:tcPr>
          <w:p w14:paraId="71AD877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运行管理</w:t>
            </w:r>
          </w:p>
          <w:p w14:paraId="0775723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w:t>
            </w:r>
            <w:r>
              <w:rPr>
                <w:rFonts w:hint="eastAsia" w:ascii="宋体" w:hAnsi="宋体" w:cs="宋体"/>
                <w:color w:val="auto"/>
                <w:sz w:val="18"/>
                <w:szCs w:val="18"/>
                <w:lang w:val="en-US" w:eastAsia="zh-CN"/>
              </w:rPr>
              <w:t>30</w:t>
            </w:r>
            <w:r>
              <w:rPr>
                <w:rFonts w:hint="eastAsia" w:ascii="宋体" w:hAnsi="宋体" w:eastAsia="宋体" w:cs="宋体"/>
                <w:color w:val="auto"/>
                <w:sz w:val="18"/>
                <w:szCs w:val="18"/>
              </w:rPr>
              <w:t>分)</w:t>
            </w:r>
          </w:p>
        </w:tc>
        <w:tc>
          <w:tcPr>
            <w:tcW w:w="5579" w:type="dxa"/>
            <w:noWrap w:val="0"/>
            <w:vAlign w:val="center"/>
          </w:tcPr>
          <w:p w14:paraId="167E0D39">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根据其技术工艺的特点和本项目其他实际情况，</w:t>
            </w:r>
            <w:r>
              <w:rPr>
                <w:rFonts w:hint="eastAsia" w:ascii="宋体" w:hAnsi="宋体" w:cs="宋体"/>
                <w:color w:val="auto"/>
                <w:sz w:val="18"/>
                <w:szCs w:val="18"/>
                <w:lang w:eastAsia="zh-CN"/>
              </w:rPr>
              <w:t>根据</w:t>
            </w:r>
            <w:r>
              <w:rPr>
                <w:rFonts w:hint="eastAsia" w:ascii="宋体" w:hAnsi="宋体" w:eastAsia="宋体" w:cs="宋体"/>
                <w:color w:val="auto"/>
                <w:sz w:val="18"/>
                <w:szCs w:val="18"/>
              </w:rPr>
              <w:t>编制</w:t>
            </w:r>
            <w:r>
              <w:rPr>
                <w:rFonts w:hint="eastAsia" w:ascii="宋体" w:hAnsi="宋体" w:cs="宋体"/>
                <w:color w:val="auto"/>
                <w:sz w:val="18"/>
                <w:szCs w:val="18"/>
                <w:lang w:eastAsia="zh-CN"/>
              </w:rPr>
              <w:t>的</w:t>
            </w:r>
            <w:r>
              <w:rPr>
                <w:rFonts w:hint="eastAsia" w:ascii="宋体" w:hAnsi="宋体" w:eastAsia="宋体" w:cs="宋体"/>
                <w:color w:val="auto"/>
                <w:sz w:val="18"/>
                <w:szCs w:val="18"/>
              </w:rPr>
              <w:t>《运行与维护方案》</w:t>
            </w:r>
            <w:r>
              <w:rPr>
                <w:rFonts w:hint="eastAsia" w:ascii="宋体" w:hAnsi="宋体" w:cs="宋体"/>
                <w:color w:val="auto"/>
                <w:sz w:val="18"/>
                <w:szCs w:val="18"/>
                <w:lang w:eastAsia="zh-CN"/>
              </w:rPr>
              <w:t>对本项目进行运行管理。</w:t>
            </w:r>
          </w:p>
        </w:tc>
        <w:tc>
          <w:tcPr>
            <w:tcW w:w="631" w:type="dxa"/>
            <w:noWrap w:val="0"/>
            <w:vAlign w:val="center"/>
          </w:tcPr>
          <w:p w14:paraId="1A563BAF">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r>
              <w:rPr>
                <w:rFonts w:hint="eastAsia" w:ascii="宋体" w:hAnsi="宋体" w:cs="宋体"/>
                <w:color w:val="auto"/>
                <w:sz w:val="18"/>
                <w:szCs w:val="18"/>
                <w:lang w:val="en-US" w:eastAsia="zh-CN"/>
              </w:rPr>
              <w:t>10</w:t>
            </w:r>
          </w:p>
        </w:tc>
        <w:tc>
          <w:tcPr>
            <w:tcW w:w="2325" w:type="dxa"/>
            <w:noWrap w:val="0"/>
            <w:vAlign w:val="center"/>
          </w:tcPr>
          <w:p w14:paraId="7537569F">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eastAsia="zh-CN"/>
              </w:rPr>
            </w:pPr>
            <w:r>
              <w:rPr>
                <w:rFonts w:hint="eastAsia" w:ascii="宋体" w:hAnsi="宋体" w:eastAsia="宋体" w:cs="宋体"/>
                <w:color w:val="auto"/>
                <w:sz w:val="18"/>
                <w:szCs w:val="18"/>
              </w:rPr>
              <w:t>未做到的，每发</w:t>
            </w:r>
            <w:r>
              <w:rPr>
                <w:rFonts w:hint="eastAsia" w:ascii="宋体" w:hAnsi="宋体" w:eastAsia="宋体" w:cs="宋体"/>
                <w:color w:val="auto"/>
                <w:sz w:val="18"/>
                <w:szCs w:val="18"/>
                <w:lang w:eastAsia="zh-CN"/>
              </w:rPr>
              <w:t>现</w:t>
            </w:r>
            <w:r>
              <w:rPr>
                <w:rFonts w:hint="eastAsia" w:ascii="宋体" w:hAnsi="宋体" w:eastAsia="宋体" w:cs="宋体"/>
                <w:color w:val="auto"/>
                <w:sz w:val="18"/>
                <w:szCs w:val="18"/>
              </w:rPr>
              <w:t>一次扣</w:t>
            </w:r>
            <w:r>
              <w:rPr>
                <w:rFonts w:hint="eastAsia" w:ascii="宋体" w:hAnsi="宋体" w:eastAsia="宋体" w:cs="宋体"/>
                <w:color w:val="auto"/>
                <w:sz w:val="18"/>
                <w:szCs w:val="18"/>
                <w:lang w:val="en-US" w:eastAsia="zh-CN"/>
              </w:rPr>
              <w:t>1</w:t>
            </w:r>
            <w:r>
              <w:rPr>
                <w:rFonts w:hint="eastAsia" w:ascii="宋体" w:hAnsi="宋体" w:eastAsia="宋体" w:cs="宋体"/>
                <w:color w:val="auto"/>
                <w:sz w:val="18"/>
                <w:szCs w:val="18"/>
              </w:rPr>
              <w:t>分</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不设下限</w:t>
            </w:r>
          </w:p>
        </w:tc>
        <w:tc>
          <w:tcPr>
            <w:tcW w:w="672" w:type="dxa"/>
            <w:noWrap w:val="0"/>
            <w:vAlign w:val="center"/>
          </w:tcPr>
          <w:p w14:paraId="2DFCEBA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14C68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continue"/>
            <w:noWrap w:val="0"/>
            <w:vAlign w:val="center"/>
          </w:tcPr>
          <w:p w14:paraId="45619B7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5579" w:type="dxa"/>
            <w:noWrap w:val="0"/>
            <w:vAlign w:val="center"/>
          </w:tcPr>
          <w:p w14:paraId="2147C358">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lang w:eastAsia="zh-CN"/>
              </w:rPr>
            </w:pPr>
            <w:r>
              <w:rPr>
                <w:rFonts w:hint="eastAsia" w:ascii="宋体" w:hAnsi="宋体" w:eastAsia="宋体" w:cs="宋体"/>
                <w:color w:val="auto"/>
                <w:sz w:val="18"/>
                <w:szCs w:val="18"/>
                <w:lang w:eastAsia="zh-CN"/>
              </w:rPr>
              <w:t>垃圾渗滤液处置须符合</w:t>
            </w:r>
            <w:r>
              <w:rPr>
                <w:rFonts w:hint="eastAsia" w:ascii="宋体" w:hAnsi="宋体" w:cs="宋体"/>
                <w:color w:val="auto"/>
                <w:sz w:val="18"/>
                <w:szCs w:val="18"/>
                <w:lang w:eastAsia="zh-CN"/>
              </w:rPr>
              <w:t>合同的</w:t>
            </w:r>
            <w:r>
              <w:rPr>
                <w:rFonts w:hint="eastAsia" w:ascii="宋体" w:hAnsi="宋体" w:eastAsia="宋体" w:cs="宋体"/>
                <w:color w:val="auto"/>
                <w:sz w:val="18"/>
                <w:szCs w:val="18"/>
                <w:lang w:eastAsia="zh-CN"/>
              </w:rPr>
              <w:t>相关规定和要</w:t>
            </w:r>
            <w:r>
              <w:rPr>
                <w:rFonts w:hint="eastAsia" w:ascii="宋体" w:hAnsi="宋体" w:cs="宋体"/>
                <w:color w:val="auto"/>
                <w:sz w:val="18"/>
                <w:szCs w:val="18"/>
                <w:lang w:eastAsia="zh-CN"/>
              </w:rPr>
              <w:t>求，保证装置全程出水达标。</w:t>
            </w:r>
          </w:p>
        </w:tc>
        <w:tc>
          <w:tcPr>
            <w:tcW w:w="631" w:type="dxa"/>
            <w:noWrap w:val="0"/>
            <w:vAlign w:val="center"/>
          </w:tcPr>
          <w:p w14:paraId="633637AD">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r>
              <w:rPr>
                <w:rFonts w:hint="eastAsia" w:ascii="宋体" w:hAnsi="宋体" w:cs="宋体"/>
                <w:color w:val="auto"/>
                <w:sz w:val="18"/>
                <w:szCs w:val="18"/>
                <w:lang w:val="en-US" w:eastAsia="zh-CN"/>
              </w:rPr>
              <w:t>10</w:t>
            </w:r>
          </w:p>
        </w:tc>
        <w:tc>
          <w:tcPr>
            <w:tcW w:w="2325" w:type="dxa"/>
            <w:noWrap w:val="0"/>
            <w:vAlign w:val="center"/>
          </w:tcPr>
          <w:p w14:paraId="28909D0C">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eastAsia="zh-CN"/>
              </w:rPr>
            </w:pPr>
            <w:r>
              <w:rPr>
                <w:rFonts w:hint="eastAsia" w:ascii="宋体" w:hAnsi="宋体" w:eastAsia="宋体" w:cs="宋体"/>
                <w:color w:val="auto"/>
                <w:sz w:val="18"/>
                <w:szCs w:val="18"/>
              </w:rPr>
              <w:t>未做到的，每发</w:t>
            </w:r>
            <w:r>
              <w:rPr>
                <w:rFonts w:hint="eastAsia" w:ascii="宋体" w:hAnsi="宋体" w:eastAsia="宋体" w:cs="宋体"/>
                <w:color w:val="auto"/>
                <w:sz w:val="18"/>
                <w:szCs w:val="18"/>
                <w:lang w:eastAsia="zh-CN"/>
              </w:rPr>
              <w:t>现</w:t>
            </w:r>
            <w:r>
              <w:rPr>
                <w:rFonts w:hint="eastAsia" w:ascii="宋体" w:hAnsi="宋体" w:eastAsia="宋体" w:cs="宋体"/>
                <w:color w:val="auto"/>
                <w:sz w:val="18"/>
                <w:szCs w:val="18"/>
              </w:rPr>
              <w:t>一次扣</w:t>
            </w:r>
            <w:r>
              <w:rPr>
                <w:rFonts w:hint="eastAsia" w:ascii="宋体" w:hAnsi="宋体" w:eastAsia="宋体" w:cs="宋体"/>
                <w:color w:val="auto"/>
                <w:sz w:val="18"/>
                <w:szCs w:val="18"/>
                <w:lang w:val="en-US" w:eastAsia="zh-CN"/>
              </w:rPr>
              <w:t>1</w:t>
            </w:r>
            <w:r>
              <w:rPr>
                <w:rFonts w:hint="eastAsia" w:ascii="宋体" w:hAnsi="宋体" w:eastAsia="宋体" w:cs="宋体"/>
                <w:color w:val="auto"/>
                <w:sz w:val="18"/>
                <w:szCs w:val="18"/>
              </w:rPr>
              <w:t>分</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不设下限</w:t>
            </w:r>
          </w:p>
        </w:tc>
        <w:tc>
          <w:tcPr>
            <w:tcW w:w="672" w:type="dxa"/>
            <w:noWrap w:val="0"/>
            <w:vAlign w:val="center"/>
          </w:tcPr>
          <w:p w14:paraId="336157E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52114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continue"/>
            <w:noWrap w:val="0"/>
            <w:vAlign w:val="center"/>
          </w:tcPr>
          <w:p w14:paraId="00150EB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5579" w:type="dxa"/>
            <w:noWrap w:val="0"/>
            <w:vAlign w:val="center"/>
          </w:tcPr>
          <w:p w14:paraId="75A4C5BA">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污水沉淀或分离出来的废弃物，投标人应负责运载至有资质的处置单位</w:t>
            </w:r>
            <w:r>
              <w:rPr>
                <w:rFonts w:hint="eastAsia" w:ascii="宋体" w:hAnsi="宋体" w:eastAsia="宋体" w:cs="宋体"/>
                <w:color w:val="auto"/>
                <w:sz w:val="18"/>
                <w:szCs w:val="18"/>
                <w:lang w:eastAsia="zh-CN"/>
              </w:rPr>
              <w:t>；</w:t>
            </w:r>
            <w:r>
              <w:rPr>
                <w:rFonts w:hint="eastAsia" w:ascii="宋体" w:hAnsi="宋体" w:eastAsia="宋体" w:cs="宋体"/>
                <w:color w:val="auto"/>
                <w:sz w:val="18"/>
                <w:szCs w:val="18"/>
              </w:rPr>
              <w:t>其他废弃物，必须按国家及地方政府有关规定进行处理、排放，不得造成污染及危害公共安全。</w:t>
            </w:r>
          </w:p>
        </w:tc>
        <w:tc>
          <w:tcPr>
            <w:tcW w:w="631" w:type="dxa"/>
            <w:noWrap w:val="0"/>
            <w:vAlign w:val="center"/>
          </w:tcPr>
          <w:p w14:paraId="2D1ADFDD">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r>
              <w:rPr>
                <w:rFonts w:hint="eastAsia" w:ascii="宋体" w:hAnsi="宋体" w:cs="宋体"/>
                <w:color w:val="auto"/>
                <w:sz w:val="18"/>
                <w:szCs w:val="18"/>
                <w:lang w:val="en-US" w:eastAsia="zh-CN"/>
              </w:rPr>
              <w:t>5</w:t>
            </w:r>
          </w:p>
        </w:tc>
        <w:tc>
          <w:tcPr>
            <w:tcW w:w="2325" w:type="dxa"/>
            <w:noWrap w:val="0"/>
            <w:vAlign w:val="center"/>
          </w:tcPr>
          <w:p w14:paraId="1A84B3F9">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未做到的，每发生一次扣</w:t>
            </w:r>
            <w:r>
              <w:rPr>
                <w:rFonts w:hint="eastAsia" w:ascii="宋体" w:hAnsi="宋体" w:eastAsia="宋体" w:cs="宋体"/>
                <w:color w:val="auto"/>
                <w:sz w:val="18"/>
                <w:szCs w:val="18"/>
                <w:lang w:val="en-US" w:eastAsia="zh-CN"/>
              </w:rPr>
              <w:t>1</w:t>
            </w:r>
            <w:r>
              <w:rPr>
                <w:rFonts w:hint="eastAsia" w:ascii="宋体" w:hAnsi="宋体" w:eastAsia="宋体" w:cs="宋体"/>
                <w:color w:val="auto"/>
                <w:sz w:val="18"/>
                <w:szCs w:val="18"/>
              </w:rPr>
              <w:t>分</w:t>
            </w:r>
            <w:r>
              <w:rPr>
                <w:rFonts w:hint="eastAsia" w:ascii="宋体" w:hAnsi="宋体" w:cs="宋体"/>
                <w:color w:val="auto"/>
                <w:sz w:val="18"/>
                <w:szCs w:val="18"/>
                <w:lang w:eastAsia="zh-CN"/>
              </w:rPr>
              <w:t>，发生次数过多甲方可以不予支付当月运费</w:t>
            </w:r>
          </w:p>
        </w:tc>
        <w:tc>
          <w:tcPr>
            <w:tcW w:w="672" w:type="dxa"/>
            <w:noWrap w:val="0"/>
            <w:vAlign w:val="center"/>
          </w:tcPr>
          <w:p w14:paraId="7AD2F78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22CA6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continue"/>
            <w:noWrap w:val="0"/>
            <w:vAlign w:val="center"/>
          </w:tcPr>
          <w:p w14:paraId="7A4BF350">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5579" w:type="dxa"/>
            <w:noWrap w:val="0"/>
            <w:vAlign w:val="center"/>
          </w:tcPr>
          <w:p w14:paraId="3E067252">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建立各方面应急预案，包括岀现水浸、停水、停电、安全生产事故等</w:t>
            </w:r>
          </w:p>
        </w:tc>
        <w:tc>
          <w:tcPr>
            <w:tcW w:w="631" w:type="dxa"/>
            <w:noWrap w:val="0"/>
            <w:vAlign w:val="center"/>
          </w:tcPr>
          <w:p w14:paraId="289E2C5B">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5</w:t>
            </w:r>
          </w:p>
        </w:tc>
        <w:tc>
          <w:tcPr>
            <w:tcW w:w="2325" w:type="dxa"/>
            <w:noWrap w:val="0"/>
            <w:vAlign w:val="center"/>
          </w:tcPr>
          <w:p w14:paraId="2A0218C8">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eastAsia="zh-CN"/>
              </w:rPr>
            </w:pPr>
          </w:p>
        </w:tc>
        <w:tc>
          <w:tcPr>
            <w:tcW w:w="672" w:type="dxa"/>
            <w:noWrap w:val="0"/>
            <w:vAlign w:val="center"/>
          </w:tcPr>
          <w:p w14:paraId="7620E94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1E93A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restart"/>
            <w:noWrap w:val="0"/>
            <w:vAlign w:val="center"/>
          </w:tcPr>
          <w:p w14:paraId="1E01A06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安全管理（</w:t>
            </w:r>
            <w:r>
              <w:rPr>
                <w:rFonts w:hint="eastAsia" w:ascii="宋体" w:hAnsi="宋体" w:cs="宋体"/>
                <w:color w:val="auto"/>
                <w:sz w:val="18"/>
                <w:szCs w:val="18"/>
                <w:lang w:val="en-US" w:eastAsia="zh-CN"/>
              </w:rPr>
              <w:t>10</w:t>
            </w:r>
            <w:r>
              <w:rPr>
                <w:rFonts w:hint="eastAsia" w:ascii="宋体" w:hAnsi="宋体" w:eastAsia="宋体" w:cs="宋体"/>
                <w:color w:val="auto"/>
                <w:sz w:val="18"/>
                <w:szCs w:val="18"/>
              </w:rPr>
              <w:t>分）</w:t>
            </w:r>
          </w:p>
        </w:tc>
        <w:tc>
          <w:tcPr>
            <w:tcW w:w="5579" w:type="dxa"/>
            <w:noWrap w:val="0"/>
            <w:vAlign w:val="center"/>
          </w:tcPr>
          <w:p w14:paraId="44A129BA">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18"/>
                <w:szCs w:val="18"/>
              </w:rPr>
            </w:pPr>
            <w:r>
              <w:rPr>
                <w:rFonts w:hint="eastAsia" w:ascii="宋体" w:hAnsi="宋体" w:eastAsia="宋体" w:cs="宋体"/>
                <w:color w:val="auto"/>
                <w:kern w:val="0"/>
                <w:sz w:val="18"/>
                <w:szCs w:val="18"/>
                <w:lang w:eastAsia="zh-CN"/>
              </w:rPr>
              <w:t>加强安全管理，及时处理各项安全隐患</w:t>
            </w:r>
          </w:p>
        </w:tc>
        <w:tc>
          <w:tcPr>
            <w:tcW w:w="631" w:type="dxa"/>
            <w:noWrap w:val="0"/>
            <w:vAlign w:val="center"/>
          </w:tcPr>
          <w:p w14:paraId="5E25A5BF">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sz w:val="18"/>
                <w:szCs w:val="18"/>
                <w:lang w:val="en-US" w:eastAsia="zh-CN"/>
              </w:rPr>
            </w:pPr>
            <w:r>
              <w:rPr>
                <w:rFonts w:hint="eastAsia" w:ascii="宋体" w:hAnsi="宋体" w:cs="宋体"/>
                <w:color w:val="auto"/>
                <w:sz w:val="18"/>
                <w:szCs w:val="18"/>
                <w:lang w:val="en-US" w:eastAsia="zh-CN"/>
              </w:rPr>
              <w:t>7</w:t>
            </w:r>
          </w:p>
        </w:tc>
        <w:tc>
          <w:tcPr>
            <w:tcW w:w="2325" w:type="dxa"/>
            <w:noWrap w:val="0"/>
            <w:vAlign w:val="center"/>
          </w:tcPr>
          <w:p w14:paraId="29485FA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kern w:val="0"/>
                <w:sz w:val="18"/>
                <w:szCs w:val="18"/>
              </w:rPr>
              <w:t>如果发生重大安全事故的，甲方有权终止合同</w:t>
            </w:r>
          </w:p>
        </w:tc>
        <w:tc>
          <w:tcPr>
            <w:tcW w:w="672" w:type="dxa"/>
            <w:noWrap w:val="0"/>
            <w:vAlign w:val="center"/>
          </w:tcPr>
          <w:p w14:paraId="4B08ACA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4843B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continue"/>
            <w:noWrap w:val="0"/>
            <w:vAlign w:val="center"/>
          </w:tcPr>
          <w:p w14:paraId="237BD48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5579" w:type="dxa"/>
            <w:noWrap w:val="0"/>
            <w:vAlign w:val="center"/>
          </w:tcPr>
          <w:p w14:paraId="2407E816">
            <w:pPr>
              <w:keepNext w:val="0"/>
              <w:keepLines w:val="0"/>
              <w:pageBreakBefore w:val="0"/>
              <w:widowControl/>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18"/>
                <w:szCs w:val="18"/>
                <w:lang w:eastAsia="zh-CN"/>
              </w:rPr>
            </w:pPr>
            <w:r>
              <w:rPr>
                <w:rFonts w:hint="eastAsia" w:ascii="宋体" w:hAnsi="宋体" w:eastAsia="宋体" w:cs="宋体"/>
                <w:color w:val="auto"/>
                <w:kern w:val="0"/>
                <w:sz w:val="18"/>
                <w:szCs w:val="18"/>
              </w:rPr>
              <w:t>发生安全事故及时上报</w:t>
            </w:r>
          </w:p>
        </w:tc>
        <w:tc>
          <w:tcPr>
            <w:tcW w:w="631" w:type="dxa"/>
            <w:noWrap w:val="0"/>
            <w:vAlign w:val="center"/>
          </w:tcPr>
          <w:p w14:paraId="2FDFC767">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宋体" w:hAnsi="宋体" w:cs="宋体"/>
                <w:color w:val="auto"/>
                <w:sz w:val="18"/>
                <w:szCs w:val="18"/>
                <w:lang w:val="en-US" w:eastAsia="zh-CN"/>
              </w:rPr>
            </w:pPr>
            <w:r>
              <w:rPr>
                <w:rFonts w:hint="eastAsia" w:ascii="宋体" w:hAnsi="宋体" w:cs="宋体"/>
                <w:color w:val="auto"/>
                <w:sz w:val="18"/>
                <w:szCs w:val="18"/>
                <w:lang w:val="en-US" w:eastAsia="zh-CN"/>
              </w:rPr>
              <w:t>3</w:t>
            </w:r>
          </w:p>
        </w:tc>
        <w:tc>
          <w:tcPr>
            <w:tcW w:w="2325" w:type="dxa"/>
            <w:noWrap w:val="0"/>
            <w:vAlign w:val="center"/>
          </w:tcPr>
          <w:p w14:paraId="274AF4B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未及时上报的，不得分；</w:t>
            </w:r>
          </w:p>
        </w:tc>
        <w:tc>
          <w:tcPr>
            <w:tcW w:w="672" w:type="dxa"/>
            <w:noWrap w:val="0"/>
            <w:vAlign w:val="center"/>
          </w:tcPr>
          <w:p w14:paraId="439A4356">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54439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restart"/>
            <w:noWrap w:val="0"/>
            <w:vAlign w:val="center"/>
          </w:tcPr>
          <w:p w14:paraId="4873F10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其他</w:t>
            </w:r>
          </w:p>
        </w:tc>
        <w:tc>
          <w:tcPr>
            <w:tcW w:w="5579" w:type="dxa"/>
            <w:noWrap w:val="0"/>
            <w:vAlign w:val="center"/>
          </w:tcPr>
          <w:p w14:paraId="3681DA35">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kern w:val="0"/>
                <w:sz w:val="18"/>
                <w:szCs w:val="18"/>
              </w:rPr>
              <w:t>因管理不当，造成上级部门批评、媒体报道等严重后果的</w:t>
            </w:r>
          </w:p>
        </w:tc>
        <w:tc>
          <w:tcPr>
            <w:tcW w:w="631" w:type="dxa"/>
            <w:noWrap w:val="0"/>
            <w:vAlign w:val="center"/>
          </w:tcPr>
          <w:p w14:paraId="32A28A9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2325" w:type="dxa"/>
            <w:noWrap w:val="0"/>
            <w:vAlign w:val="center"/>
          </w:tcPr>
          <w:p w14:paraId="00FC5C0E">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0"/>
                <w:sz w:val="18"/>
                <w:szCs w:val="18"/>
              </w:rPr>
            </w:pPr>
            <w:r>
              <w:rPr>
                <w:rFonts w:hint="eastAsia" w:ascii="宋体" w:hAnsi="宋体" w:eastAsia="宋体" w:cs="宋体"/>
                <w:color w:val="auto"/>
                <w:sz w:val="18"/>
                <w:szCs w:val="18"/>
              </w:rPr>
              <w:t>一次扣20分</w:t>
            </w:r>
          </w:p>
        </w:tc>
        <w:tc>
          <w:tcPr>
            <w:tcW w:w="672" w:type="dxa"/>
            <w:noWrap w:val="0"/>
            <w:vAlign w:val="center"/>
          </w:tcPr>
          <w:p w14:paraId="1C1E87A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439C3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continue"/>
            <w:noWrap w:val="0"/>
            <w:vAlign w:val="center"/>
          </w:tcPr>
          <w:p w14:paraId="3465BF9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5579" w:type="dxa"/>
            <w:noWrap w:val="0"/>
            <w:vAlign w:val="center"/>
          </w:tcPr>
          <w:p w14:paraId="13671659">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kern w:val="0"/>
                <w:sz w:val="18"/>
                <w:szCs w:val="18"/>
              </w:rPr>
            </w:pPr>
            <w:r>
              <w:rPr>
                <w:rFonts w:hint="eastAsia" w:ascii="宋体" w:hAnsi="宋体" w:eastAsia="宋体" w:cs="宋体"/>
                <w:color w:val="auto"/>
                <w:sz w:val="18"/>
                <w:szCs w:val="18"/>
              </w:rPr>
              <w:t>其他严重污染城市环境卫生且造成恶劣社会影响情形的</w:t>
            </w:r>
          </w:p>
        </w:tc>
        <w:tc>
          <w:tcPr>
            <w:tcW w:w="631" w:type="dxa"/>
            <w:noWrap w:val="0"/>
            <w:vAlign w:val="center"/>
          </w:tcPr>
          <w:p w14:paraId="2F968E8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2325" w:type="dxa"/>
            <w:noWrap w:val="0"/>
            <w:vAlign w:val="center"/>
          </w:tcPr>
          <w:p w14:paraId="3B812B7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kern w:val="0"/>
                <w:sz w:val="18"/>
                <w:szCs w:val="18"/>
              </w:rPr>
              <w:t>甲方有权终止合同</w:t>
            </w:r>
          </w:p>
        </w:tc>
        <w:tc>
          <w:tcPr>
            <w:tcW w:w="672" w:type="dxa"/>
            <w:noWrap w:val="0"/>
            <w:vAlign w:val="center"/>
          </w:tcPr>
          <w:p w14:paraId="07F644F4">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008A52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vMerge w:val="continue"/>
            <w:noWrap w:val="0"/>
            <w:vAlign w:val="center"/>
          </w:tcPr>
          <w:p w14:paraId="60901A7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5579" w:type="dxa"/>
            <w:noWrap w:val="0"/>
            <w:vAlign w:val="center"/>
          </w:tcPr>
          <w:p w14:paraId="08B38C7A">
            <w:pPr>
              <w:keepNext w:val="0"/>
              <w:keepLines w:val="0"/>
              <w:pageBreakBefore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未经甲方许可，乙方擅自接纳非</w:t>
            </w:r>
            <w:r>
              <w:rPr>
                <w:rFonts w:hint="eastAsia" w:ascii="宋体" w:hAnsi="宋体" w:eastAsia="宋体" w:cs="宋体"/>
                <w:color w:val="auto"/>
                <w:sz w:val="18"/>
                <w:szCs w:val="18"/>
                <w:lang w:eastAsia="zh-CN"/>
              </w:rPr>
              <w:t>我区域渗滤液</w:t>
            </w:r>
            <w:r>
              <w:rPr>
                <w:rFonts w:hint="eastAsia" w:ascii="宋体" w:hAnsi="宋体" w:eastAsia="宋体" w:cs="宋体"/>
                <w:color w:val="auto"/>
                <w:sz w:val="18"/>
                <w:szCs w:val="18"/>
              </w:rPr>
              <w:t>的</w:t>
            </w:r>
          </w:p>
        </w:tc>
        <w:tc>
          <w:tcPr>
            <w:tcW w:w="631" w:type="dxa"/>
            <w:noWrap w:val="0"/>
            <w:vAlign w:val="center"/>
          </w:tcPr>
          <w:p w14:paraId="4E336A57">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2325" w:type="dxa"/>
            <w:noWrap w:val="0"/>
            <w:vAlign w:val="center"/>
          </w:tcPr>
          <w:p w14:paraId="18AE9E30">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ascii="宋体" w:hAnsi="宋体" w:eastAsia="宋体" w:cs="宋体"/>
                <w:color w:val="auto"/>
                <w:kern w:val="0"/>
                <w:sz w:val="18"/>
                <w:szCs w:val="18"/>
                <w:lang w:val="en-US" w:eastAsia="zh-CN"/>
              </w:rPr>
            </w:pPr>
            <w:r>
              <w:rPr>
                <w:rFonts w:hint="eastAsia" w:ascii="宋体" w:hAnsi="宋体" w:eastAsia="宋体" w:cs="宋体"/>
                <w:color w:val="auto"/>
                <w:kern w:val="0"/>
                <w:sz w:val="18"/>
                <w:szCs w:val="18"/>
                <w:lang w:eastAsia="zh-CN"/>
              </w:rPr>
              <w:t>每发现一次扣</w:t>
            </w:r>
            <w:r>
              <w:rPr>
                <w:rFonts w:hint="eastAsia" w:ascii="宋体" w:hAnsi="宋体" w:eastAsia="宋体" w:cs="宋体"/>
                <w:color w:val="auto"/>
                <w:kern w:val="0"/>
                <w:sz w:val="18"/>
                <w:szCs w:val="18"/>
                <w:lang w:val="en-US" w:eastAsia="zh-CN"/>
              </w:rPr>
              <w:t>10000元</w:t>
            </w:r>
          </w:p>
        </w:tc>
        <w:tc>
          <w:tcPr>
            <w:tcW w:w="672" w:type="dxa"/>
            <w:noWrap w:val="0"/>
            <w:vAlign w:val="center"/>
          </w:tcPr>
          <w:p w14:paraId="49522DB2">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color w:val="auto"/>
                <w:sz w:val="18"/>
                <w:szCs w:val="18"/>
              </w:rPr>
            </w:pPr>
          </w:p>
        </w:tc>
      </w:tr>
      <w:tr w14:paraId="5A123B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93" w:type="dxa"/>
            <w:noWrap w:val="0"/>
            <w:vAlign w:val="center"/>
          </w:tcPr>
          <w:p w14:paraId="668B6B7D">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5579" w:type="dxa"/>
            <w:noWrap w:val="0"/>
            <w:vAlign w:val="center"/>
          </w:tcPr>
          <w:p w14:paraId="524FEEF9">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合  计</w:t>
            </w:r>
          </w:p>
        </w:tc>
        <w:tc>
          <w:tcPr>
            <w:tcW w:w="631" w:type="dxa"/>
            <w:noWrap w:val="0"/>
            <w:vAlign w:val="center"/>
          </w:tcPr>
          <w:p w14:paraId="2637E6AC">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r>
              <w:rPr>
                <w:rFonts w:hint="eastAsia" w:ascii="宋体" w:hAnsi="宋体" w:eastAsia="宋体" w:cs="宋体"/>
                <w:color w:val="auto"/>
                <w:sz w:val="18"/>
                <w:szCs w:val="18"/>
              </w:rPr>
              <w:t>100</w:t>
            </w:r>
          </w:p>
        </w:tc>
        <w:tc>
          <w:tcPr>
            <w:tcW w:w="2325" w:type="dxa"/>
            <w:noWrap w:val="0"/>
            <w:vAlign w:val="center"/>
          </w:tcPr>
          <w:p w14:paraId="7C6F0E85">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0"/>
                <w:sz w:val="18"/>
                <w:szCs w:val="18"/>
              </w:rPr>
            </w:pPr>
          </w:p>
        </w:tc>
        <w:tc>
          <w:tcPr>
            <w:tcW w:w="672" w:type="dxa"/>
            <w:noWrap w:val="0"/>
            <w:vAlign w:val="center"/>
          </w:tcPr>
          <w:p w14:paraId="2A896823">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eastAsia="宋体"/>
                <w:color w:val="auto"/>
                <w:sz w:val="18"/>
                <w:szCs w:val="18"/>
                <w:lang w:eastAsia="zh-CN"/>
              </w:rPr>
            </w:pPr>
            <w:r>
              <w:rPr>
                <w:rFonts w:hint="eastAsia"/>
                <w:color w:val="auto"/>
                <w:sz w:val="18"/>
                <w:szCs w:val="18"/>
                <w:lang w:eastAsia="zh-CN"/>
              </w:rPr>
              <w:t>得分</w:t>
            </w:r>
          </w:p>
        </w:tc>
      </w:tr>
      <w:tr w14:paraId="7EED2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atLeast"/>
          <w:jc w:val="center"/>
        </w:trPr>
        <w:tc>
          <w:tcPr>
            <w:tcW w:w="1093" w:type="dxa"/>
            <w:noWrap w:val="0"/>
            <w:vAlign w:val="center"/>
          </w:tcPr>
          <w:p w14:paraId="6A0CE30B">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eastAsia="zh-CN"/>
              </w:rPr>
            </w:pPr>
            <w:r>
              <w:rPr>
                <w:rFonts w:hint="eastAsia" w:ascii="宋体" w:hAnsi="宋体" w:cs="宋体"/>
                <w:color w:val="auto"/>
                <w:sz w:val="18"/>
                <w:szCs w:val="18"/>
                <w:lang w:eastAsia="zh-CN"/>
              </w:rPr>
              <w:t>考核人签名</w:t>
            </w:r>
          </w:p>
        </w:tc>
        <w:tc>
          <w:tcPr>
            <w:tcW w:w="5579" w:type="dxa"/>
            <w:noWrap w:val="0"/>
            <w:vAlign w:val="center"/>
          </w:tcPr>
          <w:p w14:paraId="786D051A">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rPr>
            </w:pPr>
          </w:p>
        </w:tc>
        <w:tc>
          <w:tcPr>
            <w:tcW w:w="631" w:type="dxa"/>
            <w:noWrap w:val="0"/>
            <w:vAlign w:val="center"/>
          </w:tcPr>
          <w:p w14:paraId="048D2838">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18"/>
                <w:szCs w:val="18"/>
                <w:lang w:eastAsia="zh-CN"/>
              </w:rPr>
            </w:pPr>
            <w:r>
              <w:rPr>
                <w:rFonts w:hint="eastAsia" w:ascii="宋体" w:hAnsi="宋体" w:cs="宋体"/>
                <w:color w:val="auto"/>
                <w:sz w:val="18"/>
                <w:szCs w:val="18"/>
                <w:lang w:eastAsia="zh-CN"/>
              </w:rPr>
              <w:t>被考核人签名</w:t>
            </w:r>
          </w:p>
        </w:tc>
        <w:tc>
          <w:tcPr>
            <w:tcW w:w="2325" w:type="dxa"/>
            <w:noWrap w:val="0"/>
            <w:vAlign w:val="center"/>
          </w:tcPr>
          <w:p w14:paraId="794F397F">
            <w:pPr>
              <w:keepNext w:val="0"/>
              <w:keepLines w:val="0"/>
              <w:pageBreakBefore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0"/>
                <w:sz w:val="18"/>
                <w:szCs w:val="18"/>
              </w:rPr>
            </w:pPr>
          </w:p>
        </w:tc>
        <w:tc>
          <w:tcPr>
            <w:tcW w:w="672" w:type="dxa"/>
            <w:noWrap w:val="0"/>
            <w:vAlign w:val="center"/>
          </w:tcPr>
          <w:p w14:paraId="77D05263">
            <w:pPr>
              <w:keepNext w:val="0"/>
              <w:keepLines w:val="0"/>
              <w:pageBreakBefore w:val="0"/>
              <w:kinsoku/>
              <w:wordWrap/>
              <w:overflowPunct/>
              <w:topLinePunct w:val="0"/>
              <w:autoSpaceDE/>
              <w:autoSpaceDN/>
              <w:bidi w:val="0"/>
              <w:adjustRightInd/>
              <w:snapToGrid/>
              <w:spacing w:line="240" w:lineRule="auto"/>
              <w:jc w:val="center"/>
              <w:textAlignment w:val="auto"/>
              <w:rPr>
                <w:rFonts w:hint="default" w:eastAsia="宋体"/>
                <w:color w:val="auto"/>
                <w:sz w:val="18"/>
                <w:szCs w:val="18"/>
                <w:lang w:val="en-US" w:eastAsia="zh-CN"/>
              </w:rPr>
            </w:pPr>
          </w:p>
        </w:tc>
      </w:tr>
    </w:tbl>
    <w:p w14:paraId="6F9668AF">
      <w:pPr>
        <w:pStyle w:val="729"/>
        <w:ind w:left="0" w:leftChars="0" w:firstLine="0" w:firstLineChars="0"/>
        <w:jc w:val="left"/>
        <w:rPr>
          <w:rFonts w:hint="eastAsia" w:ascii="仿宋" w:hAnsi="仿宋" w:eastAsia="仿宋" w:cs="仿宋"/>
          <w:color w:val="auto"/>
          <w:sz w:val="20"/>
          <w:szCs w:val="20"/>
        </w:rPr>
      </w:pPr>
      <w:r>
        <w:rPr>
          <w:rFonts w:hint="eastAsia" w:ascii="仿宋" w:hAnsi="仿宋" w:eastAsia="仿宋" w:cs="仿宋"/>
          <w:color w:val="auto"/>
          <w:sz w:val="20"/>
          <w:szCs w:val="20"/>
        </w:rPr>
        <w:t>1、本考核标准总分100分，95分</w:t>
      </w:r>
      <w:r>
        <w:rPr>
          <w:rFonts w:hint="eastAsia" w:ascii="仿宋" w:hAnsi="仿宋" w:eastAsia="仿宋" w:cs="仿宋"/>
          <w:color w:val="auto"/>
          <w:sz w:val="20"/>
          <w:szCs w:val="20"/>
          <w:lang w:eastAsia="zh-CN"/>
        </w:rPr>
        <w:t>（含）</w:t>
      </w:r>
      <w:r>
        <w:rPr>
          <w:rFonts w:hint="eastAsia" w:ascii="仿宋" w:hAnsi="仿宋" w:eastAsia="仿宋" w:cs="仿宋"/>
          <w:color w:val="auto"/>
          <w:sz w:val="20"/>
          <w:szCs w:val="20"/>
        </w:rPr>
        <w:t>以上为优秀，</w:t>
      </w:r>
      <w:r>
        <w:rPr>
          <w:rFonts w:hint="eastAsia" w:ascii="仿宋" w:hAnsi="仿宋" w:eastAsia="仿宋" w:cs="仿宋"/>
          <w:color w:val="auto"/>
          <w:sz w:val="20"/>
          <w:szCs w:val="20"/>
          <w:lang w:eastAsia="zh-CN"/>
        </w:rPr>
        <w:t>全额支付当月承包款</w:t>
      </w:r>
      <w:r>
        <w:rPr>
          <w:rFonts w:hint="eastAsia" w:ascii="仿宋" w:hAnsi="仿宋" w:eastAsia="仿宋" w:cs="仿宋"/>
          <w:color w:val="auto"/>
          <w:sz w:val="20"/>
          <w:szCs w:val="20"/>
        </w:rPr>
        <w:t>；90分（含）—95分内，每扣一分扣除服务费</w:t>
      </w:r>
      <w:r>
        <w:rPr>
          <w:rFonts w:hint="eastAsia" w:ascii="仿宋" w:hAnsi="仿宋" w:eastAsia="仿宋" w:cs="仿宋"/>
          <w:color w:val="auto"/>
          <w:sz w:val="20"/>
          <w:szCs w:val="20"/>
          <w:lang w:val="en-US" w:eastAsia="zh-CN"/>
        </w:rPr>
        <w:t>5</w:t>
      </w:r>
      <w:r>
        <w:rPr>
          <w:rFonts w:hint="eastAsia" w:ascii="仿宋" w:hAnsi="仿宋" w:eastAsia="仿宋" w:cs="仿宋"/>
          <w:color w:val="auto"/>
          <w:sz w:val="20"/>
          <w:szCs w:val="20"/>
        </w:rPr>
        <w:t>00元；85分（含）—90分（不含）内，每扣一分扣除服务费</w:t>
      </w:r>
      <w:r>
        <w:rPr>
          <w:rFonts w:hint="eastAsia" w:ascii="仿宋" w:hAnsi="仿宋" w:eastAsia="仿宋" w:cs="仿宋"/>
          <w:color w:val="auto"/>
          <w:sz w:val="20"/>
          <w:szCs w:val="20"/>
          <w:lang w:val="en-US" w:eastAsia="zh-CN"/>
        </w:rPr>
        <w:t>10</w:t>
      </w:r>
      <w:r>
        <w:rPr>
          <w:rFonts w:hint="eastAsia" w:ascii="仿宋" w:hAnsi="仿宋" w:eastAsia="仿宋" w:cs="仿宋"/>
          <w:color w:val="auto"/>
          <w:sz w:val="20"/>
          <w:szCs w:val="20"/>
        </w:rPr>
        <w:t>00元；80分（含）—85分（不含）内，每扣一分扣除服务费1</w:t>
      </w:r>
      <w:r>
        <w:rPr>
          <w:rFonts w:hint="eastAsia" w:ascii="仿宋" w:hAnsi="仿宋" w:eastAsia="仿宋" w:cs="仿宋"/>
          <w:color w:val="auto"/>
          <w:sz w:val="20"/>
          <w:szCs w:val="20"/>
          <w:lang w:val="en-US" w:eastAsia="zh-CN"/>
        </w:rPr>
        <w:t>5</w:t>
      </w:r>
      <w:r>
        <w:rPr>
          <w:rFonts w:hint="eastAsia" w:ascii="仿宋" w:hAnsi="仿宋" w:eastAsia="仿宋" w:cs="仿宋"/>
          <w:color w:val="auto"/>
          <w:sz w:val="20"/>
          <w:szCs w:val="20"/>
        </w:rPr>
        <w:t>00元；80分以下的为不合格，下放整改通知书，扣除当月</w:t>
      </w:r>
      <w:r>
        <w:rPr>
          <w:rFonts w:hint="eastAsia" w:ascii="仿宋" w:hAnsi="仿宋" w:eastAsia="仿宋" w:cs="仿宋"/>
          <w:color w:val="auto"/>
          <w:sz w:val="20"/>
          <w:szCs w:val="20"/>
          <w:lang w:eastAsia="zh-CN"/>
        </w:rPr>
        <w:t>承包</w:t>
      </w:r>
      <w:r>
        <w:rPr>
          <w:rFonts w:hint="eastAsia" w:ascii="仿宋" w:hAnsi="仿宋" w:eastAsia="仿宋" w:cs="仿宋"/>
          <w:color w:val="auto"/>
          <w:sz w:val="20"/>
          <w:szCs w:val="20"/>
        </w:rPr>
        <w:t>款的30%，连续2月考核在80分以下的，甲方有权中止合同。</w:t>
      </w:r>
    </w:p>
    <w:p w14:paraId="6D91C022">
      <w:pPr>
        <w:pStyle w:val="729"/>
        <w:ind w:left="0" w:leftChars="0" w:firstLine="0" w:firstLineChars="0"/>
        <w:jc w:val="left"/>
        <w:rPr>
          <w:rFonts w:hint="eastAsia" w:ascii="仿宋" w:hAnsi="仿宋" w:eastAsia="仿宋" w:cs="仿宋"/>
          <w:color w:val="auto"/>
          <w:sz w:val="20"/>
          <w:szCs w:val="20"/>
        </w:rPr>
      </w:pPr>
      <w:r>
        <w:rPr>
          <w:rFonts w:hint="eastAsia" w:ascii="仿宋" w:hAnsi="仿宋" w:eastAsia="仿宋" w:cs="仿宋"/>
          <w:color w:val="auto"/>
          <w:sz w:val="20"/>
          <w:szCs w:val="20"/>
        </w:rPr>
        <w:t>2、本考核表的具体具体内容、扣分分值为暂定，合同执行过程中招标人有权根据实际情况适当调整考核内容和具体扣分情况，中标单位须无条件配合。</w:t>
      </w:r>
    </w:p>
    <w:p w14:paraId="1ED9C648">
      <w:pPr>
        <w:pStyle w:val="729"/>
        <w:ind w:left="0" w:leftChars="0" w:firstLine="0" w:firstLineChars="0"/>
        <w:jc w:val="left"/>
        <w:rPr>
          <w:rFonts w:hint="eastAsia" w:ascii="Times New Roman" w:hAnsi="Times New Roman" w:cs="Times New Roman"/>
          <w:color w:val="auto"/>
          <w:kern w:val="2"/>
          <w:sz w:val="21"/>
          <w:szCs w:val="21"/>
          <w:lang w:val="en-US" w:eastAsia="zh-CN" w:bidi="ar-SA"/>
        </w:rPr>
      </w:pPr>
      <w:r>
        <w:rPr>
          <w:rFonts w:hint="eastAsia" w:ascii="仿宋" w:hAnsi="仿宋" w:eastAsia="仿宋" w:cs="仿宋"/>
          <w:color w:val="auto"/>
          <w:sz w:val="20"/>
          <w:szCs w:val="20"/>
        </w:rPr>
        <w:t>3、招标人可定期或不定期对中标单位的履约情况进行考核，中标单位须无条件配合。</w:t>
      </w:r>
    </w:p>
    <w:p w14:paraId="51CCC33C">
      <w:pPr>
        <w:pStyle w:val="27"/>
        <w:rPr>
          <w:rFonts w:hint="eastAsia"/>
          <w:color w:val="auto"/>
          <w:lang w:eastAsia="zh-CN"/>
        </w:rPr>
      </w:pPr>
    </w:p>
    <w:p w14:paraId="0D817C56">
      <w:pPr>
        <w:spacing w:line="360" w:lineRule="auto"/>
        <w:outlineLvl w:val="0"/>
        <w:rPr>
          <w:rFonts w:hint="eastAsia" w:eastAsia="宋体"/>
          <w:b/>
          <w:color w:val="auto"/>
          <w:sz w:val="24"/>
        </w:rPr>
      </w:pPr>
      <w:r>
        <w:rPr>
          <w:rFonts w:hint="eastAsia" w:eastAsia="宋体"/>
          <w:b/>
          <w:color w:val="auto"/>
          <w:sz w:val="24"/>
          <w:lang w:val="en-US" w:eastAsia="zh-CN"/>
        </w:rPr>
        <w:t>十</w:t>
      </w:r>
      <w:r>
        <w:rPr>
          <w:rFonts w:hint="eastAsia" w:eastAsia="宋体"/>
          <w:b/>
          <w:color w:val="auto"/>
          <w:sz w:val="24"/>
        </w:rPr>
        <w:t>、报价要求</w:t>
      </w:r>
    </w:p>
    <w:p w14:paraId="05DAAF46">
      <w:pPr>
        <w:spacing w:line="312" w:lineRule="auto"/>
        <w:ind w:firstLine="420" w:firstLineChars="200"/>
        <w:rPr>
          <w:rFonts w:hint="eastAsia" w:ascii="宋体" w:hAnsi="宋体" w:eastAsia="宋体" w:cs="Times New Roman"/>
          <w:color w:val="auto"/>
        </w:rPr>
      </w:pPr>
      <w:r>
        <w:rPr>
          <w:rFonts w:hint="eastAsia" w:ascii="宋体" w:hAnsi="宋体" w:eastAsia="宋体" w:cs="Times New Roman"/>
          <w:color w:val="auto"/>
        </w:rPr>
        <w:t>1.投标人应根据招标文件报出合同总价。合同总价一旦核实确认，不得再做更改。对投标人漏报致使项目未能达到需求的功能和效果，其费用和后果由投标人自行负责。</w:t>
      </w:r>
    </w:p>
    <w:p w14:paraId="3EC2A7E8">
      <w:pPr>
        <w:spacing w:line="312" w:lineRule="auto"/>
        <w:ind w:firstLine="420" w:firstLineChars="200"/>
        <w:rPr>
          <w:rFonts w:hint="eastAsia" w:ascii="宋体" w:hAnsi="宋体" w:eastAsia="宋体" w:cs="Times New Roman"/>
          <w:color w:val="auto"/>
        </w:rPr>
      </w:pPr>
      <w:r>
        <w:rPr>
          <w:rFonts w:hint="eastAsia" w:ascii="宋体" w:hAnsi="宋体" w:eastAsia="宋体" w:cs="Times New Roman"/>
          <w:color w:val="auto"/>
        </w:rPr>
        <w:t>2.所有报价均应已包含国家规定的所有税费。</w:t>
      </w:r>
    </w:p>
    <w:p w14:paraId="32728ADF">
      <w:pPr>
        <w:spacing w:line="312" w:lineRule="auto"/>
        <w:ind w:firstLine="420" w:firstLineChars="200"/>
        <w:rPr>
          <w:rFonts w:hint="eastAsia" w:ascii="宋体" w:hAnsi="宋体" w:eastAsia="宋体" w:cs="Times New Roman"/>
          <w:color w:val="auto"/>
        </w:rPr>
      </w:pPr>
      <w:r>
        <w:rPr>
          <w:rFonts w:hint="eastAsia" w:ascii="宋体" w:hAnsi="宋体" w:eastAsia="宋体" w:cs="Times New Roman"/>
          <w:color w:val="auto"/>
        </w:rPr>
        <w:t>3.投标人报价应包含项目过程中发生的所有费用（包含电费、水费、水质检测费、药品药剂费、设备维修保养费、人员工资及保险费、设备实施购置费、交通费、办公设备用品费、食宿费等费用及其税金和利润等一切相关工作及完成本项目所需的相关费用和政策性文件规定应计取的合法取费等各项费用，以及包括但不限于原材料涨价等合同明示或暗示的所有一切风险、责任和义务的费用。）</w:t>
      </w:r>
    </w:p>
    <w:p w14:paraId="35C5DD2F">
      <w:pPr>
        <w:tabs>
          <w:tab w:val="left" w:pos="0"/>
        </w:tabs>
        <w:adjustRightInd w:val="0"/>
        <w:snapToGrid w:val="0"/>
        <w:spacing w:line="312" w:lineRule="auto"/>
        <w:ind w:firstLine="420" w:firstLineChars="200"/>
        <w:jc w:val="left"/>
        <w:rPr>
          <w:rFonts w:hint="eastAsia" w:ascii="宋体" w:hAnsi="宋体" w:eastAsia="宋体" w:cs="Times New Roman"/>
          <w:bCs/>
          <w:color w:val="auto"/>
          <w:szCs w:val="21"/>
        </w:rPr>
      </w:pPr>
      <w:r>
        <w:rPr>
          <w:rFonts w:hint="eastAsia" w:ascii="宋体" w:hAnsi="宋体" w:eastAsia="宋体" w:cs="Times New Roman"/>
          <w:color w:val="auto"/>
        </w:rPr>
        <w:t>4.</w:t>
      </w:r>
      <w:r>
        <w:rPr>
          <w:rFonts w:hint="eastAsia" w:ascii="宋体" w:hAnsi="宋体" w:eastAsia="宋体" w:cs="Times New Roman"/>
          <w:bCs/>
          <w:color w:val="auto"/>
          <w:szCs w:val="21"/>
        </w:rPr>
        <w:t>扶持政策说明：</w:t>
      </w:r>
    </w:p>
    <w:p w14:paraId="7C0B7DDD">
      <w:pPr>
        <w:spacing w:line="312" w:lineRule="auto"/>
        <w:ind w:firstLine="420" w:firstLineChars="200"/>
        <w:rPr>
          <w:rFonts w:hint="eastAsia" w:ascii="宋体" w:hAnsi="宋体" w:eastAsia="宋体" w:cs="Times New Roman"/>
          <w:color w:val="auto"/>
        </w:rPr>
      </w:pPr>
      <w:r>
        <w:rPr>
          <w:rFonts w:hint="eastAsia" w:ascii="宋体" w:hAnsi="宋体" w:eastAsia="宋体" w:cs="Times New Roman"/>
          <w:color w:val="auto"/>
        </w:rPr>
        <w:t>（1）中小企业预留份额情况：根据《政府采购促进中小企业发展管理办法》（财库〔2020〕46号），本项目专门面向中小企业。</w:t>
      </w:r>
      <w:r>
        <w:rPr>
          <w:rFonts w:hint="eastAsia" w:ascii="宋体" w:hAnsi="宋体" w:eastAsia="宋体" w:cs="Times New Roman"/>
          <w:b/>
          <w:bCs/>
          <w:color w:val="auto"/>
        </w:rPr>
        <w:t>本项目对应的中小企业划分标准所属行业：其他未列明行业。</w:t>
      </w:r>
    </w:p>
    <w:p w14:paraId="61035740">
      <w:pPr>
        <w:spacing w:line="312" w:lineRule="auto"/>
        <w:ind w:firstLine="420" w:firstLineChars="200"/>
        <w:rPr>
          <w:rFonts w:hint="eastAsia" w:ascii="宋体" w:hAnsi="宋体" w:eastAsia="宋体" w:cs="Times New Roman"/>
          <w:color w:val="auto"/>
        </w:rPr>
      </w:pPr>
      <w:r>
        <w:rPr>
          <w:rFonts w:hint="eastAsia" w:ascii="宋体" w:hAnsi="宋体" w:eastAsia="宋体" w:cs="Times New Roman"/>
          <w:color w:val="auto"/>
        </w:rPr>
        <w:t>（2）在政府采购活动中，供应商提供的货物、工程或者服务符合下列情形的，享受本办法规定的中小企业扶持政策：</w:t>
      </w:r>
    </w:p>
    <w:p w14:paraId="6635ADFE">
      <w:pPr>
        <w:spacing w:line="312" w:lineRule="auto"/>
        <w:ind w:firstLine="420" w:firstLineChars="200"/>
        <w:rPr>
          <w:rFonts w:hint="eastAsia" w:ascii="宋体" w:hAnsi="宋体" w:eastAsia="宋体" w:cs="Times New Roman"/>
          <w:color w:val="auto"/>
        </w:rPr>
      </w:pPr>
      <w:r>
        <w:rPr>
          <w:rFonts w:hint="eastAsia" w:ascii="宋体" w:hAnsi="宋体" w:eastAsia="宋体" w:cs="Times New Roman"/>
          <w:color w:val="auto"/>
        </w:rPr>
        <w:t>①在货物采购项目中，货物由中小企业制造，即货物由中小企业生产且使用该中小企业商号或者注册商标；</w:t>
      </w:r>
    </w:p>
    <w:p w14:paraId="27596DB8">
      <w:pPr>
        <w:spacing w:line="312" w:lineRule="auto"/>
        <w:ind w:firstLine="420" w:firstLineChars="200"/>
        <w:rPr>
          <w:rFonts w:hint="eastAsia" w:ascii="宋体" w:hAnsi="宋体" w:eastAsia="宋体" w:cs="Times New Roman"/>
          <w:color w:val="auto"/>
        </w:rPr>
      </w:pPr>
      <w:r>
        <w:rPr>
          <w:rFonts w:hint="eastAsia" w:ascii="宋体" w:hAnsi="宋体" w:eastAsia="宋体" w:cs="Times New Roman"/>
          <w:color w:val="auto"/>
        </w:rPr>
        <w:t>②在工程采购项目中，工程由中小企业承建，即工程施工单位为中小企业；</w:t>
      </w:r>
    </w:p>
    <w:p w14:paraId="1BE303BF">
      <w:pPr>
        <w:spacing w:line="312" w:lineRule="auto"/>
        <w:ind w:firstLine="420" w:firstLineChars="200"/>
        <w:rPr>
          <w:rFonts w:hint="eastAsia" w:ascii="宋体" w:hAnsi="宋体" w:eastAsia="宋体" w:cs="Times New Roman"/>
          <w:color w:val="auto"/>
        </w:rPr>
      </w:pPr>
      <w:r>
        <w:rPr>
          <w:rFonts w:hint="eastAsia" w:ascii="宋体" w:hAnsi="宋体" w:eastAsia="宋体" w:cs="Times New Roman"/>
          <w:color w:val="auto"/>
        </w:rPr>
        <w:t>③在服务采购项目中，服务由中小企业承接，即提供服务的人员为中小企业依照《中华人民共和国劳动合同法》订立劳动合同的从业人员。</w:t>
      </w:r>
    </w:p>
    <w:p w14:paraId="3265D04E">
      <w:pPr>
        <w:spacing w:line="312" w:lineRule="auto"/>
        <w:ind w:firstLine="420" w:firstLineChars="200"/>
        <w:rPr>
          <w:rFonts w:hint="eastAsia" w:ascii="宋体" w:hAnsi="宋体" w:eastAsia="宋体" w:cs="Times New Roman"/>
          <w:color w:val="auto"/>
        </w:rPr>
      </w:pPr>
      <w:r>
        <w:rPr>
          <w:rFonts w:hint="eastAsia" w:ascii="宋体" w:hAnsi="宋体" w:eastAsia="宋体" w:cs="Times New Roman"/>
          <w:color w:val="auto"/>
        </w:rPr>
        <w:t>在货物采购项目中，供应商提供的货物既有中小企业制造货物，也有大型企业制造货物的，不享受本办法规定的中小企业扶持政策。</w:t>
      </w:r>
    </w:p>
    <w:p w14:paraId="7D554B6E">
      <w:pPr>
        <w:spacing w:line="312" w:lineRule="auto"/>
        <w:ind w:firstLine="420" w:firstLineChars="200"/>
        <w:rPr>
          <w:rFonts w:hint="eastAsia" w:ascii="宋体" w:hAnsi="宋体" w:eastAsia="宋体" w:cs="Times New Roman"/>
          <w:color w:val="auto"/>
        </w:rPr>
      </w:pPr>
      <w:r>
        <w:rPr>
          <w:rFonts w:hint="eastAsia" w:ascii="宋体" w:hAnsi="宋体" w:eastAsia="宋体" w:cs="Times New Roman"/>
          <w:color w:val="auto"/>
        </w:rPr>
        <w:t>以联合体形式参加政府采购活动，联合体各方均为中小企业的，联合体视同中小企业。其中，联合体各方均为小微企业的，联合体视同小微企业。</w:t>
      </w:r>
    </w:p>
    <w:p w14:paraId="4E8B6A1D">
      <w:pPr>
        <w:spacing w:line="312" w:lineRule="auto"/>
        <w:ind w:firstLine="420" w:firstLineChars="200"/>
        <w:rPr>
          <w:rFonts w:hint="eastAsia" w:ascii="宋体" w:hAnsi="宋体" w:eastAsia="宋体" w:cs="Times New Roman"/>
          <w:color w:val="auto"/>
        </w:rPr>
      </w:pPr>
      <w:r>
        <w:rPr>
          <w:rFonts w:hint="eastAsia" w:ascii="宋体" w:hAnsi="宋体" w:eastAsia="宋体" w:cs="Times New Roman"/>
          <w:color w:val="auto"/>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291016FA">
      <w:pPr>
        <w:spacing w:line="312" w:lineRule="auto"/>
        <w:ind w:firstLine="420" w:firstLineChars="200"/>
        <w:rPr>
          <w:rFonts w:hint="eastAsia" w:ascii="宋体" w:hAnsi="宋体" w:eastAsia="宋体" w:cs="Times New Roman"/>
          <w:color w:val="auto"/>
        </w:rPr>
      </w:pPr>
      <w:r>
        <w:rPr>
          <w:rFonts w:hint="eastAsia" w:ascii="宋体" w:hAnsi="宋体" w:eastAsia="宋体" w:cs="Times New Roman"/>
          <w:color w:val="auto"/>
        </w:rPr>
        <w:t>（4）投标人符合《三部门联合发布关于促进残疾人就业政府采购政策的通知》（财库〔2017〕141号）文件要求，并提供《残疾人福利性单位声明函》的，则视同小型、微型企业。</w:t>
      </w:r>
    </w:p>
    <w:p w14:paraId="46FBC1E5">
      <w:pPr>
        <w:spacing w:line="312" w:lineRule="auto"/>
        <w:ind w:firstLine="420" w:firstLineChars="200"/>
        <w:rPr>
          <w:rFonts w:hint="eastAsia" w:ascii="宋体" w:hAnsi="宋体" w:eastAsia="宋体" w:cs="Times New Roman"/>
          <w:color w:val="auto"/>
        </w:rPr>
      </w:pPr>
      <w:r>
        <w:rPr>
          <w:rFonts w:hint="eastAsia" w:ascii="宋体" w:hAnsi="宋体" w:eastAsia="宋体" w:cs="Times New Roman"/>
          <w:color w:val="auto"/>
        </w:rPr>
        <w:t>本项目专门面向中小企业采购（参加投标供应商须出具《中小企业声明函》，未提供不认定为中小企业，此次投标无效）。</w:t>
      </w:r>
    </w:p>
    <w:p w14:paraId="0598F538">
      <w:pPr>
        <w:adjustRightInd w:val="0"/>
        <w:spacing w:line="360" w:lineRule="auto"/>
        <w:ind w:firstLine="422" w:firstLineChars="200"/>
        <w:rPr>
          <w:rFonts w:hint="eastAsia" w:ascii="宋体" w:hAnsi="宋体" w:eastAsia="宋体" w:cs="Times New Roman"/>
          <w:b/>
          <w:bCs/>
          <w:color w:val="auto"/>
        </w:rPr>
      </w:pPr>
      <w:r>
        <w:rPr>
          <w:rFonts w:hint="eastAsia" w:ascii="宋体" w:hAnsi="宋体" w:eastAsia="宋体" w:cs="Times New Roman"/>
          <w:b/>
          <w:bCs/>
          <w:color w:val="auto"/>
          <w:szCs w:val="21"/>
        </w:rPr>
        <w:t>5.本次项</w:t>
      </w:r>
      <w:r>
        <w:rPr>
          <w:rFonts w:hint="eastAsia" w:ascii="宋体" w:hAnsi="宋体" w:eastAsia="宋体" w:cs="Times New Roman"/>
          <w:b/>
          <w:color w:val="auto"/>
          <w:szCs w:val="21"/>
        </w:rPr>
        <w:t>目的预算金额为</w:t>
      </w:r>
      <w:r>
        <w:rPr>
          <w:rFonts w:hint="eastAsia" w:ascii="宋体" w:hAnsi="宋体" w:eastAsia="宋体" w:cs="Times New Roman"/>
          <w:b/>
          <w:bCs/>
          <w:color w:val="auto"/>
        </w:rPr>
        <w:t>：</w:t>
      </w:r>
      <w:r>
        <w:rPr>
          <w:rFonts w:hint="eastAsia" w:ascii="宋体" w:hAnsi="宋体" w:eastAsia="宋体" w:cs="Times New Roman"/>
          <w:b/>
          <w:bCs/>
          <w:color w:val="auto"/>
          <w:lang w:eastAsia="zh-CN"/>
        </w:rPr>
        <w:t>人民币壹佰叁拾贰万陆仟元整（1,326,000.00元）</w:t>
      </w:r>
      <w:r>
        <w:rPr>
          <w:rFonts w:hint="eastAsia" w:ascii="宋体" w:hAnsi="宋体" w:eastAsia="宋体" w:cs="Times New Roman"/>
          <w:b/>
          <w:bCs/>
          <w:color w:val="auto"/>
        </w:rPr>
        <w:t>。</w:t>
      </w:r>
    </w:p>
    <w:p w14:paraId="39D0D853">
      <w:pPr>
        <w:spacing w:line="312" w:lineRule="auto"/>
        <w:outlineLvl w:val="0"/>
        <w:rPr>
          <w:rFonts w:ascii="Times New Roman" w:hAnsi="Times New Roman" w:eastAsia="宋体" w:cs="Times New Roman"/>
          <w:b/>
          <w:color w:val="auto"/>
          <w:sz w:val="24"/>
        </w:rPr>
      </w:pPr>
    </w:p>
    <w:p w14:paraId="5458F6DB">
      <w:pPr>
        <w:pageBreakBefore/>
        <w:snapToGrid w:val="0"/>
        <w:jc w:val="center"/>
        <w:rPr>
          <w:rFonts w:ascii="Times New Roman" w:hAnsi="Times New Roman" w:eastAsia="宋体" w:cs="Times New Roman"/>
          <w:color w:val="auto"/>
          <w:sz w:val="28"/>
        </w:rPr>
      </w:pPr>
      <w:r>
        <w:rPr>
          <w:rFonts w:hint="eastAsia" w:ascii="Times New Roman" w:hAnsi="Times New Roman" w:eastAsia="宋体" w:cs="Times New Roman"/>
          <w:b/>
          <w:color w:val="auto"/>
          <w:sz w:val="32"/>
        </w:rPr>
        <w:t>第三章投标人须知</w:t>
      </w:r>
    </w:p>
    <w:p w14:paraId="56EFE17E">
      <w:pPr>
        <w:snapToGrid w:val="0"/>
        <w:ind w:firstLine="4340" w:firstLineChars="1550"/>
        <w:rPr>
          <w:rFonts w:ascii="Times New Roman" w:hAnsi="Times New Roman" w:eastAsia="宋体" w:cs="Times New Roman"/>
          <w:color w:val="auto"/>
          <w:sz w:val="28"/>
        </w:rPr>
      </w:pPr>
      <w:r>
        <w:rPr>
          <w:rFonts w:hint="eastAsia" w:ascii="Times New Roman" w:hAnsi="Times New Roman" w:eastAsia="宋体" w:cs="Times New Roman"/>
          <w:color w:val="auto"/>
          <w:sz w:val="28"/>
        </w:rPr>
        <w:t>前附表</w:t>
      </w:r>
    </w:p>
    <w:tbl>
      <w:tblPr>
        <w:tblStyle w:val="62"/>
        <w:tblW w:w="10990" w:type="dxa"/>
        <w:jc w:val="center"/>
        <w:tblCellSpacing w:w="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9"/>
        <w:gridCol w:w="1406"/>
        <w:gridCol w:w="4977"/>
        <w:gridCol w:w="1098"/>
        <w:gridCol w:w="3000"/>
      </w:tblGrid>
      <w:tr w14:paraId="57A59E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2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D2A3EB3">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序号</w:t>
            </w:r>
          </w:p>
        </w:tc>
        <w:tc>
          <w:tcPr>
            <w:tcW w:w="10460" w:type="dxa"/>
            <w:gridSpan w:val="4"/>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4C60A7B">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内容说明及要求</w:t>
            </w:r>
          </w:p>
        </w:tc>
      </w:tr>
      <w:tr w14:paraId="7D51D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20994D7">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B22F667">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项目名称</w:t>
            </w:r>
          </w:p>
        </w:tc>
        <w:tc>
          <w:tcPr>
            <w:tcW w:w="4963"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CCCC0D8">
            <w:pPr>
              <w:spacing w:line="240" w:lineRule="exact"/>
              <w:rPr>
                <w:rFonts w:ascii="Times New Roman" w:hAnsi="Times New Roman" w:eastAsia="宋体" w:cs="Times New Roman"/>
                <w:bCs/>
                <w:color w:val="auto"/>
                <w:lang w:val="zh-CN"/>
              </w:rPr>
            </w:pPr>
            <w:r>
              <w:rPr>
                <w:rFonts w:hint="eastAsia" w:ascii="Times New Roman" w:hAnsi="Times New Roman" w:eastAsia="宋体" w:cs="Times New Roman"/>
                <w:color w:val="auto"/>
              </w:rPr>
              <w:t xml:space="preserve">新城垃圾中转站渗滤液处置项目  </w:t>
            </w:r>
          </w:p>
        </w:tc>
        <w:tc>
          <w:tcPr>
            <w:tcW w:w="1084"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1FCD97">
            <w:pPr>
              <w:spacing w:line="240" w:lineRule="exact"/>
              <w:jc w:val="center"/>
              <w:rPr>
                <w:rFonts w:ascii="Times New Roman" w:hAnsi="Times New Roman" w:eastAsia="宋体" w:cs="Times New Roman"/>
                <w:bCs/>
                <w:color w:val="auto"/>
              </w:rPr>
            </w:pPr>
            <w:r>
              <w:rPr>
                <w:rFonts w:hint="eastAsia" w:ascii="Times New Roman" w:hAnsi="Times New Roman" w:eastAsia="宋体" w:cs="Times New Roman"/>
                <w:b/>
                <w:color w:val="auto"/>
              </w:rPr>
              <w:t>项目编号</w:t>
            </w:r>
          </w:p>
        </w:tc>
        <w:tc>
          <w:tcPr>
            <w:tcW w:w="2979"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1B95C1A">
            <w:pPr>
              <w:spacing w:line="240" w:lineRule="exact"/>
              <w:rPr>
                <w:rFonts w:ascii="Times New Roman" w:hAnsi="Times New Roman" w:eastAsia="宋体" w:cs="Times New Roman"/>
                <w:bCs/>
                <w:color w:val="auto"/>
              </w:rPr>
            </w:pPr>
            <w:r>
              <w:rPr>
                <w:rFonts w:hint="eastAsia" w:ascii="Times New Roman" w:hAnsi="Times New Roman" w:eastAsia="宋体" w:cs="Times New Roman"/>
                <w:color w:val="auto"/>
              </w:rPr>
              <w:t>SZGXZS2025033</w:t>
            </w:r>
          </w:p>
        </w:tc>
      </w:tr>
      <w:tr w14:paraId="1036B5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7CEDA48">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2</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4E0BD26">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采购单位名称</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81B2400">
            <w:pPr>
              <w:spacing w:line="240" w:lineRule="exact"/>
              <w:rPr>
                <w:rFonts w:ascii="Times New Roman" w:hAnsi="Times New Roman" w:eastAsia="宋体" w:cs="Times New Roman"/>
                <w:bCs/>
                <w:color w:val="auto"/>
              </w:rPr>
            </w:pPr>
            <w:r>
              <w:rPr>
                <w:rFonts w:hint="eastAsia" w:ascii="Times New Roman" w:hAnsi="Times New Roman" w:eastAsia="宋体" w:cs="Times New Roman"/>
                <w:color w:val="auto"/>
              </w:rPr>
              <w:t>舟山市新城公用事业管理中心</w:t>
            </w:r>
          </w:p>
        </w:tc>
      </w:tr>
      <w:tr w14:paraId="4A730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B46B628">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3</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13AA3DD">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采购内容</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tbl>
            <w:tblPr>
              <w:tblStyle w:val="63"/>
              <w:tblpPr w:leftFromText="180" w:rightFromText="180" w:vertAnchor="text" w:horzAnchor="page" w:tblpXSpec="center" w:tblpY="207"/>
              <w:tblOverlap w:val="never"/>
              <w:tblW w:w="892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3"/>
              <w:gridCol w:w="3492"/>
              <w:gridCol w:w="1068"/>
              <w:gridCol w:w="1156"/>
              <w:gridCol w:w="1188"/>
              <w:gridCol w:w="1280"/>
            </w:tblGrid>
            <w:tr w14:paraId="11CA70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1" w:hRule="atLeast"/>
                <w:jc w:val="center"/>
              </w:trPr>
              <w:tc>
                <w:tcPr>
                  <w:tcW w:w="743" w:type="dxa"/>
                  <w:tcBorders>
                    <w:top w:val="single" w:color="000000" w:sz="4" w:space="0"/>
                    <w:left w:val="single" w:color="000000" w:sz="4" w:space="0"/>
                    <w:bottom w:val="single" w:color="000000" w:sz="4" w:space="0"/>
                    <w:right w:val="single" w:color="000000" w:sz="4" w:space="0"/>
                  </w:tcBorders>
                  <w:vAlign w:val="center"/>
                </w:tcPr>
                <w:p w14:paraId="46992D1B">
                  <w:pPr>
                    <w:widowControl/>
                    <w:spacing w:line="240"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序号</w:t>
                  </w:r>
                </w:p>
              </w:tc>
              <w:tc>
                <w:tcPr>
                  <w:tcW w:w="3492" w:type="dxa"/>
                  <w:tcBorders>
                    <w:top w:val="single" w:color="000000" w:sz="4" w:space="0"/>
                    <w:left w:val="single" w:color="000000" w:sz="4" w:space="0"/>
                    <w:bottom w:val="single" w:color="000000" w:sz="4" w:space="0"/>
                    <w:right w:val="single" w:color="auto" w:sz="4" w:space="0"/>
                  </w:tcBorders>
                  <w:vAlign w:val="center"/>
                </w:tcPr>
                <w:p w14:paraId="62519D6E">
                  <w:pPr>
                    <w:widowControl/>
                    <w:spacing w:line="240" w:lineRule="auto"/>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rPr>
                    <w:t>项目名称及内容</w:t>
                  </w:r>
                </w:p>
              </w:tc>
              <w:tc>
                <w:tcPr>
                  <w:tcW w:w="1068" w:type="dxa"/>
                  <w:tcBorders>
                    <w:top w:val="single" w:color="000000" w:sz="4" w:space="0"/>
                    <w:left w:val="single" w:color="auto" w:sz="4" w:space="0"/>
                    <w:bottom w:val="single" w:color="000000" w:sz="4" w:space="0"/>
                    <w:right w:val="single" w:color="auto" w:sz="4" w:space="0"/>
                  </w:tcBorders>
                  <w:vAlign w:val="center"/>
                </w:tcPr>
                <w:p w14:paraId="78DCFE9D">
                  <w:pPr>
                    <w:widowControl/>
                    <w:spacing w:line="240" w:lineRule="auto"/>
                    <w:jc w:val="center"/>
                    <w:rPr>
                      <w:rFonts w:hint="eastAsia"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服务期限</w:t>
                  </w:r>
                </w:p>
              </w:tc>
              <w:tc>
                <w:tcPr>
                  <w:tcW w:w="1156" w:type="dxa"/>
                  <w:tcBorders>
                    <w:top w:val="single" w:color="000000" w:sz="4" w:space="0"/>
                    <w:left w:val="single" w:color="000000" w:sz="4" w:space="0"/>
                    <w:bottom w:val="single" w:color="000000" w:sz="4" w:space="0"/>
                    <w:right w:val="single" w:color="auto" w:sz="4" w:space="0"/>
                  </w:tcBorders>
                  <w:vAlign w:val="center"/>
                </w:tcPr>
                <w:p w14:paraId="4B49577D">
                  <w:pPr>
                    <w:widowControl/>
                    <w:spacing w:line="240"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预算金额（万元）</w:t>
                  </w:r>
                </w:p>
              </w:tc>
              <w:tc>
                <w:tcPr>
                  <w:tcW w:w="1188" w:type="dxa"/>
                  <w:tcBorders>
                    <w:top w:val="single" w:color="000000" w:sz="4" w:space="0"/>
                    <w:left w:val="single" w:color="auto" w:sz="4" w:space="0"/>
                    <w:bottom w:val="single" w:color="000000" w:sz="4" w:space="0"/>
                    <w:right w:val="single" w:color="000000" w:sz="4" w:space="0"/>
                  </w:tcBorders>
                  <w:vAlign w:val="center"/>
                </w:tcPr>
                <w:p w14:paraId="498A35E9">
                  <w:pPr>
                    <w:widowControl/>
                    <w:spacing w:line="240" w:lineRule="auto"/>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eastAsia="zh-CN"/>
                    </w:rPr>
                    <w:t>最高限价（单价）</w:t>
                  </w:r>
                </w:p>
              </w:tc>
              <w:tc>
                <w:tcPr>
                  <w:tcW w:w="1280" w:type="dxa"/>
                  <w:tcBorders>
                    <w:top w:val="single" w:color="000000" w:sz="4" w:space="0"/>
                    <w:left w:val="single" w:color="000000" w:sz="4" w:space="0"/>
                    <w:bottom w:val="single" w:color="000000" w:sz="4" w:space="0"/>
                    <w:right w:val="single" w:color="000000" w:sz="4" w:space="0"/>
                  </w:tcBorders>
                  <w:vAlign w:val="center"/>
                </w:tcPr>
                <w:p w14:paraId="05BA4AF9">
                  <w:pPr>
                    <w:widowControl/>
                    <w:spacing w:line="240"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备注</w:t>
                  </w:r>
                </w:p>
              </w:tc>
            </w:tr>
            <w:tr w14:paraId="183054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1" w:hRule="atLeast"/>
                <w:jc w:val="center"/>
              </w:trPr>
              <w:tc>
                <w:tcPr>
                  <w:tcW w:w="743" w:type="dxa"/>
                  <w:tcBorders>
                    <w:top w:val="single" w:color="000000" w:sz="4" w:space="0"/>
                    <w:left w:val="single" w:color="000000" w:sz="4" w:space="0"/>
                    <w:bottom w:val="single" w:color="000000" w:sz="4" w:space="0"/>
                    <w:right w:val="single" w:color="000000" w:sz="4" w:space="0"/>
                  </w:tcBorders>
                  <w:vAlign w:val="center"/>
                </w:tcPr>
                <w:p w14:paraId="1E601606">
                  <w:pPr>
                    <w:widowControl/>
                    <w:jc w:val="left"/>
                    <w:rPr>
                      <w:rFonts w:ascii="Times New Roman" w:hAnsi="Times New Roman" w:eastAsia="宋体" w:cs="Times New Roman"/>
                      <w:color w:val="auto"/>
                      <w:szCs w:val="21"/>
                    </w:rPr>
                  </w:pPr>
                  <w:r>
                    <w:rPr>
                      <w:rFonts w:hint="eastAsia" w:ascii="Times New Roman" w:hAnsi="Times New Roman" w:eastAsia="宋体" w:cs="Times New Roman"/>
                      <w:color w:val="auto"/>
                      <w:szCs w:val="21"/>
                    </w:rPr>
                    <w:t>1</w:t>
                  </w:r>
                </w:p>
              </w:tc>
              <w:tc>
                <w:tcPr>
                  <w:tcW w:w="3492" w:type="dxa"/>
                  <w:tcBorders>
                    <w:top w:val="single" w:color="000000" w:sz="4" w:space="0"/>
                    <w:left w:val="single" w:color="000000" w:sz="4" w:space="0"/>
                    <w:bottom w:val="single" w:color="000000" w:sz="4" w:space="0"/>
                    <w:right w:val="single" w:color="auto" w:sz="4" w:space="0"/>
                  </w:tcBorders>
                  <w:vAlign w:val="center"/>
                </w:tcPr>
                <w:p w14:paraId="2B5FAF55">
                  <w:pPr>
                    <w:widowControl/>
                    <w:jc w:val="left"/>
                    <w:rPr>
                      <w:rFonts w:ascii="Times New Roman" w:hAnsi="Times New Roman" w:eastAsia="宋体" w:cs="Times New Roman"/>
                      <w:color w:val="auto"/>
                      <w:szCs w:val="21"/>
                    </w:rPr>
                  </w:pPr>
                  <w:r>
                    <w:rPr>
                      <w:rFonts w:hint="eastAsia" w:ascii="Times New Roman" w:hAnsi="Times New Roman" w:eastAsia="宋体" w:cs="Times New Roman"/>
                      <w:color w:val="auto"/>
                      <w:szCs w:val="21"/>
                    </w:rPr>
                    <w:t xml:space="preserve">新城垃圾中转站渗滤液处置项目  </w:t>
                  </w:r>
                </w:p>
              </w:tc>
              <w:tc>
                <w:tcPr>
                  <w:tcW w:w="1068" w:type="dxa"/>
                  <w:tcBorders>
                    <w:top w:val="single" w:color="000000" w:sz="4" w:space="0"/>
                    <w:left w:val="single" w:color="auto" w:sz="4" w:space="0"/>
                    <w:bottom w:val="single" w:color="000000" w:sz="4" w:space="0"/>
                    <w:right w:val="single" w:color="auto" w:sz="4" w:space="0"/>
                  </w:tcBorders>
                  <w:vAlign w:val="center"/>
                </w:tcPr>
                <w:p w14:paraId="71E1D90A">
                  <w:pPr>
                    <w:widowControl/>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1年</w:t>
                  </w:r>
                </w:p>
              </w:tc>
              <w:tc>
                <w:tcPr>
                  <w:tcW w:w="1156" w:type="dxa"/>
                  <w:tcBorders>
                    <w:top w:val="single" w:color="000000" w:sz="4" w:space="0"/>
                    <w:left w:val="single" w:color="000000" w:sz="4" w:space="0"/>
                    <w:bottom w:val="single" w:color="000000" w:sz="4" w:space="0"/>
                    <w:right w:val="single" w:color="auto" w:sz="4" w:space="0"/>
                  </w:tcBorders>
                  <w:vAlign w:val="center"/>
                </w:tcPr>
                <w:p w14:paraId="25105F8D">
                  <w:pPr>
                    <w:widowControl/>
                    <w:jc w:val="center"/>
                    <w:rPr>
                      <w:rFonts w:hint="default" w:ascii="Times New Roman" w:hAnsi="Times New Roman" w:eastAsia="宋体" w:cs="Times New Roman"/>
                      <w:color w:val="auto"/>
                      <w:szCs w:val="21"/>
                      <w:lang w:val="en-US" w:eastAsia="zh-CN"/>
                    </w:rPr>
                  </w:pPr>
                  <w:r>
                    <w:rPr>
                      <w:rFonts w:hint="eastAsia" w:ascii="Times New Roman" w:hAnsi="Times New Roman" w:eastAsia="宋体" w:cs="Times New Roman"/>
                      <w:color w:val="auto"/>
                      <w:szCs w:val="21"/>
                      <w:lang w:val="en-US" w:eastAsia="zh-CN"/>
                    </w:rPr>
                    <w:t>132.60</w:t>
                  </w:r>
                </w:p>
              </w:tc>
              <w:tc>
                <w:tcPr>
                  <w:tcW w:w="1188" w:type="dxa"/>
                  <w:tcBorders>
                    <w:top w:val="single" w:color="000000" w:sz="4" w:space="0"/>
                    <w:left w:val="single" w:color="auto" w:sz="4" w:space="0"/>
                    <w:bottom w:val="single" w:color="000000" w:sz="4" w:space="0"/>
                    <w:right w:val="single" w:color="000000" w:sz="4" w:space="0"/>
                  </w:tcBorders>
                  <w:vAlign w:val="center"/>
                </w:tcPr>
                <w:p w14:paraId="31C5E426">
                  <w:pPr>
                    <w:widowControl/>
                    <w:jc w:val="center"/>
                    <w:rPr>
                      <w:rFonts w:hint="eastAsia" w:ascii="Times New Roman" w:hAnsi="Times New Roman" w:eastAsia="宋体" w:cs="Times New Roman"/>
                      <w:color w:val="auto"/>
                      <w:szCs w:val="21"/>
                    </w:rPr>
                  </w:pPr>
                  <w:r>
                    <w:rPr>
                      <w:rFonts w:hint="eastAsia" w:ascii="Times New Roman" w:hAnsi="Times New Roman" w:eastAsia="宋体" w:cs="Times New Roman"/>
                      <w:color w:val="auto"/>
                      <w:szCs w:val="21"/>
                      <w:lang w:val="en-US" w:eastAsia="zh-CN"/>
                    </w:rPr>
                    <w:t>102元/</w:t>
                  </w:r>
                  <w:r>
                    <w:rPr>
                      <w:rFonts w:hint="default" w:ascii="Times New Roman" w:hAnsi="Times New Roman" w:eastAsia="宋体" w:cs="Times New Roman"/>
                      <w:color w:val="auto"/>
                      <w:szCs w:val="21"/>
                      <w:lang w:val="en" w:eastAsia="zh-CN"/>
                    </w:rPr>
                    <w:t>m3</w:t>
                  </w:r>
                </w:p>
              </w:tc>
              <w:tc>
                <w:tcPr>
                  <w:tcW w:w="1280" w:type="dxa"/>
                  <w:tcBorders>
                    <w:top w:val="single" w:color="000000" w:sz="4" w:space="0"/>
                    <w:left w:val="single" w:color="000000" w:sz="4" w:space="0"/>
                    <w:bottom w:val="single" w:color="000000" w:sz="4" w:space="0"/>
                    <w:right w:val="single" w:color="000000" w:sz="4" w:space="0"/>
                  </w:tcBorders>
                  <w:vAlign w:val="center"/>
                </w:tcPr>
                <w:p w14:paraId="15D0EB6C">
                  <w:pPr>
                    <w:widowControl/>
                    <w:spacing w:line="240" w:lineRule="auto"/>
                    <w:jc w:val="left"/>
                    <w:rPr>
                      <w:rFonts w:ascii="Times New Roman" w:hAnsi="Times New Roman" w:eastAsia="宋体" w:cs="Times New Roman"/>
                      <w:color w:val="auto"/>
                      <w:szCs w:val="21"/>
                    </w:rPr>
                  </w:pPr>
                  <w:r>
                    <w:rPr>
                      <w:rFonts w:hint="eastAsia" w:ascii="Times New Roman" w:hAnsi="Times New Roman" w:eastAsia="宋体" w:cs="Times New Roman"/>
                      <w:color w:val="auto"/>
                      <w:szCs w:val="21"/>
                      <w:lang w:val="en-US" w:eastAsia="zh-CN"/>
                    </w:rPr>
                    <w:t>暂定处理量为30m³/d</w:t>
                  </w:r>
                </w:p>
              </w:tc>
            </w:tr>
          </w:tbl>
          <w:p w14:paraId="04DE378B">
            <w:pPr>
              <w:spacing w:after="120"/>
              <w:rPr>
                <w:rFonts w:ascii="Times New Roman" w:hAnsi="Times New Roman" w:eastAsia="宋体" w:cs="Times New Roman"/>
                <w:color w:val="auto"/>
                <w:kern w:val="0"/>
              </w:rPr>
            </w:pPr>
          </w:p>
        </w:tc>
      </w:tr>
      <w:tr w14:paraId="228C7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99E4317">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4</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435C32B">
            <w:pPr>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本项目预算</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CAEDAC1">
            <w:pPr>
              <w:spacing w:line="240" w:lineRule="exact"/>
              <w:jc w:val="left"/>
              <w:rPr>
                <w:rFonts w:hint="eastAsia" w:ascii="Times New Roman" w:hAnsi="Times New Roman" w:eastAsia="宋体" w:cs="Times New Roman"/>
                <w:bCs/>
                <w:color w:val="auto"/>
                <w:szCs w:val="21"/>
                <w:lang w:eastAsia="zh-CN"/>
              </w:rPr>
            </w:pPr>
            <w:r>
              <w:rPr>
                <w:rFonts w:hint="eastAsia" w:ascii="宋体" w:hAnsi="宋体" w:eastAsia="宋体" w:cs="Times New Roman"/>
                <w:b/>
                <w:bCs/>
                <w:color w:val="auto"/>
                <w:lang w:eastAsia="zh-CN"/>
              </w:rPr>
              <w:t>人民币壹佰叁拾贰万陆仟元整（1,326,000.00元）</w:t>
            </w:r>
          </w:p>
        </w:tc>
      </w:tr>
      <w:tr w14:paraId="0AA91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87AF80A">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5</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1AAD59C">
            <w:pPr>
              <w:spacing w:line="240" w:lineRule="exact"/>
              <w:jc w:val="center"/>
              <w:rPr>
                <w:rFonts w:hint="eastAsia" w:ascii="宋体" w:hAnsi="宋体" w:eastAsia="宋体" w:cs="Times New Roman"/>
                <w:b/>
                <w:color w:val="auto"/>
              </w:rPr>
            </w:pPr>
            <w:r>
              <w:rPr>
                <w:rFonts w:hint="eastAsia" w:ascii="宋体" w:hAnsi="宋体" w:eastAsia="宋体" w:cs="Times New Roman"/>
                <w:b/>
                <w:color w:val="auto"/>
              </w:rPr>
              <w:t>服务期限</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0471F97">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合同签订之日起</w:t>
            </w:r>
            <w:r>
              <w:rPr>
                <w:rFonts w:hint="eastAsia" w:ascii="Times New Roman" w:hAnsi="Times New Roman" w:eastAsia="宋体" w:cs="Times New Roman"/>
                <w:color w:val="auto"/>
                <w:szCs w:val="21"/>
                <w:lang w:val="en-US" w:eastAsia="zh-CN"/>
              </w:rPr>
              <w:t>1</w:t>
            </w:r>
            <w:r>
              <w:rPr>
                <w:rFonts w:hint="eastAsia" w:ascii="Times New Roman" w:hAnsi="Times New Roman" w:eastAsia="宋体" w:cs="Times New Roman"/>
                <w:color w:val="auto"/>
                <w:szCs w:val="21"/>
              </w:rPr>
              <w:t>年</w:t>
            </w:r>
            <w:r>
              <w:rPr>
                <w:rFonts w:hint="eastAsia" w:ascii="Times New Roman" w:hAnsi="Times New Roman" w:eastAsia="宋体" w:cs="Times New Roman"/>
                <w:color w:val="auto"/>
                <w:szCs w:val="21"/>
                <w:lang w:eastAsia="zh-CN"/>
              </w:rPr>
              <w:t>，若合同到期，服务质量好，在政策、条件允许的情况下，可以续签，续签时间一年，最多续签二次。续签期间按原合同履行。如在服务期内如遇特殊情况（如政策调整等不可抗力因素），采购人有权提前终止合同，且无须就提前终止合同向投标人承担任何赔偿责任。</w:t>
            </w:r>
          </w:p>
        </w:tc>
      </w:tr>
      <w:tr w14:paraId="5438B6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98E58B7">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6</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531AC67">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投标有效期</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9E26830">
            <w:pPr>
              <w:spacing w:line="240" w:lineRule="exact"/>
              <w:rPr>
                <w:rFonts w:ascii="Times New Roman" w:hAnsi="Times New Roman" w:eastAsia="宋体" w:cs="Times New Roman"/>
                <w:color w:val="auto"/>
                <w:szCs w:val="21"/>
              </w:rPr>
            </w:pPr>
            <w:r>
              <w:rPr>
                <w:rFonts w:ascii="Times New Roman" w:hAnsi="Times New Roman" w:eastAsia="宋体" w:cs="Times New Roman"/>
                <w:color w:val="auto"/>
                <w:szCs w:val="21"/>
                <w:u w:val="single"/>
              </w:rPr>
              <w:t>90</w:t>
            </w:r>
            <w:r>
              <w:rPr>
                <w:rFonts w:hint="eastAsia" w:ascii="Times New Roman" w:hAnsi="Times New Roman" w:eastAsia="宋体" w:cs="Times New Roman"/>
                <w:color w:val="auto"/>
                <w:szCs w:val="21"/>
                <w:u w:val="single"/>
              </w:rPr>
              <w:t>日</w:t>
            </w:r>
            <w:r>
              <w:rPr>
                <w:rFonts w:hint="eastAsia" w:ascii="Times New Roman" w:hAnsi="Times New Roman" w:eastAsia="宋体" w:cs="Times New Roman"/>
                <w:color w:val="auto"/>
                <w:szCs w:val="21"/>
              </w:rPr>
              <w:t>历天。（从投标截止之日算起）</w:t>
            </w:r>
          </w:p>
        </w:tc>
      </w:tr>
      <w:tr w14:paraId="117FE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61AE114">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7</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A1A4834">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评标方法</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51EE179">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综合评分法</w:t>
            </w:r>
          </w:p>
        </w:tc>
      </w:tr>
      <w:tr w14:paraId="7E7E2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6B555B9">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8</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736EC55">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签订合同</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737ADAF">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中标通知书发出后</w:t>
            </w:r>
            <w:r>
              <w:rPr>
                <w:rFonts w:ascii="Times New Roman" w:hAnsi="Times New Roman" w:eastAsia="宋体" w:cs="Times New Roman"/>
                <w:color w:val="auto"/>
                <w:szCs w:val="21"/>
                <w:u w:val="single"/>
              </w:rPr>
              <w:t>30</w:t>
            </w:r>
            <w:r>
              <w:rPr>
                <w:rFonts w:hint="eastAsia" w:ascii="Times New Roman" w:hAnsi="Times New Roman" w:eastAsia="宋体" w:cs="Times New Roman"/>
                <w:color w:val="auto"/>
                <w:szCs w:val="21"/>
              </w:rPr>
              <w:t>天内</w:t>
            </w:r>
          </w:p>
        </w:tc>
      </w:tr>
      <w:tr w14:paraId="4C67C4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647923B">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9</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44FAC9F">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资金结算</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5399EAA">
            <w:pPr>
              <w:spacing w:line="240" w:lineRule="exact"/>
              <w:jc w:val="left"/>
              <w:rPr>
                <w:rFonts w:hint="eastAsia" w:ascii="宋体" w:hAnsi="宋体" w:eastAsia="宋体" w:cs="Times New Roman"/>
                <w:bCs/>
                <w:color w:val="auto"/>
                <w:szCs w:val="21"/>
              </w:rPr>
            </w:pPr>
            <w:r>
              <w:rPr>
                <w:rFonts w:hint="eastAsia" w:ascii="宋体" w:hAnsi="宋体" w:eastAsia="宋体" w:cs="Times New Roman"/>
                <w:bCs/>
                <w:color w:val="auto"/>
                <w:szCs w:val="21"/>
                <w:lang w:val="en-US" w:eastAsia="zh-CN"/>
              </w:rPr>
              <w:t>1.合同生效后，费用按季支付，季度承包款按照30m³/d的处置量×中标价×天数计算，每季度的第一个月内，由采购人在收到中标人正式发票后20天内向中标人办理运营处理费价款的支付手续；第四季度费用根据当年度实际处置量对承包费用进行结算后结清。2.</w:t>
            </w:r>
            <w:r>
              <w:rPr>
                <w:rFonts w:hint="eastAsia" w:ascii="宋体" w:hAnsi="宋体" w:eastAsia="宋体" w:cs="Times New Roman"/>
                <w:bCs/>
                <w:color w:val="auto"/>
                <w:szCs w:val="21"/>
              </w:rPr>
              <w:t>在运营期间，采购</w:t>
            </w:r>
            <w:r>
              <w:rPr>
                <w:rFonts w:hint="eastAsia" w:ascii="宋体" w:hAnsi="宋体" w:eastAsia="宋体" w:cs="Times New Roman"/>
                <w:bCs/>
                <w:color w:val="auto"/>
                <w:szCs w:val="21"/>
                <w:lang w:eastAsia="zh-CN"/>
              </w:rPr>
              <w:t>人</w:t>
            </w:r>
            <w:r>
              <w:rPr>
                <w:rFonts w:hint="eastAsia" w:ascii="宋体" w:hAnsi="宋体" w:eastAsia="宋体" w:cs="Times New Roman"/>
                <w:bCs/>
                <w:color w:val="auto"/>
                <w:szCs w:val="21"/>
              </w:rPr>
              <w:t>将对中标</w:t>
            </w:r>
            <w:r>
              <w:rPr>
                <w:rFonts w:hint="eastAsia" w:ascii="宋体" w:hAnsi="宋体" w:eastAsia="宋体" w:cs="Times New Roman"/>
                <w:bCs/>
                <w:color w:val="auto"/>
                <w:szCs w:val="21"/>
                <w:lang w:eastAsia="zh-CN"/>
              </w:rPr>
              <w:t>人</w:t>
            </w:r>
            <w:r>
              <w:rPr>
                <w:rFonts w:hint="eastAsia" w:ascii="宋体" w:hAnsi="宋体" w:eastAsia="宋体" w:cs="Times New Roman"/>
                <w:bCs/>
                <w:color w:val="auto"/>
                <w:szCs w:val="21"/>
              </w:rPr>
              <w:t>进行定期不定期进行日常检查。若采购</w:t>
            </w:r>
            <w:r>
              <w:rPr>
                <w:rFonts w:hint="eastAsia" w:ascii="宋体" w:hAnsi="宋体" w:eastAsia="宋体" w:cs="Times New Roman"/>
                <w:bCs/>
                <w:color w:val="auto"/>
                <w:szCs w:val="21"/>
                <w:lang w:eastAsia="zh-CN"/>
              </w:rPr>
              <w:t>人</w:t>
            </w:r>
            <w:r>
              <w:rPr>
                <w:rFonts w:hint="eastAsia" w:ascii="宋体" w:hAnsi="宋体" w:eastAsia="宋体" w:cs="Times New Roman"/>
                <w:bCs/>
                <w:color w:val="auto"/>
                <w:szCs w:val="21"/>
              </w:rPr>
              <w:t>抽查时出现污水处理排放及脱水后污泥处理不符合标准要求的，采购</w:t>
            </w:r>
            <w:r>
              <w:rPr>
                <w:rFonts w:hint="eastAsia" w:ascii="宋体" w:hAnsi="宋体" w:eastAsia="宋体" w:cs="Times New Roman"/>
                <w:bCs/>
                <w:color w:val="auto"/>
                <w:szCs w:val="21"/>
                <w:lang w:eastAsia="zh-CN"/>
              </w:rPr>
              <w:t>人</w:t>
            </w:r>
            <w:r>
              <w:rPr>
                <w:rFonts w:hint="eastAsia" w:ascii="宋体" w:hAnsi="宋体" w:eastAsia="宋体" w:cs="Times New Roman"/>
                <w:bCs/>
                <w:color w:val="auto"/>
                <w:szCs w:val="21"/>
              </w:rPr>
              <w:t>有权</w:t>
            </w:r>
            <w:r>
              <w:rPr>
                <w:rFonts w:hint="eastAsia" w:ascii="宋体" w:hAnsi="宋体" w:eastAsia="宋体"/>
                <w:color w:val="auto"/>
                <w:szCs w:val="21"/>
                <w:lang w:eastAsia="zh-CN"/>
              </w:rPr>
              <w:t>根据考核结果扣除承包费用</w:t>
            </w:r>
            <w:r>
              <w:rPr>
                <w:rFonts w:hint="eastAsia" w:ascii="宋体" w:hAnsi="宋体" w:eastAsia="宋体" w:cs="Times New Roman"/>
                <w:bCs/>
                <w:color w:val="auto"/>
                <w:szCs w:val="21"/>
              </w:rPr>
              <w:t>，中标</w:t>
            </w:r>
            <w:r>
              <w:rPr>
                <w:rFonts w:hint="eastAsia" w:ascii="宋体" w:hAnsi="宋体" w:eastAsia="宋体" w:cs="Times New Roman"/>
                <w:bCs/>
                <w:color w:val="auto"/>
                <w:szCs w:val="21"/>
                <w:lang w:eastAsia="zh-CN"/>
              </w:rPr>
              <w:t>人</w:t>
            </w:r>
            <w:r>
              <w:rPr>
                <w:rFonts w:hint="eastAsia" w:ascii="宋体" w:hAnsi="宋体" w:eastAsia="宋体" w:cs="Times New Roman"/>
                <w:bCs/>
                <w:color w:val="auto"/>
                <w:szCs w:val="21"/>
              </w:rPr>
              <w:t>需进行整改并提交相关方案，若同一季度出现三次上述情况，釆购</w:t>
            </w:r>
            <w:r>
              <w:rPr>
                <w:rFonts w:hint="eastAsia" w:ascii="宋体" w:hAnsi="宋体" w:eastAsia="宋体" w:cs="Times New Roman"/>
                <w:bCs/>
                <w:color w:val="auto"/>
                <w:szCs w:val="21"/>
                <w:lang w:eastAsia="zh-CN"/>
              </w:rPr>
              <w:t>人</w:t>
            </w:r>
            <w:r>
              <w:rPr>
                <w:rFonts w:hint="eastAsia" w:ascii="宋体" w:hAnsi="宋体" w:eastAsia="宋体" w:cs="Times New Roman"/>
                <w:bCs/>
                <w:color w:val="auto"/>
                <w:szCs w:val="21"/>
              </w:rPr>
              <w:t>有权无条件终止</w:t>
            </w:r>
            <w:r>
              <w:rPr>
                <w:rFonts w:hint="eastAsia" w:ascii="宋体" w:hAnsi="宋体" w:eastAsia="宋体" w:cs="Times New Roman"/>
                <w:bCs/>
                <w:color w:val="auto"/>
                <w:szCs w:val="21"/>
                <w:lang w:eastAsia="zh-CN"/>
              </w:rPr>
              <w:t>投标人</w:t>
            </w:r>
            <w:r>
              <w:rPr>
                <w:rFonts w:hint="eastAsia" w:ascii="宋体" w:hAnsi="宋体" w:eastAsia="宋体" w:cs="Times New Roman"/>
                <w:bCs/>
                <w:color w:val="auto"/>
                <w:szCs w:val="21"/>
              </w:rPr>
              <w:t>合同，履约保证金不予退还。</w:t>
            </w:r>
          </w:p>
          <w:p w14:paraId="7F64DADB">
            <w:pPr>
              <w:spacing w:line="240" w:lineRule="exact"/>
              <w:jc w:val="left"/>
              <w:rPr>
                <w:rFonts w:hint="eastAsia" w:ascii="宋体" w:hAnsi="宋体" w:eastAsia="宋体" w:cs="Times New Roman"/>
                <w:bCs/>
                <w:color w:val="auto"/>
                <w:szCs w:val="21"/>
                <w:lang w:eastAsia="zh-CN"/>
              </w:rPr>
            </w:pPr>
            <w:r>
              <w:rPr>
                <w:rFonts w:hint="eastAsia" w:ascii="宋体" w:hAnsi="宋体" w:eastAsia="宋体" w:cs="Times New Roman"/>
                <w:bCs/>
                <w:color w:val="auto"/>
                <w:szCs w:val="21"/>
                <w:lang w:val="en-US" w:eastAsia="zh-CN"/>
              </w:rPr>
              <w:t>3.</w:t>
            </w:r>
            <w:r>
              <w:rPr>
                <w:rFonts w:hint="eastAsia" w:ascii="宋体" w:hAnsi="宋体" w:eastAsia="宋体" w:cs="Times New Roman"/>
                <w:bCs/>
                <w:color w:val="auto"/>
                <w:szCs w:val="21"/>
              </w:rPr>
              <w:t>在运营期间，若</w:t>
            </w:r>
            <w:r>
              <w:rPr>
                <w:rFonts w:hint="eastAsia" w:ascii="宋体" w:hAnsi="宋体" w:eastAsia="宋体" w:cs="Times New Roman"/>
                <w:bCs/>
                <w:color w:val="auto"/>
                <w:szCs w:val="21"/>
                <w:lang w:eastAsia="zh-CN"/>
              </w:rPr>
              <w:t>相关</w:t>
            </w:r>
            <w:r>
              <w:rPr>
                <w:rFonts w:hint="eastAsia" w:ascii="宋体" w:hAnsi="宋体" w:eastAsia="宋体" w:cs="Times New Roman"/>
                <w:bCs/>
                <w:color w:val="auto"/>
                <w:szCs w:val="21"/>
              </w:rPr>
              <w:t>部门发现不符合标准，由中标</w:t>
            </w:r>
            <w:r>
              <w:rPr>
                <w:rFonts w:hint="eastAsia" w:ascii="宋体" w:hAnsi="宋体" w:eastAsia="宋体" w:cs="Times New Roman"/>
                <w:bCs/>
                <w:color w:val="auto"/>
                <w:szCs w:val="21"/>
                <w:lang w:eastAsia="zh-CN"/>
              </w:rPr>
              <w:t>人</w:t>
            </w:r>
            <w:r>
              <w:rPr>
                <w:rFonts w:hint="eastAsia" w:ascii="宋体" w:hAnsi="宋体" w:eastAsia="宋体" w:cs="Times New Roman"/>
                <w:bCs/>
                <w:color w:val="auto"/>
                <w:szCs w:val="21"/>
              </w:rPr>
              <w:t>承担一切责任和处罚费用</w:t>
            </w:r>
            <w:r>
              <w:rPr>
                <w:rFonts w:hint="eastAsia" w:ascii="宋体" w:hAnsi="宋体" w:eastAsia="宋体" w:cs="Times New Roman"/>
                <w:bCs/>
                <w:color w:val="auto"/>
                <w:szCs w:val="21"/>
                <w:lang w:eastAsia="zh-CN"/>
              </w:rPr>
              <w:t>。</w:t>
            </w:r>
          </w:p>
        </w:tc>
      </w:tr>
      <w:tr w14:paraId="2EC6B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BBB75B1">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10</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6C44117">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投标报价</w:t>
            </w:r>
          </w:p>
          <w:p w14:paraId="18959250">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与费用</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C43C2BE">
            <w:pPr>
              <w:spacing w:line="240" w:lineRule="exact"/>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本项目的投标应以人民币报价，投标报价应包括所有费用。</w:t>
            </w:r>
          </w:p>
          <w:p w14:paraId="0EE18ED5">
            <w:pPr>
              <w:spacing w:line="240" w:lineRule="exact"/>
              <w:rPr>
                <w:rFonts w:ascii="Times New Roman" w:hAnsi="Times New Roman" w:eastAsia="宋体" w:cs="Times New Roman"/>
                <w:bCs/>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w:t>
            </w:r>
            <w:r>
              <w:rPr>
                <w:rFonts w:hint="eastAsia" w:ascii="Times New Roman" w:hAnsi="Times New Roman" w:eastAsia="宋体" w:cs="Times New Roman"/>
                <w:bCs/>
                <w:color w:val="auto"/>
                <w:szCs w:val="21"/>
              </w:rPr>
              <w:t xml:space="preserve">标人应承担其参加本招标活动自身所发生的费用。 </w:t>
            </w:r>
          </w:p>
          <w:p w14:paraId="6D6ABE79">
            <w:pPr>
              <w:spacing w:line="240" w:lineRule="exact"/>
              <w:rPr>
                <w:rFonts w:ascii="Times New Roman" w:hAnsi="Times New Roman" w:eastAsia="宋体" w:cs="Times New Roman"/>
                <w:bCs/>
                <w:color w:val="auto"/>
                <w:szCs w:val="21"/>
              </w:rPr>
            </w:pPr>
            <w:r>
              <w:rPr>
                <w:rFonts w:ascii="Times New Roman" w:hAnsi="Times New Roman" w:eastAsia="宋体" w:cs="Times New Roman"/>
                <w:bCs/>
                <w:color w:val="auto"/>
                <w:szCs w:val="21"/>
              </w:rPr>
              <w:t>3.</w:t>
            </w:r>
            <w:r>
              <w:rPr>
                <w:rFonts w:hint="eastAsia" w:ascii="Times New Roman" w:hAnsi="Times New Roman" w:eastAsia="宋体" w:cs="Times New Roman"/>
                <w:bCs/>
                <w:color w:val="auto"/>
                <w:szCs w:val="21"/>
              </w:rPr>
              <w:t>中标人须缴纳招标代理费，收费金额为：人民币</w:t>
            </w:r>
            <w:r>
              <w:rPr>
                <w:rFonts w:hint="eastAsia" w:ascii="Times New Roman" w:hAnsi="Times New Roman" w:eastAsia="宋体" w:cs="Times New Roman"/>
                <w:bCs/>
                <w:color w:val="auto"/>
                <w:szCs w:val="21"/>
                <w:lang w:val="en-US" w:eastAsia="zh-CN"/>
              </w:rPr>
              <w:t>捌仟捌佰</w:t>
            </w:r>
            <w:r>
              <w:rPr>
                <w:rFonts w:hint="eastAsia" w:ascii="Times New Roman" w:hAnsi="Times New Roman" w:eastAsia="宋体" w:cs="Times New Roman"/>
                <w:bCs/>
                <w:color w:val="auto"/>
                <w:szCs w:val="21"/>
              </w:rPr>
              <w:t>元整（</w:t>
            </w:r>
            <w:r>
              <w:rPr>
                <w:rFonts w:hint="eastAsia" w:ascii="Times New Roman" w:hAnsi="Times New Roman" w:eastAsia="宋体" w:cs="Times New Roman"/>
                <w:bCs/>
                <w:color w:val="auto"/>
                <w:szCs w:val="21"/>
                <w:lang w:val="en-US" w:eastAsia="zh-CN"/>
              </w:rPr>
              <w:t>880</w:t>
            </w:r>
            <w:r>
              <w:rPr>
                <w:rFonts w:hint="eastAsia" w:ascii="Times New Roman" w:hAnsi="Times New Roman" w:eastAsia="宋体" w:cs="Times New Roman"/>
                <w:bCs/>
                <w:color w:val="auto"/>
                <w:szCs w:val="21"/>
              </w:rPr>
              <w:t>0.00元）。</w:t>
            </w:r>
          </w:p>
          <w:p w14:paraId="32CAA9AC">
            <w:pPr>
              <w:rPr>
                <w:rFonts w:ascii="Times New Roman" w:hAnsi="Times New Roman" w:eastAsia="宋体" w:cs="Times New Roman"/>
                <w:color w:val="auto"/>
                <w:szCs w:val="21"/>
              </w:rPr>
            </w:pPr>
            <w:r>
              <w:rPr>
                <w:rFonts w:ascii="Times New Roman" w:hAnsi="Times New Roman" w:eastAsia="宋体" w:cs="Times New Roman"/>
                <w:color w:val="auto"/>
              </w:rPr>
              <w:t>4.</w:t>
            </w:r>
            <w:r>
              <w:rPr>
                <w:rFonts w:hint="eastAsia" w:ascii="Times New Roman" w:hAnsi="Times New Roman" w:eastAsia="宋体" w:cs="Times New Roman"/>
                <w:color w:val="auto"/>
              </w:rPr>
              <w:t>中标通知书发出的同时，中标人应及时支付招标代理费，收到服务费后提供全额发票。</w:t>
            </w:r>
            <w:r>
              <w:rPr>
                <w:rFonts w:hint="eastAsia" w:ascii="宋体" w:hAnsi="宋体" w:eastAsia="宋体" w:cs="宋体"/>
                <w:color w:val="auto"/>
              </w:rPr>
              <w:t>中标结果确认后，因</w:t>
            </w:r>
            <w:r>
              <w:rPr>
                <w:rFonts w:hint="eastAsia" w:ascii="宋体" w:hAnsi="宋体" w:eastAsia="宋体" w:cs="宋体"/>
                <w:color w:val="auto"/>
                <w:lang w:eastAsia="zh-CN"/>
              </w:rPr>
              <w:t>投标人</w:t>
            </w:r>
            <w:r>
              <w:rPr>
                <w:rFonts w:hint="eastAsia" w:ascii="宋体" w:hAnsi="宋体" w:eastAsia="宋体" w:cs="宋体"/>
                <w:color w:val="auto"/>
              </w:rPr>
              <w:t>自身原因退出中标，招标代理费不予退回。</w:t>
            </w:r>
          </w:p>
        </w:tc>
      </w:tr>
      <w:tr w14:paraId="1812C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4924A89">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11</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B8722C4">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银行账号</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FB876A7">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收款单位：深圳市国信招标有限公司舟山分公司</w:t>
            </w:r>
          </w:p>
          <w:p w14:paraId="1B6D7623">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开户银行：中国工商银行舟山市定海区支行</w:t>
            </w:r>
          </w:p>
          <w:p w14:paraId="7EA8AEE7">
            <w:pPr>
              <w:spacing w:line="240" w:lineRule="exact"/>
              <w:rPr>
                <w:rFonts w:ascii="Times New Roman" w:hAnsi="Times New Roman" w:eastAsia="宋体" w:cs="Times New Roman"/>
                <w:color w:val="auto"/>
                <w:szCs w:val="21"/>
              </w:rPr>
            </w:pPr>
            <w:r>
              <w:rPr>
                <w:rFonts w:hint="eastAsia" w:ascii="Times New Roman" w:hAnsi="Times New Roman" w:eastAsia="宋体" w:cs="Times New Roman"/>
                <w:color w:val="auto"/>
                <w:szCs w:val="21"/>
              </w:rPr>
              <w:t>银行账号：</w:t>
            </w:r>
            <w:r>
              <w:rPr>
                <w:rFonts w:ascii="Times New Roman" w:hAnsi="Times New Roman" w:eastAsia="宋体" w:cs="Times New Roman"/>
                <w:color w:val="auto"/>
                <w:szCs w:val="21"/>
              </w:rPr>
              <w:t>1206020209200081758</w:t>
            </w:r>
          </w:p>
        </w:tc>
      </w:tr>
      <w:tr w14:paraId="7CFBDE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0914872A">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12</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2B9FFDE">
            <w:pPr>
              <w:spacing w:line="240" w:lineRule="exact"/>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质量标准</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EC88C93">
            <w:pPr>
              <w:spacing w:line="240" w:lineRule="exact"/>
              <w:rPr>
                <w:rFonts w:ascii="Times New Roman" w:hAnsi="Times New Roman" w:eastAsia="宋体" w:cs="Times New Roman"/>
                <w:color w:val="auto"/>
                <w:szCs w:val="21"/>
              </w:rPr>
            </w:pPr>
            <w:r>
              <w:rPr>
                <w:rFonts w:hint="eastAsia" w:ascii="宋体" w:hAnsi="宋体" w:eastAsia="宋体" w:cs="Times New Roman"/>
                <w:color w:val="auto"/>
              </w:rPr>
              <w:t>合同约定，经验收合格</w:t>
            </w:r>
          </w:p>
        </w:tc>
      </w:tr>
      <w:tr w14:paraId="46789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C6C5029">
            <w:pPr>
              <w:snapToGrid w:val="0"/>
              <w:spacing w:line="240" w:lineRule="exact"/>
              <w:jc w:val="center"/>
              <w:rPr>
                <w:rFonts w:ascii="Times New Roman" w:hAnsi="Times New Roman" w:eastAsia="宋体" w:cs="Times New Roman"/>
                <w:b/>
                <w:color w:val="auto"/>
              </w:rPr>
            </w:pPr>
            <w:r>
              <w:rPr>
                <w:rFonts w:hint="eastAsia" w:ascii="Times New Roman" w:hAnsi="Times New Roman" w:eastAsia="宋体" w:cs="Times New Roman"/>
                <w:b/>
                <w:color w:val="auto"/>
              </w:rPr>
              <w:t>13</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FE824F3">
            <w:pPr>
              <w:spacing w:line="240" w:lineRule="exact"/>
              <w:jc w:val="center"/>
              <w:rPr>
                <w:rFonts w:ascii="Times New Roman" w:hAnsi="Times New Roman" w:eastAsia="宋体" w:cs="Times New Roman"/>
                <w:b/>
                <w:bCs w:val="0"/>
                <w:color w:val="auto"/>
              </w:rPr>
            </w:pPr>
            <w:r>
              <w:rPr>
                <w:rFonts w:hint="eastAsia" w:ascii="Times New Roman" w:hAnsi="Times New Roman" w:eastAsia="宋体" w:cs="Times New Roman"/>
                <w:b/>
                <w:bCs w:val="0"/>
                <w:color w:val="auto"/>
                <w:szCs w:val="21"/>
              </w:rPr>
              <w:t>履约保证金</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62B9F0C9">
            <w:pPr>
              <w:rPr>
                <w:rFonts w:hint="default" w:ascii="Times New Roman" w:hAnsi="Times New Roman" w:eastAsia="宋体" w:cs="Times New Roman"/>
                <w:b/>
                <w:bCs w:val="0"/>
                <w:color w:val="auto"/>
                <w:szCs w:val="21"/>
                <w:lang w:val="en-US" w:eastAsia="zh-CN"/>
              </w:rPr>
            </w:pPr>
            <w:r>
              <w:rPr>
                <w:rFonts w:hint="eastAsia" w:ascii="Times New Roman" w:hAnsi="Times New Roman" w:eastAsia="宋体" w:cs="Times New Roman"/>
                <w:b/>
                <w:bCs w:val="0"/>
                <w:color w:val="auto"/>
                <w:szCs w:val="21"/>
                <w:lang w:val="en-US" w:eastAsia="zh-CN"/>
              </w:rPr>
              <w:t>10000元</w:t>
            </w:r>
          </w:p>
        </w:tc>
      </w:tr>
      <w:tr w14:paraId="5C790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2"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00A4262">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r>
              <w:rPr>
                <w:rFonts w:hint="eastAsia" w:ascii="Times New Roman" w:hAnsi="Times New Roman" w:eastAsia="宋体" w:cs="Times New Roman"/>
                <w:b/>
                <w:color w:val="auto"/>
              </w:rPr>
              <w:t>4</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54222A7">
            <w:pPr>
              <w:snapToGrid w:val="0"/>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2A27A009">
            <w:pPr>
              <w:snapToGrid w:val="0"/>
              <w:jc w:val="center"/>
              <w:rPr>
                <w:rFonts w:ascii="Times New Roman" w:hAnsi="Times New Roman" w:eastAsia="宋体" w:cs="Times New Roman"/>
                <w:b/>
                <w:color w:val="auto"/>
              </w:rPr>
            </w:pPr>
            <w:r>
              <w:rPr>
                <w:rFonts w:hint="eastAsia" w:ascii="Times New Roman" w:hAnsi="Times New Roman" w:eastAsia="宋体" w:cs="Times New Roman"/>
                <w:b/>
                <w:color w:val="auto"/>
              </w:rPr>
              <w:t>组成</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61D4B0E">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投标文件由资格响应文件、商务及技术响应文件、报价文件组成。</w:t>
            </w:r>
          </w:p>
        </w:tc>
      </w:tr>
      <w:tr w14:paraId="678E0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0"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E9646FD">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r>
              <w:rPr>
                <w:rFonts w:hint="eastAsia" w:ascii="Times New Roman" w:hAnsi="Times New Roman" w:eastAsia="宋体" w:cs="Times New Roman"/>
                <w:b/>
                <w:color w:val="auto"/>
              </w:rPr>
              <w:t>5</w:t>
            </w:r>
          </w:p>
        </w:tc>
        <w:tc>
          <w:tcPr>
            <w:tcW w:w="1392" w:type="dxa"/>
            <w:tcBorders>
              <w:top w:val="single" w:color="auto" w:sz="4" w:space="0"/>
              <w:left w:val="single" w:color="auto" w:sz="4" w:space="0"/>
              <w:bottom w:val="single" w:color="auto" w:sz="4" w:space="0"/>
              <w:right w:val="single" w:color="auto" w:sz="4" w:space="0"/>
            </w:tcBorders>
            <w:shd w:val="clear" w:color="auto" w:fill="FFFFFF"/>
            <w:tcMar>
              <w:top w:w="15" w:type="dxa"/>
              <w:left w:w="15" w:type="dxa"/>
              <w:bottom w:w="15" w:type="dxa"/>
              <w:right w:w="15" w:type="dxa"/>
            </w:tcMar>
            <w:vAlign w:val="center"/>
          </w:tcPr>
          <w:p w14:paraId="53C7EFBF">
            <w:pPr>
              <w:snapToGrid w:val="0"/>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7AF724CC">
            <w:pPr>
              <w:ind w:firstLine="517" w:firstLineChars="245"/>
              <w:rPr>
                <w:rFonts w:ascii="Times New Roman" w:hAnsi="Times New Roman" w:eastAsia="宋体" w:cs="Times New Roman"/>
                <w:b/>
                <w:color w:val="auto"/>
                <w:szCs w:val="21"/>
                <w:shd w:val="pct10" w:color="auto" w:fill="FFFFFF"/>
              </w:rPr>
            </w:pPr>
            <w:r>
              <w:rPr>
                <w:rFonts w:hint="eastAsia" w:ascii="Times New Roman" w:hAnsi="Times New Roman" w:eastAsia="宋体" w:cs="Times New Roman"/>
                <w:b/>
                <w:color w:val="auto"/>
              </w:rPr>
              <w:t>制作</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5DEB23E">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本项目实行电子投标。</w:t>
            </w:r>
          </w:p>
          <w:p w14:paraId="521DE3C3">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投标人应准备电子投标文件、以介质存储的数据电文形式的备份投标文件：</w:t>
            </w:r>
          </w:p>
          <w:p w14:paraId="46DA9F35">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）电子投标文件，按政采云平台项目采购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电子交易操作指南及本招标文件要求递交。</w:t>
            </w:r>
          </w:p>
          <w:p w14:paraId="3FE7BDF1">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0A103FAF">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投标文件均由资格响应文件、商务及技术响应文件、报价文件组成。</w:t>
            </w:r>
          </w:p>
        </w:tc>
      </w:tr>
      <w:tr w14:paraId="13C15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3"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CE77F8D">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r>
              <w:rPr>
                <w:rFonts w:hint="eastAsia" w:ascii="Times New Roman" w:hAnsi="Times New Roman" w:eastAsia="宋体" w:cs="Times New Roman"/>
                <w:b/>
                <w:color w:val="auto"/>
              </w:rPr>
              <w:t>6</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D4D97FD">
            <w:pPr>
              <w:snapToGrid w:val="0"/>
              <w:jc w:val="center"/>
              <w:rPr>
                <w:rFonts w:ascii="Times New Roman" w:hAnsi="Times New Roman" w:eastAsia="宋体" w:cs="Times New Roman"/>
                <w:b/>
                <w:color w:val="auto"/>
              </w:rPr>
            </w:pPr>
            <w:r>
              <w:rPr>
                <w:rFonts w:hint="eastAsia" w:ascii="Times New Roman" w:hAnsi="Times New Roman" w:eastAsia="宋体" w:cs="Times New Roman"/>
                <w:b/>
                <w:color w:val="auto"/>
              </w:rPr>
              <w:t>投标文件的</w:t>
            </w:r>
          </w:p>
          <w:p w14:paraId="73B5AD7E">
            <w:pPr>
              <w:jc w:val="center"/>
              <w:rPr>
                <w:rFonts w:ascii="Times New Roman" w:hAnsi="Times New Roman" w:eastAsia="宋体" w:cs="Times New Roman"/>
                <w:b/>
                <w:color w:val="auto"/>
                <w:sz w:val="22"/>
                <w:shd w:val="pct10" w:color="auto" w:fill="FFFFFF"/>
              </w:rPr>
            </w:pPr>
            <w:r>
              <w:rPr>
                <w:rFonts w:hint="eastAsia" w:ascii="Times New Roman" w:hAnsi="Times New Roman" w:eastAsia="宋体" w:cs="Times New Roman"/>
                <w:b/>
                <w:color w:val="auto"/>
              </w:rPr>
              <w:t>组成</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3242B297">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7679B7A2">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投标人应当在规定时间前将以介质存储的数据电文形式的备份投标文件寄到或送达采购代理公司：舟山市定海区昌国路</w:t>
            </w:r>
            <w:r>
              <w:rPr>
                <w:rFonts w:ascii="Times New Roman" w:hAnsi="Times New Roman" w:eastAsia="宋体" w:cs="Times New Roman"/>
                <w:color w:val="auto"/>
                <w:sz w:val="22"/>
              </w:rPr>
              <w:t>232</w:t>
            </w:r>
            <w:r>
              <w:rPr>
                <w:rFonts w:hint="eastAsia" w:ascii="Times New Roman" w:hAnsi="Times New Roman" w:eastAsia="宋体" w:cs="Times New Roman"/>
                <w:color w:val="auto"/>
                <w:sz w:val="22"/>
              </w:rPr>
              <w:t>号中楼</w:t>
            </w:r>
            <w:r>
              <w:rPr>
                <w:rFonts w:ascii="Times New Roman" w:hAnsi="Times New Roman" w:eastAsia="宋体" w:cs="Times New Roman"/>
                <w:color w:val="auto"/>
                <w:sz w:val="22"/>
              </w:rPr>
              <w:t>202</w:t>
            </w:r>
            <w:r>
              <w:rPr>
                <w:rFonts w:hint="eastAsia" w:ascii="Times New Roman" w:hAnsi="Times New Roman" w:eastAsia="宋体" w:cs="Times New Roman"/>
                <w:color w:val="auto"/>
                <w:sz w:val="22"/>
              </w:rPr>
              <w:t>。逾期送达或未密封将被拒收。也可现场递交。</w:t>
            </w:r>
          </w:p>
          <w:p w14:paraId="6ED931E5">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投标人递交以介质存储的数据电文形式的备份投标文件时，如出现下列情况之一的，将被拒收：</w:t>
            </w:r>
          </w:p>
          <w:p w14:paraId="3780A5BB">
            <w:pPr>
              <w:rPr>
                <w:rFonts w:ascii="Times New Roman" w:hAnsi="Times New Roman" w:eastAsia="宋体" w:cs="Times New Roman"/>
                <w:color w:val="auto"/>
                <w:sz w:val="22"/>
              </w:rPr>
            </w:pPr>
            <w:r>
              <w:rPr>
                <w:rFonts w:ascii="Times New Roman" w:hAnsi="Times New Roman" w:eastAsia="宋体" w:cs="Times New Roman"/>
                <w:color w:val="auto"/>
                <w:sz w:val="22"/>
              </w:rPr>
              <w:t>1.</w:t>
            </w:r>
            <w:r>
              <w:rPr>
                <w:rFonts w:hint="eastAsia" w:ascii="Times New Roman" w:hAnsi="Times New Roman" w:eastAsia="宋体" w:cs="Times New Roman"/>
                <w:color w:val="auto"/>
                <w:sz w:val="22"/>
              </w:rPr>
              <w:t>未按规定密封或标记的投标文件；</w:t>
            </w:r>
          </w:p>
          <w:p w14:paraId="6F23F4B8">
            <w:pPr>
              <w:rPr>
                <w:rFonts w:ascii="Times New Roman" w:hAnsi="Times New Roman" w:eastAsia="宋体" w:cs="Times New Roman"/>
                <w:color w:val="auto"/>
                <w:sz w:val="22"/>
              </w:rPr>
            </w:pPr>
            <w:r>
              <w:rPr>
                <w:rFonts w:ascii="Times New Roman" w:hAnsi="Times New Roman" w:eastAsia="宋体" w:cs="Times New Roman"/>
                <w:color w:val="auto"/>
                <w:sz w:val="22"/>
              </w:rPr>
              <w:t>2.</w:t>
            </w:r>
            <w:r>
              <w:rPr>
                <w:rFonts w:hint="eastAsia" w:ascii="Times New Roman" w:hAnsi="Times New Roman" w:eastAsia="宋体" w:cs="Times New Roman"/>
                <w:color w:val="auto"/>
                <w:sz w:val="22"/>
              </w:rPr>
              <w:t>由于包装不妥，在送交途中严重破损或失散的；</w:t>
            </w:r>
          </w:p>
          <w:p w14:paraId="23E4514E">
            <w:pPr>
              <w:rPr>
                <w:rFonts w:ascii="Times New Roman" w:hAnsi="Times New Roman" w:eastAsia="宋体" w:cs="Times New Roman"/>
                <w:color w:val="auto"/>
                <w:sz w:val="22"/>
              </w:rPr>
            </w:pPr>
            <w:r>
              <w:rPr>
                <w:rFonts w:ascii="Times New Roman" w:hAnsi="Times New Roman" w:eastAsia="宋体" w:cs="Times New Roman"/>
                <w:color w:val="auto"/>
                <w:sz w:val="22"/>
              </w:rPr>
              <w:t>3.</w:t>
            </w:r>
            <w:r>
              <w:rPr>
                <w:rFonts w:hint="eastAsia" w:ascii="Times New Roman" w:hAnsi="Times New Roman" w:eastAsia="宋体" w:cs="Times New Roman"/>
                <w:color w:val="auto"/>
                <w:sz w:val="22"/>
              </w:rPr>
              <w:t>未成功办理投标人报名手续的；</w:t>
            </w:r>
          </w:p>
          <w:p w14:paraId="4CB8429A">
            <w:pPr>
              <w:rPr>
                <w:rFonts w:ascii="Times New Roman" w:hAnsi="Times New Roman" w:eastAsia="宋体" w:cs="Times New Roman"/>
                <w:color w:val="auto"/>
                <w:sz w:val="22"/>
              </w:rPr>
            </w:pPr>
            <w:r>
              <w:rPr>
                <w:rFonts w:ascii="Times New Roman" w:hAnsi="Times New Roman" w:eastAsia="宋体" w:cs="Times New Roman"/>
                <w:color w:val="auto"/>
                <w:sz w:val="22"/>
              </w:rPr>
              <w:t>4.</w:t>
            </w:r>
            <w:r>
              <w:rPr>
                <w:rFonts w:hint="eastAsia" w:ascii="Times New Roman" w:hAnsi="Times New Roman" w:eastAsia="宋体" w:cs="Times New Roman"/>
                <w:color w:val="auto"/>
                <w:sz w:val="22"/>
              </w:rPr>
              <w:t>超过截止时间送达的；</w:t>
            </w:r>
          </w:p>
          <w:p w14:paraId="39EA6291">
            <w:pPr>
              <w:rPr>
                <w:rFonts w:ascii="Times New Roman" w:hAnsi="Times New Roman" w:eastAsia="宋体" w:cs="Times New Roman"/>
                <w:color w:val="auto"/>
                <w:sz w:val="22"/>
              </w:rPr>
            </w:pPr>
            <w:r>
              <w:rPr>
                <w:rFonts w:hint="eastAsia" w:ascii="Times New Roman" w:hAnsi="Times New Roman" w:eastAsia="宋体" w:cs="Times New Roman"/>
                <w:color w:val="auto"/>
                <w:sz w:val="22"/>
              </w:rPr>
              <w:t>仅提供备份投标文件的，投标无效。</w:t>
            </w:r>
          </w:p>
          <w:p w14:paraId="6623C4B9">
            <w:pPr>
              <w:rPr>
                <w:rFonts w:ascii="Times New Roman" w:hAnsi="Times New Roman" w:eastAsia="宋体" w:cs="Times New Roman"/>
                <w:color w:val="auto"/>
                <w:sz w:val="22"/>
              </w:rPr>
            </w:pPr>
            <w:r>
              <w:rPr>
                <w:rFonts w:hint="eastAsia" w:ascii="Times New Roman" w:hAnsi="Times New Roman" w:eastAsia="宋体" w:cs="Times New Roman"/>
                <w:color w:val="auto"/>
                <w:sz w:val="22"/>
              </w:rPr>
              <w:t>投标人可以不提供备份投标文件，造成项目开评标活动无法进行下去的，投标无效，相关风险由投标人自行承担。</w:t>
            </w:r>
          </w:p>
        </w:tc>
      </w:tr>
      <w:tr w14:paraId="6DD95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1"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51499006">
            <w:pPr>
              <w:snapToGrid w:val="0"/>
              <w:jc w:val="center"/>
              <w:rPr>
                <w:rFonts w:ascii="Times New Roman" w:hAnsi="Times New Roman" w:eastAsia="宋体" w:cs="Times New Roman"/>
                <w:b/>
                <w:color w:val="auto"/>
              </w:rPr>
            </w:pPr>
            <w:r>
              <w:rPr>
                <w:rFonts w:ascii="Times New Roman" w:hAnsi="Times New Roman" w:eastAsia="宋体" w:cs="Times New Roman"/>
                <w:b/>
                <w:color w:val="auto"/>
              </w:rPr>
              <w:t>1</w:t>
            </w:r>
            <w:r>
              <w:rPr>
                <w:rFonts w:hint="eastAsia" w:ascii="Times New Roman" w:hAnsi="Times New Roman" w:eastAsia="宋体" w:cs="Times New Roman"/>
                <w:b/>
                <w:color w:val="auto"/>
              </w:rPr>
              <w:t>7</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186C91C">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投标人注册</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83A7E4C">
            <w:pPr>
              <w:spacing w:before="24" w:beforeLines="10"/>
              <w:jc w:val="left"/>
              <w:rPr>
                <w:rFonts w:ascii="Times New Roman" w:hAnsi="Times New Roman" w:eastAsia="宋体" w:cs="Times New Roman"/>
                <w:bCs/>
                <w:snapToGrid w:val="0"/>
                <w:color w:val="auto"/>
                <w:kern w:val="0"/>
              </w:rPr>
            </w:pPr>
            <w:r>
              <w:rPr>
                <w:rFonts w:hint="eastAsia" w:ascii="Times New Roman" w:hAnsi="Times New Roman" w:eastAsia="宋体" w:cs="Times New Roman"/>
                <w:bCs/>
                <w:snapToGrid w:val="0"/>
                <w:color w:val="auto"/>
                <w:kern w:val="0"/>
              </w:rPr>
              <w:t>各投标人须在投标截止时间前根据浙江省财政厅《关于开展政府采购投标人网上注册登记和诚信管理工作的通知》（浙财采监【</w:t>
            </w:r>
            <w:r>
              <w:rPr>
                <w:rFonts w:ascii="Times New Roman" w:hAnsi="Times New Roman" w:eastAsia="宋体" w:cs="Times New Roman"/>
                <w:bCs/>
                <w:snapToGrid w:val="0"/>
                <w:color w:val="auto"/>
                <w:kern w:val="0"/>
              </w:rPr>
              <w:t>2010</w:t>
            </w:r>
            <w:r>
              <w:rPr>
                <w:rFonts w:hint="eastAsia" w:ascii="Times New Roman" w:hAnsi="Times New Roman" w:eastAsia="宋体" w:cs="Times New Roman"/>
                <w:bCs/>
                <w:snapToGrid w:val="0"/>
                <w:color w:val="auto"/>
                <w:kern w:val="0"/>
              </w:rPr>
              <w:t>】</w:t>
            </w:r>
            <w:r>
              <w:rPr>
                <w:rFonts w:ascii="Times New Roman" w:hAnsi="Times New Roman" w:eastAsia="宋体" w:cs="Times New Roman"/>
                <w:bCs/>
                <w:snapToGrid w:val="0"/>
                <w:color w:val="auto"/>
                <w:kern w:val="0"/>
              </w:rPr>
              <w:t>8</w:t>
            </w:r>
            <w:r>
              <w:rPr>
                <w:rFonts w:hint="eastAsia" w:ascii="Times New Roman" w:hAnsi="Times New Roman" w:eastAsia="宋体" w:cs="Times New Roman"/>
                <w:bCs/>
                <w:snapToGrid w:val="0"/>
                <w:color w:val="auto"/>
                <w:kern w:val="0"/>
              </w:rPr>
              <w:t>号文）的要求，通过浙江政府采购网申请注册加入政府采购投标人库。以免影响享受相关政策优惠及成交后的款项支付。</w:t>
            </w:r>
          </w:p>
          <w:p w14:paraId="724C9611">
            <w:pPr>
              <w:spacing w:before="24" w:beforeLines="10"/>
              <w:jc w:val="left"/>
              <w:rPr>
                <w:rFonts w:ascii="Times New Roman" w:hAnsi="Times New Roman" w:eastAsia="宋体" w:cs="Times New Roman"/>
                <w:color w:val="auto"/>
                <w:szCs w:val="21"/>
              </w:rPr>
            </w:pPr>
            <w:r>
              <w:rPr>
                <w:rFonts w:hint="eastAsia" w:ascii="Times New Roman" w:hAnsi="Times New Roman" w:eastAsia="宋体" w:cs="Times New Roman"/>
                <w:bCs/>
                <w:snapToGrid w:val="0"/>
                <w:color w:val="auto"/>
                <w:kern w:val="0"/>
              </w:rPr>
              <w:t>投标人在申请注册前，请认真阅读，学习《中华人民共和国政府采购法》和《浙江省政府采购投标人注册及诚信管理暂行办法》等相关法规规定。</w:t>
            </w:r>
          </w:p>
        </w:tc>
      </w:tr>
      <w:tr w14:paraId="010FA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8"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C2D03B4">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r>
              <w:rPr>
                <w:rFonts w:hint="eastAsia" w:ascii="Times New Roman" w:hAnsi="Times New Roman" w:eastAsia="宋体" w:cs="Times New Roman"/>
                <w:b/>
                <w:color w:val="auto"/>
              </w:rPr>
              <w:t>8</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7EE0EB1C">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不良信用记录查询</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4AB1AC8D">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根据财库</w:t>
            </w:r>
            <w:r>
              <w:rPr>
                <w:rFonts w:ascii="Times New Roman" w:hAnsi="Times New Roman" w:eastAsia="宋体" w:cs="Times New Roman"/>
                <w:color w:val="auto"/>
                <w:szCs w:val="21"/>
              </w:rPr>
              <w:t>[2016]125</w:t>
            </w:r>
            <w:r>
              <w:rPr>
                <w:rFonts w:hint="eastAsia" w:ascii="Times New Roman" w:hAnsi="Times New Roman" w:eastAsia="宋体" w:cs="Times New Roman"/>
                <w:color w:val="auto"/>
                <w:szCs w:val="21"/>
              </w:rPr>
              <w:t>号文件：</w:t>
            </w:r>
          </w:p>
          <w:p w14:paraId="5F2A12EC">
            <w:pPr>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至本项目投标截止前未被列入</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信用中国</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网站</w:t>
            </w:r>
            <w:r>
              <w:rPr>
                <w:rFonts w:ascii="Times New Roman" w:hAnsi="Times New Roman" w:eastAsia="宋体" w:cs="Times New Roman"/>
                <w:color w:val="auto"/>
                <w:szCs w:val="21"/>
              </w:rPr>
              <w:t>(www.creditchina.gov.cn)“</w:t>
            </w:r>
            <w:r>
              <w:rPr>
                <w:rFonts w:hint="eastAsia" w:ascii="Times New Roman" w:hAnsi="Times New Roman" w:eastAsia="宋体" w:cs="Times New Roman"/>
                <w:color w:val="auto"/>
                <w:szCs w:val="21"/>
              </w:rPr>
              <w:t>记录失信被执行人或重大税收违法案件当事人名单</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记录名单。</w:t>
            </w:r>
          </w:p>
          <w:p w14:paraId="4836DC3D">
            <w:pPr>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至本项目投标截止前不处于中国政府采购网</w:t>
            </w:r>
            <w:r>
              <w:rPr>
                <w:rFonts w:ascii="Times New Roman" w:hAnsi="Times New Roman" w:eastAsia="宋体" w:cs="Times New Roman"/>
                <w:color w:val="auto"/>
                <w:szCs w:val="21"/>
              </w:rPr>
              <w:t>(www.ccgp.gov.cn)“</w:t>
            </w:r>
            <w:r>
              <w:rPr>
                <w:rFonts w:hint="eastAsia" w:ascii="Times New Roman" w:hAnsi="Times New Roman" w:eastAsia="宋体" w:cs="Times New Roman"/>
                <w:color w:val="auto"/>
                <w:szCs w:val="21"/>
              </w:rPr>
              <w:t>政府采购严重违法失信行为信息记录</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中的禁止参加政府采购活动期间。</w:t>
            </w:r>
          </w:p>
          <w:p w14:paraId="3A84E72F">
            <w:pPr>
              <w:rPr>
                <w:rFonts w:ascii="Times New Roman" w:hAnsi="Times New Roman" w:eastAsia="宋体" w:cs="Times New Roman"/>
                <w:color w:val="auto"/>
              </w:rPr>
            </w:pPr>
            <w:r>
              <w:rPr>
                <w:rFonts w:hint="eastAsia" w:ascii="Times New Roman" w:hAnsi="Times New Roman" w:eastAsia="宋体" w:cs="Times New Roman"/>
                <w:color w:val="auto"/>
                <w:szCs w:val="21"/>
              </w:rPr>
              <w:t>提供</w:t>
            </w:r>
            <w:r>
              <w:rPr>
                <w:rFonts w:hint="eastAsia" w:ascii="Times New Roman" w:hAnsi="Times New Roman" w:eastAsia="宋体" w:cs="Times New Roman"/>
                <w:b/>
                <w:color w:val="auto"/>
              </w:rPr>
              <w:t>查询截图，（截图查询网站时间须在开标截止前二个星期内）。</w:t>
            </w:r>
            <w:r>
              <w:rPr>
                <w:rFonts w:hint="eastAsia" w:ascii="Times New Roman" w:hAnsi="Times New Roman" w:eastAsia="宋体" w:cs="Times New Roman"/>
                <w:color w:val="auto"/>
                <w:szCs w:val="21"/>
              </w:rPr>
              <w:t>对列入失信被执行人、重大税收违法案件当事人名单、政府采购严重违法失信行为记录名单的供应商，</w:t>
            </w:r>
            <w:r>
              <w:rPr>
                <w:rFonts w:hint="eastAsia" w:ascii="Times New Roman" w:hAnsi="Times New Roman" w:eastAsia="宋体" w:cs="Times New Roman"/>
                <w:b/>
                <w:color w:val="auto"/>
                <w:szCs w:val="21"/>
              </w:rPr>
              <w:t>其投标将作无效标处理</w:t>
            </w:r>
            <w:r>
              <w:rPr>
                <w:rFonts w:hint="eastAsia" w:ascii="Times New Roman" w:hAnsi="Times New Roman" w:eastAsia="宋体" w:cs="Times New Roman"/>
                <w:color w:val="auto"/>
                <w:szCs w:val="21"/>
              </w:rPr>
              <w:t>。</w:t>
            </w:r>
          </w:p>
        </w:tc>
      </w:tr>
      <w:tr w14:paraId="3276F5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 w:hRule="atLeast"/>
          <w:tblCellSpacing w:w="7" w:type="dxa"/>
          <w:jc w:val="center"/>
        </w:trPr>
        <w:tc>
          <w:tcPr>
            <w:tcW w:w="488"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3F02103">
            <w:pPr>
              <w:snapToGrid w:val="0"/>
              <w:spacing w:line="240" w:lineRule="exact"/>
              <w:jc w:val="center"/>
              <w:rPr>
                <w:rFonts w:ascii="Times New Roman" w:hAnsi="Times New Roman" w:eastAsia="宋体" w:cs="Times New Roman"/>
                <w:b/>
                <w:color w:val="auto"/>
              </w:rPr>
            </w:pPr>
            <w:r>
              <w:rPr>
                <w:rFonts w:ascii="Times New Roman" w:hAnsi="Times New Roman" w:eastAsia="宋体" w:cs="Times New Roman"/>
                <w:b/>
                <w:color w:val="auto"/>
              </w:rPr>
              <w:t>1</w:t>
            </w:r>
            <w:r>
              <w:rPr>
                <w:rFonts w:hint="eastAsia" w:ascii="Times New Roman" w:hAnsi="Times New Roman" w:eastAsia="宋体" w:cs="Times New Roman"/>
                <w:b/>
                <w:color w:val="auto"/>
              </w:rPr>
              <w:t>9</w:t>
            </w:r>
          </w:p>
        </w:tc>
        <w:tc>
          <w:tcPr>
            <w:tcW w:w="1392" w:type="dxa"/>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149C541A">
            <w:pPr>
              <w:jc w:val="center"/>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中小企业有关政策</w:t>
            </w:r>
          </w:p>
        </w:tc>
        <w:tc>
          <w:tcPr>
            <w:tcW w:w="9054" w:type="dxa"/>
            <w:gridSpan w:val="3"/>
            <w:tcBorders>
              <w:top w:val="single" w:color="auto" w:sz="4" w:space="0"/>
              <w:left w:val="single" w:color="auto" w:sz="4" w:space="0"/>
              <w:bottom w:val="single" w:color="auto" w:sz="4" w:space="0"/>
              <w:right w:val="single" w:color="auto" w:sz="4" w:space="0"/>
            </w:tcBorders>
            <w:tcMar>
              <w:top w:w="15" w:type="dxa"/>
              <w:left w:w="15" w:type="dxa"/>
              <w:bottom w:w="15" w:type="dxa"/>
              <w:right w:w="15" w:type="dxa"/>
            </w:tcMar>
            <w:vAlign w:val="center"/>
          </w:tcPr>
          <w:p w14:paraId="25D99D0F">
            <w:pPr>
              <w:snapToGrid w:val="0"/>
              <w:rPr>
                <w:rFonts w:ascii="Times New Roman" w:hAnsi="Times New Roman" w:eastAsia="宋体" w:cs="Times New Roman"/>
                <w:b/>
                <w:bCs/>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1）中小企业预留份额情况：根据《政府采购促进中小企业发展管理办法》（财库〔2020〕46号），本项目专门面向中小企业。</w:t>
            </w:r>
            <w:r>
              <w:rPr>
                <w:rFonts w:ascii="Times New Roman" w:hAnsi="Times New Roman" w:eastAsia="宋体" w:cs="Times New Roman"/>
                <w:b/>
                <w:bCs/>
                <w:color w:val="auto"/>
                <w:szCs w:val="21"/>
              </w:rPr>
              <w:t>本项目对应的中小企业划分标准所属行业：其他未列明行业。</w:t>
            </w:r>
          </w:p>
          <w:p w14:paraId="082B826C">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2）在政府采购活动中，供应商提供的货物、工程或者服务符合下列情形的，享受本办法规定的中小企业扶持政策：</w:t>
            </w:r>
          </w:p>
          <w:p w14:paraId="445207C1">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①在货物采购项目中，货物由中小企业制造，即货物由中小企业生产且使用该中小企业商号或者注册商标；</w:t>
            </w:r>
          </w:p>
          <w:p w14:paraId="2E685DDC">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②在工程采购项目中，工程由中小企业承建，即工程施工单位为中小企业；</w:t>
            </w:r>
          </w:p>
          <w:p w14:paraId="21E52748">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③在服务采购项目中，服务由中小企业承接，即提供服务的人员为中小企业依照《中华人民共和国劳动合同法》订立劳动合同的从业人员。</w:t>
            </w:r>
          </w:p>
          <w:p w14:paraId="02D1CC21">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在货物采购项目中，供应商提供的货物既有中小企业制造货物，也有大型企业制造货物的，不享受本办法规定的中小企业扶持政策。</w:t>
            </w:r>
          </w:p>
          <w:p w14:paraId="488A5BAB">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以联合体形式参加政府采购活动，联合体各方均为中小企业的，联合体视同中小企业。其中，联合体各方均为小微企业的，联合体视同小微企业。</w:t>
            </w:r>
          </w:p>
          <w:p w14:paraId="5C703EAF">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3）投标人符合《财政部、司法部关于政府采购支持监狱企业发展有关问题的通知》（财库〔2014〕68号）文件要求，并提供省级以上监狱管理局、戒毒管理局（含新疆生产建设兵团）出具的属于监狱企业的证明文件，则视同小型、微型企业。</w:t>
            </w:r>
          </w:p>
          <w:p w14:paraId="147A253A">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4）投标人符合《三部门联合发布关于促进残疾人就业政府采购政策的通知》（财库〔2017〕141号）文件要求，并提供《残疾人福利性单位声明函》的，则视同小型、微型企业。</w:t>
            </w:r>
          </w:p>
          <w:p w14:paraId="69BC3290">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本项目专门面向中小企业采购（参加投标供应商须出具《中小企业声明函》，未提供不认定为中小企业，此次投标无效）。</w:t>
            </w:r>
          </w:p>
        </w:tc>
      </w:tr>
    </w:tbl>
    <w:p w14:paraId="5ADF0BED">
      <w:pPr>
        <w:snapToGrid w:val="0"/>
        <w:spacing w:before="120" w:line="312" w:lineRule="auto"/>
        <w:jc w:val="center"/>
        <w:rPr>
          <w:rFonts w:hint="eastAsia" w:ascii="Times New Roman" w:hAnsi="Times New Roman" w:eastAsia="宋体" w:cs="Times New Roman"/>
          <w:b/>
          <w:color w:val="auto"/>
          <w:sz w:val="28"/>
        </w:rPr>
      </w:pPr>
    </w:p>
    <w:p w14:paraId="0FE60DF2">
      <w:pPr>
        <w:snapToGrid w:val="0"/>
        <w:spacing w:before="120" w:line="312" w:lineRule="auto"/>
        <w:jc w:val="center"/>
        <w:rPr>
          <w:rFonts w:ascii="Times New Roman" w:hAnsi="Times New Roman" w:eastAsia="宋体" w:cs="Times New Roman"/>
          <w:b/>
          <w:color w:val="auto"/>
        </w:rPr>
      </w:pPr>
      <w:r>
        <w:rPr>
          <w:rFonts w:hint="eastAsia" w:ascii="Times New Roman" w:hAnsi="Times New Roman" w:eastAsia="宋体" w:cs="Times New Roman"/>
          <w:b/>
          <w:color w:val="auto"/>
          <w:sz w:val="28"/>
        </w:rPr>
        <w:t>一、总  则</w:t>
      </w:r>
    </w:p>
    <w:p w14:paraId="25657E0B">
      <w:pPr>
        <w:snapToGrid w:val="0"/>
        <w:spacing w:before="120" w:line="360" w:lineRule="auto"/>
        <w:ind w:right="55" w:rightChars="26"/>
        <w:rPr>
          <w:rFonts w:ascii="Times New Roman" w:hAnsi="Times New Roman" w:eastAsia="宋体" w:cs="Times New Roman"/>
          <w:b/>
          <w:color w:val="auto"/>
          <w:sz w:val="28"/>
        </w:rPr>
      </w:pPr>
      <w:r>
        <w:rPr>
          <w:rFonts w:hint="eastAsia" w:ascii="Times New Roman" w:hAnsi="Times New Roman" w:eastAsia="宋体" w:cs="Times New Roman"/>
          <w:b/>
          <w:color w:val="auto"/>
        </w:rPr>
        <w:t>（一）适用范围</w:t>
      </w:r>
    </w:p>
    <w:p w14:paraId="650B84DD">
      <w:pPr>
        <w:snapToGrid w:val="0"/>
        <w:spacing w:line="360" w:lineRule="auto"/>
        <w:ind w:right="55" w:rightChars="26"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本招标文件适用于</w:t>
      </w:r>
      <w:r>
        <w:rPr>
          <w:rFonts w:hint="eastAsia" w:ascii="Times New Roman" w:hAnsi="Times New Roman" w:eastAsia="宋体" w:cs="Times New Roman"/>
          <w:bCs/>
          <w:color w:val="auto"/>
        </w:rPr>
        <w:t xml:space="preserve">新城垃圾中转站渗滤液处置项目  </w:t>
      </w:r>
      <w:r>
        <w:rPr>
          <w:rFonts w:hint="eastAsia" w:ascii="Times New Roman" w:hAnsi="Times New Roman" w:eastAsia="宋体" w:cs="Times New Roman"/>
          <w:color w:val="auto"/>
        </w:rPr>
        <w:t>的招标、投标、评标、定标、验收、合同履约、付款等行为（法律、法规另有规定的，从其规定）。</w:t>
      </w:r>
    </w:p>
    <w:p w14:paraId="7934D370">
      <w:pPr>
        <w:snapToGrid w:val="0"/>
        <w:spacing w:line="360" w:lineRule="auto"/>
        <w:ind w:right="55" w:rightChars="26"/>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（二）定义</w:t>
      </w:r>
    </w:p>
    <w:p w14:paraId="7C429071">
      <w:pPr>
        <w:snapToGrid w:val="0"/>
        <w:spacing w:line="360" w:lineRule="auto"/>
        <w:ind w:right="55" w:rightChars="26"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“采购人”系指</w:t>
      </w:r>
      <w:r>
        <w:rPr>
          <w:rFonts w:hint="eastAsia" w:ascii="Times New Roman" w:hAnsi="Times New Roman" w:eastAsia="宋体" w:cs="Times New Roman"/>
          <w:bCs/>
          <w:color w:val="auto"/>
        </w:rPr>
        <w:t>舟山市新城公用事业管理中心</w:t>
      </w:r>
      <w:r>
        <w:rPr>
          <w:rFonts w:hint="eastAsia" w:ascii="Times New Roman" w:hAnsi="Times New Roman" w:eastAsia="宋体" w:cs="Times New Roman"/>
          <w:color w:val="auto"/>
        </w:rPr>
        <w:t>。</w:t>
      </w:r>
    </w:p>
    <w:p w14:paraId="067C723E">
      <w:pPr>
        <w:spacing w:after="120"/>
        <w:ind w:firstLine="420" w:firstLineChars="200"/>
        <w:rPr>
          <w:rFonts w:ascii="Times New Roman" w:hAnsi="Calibri" w:eastAsia="宋体" w:cs="Times New Roman"/>
          <w:color w:val="auto"/>
          <w:kern w:val="0"/>
        </w:rPr>
      </w:pPr>
      <w:r>
        <w:rPr>
          <w:rFonts w:ascii="Times New Roman" w:hAnsi="Calibri" w:eastAsia="宋体" w:cs="Times New Roman"/>
          <w:color w:val="auto"/>
          <w:kern w:val="0"/>
        </w:rPr>
        <w:t>2.</w:t>
      </w:r>
      <w:r>
        <w:rPr>
          <w:rFonts w:hint="eastAsia" w:ascii="Times New Roman" w:hAnsi="Calibri" w:eastAsia="宋体" w:cs="Times New Roman"/>
          <w:color w:val="auto"/>
          <w:kern w:val="0"/>
        </w:rPr>
        <w:t>“采购代理机构”系指组织本次招标的深圳市国信招标有限公司。</w:t>
      </w:r>
    </w:p>
    <w:p w14:paraId="66644893">
      <w:pPr>
        <w:snapToGrid w:val="0"/>
        <w:spacing w:line="360" w:lineRule="auto"/>
        <w:ind w:right="55" w:rightChars="26"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“投标人”系指向采购人提交投标文件的单位或个人。</w:t>
      </w:r>
    </w:p>
    <w:p w14:paraId="6C926A8E">
      <w:pPr>
        <w:snapToGrid w:val="0"/>
        <w:spacing w:line="360" w:lineRule="auto"/>
        <w:ind w:right="-506" w:rightChars="-2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rPr>
        <w:t>“产品”系指投标人按招标文件规定，须向采购人提供的一切设备、保险、税金、备品备件、工具、手册及其它有关技术资料和材料。</w:t>
      </w:r>
    </w:p>
    <w:p w14:paraId="2D45AC03">
      <w:pPr>
        <w:snapToGrid w:val="0"/>
        <w:spacing w:line="360" w:lineRule="auto"/>
        <w:ind w:right="-506" w:rightChars="-2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5.</w:t>
      </w:r>
      <w:r>
        <w:rPr>
          <w:rFonts w:hint="eastAsia" w:ascii="Times New Roman" w:hAnsi="Times New Roman" w:eastAsia="宋体" w:cs="Times New Roman"/>
          <w:color w:val="auto"/>
        </w:rPr>
        <w:t>“服务”系指招标文件规定投标人须承担的安装、调试、技术协助、校准、培训、技术指导以及其他类似的义务。</w:t>
      </w:r>
    </w:p>
    <w:p w14:paraId="6458777B">
      <w:pPr>
        <w:snapToGrid w:val="0"/>
        <w:spacing w:line="360" w:lineRule="auto"/>
        <w:ind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6.</w:t>
      </w:r>
      <w:r>
        <w:rPr>
          <w:rFonts w:hint="eastAsia" w:ascii="Times New Roman" w:hAnsi="Times New Roman" w:eastAsia="宋体" w:cs="Times New Roman"/>
          <w:color w:val="auto"/>
        </w:rPr>
        <w:t>“项目”系指投标人按招标文件规定向采购人提供的产品和服务。</w:t>
      </w:r>
    </w:p>
    <w:p w14:paraId="39FAAE52">
      <w:pPr>
        <w:snapToGrid w:val="0"/>
        <w:spacing w:line="360" w:lineRule="auto"/>
        <w:ind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7.</w:t>
      </w:r>
      <w:r>
        <w:rPr>
          <w:rFonts w:hint="eastAsia" w:ascii="Times New Roman" w:hAnsi="Times New Roman" w:eastAsia="宋体" w:cs="Times New Roman"/>
          <w:color w:val="auto"/>
        </w:rPr>
        <w:t>“书面形式”包括信函、传真、邮件、电子文档等。</w:t>
      </w:r>
    </w:p>
    <w:p w14:paraId="2D3B5318">
      <w:pPr>
        <w:snapToGrid w:val="0"/>
        <w:spacing w:line="360" w:lineRule="auto"/>
        <w:ind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8.</w:t>
      </w:r>
      <w:r>
        <w:rPr>
          <w:rFonts w:hint="eastAsia" w:ascii="Times New Roman" w:hAnsi="Times New Roman" w:eastAsia="宋体" w:cs="Times New Roman"/>
          <w:color w:val="auto"/>
        </w:rPr>
        <w:t>“★”系指实质性要求条款，未响应的作无效标处理。</w:t>
      </w:r>
    </w:p>
    <w:p w14:paraId="202D1E15">
      <w:pPr>
        <w:snapToGrid w:val="0"/>
        <w:spacing w:line="312" w:lineRule="auto"/>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（三）招标方式</w:t>
      </w:r>
    </w:p>
    <w:p w14:paraId="1E8BD3FA">
      <w:pPr>
        <w:snapToGrid w:val="0"/>
        <w:spacing w:line="312" w:lineRule="auto"/>
        <w:ind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本次招标采用公开招标。</w:t>
      </w:r>
    </w:p>
    <w:p w14:paraId="7FC70B71">
      <w:pPr>
        <w:snapToGrid w:val="0"/>
        <w:spacing w:line="312" w:lineRule="auto"/>
        <w:ind w:right="55" w:rightChars="26"/>
        <w:jc w:val="left"/>
        <w:outlineLvl w:val="1"/>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（四）投标费用</w:t>
      </w:r>
    </w:p>
    <w:p w14:paraId="44BE46ED">
      <w:pPr>
        <w:snapToGrid w:val="0"/>
        <w:spacing w:line="312" w:lineRule="auto"/>
        <w:ind w:right="55" w:rightChars="26"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不论投标结果如何，投标人均应自行承担所有与投标有关的全部费用（招标文件另有规定除外）。</w:t>
      </w:r>
    </w:p>
    <w:p w14:paraId="19A52343">
      <w:pPr>
        <w:snapToGrid w:val="0"/>
        <w:spacing w:line="360" w:lineRule="auto"/>
        <w:ind w:right="55" w:rightChars="26"/>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（五）关于联合体</w:t>
      </w:r>
    </w:p>
    <w:p w14:paraId="159BAC12">
      <w:pPr>
        <w:snapToGrid w:val="0"/>
        <w:spacing w:line="360" w:lineRule="auto"/>
        <w:ind w:right="55" w:rightChars="26" w:firstLine="420" w:firstLineChars="200"/>
        <w:rPr>
          <w:rFonts w:ascii="Times New Roman" w:hAnsi="Times New Roman" w:eastAsia="宋体" w:cs="Times New Roman"/>
          <w:bCs/>
          <w:color w:val="auto"/>
          <w:szCs w:val="21"/>
        </w:rPr>
      </w:pPr>
      <w:r>
        <w:rPr>
          <w:rFonts w:ascii="Times New Roman" w:hAnsi="Times New Roman" w:eastAsia="宋体" w:cs="Times New Roman"/>
          <w:bCs/>
          <w:color w:val="auto"/>
          <w:szCs w:val="21"/>
        </w:rPr>
        <w:t>本项目不接受联合体投标</w:t>
      </w:r>
    </w:p>
    <w:p w14:paraId="54F078CC">
      <w:pPr>
        <w:snapToGrid w:val="0"/>
        <w:spacing w:line="360" w:lineRule="auto"/>
        <w:ind w:right="55" w:rightChars="26"/>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（六）关于分包、转包</w:t>
      </w:r>
    </w:p>
    <w:p w14:paraId="651DE494">
      <w:pPr>
        <w:snapToGrid w:val="0"/>
        <w:spacing w:line="360" w:lineRule="auto"/>
        <w:ind w:right="55" w:rightChars="26"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本项目不允许分包；</w:t>
      </w:r>
    </w:p>
    <w:p w14:paraId="10FE6F2B">
      <w:pPr>
        <w:spacing w:line="360" w:lineRule="auto"/>
        <w:ind w:firstLine="420" w:firstLineChars="200"/>
        <w:rPr>
          <w:rFonts w:ascii="Times New Roman" w:hAnsi="Times New Roman" w:eastAsia="宋体" w:cs="Times New Roman"/>
          <w:color w:val="auto"/>
          <w:szCs w:val="24"/>
        </w:rPr>
      </w:pPr>
      <w:r>
        <w:rPr>
          <w:rFonts w:hint="eastAsia" w:ascii="Times New Roman" w:hAnsi="Times New Roman" w:eastAsia="宋体" w:cs="Times New Roman"/>
          <w:color w:val="auto"/>
          <w:szCs w:val="24"/>
        </w:rPr>
        <w:t>本项目不允许转包。</w:t>
      </w:r>
    </w:p>
    <w:p w14:paraId="0A407E86">
      <w:pPr>
        <w:snapToGrid w:val="0"/>
        <w:spacing w:line="360" w:lineRule="auto"/>
        <w:ind w:right="55" w:rightChars="26"/>
        <w:rPr>
          <w:rFonts w:ascii="Times New Roman" w:hAnsi="Times New Roman" w:eastAsia="宋体" w:cs="Times New Roman"/>
          <w:b/>
          <w:color w:val="auto"/>
          <w:spacing w:val="-4"/>
          <w:kern w:val="0"/>
          <w:sz w:val="24"/>
          <w:szCs w:val="24"/>
        </w:rPr>
      </w:pPr>
      <w:r>
        <w:rPr>
          <w:rFonts w:hint="eastAsia" w:ascii="Times New Roman" w:hAnsi="Times New Roman" w:eastAsia="宋体" w:cs="Times New Roman"/>
          <w:b/>
          <w:color w:val="auto"/>
          <w:spacing w:val="-4"/>
          <w:kern w:val="0"/>
          <w:sz w:val="24"/>
          <w:szCs w:val="24"/>
        </w:rPr>
        <w:t>（七）特别说明：</w:t>
      </w:r>
    </w:p>
    <w:p w14:paraId="155FCEF9">
      <w:pPr>
        <w:snapToGrid w:val="0"/>
        <w:spacing w:line="360" w:lineRule="auto"/>
        <w:ind w:firstLine="420" w:firstLineChars="200"/>
        <w:jc w:val="left"/>
        <w:rPr>
          <w:rFonts w:hint="eastAsia" w:ascii="宋体" w:hAnsi="宋体" w:eastAsia="宋体" w:cs="Times New Roman"/>
          <w:color w:val="auto"/>
        </w:rPr>
      </w:pPr>
      <w:r>
        <w:rPr>
          <w:rFonts w:hint="eastAsia" w:ascii="Times New Roman" w:hAnsi="Times New Roman" w:eastAsia="宋体" w:cs="Times New Roman"/>
          <w:bCs/>
          <w:color w:val="auto"/>
        </w:rPr>
        <w:t>1.</w:t>
      </w:r>
      <w:r>
        <w:rPr>
          <w:rFonts w:hint="eastAsia" w:ascii="宋体" w:hAnsi="宋体" w:eastAsia="宋体" w:cs="Times New Roman"/>
          <w:color w:val="auto"/>
        </w:rPr>
        <w:t>单位负责人为同一人或者存在直接控股、管理关系的不同供应商，不得同时参加同一合同项下的投标。</w:t>
      </w:r>
    </w:p>
    <w:p w14:paraId="767E19A3">
      <w:pPr>
        <w:snapToGrid w:val="0"/>
        <w:spacing w:line="360" w:lineRule="auto"/>
        <w:ind w:firstLine="420" w:firstLineChars="200"/>
        <w:jc w:val="left"/>
        <w:rPr>
          <w:rFonts w:hint="eastAsia" w:ascii="宋体" w:hAnsi="宋体" w:eastAsia="宋体" w:cs="Times New Roman"/>
          <w:color w:val="auto"/>
        </w:rPr>
      </w:pPr>
      <w:r>
        <w:rPr>
          <w:rFonts w:hint="eastAsia" w:ascii="宋体" w:hAnsi="宋体" w:eastAsia="宋体" w:cs="Times New Roman"/>
          <w:color w:val="auto"/>
        </w:rPr>
        <w:t>为项目提供整体设计、规范编制或者项目管理、监理、检测等服务的供应商，不得参加该项目的投标。</w:t>
      </w:r>
    </w:p>
    <w:p w14:paraId="05110B15">
      <w:pPr>
        <w:snapToGrid w:val="0"/>
        <w:spacing w:line="360" w:lineRule="auto"/>
        <w:ind w:right="-86" w:rightChars="-41" w:firstLine="401" w:firstLineChars="199"/>
        <w:rPr>
          <w:rFonts w:ascii="Times New Roman" w:hAnsi="Times New Roman" w:eastAsia="宋体" w:cs="Times New Roman"/>
          <w:bCs/>
          <w:color w:val="auto"/>
          <w:spacing w:val="-4"/>
          <w:kern w:val="0"/>
        </w:rPr>
      </w:pPr>
      <w:r>
        <w:rPr>
          <w:rFonts w:hint="eastAsia" w:ascii="Times New Roman" w:hAnsi="Times New Roman" w:eastAsia="宋体" w:cs="Times New Roman"/>
          <w:bCs/>
          <w:color w:val="auto"/>
          <w:spacing w:val="-4"/>
          <w:kern w:val="0"/>
        </w:rPr>
        <w:t>2.投标人投标所使用的资格、信誉、荣誉、业绩与企业认证必须为本法人所拥有。投标人投标所使用的采购项目实施人员必须为本法人员工。</w:t>
      </w:r>
    </w:p>
    <w:p w14:paraId="5527D5E3">
      <w:pPr>
        <w:snapToGrid w:val="0"/>
        <w:spacing w:line="360" w:lineRule="auto"/>
        <w:ind w:right="-86" w:rightChars="-41" w:firstLine="404" w:firstLineChars="200"/>
        <w:rPr>
          <w:rFonts w:ascii="Times New Roman" w:hAnsi="Times New Roman" w:eastAsia="宋体" w:cs="Times New Roman"/>
          <w:bCs/>
          <w:color w:val="auto"/>
          <w:spacing w:val="-4"/>
          <w:kern w:val="0"/>
        </w:rPr>
      </w:pPr>
      <w:r>
        <w:rPr>
          <w:rFonts w:hint="eastAsia" w:ascii="Times New Roman" w:hAnsi="Times New Roman" w:eastAsia="宋体" w:cs="Times New Roman"/>
          <w:bCs/>
          <w:color w:val="auto"/>
          <w:spacing w:val="-4"/>
          <w:kern w:val="0"/>
        </w:rPr>
        <w:t>3.投标人应仔细阅读招标文件的所有内容，按照招标文件的要求提交投标文件，并对所提供的全部资料的真实性承担法律责任。</w:t>
      </w:r>
    </w:p>
    <w:p w14:paraId="4F48966D">
      <w:pPr>
        <w:snapToGrid w:val="0"/>
        <w:spacing w:line="360" w:lineRule="auto"/>
        <w:outlineLvl w:val="1"/>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（八）质疑</w:t>
      </w:r>
    </w:p>
    <w:p w14:paraId="05D8F382">
      <w:pPr>
        <w:widowControl/>
        <w:snapToGrid w:val="0"/>
        <w:spacing w:line="360" w:lineRule="auto"/>
        <w:ind w:firstLine="420" w:firstLineChars="200"/>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投标人应当自知道或者应当知道其合法权益受到损害之日起七个工作日内提出质疑。</w:t>
      </w:r>
    </w:p>
    <w:p w14:paraId="591DF208">
      <w:pPr>
        <w:widowControl/>
        <w:snapToGrid w:val="0"/>
        <w:spacing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1.</w:t>
      </w:r>
      <w:r>
        <w:rPr>
          <w:rFonts w:hint="eastAsia" w:ascii="Times New Roman" w:hAnsi="Times New Roman" w:eastAsia="宋体" w:cs="Times New Roman"/>
          <w:bCs/>
          <w:color w:val="auto"/>
          <w:szCs w:val="21"/>
        </w:rPr>
        <w:t>对可以质疑的采购文件提出质疑的，为收到采购文件之日或者采购文件公告期限届满之日；</w:t>
      </w:r>
    </w:p>
    <w:p w14:paraId="4492A8BF">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2.</w:t>
      </w:r>
      <w:r>
        <w:rPr>
          <w:rFonts w:hint="eastAsia" w:ascii="Times New Roman" w:hAnsi="Times New Roman" w:eastAsia="宋体" w:cs="Times New Roman"/>
          <w:bCs/>
          <w:color w:val="auto"/>
          <w:szCs w:val="21"/>
        </w:rPr>
        <w:t>对采购过程提出质疑的，为各采购程序环节结束之日；</w:t>
      </w:r>
    </w:p>
    <w:p w14:paraId="6ECB0C70">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3.</w:t>
      </w:r>
      <w:r>
        <w:rPr>
          <w:rFonts w:hint="eastAsia" w:ascii="Times New Roman" w:hAnsi="Times New Roman" w:eastAsia="宋体" w:cs="Times New Roman"/>
          <w:bCs/>
          <w:color w:val="auto"/>
          <w:szCs w:val="21"/>
        </w:rPr>
        <w:t>对中标或者成交结果提出质疑的，为中标或者成交结果公告期限届满之日。</w:t>
      </w:r>
    </w:p>
    <w:p w14:paraId="155E259E">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ascii="Times New Roman" w:hAnsi="Times New Roman" w:eastAsia="宋体" w:cs="Times New Roman"/>
          <w:bCs/>
          <w:color w:val="auto"/>
          <w:szCs w:val="21"/>
        </w:rPr>
        <w:t>4.</w:t>
      </w:r>
      <w:r>
        <w:rPr>
          <w:rFonts w:hint="eastAsia" w:ascii="Times New Roman" w:hAnsi="Times New Roman" w:eastAsia="宋体" w:cs="Times New Roman"/>
          <w:bCs/>
          <w:color w:val="auto"/>
          <w:szCs w:val="21"/>
        </w:rPr>
        <w:t>质疑书应包括下列主要内容：</w:t>
      </w:r>
    </w:p>
    <w:p w14:paraId="3F39113E">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①</w:t>
      </w:r>
      <w:r>
        <w:rPr>
          <w:rFonts w:hint="eastAsia" w:ascii="Times New Roman" w:hAnsi="Times New Roman" w:eastAsia="宋体" w:cs="Times New Roman"/>
          <w:bCs/>
          <w:color w:val="auto"/>
          <w:szCs w:val="21"/>
        </w:rPr>
        <w:t>质疑人的名称、地址、邮政编码、联系人、联系电话，以及被质疑人名称及联系方式；</w:t>
      </w:r>
    </w:p>
    <w:p w14:paraId="3896F91B">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②</w:t>
      </w:r>
      <w:r>
        <w:rPr>
          <w:rFonts w:hint="eastAsia" w:ascii="Times New Roman" w:hAnsi="Times New Roman" w:eastAsia="宋体" w:cs="Times New Roman"/>
          <w:bCs/>
          <w:color w:val="auto"/>
          <w:szCs w:val="21"/>
        </w:rPr>
        <w:t>被质疑采购项目名称、编号及采购内容；</w:t>
      </w:r>
    </w:p>
    <w:p w14:paraId="41AA2619">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③</w:t>
      </w:r>
      <w:r>
        <w:rPr>
          <w:rFonts w:hint="eastAsia" w:ascii="Times New Roman" w:hAnsi="Times New Roman" w:eastAsia="宋体" w:cs="Times New Roman"/>
          <w:bCs/>
          <w:color w:val="auto"/>
          <w:szCs w:val="21"/>
        </w:rPr>
        <w:t>具体的质疑事项及事实依据；</w:t>
      </w:r>
    </w:p>
    <w:p w14:paraId="514EF26B">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④</w:t>
      </w:r>
      <w:r>
        <w:rPr>
          <w:rFonts w:hint="eastAsia" w:ascii="Times New Roman" w:hAnsi="Times New Roman" w:eastAsia="宋体" w:cs="Times New Roman"/>
          <w:bCs/>
          <w:color w:val="auto"/>
          <w:szCs w:val="21"/>
        </w:rPr>
        <w:t>认为自己合法权益受到损害或可能受到损害的相关证据材料；</w:t>
      </w:r>
    </w:p>
    <w:p w14:paraId="113B8FDB">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hint="eastAsia" w:ascii="宋体" w:hAnsi="宋体" w:eastAsia="宋体" w:cs="宋体"/>
          <w:bCs/>
          <w:color w:val="auto"/>
          <w:szCs w:val="21"/>
        </w:rPr>
        <w:t>⑤</w:t>
      </w:r>
      <w:r>
        <w:rPr>
          <w:rFonts w:hint="eastAsia" w:ascii="Times New Roman" w:hAnsi="Times New Roman" w:eastAsia="宋体" w:cs="Times New Roman"/>
          <w:bCs/>
          <w:color w:val="auto"/>
          <w:szCs w:val="21"/>
        </w:rPr>
        <w:t>提出质疑的日期。</w:t>
      </w:r>
    </w:p>
    <w:p w14:paraId="009FF6BA">
      <w:pPr>
        <w:widowControl/>
        <w:snapToGrid w:val="0"/>
        <w:spacing w:before="120" w:line="360" w:lineRule="auto"/>
        <w:ind w:firstLine="420" w:firstLineChars="200"/>
        <w:outlineLvl w:val="1"/>
        <w:rPr>
          <w:rFonts w:ascii="Times New Roman" w:hAnsi="Times New Roman" w:eastAsia="宋体" w:cs="Times New Roman"/>
          <w:bCs/>
          <w:color w:val="auto"/>
          <w:szCs w:val="21"/>
        </w:rPr>
      </w:pPr>
      <w:r>
        <w:rPr>
          <w:rFonts w:hint="eastAsia" w:ascii="Times New Roman" w:hAnsi="Times New Roman" w:eastAsia="宋体" w:cs="Times New Roman"/>
          <w:bCs/>
          <w:color w:val="auto"/>
          <w:szCs w:val="21"/>
        </w:rPr>
        <w:t>供应商为自然人的，应当由本人签字：供应商为法人或者其他组织的，应当由法定代表人、主要负责人，或者其授权代表签字或者盖章，并加盖公章。</w:t>
      </w:r>
    </w:p>
    <w:p w14:paraId="640DEF27">
      <w:pPr>
        <w:widowControl/>
        <w:snapToGrid w:val="0"/>
        <w:spacing w:before="120" w:line="360" w:lineRule="auto"/>
        <w:ind w:firstLine="420" w:firstLineChars="200"/>
        <w:outlineLvl w:val="1"/>
        <w:rPr>
          <w:rFonts w:ascii="Times New Roman" w:hAnsi="Times New Roman" w:eastAsia="宋体" w:cs="Times New Roman"/>
          <w:b/>
          <w:color w:val="auto"/>
          <w:sz w:val="28"/>
        </w:rPr>
      </w:pPr>
      <w:r>
        <w:rPr>
          <w:rFonts w:hint="eastAsia" w:ascii="Times New Roman" w:hAnsi="Times New Roman" w:eastAsia="宋体" w:cs="Times New Roman"/>
          <w:bCs/>
          <w:color w:val="auto"/>
          <w:szCs w:val="21"/>
        </w:rPr>
        <w:t>供应商在法定质疑期内一次性提出针对同一采购程序环节的质疑。</w:t>
      </w:r>
    </w:p>
    <w:p w14:paraId="5976353D">
      <w:pPr>
        <w:snapToGrid w:val="0"/>
        <w:spacing w:before="120" w:line="312" w:lineRule="auto"/>
        <w:ind w:right="-506" w:rightChars="-241" w:firstLine="3795" w:firstLineChars="1350"/>
        <w:rPr>
          <w:rFonts w:ascii="Times New Roman" w:hAnsi="Times New Roman" w:eastAsia="宋体" w:cs="Times New Roman"/>
          <w:b/>
          <w:color w:val="auto"/>
          <w:sz w:val="28"/>
        </w:rPr>
      </w:pPr>
    </w:p>
    <w:p w14:paraId="4B9F0F08">
      <w:pPr>
        <w:snapToGrid w:val="0"/>
        <w:spacing w:before="120" w:line="312" w:lineRule="auto"/>
        <w:ind w:right="-506" w:rightChars="-241" w:firstLine="3795" w:firstLineChars="1350"/>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二、招标文件</w:t>
      </w:r>
    </w:p>
    <w:p w14:paraId="685EF39E">
      <w:pPr>
        <w:snapToGrid w:val="0"/>
        <w:spacing w:line="360" w:lineRule="auto"/>
        <w:ind w:right="-341"/>
        <w:jc w:val="left"/>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（一）招标文件的构成。本招标文件由以下部份组成：</w:t>
      </w:r>
    </w:p>
    <w:p w14:paraId="2442210D">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招标公告</w:t>
      </w:r>
    </w:p>
    <w:p w14:paraId="64FF65D3">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招标需求</w:t>
      </w:r>
    </w:p>
    <w:p w14:paraId="67389F6E">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投标人须知</w:t>
      </w:r>
    </w:p>
    <w:p w14:paraId="1EE8FF93">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rPr>
        <w:t>评标方法及标准</w:t>
      </w:r>
    </w:p>
    <w:p w14:paraId="0A4B1AAC">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5.</w:t>
      </w:r>
      <w:r>
        <w:rPr>
          <w:rFonts w:hint="eastAsia" w:ascii="Times New Roman" w:hAnsi="Times New Roman" w:eastAsia="宋体" w:cs="Times New Roman"/>
          <w:color w:val="auto"/>
        </w:rPr>
        <w:t>合同主要条款</w:t>
      </w:r>
    </w:p>
    <w:p w14:paraId="2F7E5940">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6.</w:t>
      </w:r>
      <w:r>
        <w:rPr>
          <w:rFonts w:hint="eastAsia" w:ascii="Times New Roman" w:hAnsi="Times New Roman" w:eastAsia="宋体" w:cs="Times New Roman"/>
          <w:color w:val="auto"/>
        </w:rPr>
        <w:t>投标文件格式</w:t>
      </w:r>
    </w:p>
    <w:p w14:paraId="598501D8">
      <w:pPr>
        <w:snapToGrid w:val="0"/>
        <w:spacing w:line="360" w:lineRule="auto"/>
        <w:ind w:right="-3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7.</w:t>
      </w:r>
      <w:r>
        <w:rPr>
          <w:rFonts w:hint="eastAsia" w:ascii="Times New Roman" w:hAnsi="Times New Roman" w:eastAsia="宋体" w:cs="Times New Roman"/>
          <w:color w:val="auto"/>
        </w:rPr>
        <w:t>本项目招标文件的澄清、答复、修改、补充的内容</w:t>
      </w:r>
    </w:p>
    <w:p w14:paraId="78297093">
      <w:pPr>
        <w:snapToGrid w:val="0"/>
        <w:spacing w:line="360" w:lineRule="auto"/>
        <w:ind w:right="-87"/>
        <w:jc w:val="left"/>
        <w:rPr>
          <w:rFonts w:ascii="Times New Roman" w:hAnsi="Times New Roman" w:eastAsia="宋体" w:cs="Times New Roman"/>
          <w:b/>
          <w:color w:val="auto"/>
          <w:sz w:val="24"/>
        </w:rPr>
      </w:pPr>
      <w:r>
        <w:rPr>
          <w:rFonts w:hint="eastAsia" w:ascii="Times New Roman" w:hAnsi="Times New Roman" w:eastAsia="宋体" w:cs="Times New Roman"/>
          <w:b/>
          <w:color w:val="auto"/>
          <w:sz w:val="24"/>
        </w:rPr>
        <w:t>（二）投标人的风险</w:t>
      </w:r>
    </w:p>
    <w:p w14:paraId="668CACD4">
      <w:pPr>
        <w:spacing w:line="360" w:lineRule="auto"/>
        <w:ind w:right="-506" w:rightChars="-241" w:firstLine="420"/>
        <w:rPr>
          <w:rFonts w:ascii="Times New Roman" w:hAnsi="Times New Roman" w:eastAsia="宋体" w:cs="Times New Roman"/>
          <w:color w:val="auto"/>
        </w:rPr>
      </w:pPr>
      <w:r>
        <w:rPr>
          <w:rFonts w:hint="eastAsia" w:ascii="Times New Roman" w:hAnsi="Times New Roman" w:eastAsia="宋体" w:cs="Times New Roman"/>
          <w:color w:val="auto"/>
        </w:rPr>
        <w:t>投标人没有按照招标文件要求提供全部资料，或者投标人没有对招标文件在各方面作出实质性响应是投标人的风险，并可能导致其投标被拒绝。</w:t>
      </w:r>
    </w:p>
    <w:p w14:paraId="69A37196">
      <w:pPr>
        <w:tabs>
          <w:tab w:val="left" w:pos="454"/>
          <w:tab w:val="left" w:pos="720"/>
          <w:tab w:val="left" w:pos="900"/>
        </w:tabs>
        <w:snapToGrid w:val="0"/>
        <w:spacing w:line="360" w:lineRule="auto"/>
        <w:ind w:left="247" w:right="-87" w:hanging="247" w:hangingChars="117"/>
        <w:rPr>
          <w:rFonts w:ascii="Times New Roman" w:hAnsi="Times New Roman" w:eastAsia="宋体" w:cs="Times New Roman"/>
          <w:b/>
          <w:color w:val="auto"/>
        </w:rPr>
      </w:pPr>
      <w:r>
        <w:rPr>
          <w:rFonts w:hint="eastAsia" w:ascii="Times New Roman" w:hAnsi="Times New Roman" w:eastAsia="宋体" w:cs="Times New Roman"/>
          <w:b/>
          <w:color w:val="auto"/>
        </w:rPr>
        <w:t>（三）招标文件的澄清与修改</w:t>
      </w:r>
    </w:p>
    <w:p w14:paraId="6B612D0A">
      <w:pPr>
        <w:widowControl/>
        <w:snapToGrid w:val="0"/>
        <w:spacing w:before="120" w:line="360" w:lineRule="auto"/>
        <w:ind w:right="-87"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投标人应认真阅读本招标文件，发现其中有误或有要求不合理的，投标人必须在投标截止前</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天内以书面形式要求招标采购单位澄清。招标采购单位对已发出的招标文件进行必要澄清、答复、修改或补充的，应当在招标文件要求提交投标文件截止时间</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天前，在财政部门指定的政府采购信息发布媒体上发布更正公告，并通知所有已报名的潜在投标人。</w:t>
      </w:r>
    </w:p>
    <w:p w14:paraId="4EF67B08">
      <w:pPr>
        <w:widowControl/>
        <w:snapToGrid w:val="0"/>
        <w:spacing w:before="120" w:line="360" w:lineRule="auto"/>
        <w:ind w:right="-87"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招标文件的答复、澄清、修改、补充通知实质上改变采购需求相关内容，且自招标文件的答复、澄清、修改、补充通知发出之日起至投标截止时间止不足</w:t>
      </w:r>
      <w:r>
        <w:rPr>
          <w:rFonts w:ascii="Times New Roman" w:hAnsi="Times New Roman" w:eastAsia="宋体" w:cs="Times New Roman"/>
          <w:color w:val="auto"/>
          <w:szCs w:val="21"/>
        </w:rPr>
        <w:t>15</w:t>
      </w:r>
      <w:r>
        <w:rPr>
          <w:rFonts w:hint="eastAsia" w:ascii="Times New Roman" w:hAnsi="Times New Roman" w:eastAsia="宋体" w:cs="Times New Roman"/>
          <w:color w:val="auto"/>
          <w:szCs w:val="21"/>
        </w:rPr>
        <w:t>天的，招标采购单位可视情况推迟投标截止时间和开标时间，按规定在财政部门指定的政府采购信息发布媒体上发布变更公告，并将变更后的时间通知所有已报名的潜在投标人。</w:t>
      </w:r>
    </w:p>
    <w:p w14:paraId="28B05B88">
      <w:pPr>
        <w:widowControl/>
        <w:snapToGrid w:val="0"/>
        <w:spacing w:before="120" w:line="360" w:lineRule="auto"/>
        <w:ind w:right="-87"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招标文件澄清、答复、修改、补充的内容为采购文件的组成部分。当招标文件与招标文件的答复、澄清、修改、补充通知就同一内容的表述不一致时，以最后发出的变更公告为准。</w:t>
      </w:r>
    </w:p>
    <w:p w14:paraId="3E2B7EE5">
      <w:pPr>
        <w:snapToGrid w:val="0"/>
        <w:spacing w:before="120" w:line="360" w:lineRule="auto"/>
        <w:ind w:right="-506" w:rightChars="-241"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招标文件的澄清、答复、修改或补充都应该通过本代理机构以法定形式发布。</w:t>
      </w:r>
    </w:p>
    <w:p w14:paraId="084BA0E8">
      <w:pPr>
        <w:snapToGrid w:val="0"/>
        <w:spacing w:before="120" w:line="360" w:lineRule="auto"/>
        <w:ind w:right="-87" w:firstLine="2923" w:firstLineChars="1040"/>
        <w:outlineLvl w:val="1"/>
        <w:rPr>
          <w:rFonts w:ascii="Times New Roman" w:hAnsi="Times New Roman" w:eastAsia="宋体" w:cs="Times New Roman"/>
          <w:b/>
          <w:color w:val="auto"/>
          <w:sz w:val="28"/>
        </w:rPr>
      </w:pPr>
    </w:p>
    <w:p w14:paraId="0890BC5C">
      <w:pPr>
        <w:snapToGrid w:val="0"/>
        <w:spacing w:before="120" w:line="360" w:lineRule="auto"/>
        <w:ind w:right="-87" w:firstLine="2923" w:firstLineChars="104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三、投标文件的编制</w:t>
      </w:r>
    </w:p>
    <w:p w14:paraId="5347D4D3">
      <w:pPr>
        <w:spacing w:line="336" w:lineRule="auto"/>
        <w:ind w:firstLine="211" w:firstLineChars="100"/>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（一）投标文件的签署</w:t>
      </w:r>
    </w:p>
    <w:p w14:paraId="11346D28">
      <w:pPr>
        <w:spacing w:line="336" w:lineRule="auto"/>
        <w:ind w:firstLine="420"/>
        <w:rPr>
          <w:rFonts w:ascii="Times New Roman" w:hAnsi="Times New Roman" w:eastAsia="宋体" w:cs="Times New Roman"/>
          <w:b/>
          <w:bCs/>
          <w:color w:val="auto"/>
          <w:szCs w:val="21"/>
        </w:rPr>
      </w:pPr>
      <w:r>
        <w:rPr>
          <w:rFonts w:ascii="Times New Roman" w:hAnsi="Times New Roman" w:eastAsia="宋体" w:cs="Times New Roman"/>
          <w:b/>
          <w:bCs/>
          <w:color w:val="auto"/>
          <w:szCs w:val="21"/>
        </w:rPr>
        <w:t>1.</w:t>
      </w:r>
      <w:r>
        <w:rPr>
          <w:rFonts w:hint="eastAsia" w:ascii="Times New Roman" w:hAnsi="Times New Roman" w:eastAsia="宋体" w:cs="Times New Roman"/>
          <w:b/>
          <w:bCs/>
          <w:color w:val="auto"/>
          <w:szCs w:val="21"/>
        </w:rPr>
        <w:t>电子投标文件部分：</w:t>
      </w:r>
    </w:p>
    <w:p w14:paraId="0051C5FA">
      <w:pPr>
        <w:spacing w:line="336" w:lineRule="auto"/>
        <w:ind w:firstLine="42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投标人应根据</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政采云供应商项目采购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及本招标文件规定的格式和顺序编制电子投标文件并进行关联定位。</w:t>
      </w:r>
    </w:p>
    <w:p w14:paraId="7FD0BE92">
      <w:pPr>
        <w:spacing w:line="336" w:lineRule="auto"/>
        <w:ind w:firstLine="420"/>
        <w:rPr>
          <w:rFonts w:ascii="Times New Roman" w:hAnsi="Times New Roman" w:eastAsia="宋体" w:cs="Times New Roman"/>
          <w:b/>
          <w:bCs/>
          <w:color w:val="auto"/>
          <w:szCs w:val="21"/>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备份投标文件部分：</w:t>
      </w:r>
    </w:p>
    <w:p w14:paraId="742159B4">
      <w:pPr>
        <w:snapToGrid w:val="0"/>
        <w:spacing w:before="120" w:beforeLines="50" w:after="120" w:afterLines="50" w:line="336" w:lineRule="auto"/>
        <w:ind w:right="-506" w:rightChars="-241"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2.1</w:t>
      </w:r>
      <w:r>
        <w:rPr>
          <w:rFonts w:hint="eastAsia" w:ascii="Times New Roman" w:hAnsi="Times New Roman" w:eastAsia="宋体" w:cs="Times New Roman"/>
          <w:color w:val="auto"/>
          <w:szCs w:val="21"/>
        </w:rPr>
        <w:t>以介质存储的数据电文形式的备份投标文件，按政采云平台项目采购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电子交易操作指南中上传的电子投标文件格式，以</w:t>
      </w:r>
      <w:r>
        <w:rPr>
          <w:rFonts w:ascii="Times New Roman" w:hAnsi="Times New Roman" w:eastAsia="宋体" w:cs="Times New Roman"/>
          <w:color w:val="auto"/>
          <w:szCs w:val="21"/>
        </w:rPr>
        <w:t>U</w:t>
      </w:r>
      <w:r>
        <w:rPr>
          <w:rFonts w:hint="eastAsia" w:ascii="Times New Roman" w:hAnsi="Times New Roman" w:eastAsia="宋体" w:cs="Times New Roman"/>
          <w:color w:val="auto"/>
          <w:szCs w:val="21"/>
        </w:rPr>
        <w:t>盘形式存储提供。数量为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份。</w:t>
      </w:r>
    </w:p>
    <w:p w14:paraId="4EA59E50">
      <w:pPr>
        <w:tabs>
          <w:tab w:val="left" w:pos="0"/>
        </w:tabs>
        <w:spacing w:line="360" w:lineRule="auto"/>
        <w:ind w:firstLine="211" w:firstLineChars="100"/>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（二）投标文件的组成</w:t>
      </w:r>
    </w:p>
    <w:p w14:paraId="6FAE7774">
      <w:pPr>
        <w:spacing w:before="120" w:beforeLines="50" w:line="360" w:lineRule="auto"/>
        <w:ind w:firstLine="413" w:firstLineChars="196"/>
        <w:rPr>
          <w:rFonts w:ascii="宋体" w:hAnsi="Courier New" w:eastAsia="宋体" w:cs="Times New Roman"/>
          <w:color w:val="auto"/>
          <w:szCs w:val="21"/>
        </w:rPr>
      </w:pPr>
      <w:r>
        <w:rPr>
          <w:rFonts w:hint="eastAsia" w:ascii="宋体" w:hAnsi="Courier New" w:eastAsia="宋体" w:cs="Times New Roman"/>
          <w:b/>
          <w:bCs/>
          <w:color w:val="auto"/>
          <w:szCs w:val="21"/>
        </w:rPr>
        <w:t>投标文件由资格响应文件、商务及技术响应文件、报价文件三部份组成。</w:t>
      </w:r>
      <w:r>
        <w:rPr>
          <w:rFonts w:hint="eastAsia" w:ascii="宋体" w:hAnsi="Courier New" w:eastAsia="宋体" w:cs="Times New Roman"/>
          <w:color w:val="auto"/>
          <w:szCs w:val="21"/>
        </w:rPr>
        <w:t>电子投标文件中所须加盖公章部分均采用CA签章。（以下投标文件的部分格式详见本招标文件第六章，如本招标文件没有提供相应的格式，投标人可自行制表填写）</w:t>
      </w:r>
    </w:p>
    <w:p w14:paraId="030EFB8F">
      <w:pPr>
        <w:spacing w:before="120" w:beforeLines="50" w:line="360" w:lineRule="auto"/>
        <w:ind w:left="417"/>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资格响应部份：</w:t>
      </w:r>
    </w:p>
    <w:p w14:paraId="0CE32A39">
      <w:pPr>
        <w:spacing w:line="360" w:lineRule="auto"/>
        <w:ind w:left="417"/>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基本资格条件：符合《中华人民共和国政府采购法》第二十二条的规定；</w:t>
      </w:r>
    </w:p>
    <w:p w14:paraId="56249029">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（以下</w:t>
      </w:r>
      <w:r>
        <w:rPr>
          <w:rFonts w:ascii="Times New Roman" w:hAnsi="Times New Roman" w:eastAsia="宋体" w:cs="Times New Roman"/>
          <w:color w:val="auto"/>
        </w:rPr>
        <w:t>A~E</w:t>
      </w:r>
      <w:r>
        <w:rPr>
          <w:rFonts w:hint="eastAsia" w:ascii="Times New Roman" w:hAnsi="Times New Roman" w:eastAsia="宋体" w:cs="Times New Roman"/>
          <w:color w:val="auto"/>
        </w:rPr>
        <w:t>项是第二十二条要求及对应证明材料的具体内容，各投标人须在投标文件中出具对应证明材料）</w:t>
      </w:r>
    </w:p>
    <w:p w14:paraId="3B45B0FD">
      <w:pPr>
        <w:spacing w:line="360" w:lineRule="auto"/>
        <w:ind w:firstLine="482" w:firstLineChars="200"/>
        <w:rPr>
          <w:rFonts w:ascii="Times New Roman" w:hAnsi="Times New Roman" w:eastAsia="宋体" w:cs="Times New Roman"/>
          <w:b/>
          <w:bCs/>
          <w:color w:val="auto"/>
        </w:rPr>
      </w:pPr>
      <w:r>
        <w:rPr>
          <w:rFonts w:ascii="Times New Roman" w:hAnsi="Times New Roman" w:eastAsia="宋体" w:cs="Times New Roman"/>
          <w:b/>
          <w:bCs/>
          <w:color w:val="auto"/>
          <w:sz w:val="24"/>
        </w:rPr>
        <w:t>A.</w:t>
      </w:r>
      <w:r>
        <w:rPr>
          <w:rFonts w:hint="eastAsia" w:ascii="Times New Roman" w:hAnsi="Times New Roman" w:eastAsia="宋体" w:cs="Times New Roman"/>
          <w:b/>
          <w:bCs/>
          <w:color w:val="auto"/>
        </w:rPr>
        <w:t>具有独立承担民事责任的能力：</w:t>
      </w:r>
    </w:p>
    <w:p w14:paraId="1D7771BF">
      <w:pPr>
        <w:spacing w:line="360" w:lineRule="auto"/>
        <w:ind w:firstLine="420" w:firstLineChars="200"/>
        <w:rPr>
          <w:rFonts w:ascii="Times New Roman" w:hAnsi="Times New Roman" w:eastAsia="宋体" w:cs="Times New Roman"/>
          <w:b/>
          <w:bCs/>
          <w:color w:val="auto"/>
        </w:rPr>
      </w:pPr>
      <w:r>
        <w:rPr>
          <w:rFonts w:hint="eastAsia" w:ascii="Times New Roman" w:hAnsi="Times New Roman" w:eastAsia="宋体" w:cs="Times New Roman"/>
          <w:color w:val="auto"/>
        </w:rPr>
        <w:t>投标人须在投标文件中出具符合以下情况的证明材料复印件</w:t>
      </w:r>
      <w:r>
        <w:rPr>
          <w:rFonts w:hint="eastAsia" w:ascii="Times New Roman" w:hAnsi="Times New Roman" w:eastAsia="宋体" w:cs="Times New Roman"/>
          <w:b/>
          <w:bCs/>
          <w:color w:val="auto"/>
        </w:rPr>
        <w:t>（五选一）：</w:t>
      </w:r>
    </w:p>
    <w:p w14:paraId="0DA57628">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①如投标人是企业（包括合伙企业），提供在工商部门注册的有效</w:t>
      </w:r>
      <w:r>
        <w:rPr>
          <w:rFonts w:ascii="Times New Roman" w:hAnsi="Times New Roman" w:eastAsia="宋体" w:cs="Times New Roman"/>
          <w:color w:val="auto"/>
        </w:rPr>
        <w:t>“</w:t>
      </w:r>
      <w:r>
        <w:rPr>
          <w:rFonts w:hint="eastAsia" w:ascii="Times New Roman" w:hAnsi="Times New Roman" w:eastAsia="宋体" w:cs="Times New Roman"/>
          <w:color w:val="auto"/>
        </w:rPr>
        <w:t>企业法人营业执照</w:t>
      </w:r>
      <w:r>
        <w:rPr>
          <w:rFonts w:ascii="Times New Roman" w:hAnsi="Times New Roman" w:eastAsia="宋体" w:cs="Times New Roman"/>
          <w:color w:val="auto"/>
        </w:rPr>
        <w:t>”</w:t>
      </w:r>
      <w:r>
        <w:rPr>
          <w:rFonts w:hint="eastAsia" w:ascii="Times New Roman" w:hAnsi="Times New Roman" w:eastAsia="宋体" w:cs="Times New Roman"/>
          <w:color w:val="auto"/>
        </w:rPr>
        <w:t>或</w:t>
      </w:r>
      <w:r>
        <w:rPr>
          <w:rFonts w:ascii="Times New Roman" w:hAnsi="Times New Roman" w:eastAsia="宋体" w:cs="Times New Roman"/>
          <w:color w:val="auto"/>
        </w:rPr>
        <w:t>“</w:t>
      </w:r>
      <w:r>
        <w:rPr>
          <w:rFonts w:hint="eastAsia" w:ascii="Times New Roman" w:hAnsi="Times New Roman" w:eastAsia="宋体" w:cs="Times New Roman"/>
          <w:color w:val="auto"/>
        </w:rPr>
        <w:t>营业执照</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255828D1">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②如投标人是事业单位，提供有效的</w:t>
      </w:r>
      <w:r>
        <w:rPr>
          <w:rFonts w:ascii="Times New Roman" w:hAnsi="Times New Roman" w:eastAsia="宋体" w:cs="Times New Roman"/>
          <w:color w:val="auto"/>
        </w:rPr>
        <w:t>“</w:t>
      </w:r>
      <w:r>
        <w:rPr>
          <w:rFonts w:hint="eastAsia" w:ascii="Times New Roman" w:hAnsi="Times New Roman" w:eastAsia="宋体" w:cs="Times New Roman"/>
          <w:color w:val="auto"/>
        </w:rPr>
        <w:t>事业单位法人证书</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21A3B454">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③如投标人是非企业专业服务机构的，提供执业许可证等证明文件；</w:t>
      </w:r>
    </w:p>
    <w:p w14:paraId="545A142B">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④如投标人是个体工商户，提供有效的</w:t>
      </w:r>
      <w:r>
        <w:rPr>
          <w:rFonts w:ascii="Times New Roman" w:hAnsi="Times New Roman" w:eastAsia="宋体" w:cs="Times New Roman"/>
          <w:color w:val="auto"/>
        </w:rPr>
        <w:t>“</w:t>
      </w:r>
      <w:r>
        <w:rPr>
          <w:rFonts w:hint="eastAsia" w:ascii="Times New Roman" w:hAnsi="Times New Roman" w:eastAsia="宋体" w:cs="Times New Roman"/>
          <w:color w:val="auto"/>
        </w:rPr>
        <w:t>个体工商户营业执照</w:t>
      </w:r>
      <w:r>
        <w:rPr>
          <w:rFonts w:ascii="Times New Roman" w:hAnsi="Times New Roman" w:eastAsia="宋体" w:cs="Times New Roman"/>
          <w:color w:val="auto"/>
        </w:rPr>
        <w:t>”</w:t>
      </w:r>
      <w:r>
        <w:rPr>
          <w:rFonts w:hint="eastAsia" w:ascii="Times New Roman" w:hAnsi="Times New Roman" w:eastAsia="宋体" w:cs="Times New Roman"/>
          <w:color w:val="auto"/>
        </w:rPr>
        <w:t>；</w:t>
      </w:r>
    </w:p>
    <w:p w14:paraId="3380C49A">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⑤如投标人是自然人，提供有效的自然人身份证明（居民身份证正反面或公安机关出具的临时居民身份证正反面或港澳台胞证或证照）。</w:t>
      </w:r>
    </w:p>
    <w:p w14:paraId="6F00C3E2">
      <w:pPr>
        <w:spacing w:line="360" w:lineRule="auto"/>
        <w:ind w:firstLine="422" w:firstLineChars="200"/>
        <w:rPr>
          <w:rFonts w:ascii="Times New Roman" w:hAnsi="Times New Roman" w:eastAsia="宋体" w:cs="Times New Roman"/>
          <w:b/>
          <w:bCs/>
          <w:color w:val="auto"/>
        </w:rPr>
      </w:pPr>
      <w:r>
        <w:rPr>
          <w:rFonts w:ascii="Times New Roman" w:hAnsi="Times New Roman" w:eastAsia="宋体" w:cs="Times New Roman"/>
          <w:b/>
          <w:bCs/>
          <w:color w:val="auto"/>
          <w:szCs w:val="21"/>
        </w:rPr>
        <w:t>B.</w:t>
      </w:r>
      <w:r>
        <w:rPr>
          <w:rFonts w:hint="eastAsia" w:ascii="Times New Roman" w:hAnsi="Times New Roman" w:eastAsia="宋体" w:cs="Times New Roman"/>
          <w:b/>
          <w:bCs/>
          <w:color w:val="auto"/>
        </w:rPr>
        <w:t>具有良好的商业信誉和健全的财务会计制度：</w:t>
      </w:r>
    </w:p>
    <w:p w14:paraId="6B39D95D">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①良好的商业信誉：</w:t>
      </w:r>
    </w:p>
    <w:p w14:paraId="0EC5E8C8">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至本项目投标截止时间止未被</w:t>
      </w:r>
      <w:r>
        <w:rPr>
          <w:rFonts w:ascii="Times New Roman" w:hAnsi="Times New Roman" w:eastAsia="宋体" w:cs="Times New Roman"/>
          <w:color w:val="auto"/>
        </w:rPr>
        <w:t>“</w:t>
      </w:r>
      <w:r>
        <w:rPr>
          <w:rFonts w:hint="eastAsia" w:ascii="Times New Roman" w:hAnsi="Times New Roman" w:eastAsia="宋体" w:cs="Times New Roman"/>
          <w:color w:val="auto"/>
        </w:rPr>
        <w:t>信用中国</w:t>
      </w:r>
      <w:r>
        <w:rPr>
          <w:rFonts w:ascii="Times New Roman" w:hAnsi="Times New Roman" w:eastAsia="宋体" w:cs="Times New Roman"/>
          <w:color w:val="auto"/>
        </w:rPr>
        <w:t>”</w:t>
      </w:r>
      <w:r>
        <w:rPr>
          <w:rFonts w:hint="eastAsia" w:ascii="Times New Roman" w:hAnsi="Times New Roman" w:eastAsia="宋体" w:cs="Times New Roman"/>
          <w:color w:val="auto"/>
        </w:rPr>
        <w:t>（</w:t>
      </w:r>
      <w:r>
        <w:rPr>
          <w:rFonts w:ascii="Times New Roman" w:hAnsi="Times New Roman" w:eastAsia="宋体" w:cs="Times New Roman"/>
          <w:color w:val="auto"/>
        </w:rPr>
        <w:t>www.creditchina.gov.cn</w:t>
      </w:r>
      <w:r>
        <w:rPr>
          <w:rFonts w:hint="eastAsia" w:ascii="Times New Roman" w:hAnsi="Times New Roman" w:eastAsia="宋体" w:cs="Times New Roman"/>
          <w:color w:val="auto"/>
        </w:rPr>
        <w:t>）、中国政府采购网（</w:t>
      </w:r>
      <w:r>
        <w:rPr>
          <w:rFonts w:ascii="Times New Roman" w:hAnsi="Times New Roman" w:eastAsia="宋体" w:cs="Times New Roman"/>
          <w:color w:val="auto"/>
        </w:rPr>
        <w:t>www.ccgp.gov.cn</w:t>
      </w:r>
      <w:r>
        <w:rPr>
          <w:rFonts w:hint="eastAsia" w:ascii="Times New Roman" w:hAnsi="Times New Roman" w:eastAsia="宋体" w:cs="Times New Roman"/>
          <w:color w:val="auto"/>
        </w:rPr>
        <w:t>）列入失信被执行人、重大税收违法案件当事人名单、政府采购严重违法失信行为记录名单网页查询记录截图。</w:t>
      </w:r>
    </w:p>
    <w:p w14:paraId="43069CC7">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szCs w:val="21"/>
        </w:rPr>
        <w:t>提供</w:t>
      </w:r>
      <w:r>
        <w:rPr>
          <w:rFonts w:hint="eastAsia" w:ascii="Times New Roman" w:hAnsi="Times New Roman" w:eastAsia="宋体" w:cs="Times New Roman"/>
          <w:color w:val="auto"/>
        </w:rPr>
        <w:t>查询截图，（截图查询网站时间须在开标截止前二个星期内）</w:t>
      </w:r>
    </w:p>
    <w:p w14:paraId="03E06E36">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szCs w:val="21"/>
        </w:rPr>
        <w:t>对</w:t>
      </w:r>
      <w:r>
        <w:rPr>
          <w:rFonts w:hint="eastAsia" w:ascii="Times New Roman" w:hAnsi="Times New Roman" w:eastAsia="宋体" w:cs="Times New Roman"/>
          <w:color w:val="auto"/>
        </w:rPr>
        <w:t>列入失信被执行人、重大税收违法案件当事人名单、政府采购严重违法失信行为记录名单的投标人，其投标将作无效标处理。</w:t>
      </w:r>
    </w:p>
    <w:p w14:paraId="2436E4E5">
      <w:pPr>
        <w:spacing w:line="360" w:lineRule="auto"/>
        <w:ind w:firstLine="420" w:firstLineChars="200"/>
        <w:rPr>
          <w:rFonts w:ascii="Times New Roman" w:hAnsi="Times New Roman" w:eastAsia="宋体" w:cs="Times New Roman"/>
          <w:color w:val="auto"/>
        </w:rPr>
      </w:pPr>
      <w:r>
        <w:rPr>
          <w:rFonts w:hint="eastAsia" w:ascii="宋体" w:hAnsi="宋体" w:eastAsia="宋体" w:cs="宋体"/>
          <w:color w:val="auto"/>
        </w:rPr>
        <w:t>②</w:t>
      </w:r>
      <w:r>
        <w:rPr>
          <w:rFonts w:hint="eastAsia" w:ascii="Times New Roman" w:hAnsi="Times New Roman" w:eastAsia="宋体" w:cs="Times New Roman"/>
          <w:color w:val="auto"/>
        </w:rPr>
        <w:t>健全的财务会计制度：</w:t>
      </w:r>
    </w:p>
    <w:p w14:paraId="382BC72F">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投标人须在投标文件中出具符合以下情况的证明材料复印件</w:t>
      </w:r>
      <w:r>
        <w:rPr>
          <w:rFonts w:hint="eastAsia" w:ascii="Times New Roman" w:hAnsi="Times New Roman" w:eastAsia="宋体" w:cs="Times New Roman"/>
          <w:b/>
          <w:bCs/>
          <w:color w:val="auto"/>
        </w:rPr>
        <w:t>（三选一）</w:t>
      </w:r>
      <w:r>
        <w:rPr>
          <w:rFonts w:hint="eastAsia" w:ascii="Times New Roman" w:hAnsi="Times New Roman" w:eastAsia="宋体" w:cs="Times New Roman"/>
          <w:color w:val="auto"/>
        </w:rPr>
        <w:t>：</w:t>
      </w:r>
    </w:p>
    <w:p w14:paraId="669CA4B2">
      <w:pPr>
        <w:tabs>
          <w:tab w:val="left" w:pos="735"/>
        </w:tabs>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（一）投标人是法人的，应提供最近一个年度经审计的财务报告，包括资产负债表、利润表、现金流量表</w:t>
      </w:r>
      <w:bookmarkStart w:id="40" w:name="_Hlk172274234"/>
      <w:r>
        <w:rPr>
          <w:rFonts w:hint="eastAsia" w:ascii="Times New Roman" w:hAnsi="Times New Roman" w:eastAsia="宋体" w:cs="Times New Roman"/>
          <w:color w:val="auto"/>
        </w:rPr>
        <w:t>（执行《小企业会计准则》的提供资产负债表和利润表两张基本报表，执行《政府会计准则》的提供资产负债表、收入费用表和现金流量表）</w:t>
      </w:r>
      <w:bookmarkEnd w:id="40"/>
      <w:r>
        <w:rPr>
          <w:rFonts w:hint="eastAsia" w:ascii="Times New Roman" w:hAnsi="Times New Roman" w:eastAsia="宋体" w:cs="Times New Roman"/>
          <w:color w:val="auto"/>
        </w:rPr>
        <w:t>，未经审计的，提供资产负债表、利润表或损益表。</w:t>
      </w:r>
    </w:p>
    <w:p w14:paraId="179D612C">
      <w:pPr>
        <w:numPr>
          <w:ilvl w:val="0"/>
          <w:numId w:val="9"/>
        </w:num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其他组织和自然人如没有经审计的财务报告的，可以提供资产负债表、利润表、现金</w:t>
      </w:r>
    </w:p>
    <w:p w14:paraId="3A918B28">
      <w:p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流量表。</w:t>
      </w:r>
    </w:p>
    <w:p w14:paraId="1D30B2A6">
      <w:pPr>
        <w:numPr>
          <w:ilvl w:val="0"/>
          <w:numId w:val="9"/>
        </w:numPr>
        <w:tabs>
          <w:tab w:val="left" w:pos="735"/>
        </w:tabs>
        <w:spacing w:line="360" w:lineRule="auto"/>
        <w:rPr>
          <w:rFonts w:ascii="Times New Roman" w:hAnsi="Times New Roman" w:eastAsia="宋体" w:cs="Times New Roman"/>
          <w:color w:val="auto"/>
        </w:rPr>
      </w:pPr>
      <w:r>
        <w:rPr>
          <w:rFonts w:hint="eastAsia" w:ascii="Times New Roman" w:hAnsi="Times New Roman" w:eastAsia="宋体" w:cs="Times New Roman"/>
          <w:color w:val="auto"/>
        </w:rPr>
        <w:t>新成立不足一年的公司须出具情况说明。</w:t>
      </w:r>
    </w:p>
    <w:p w14:paraId="5EF964C3">
      <w:pPr>
        <w:spacing w:line="360" w:lineRule="auto"/>
        <w:ind w:firstLine="413" w:firstLineChars="196"/>
        <w:rPr>
          <w:rFonts w:ascii="Times New Roman" w:hAnsi="Times New Roman" w:eastAsia="宋体" w:cs="Times New Roman"/>
          <w:b/>
          <w:bCs/>
          <w:color w:val="auto"/>
          <w:szCs w:val="21"/>
        </w:rPr>
      </w:pPr>
      <w:r>
        <w:rPr>
          <w:rFonts w:ascii="Times New Roman" w:hAnsi="Times New Roman" w:eastAsia="宋体" w:cs="Times New Roman"/>
          <w:b/>
          <w:bCs/>
          <w:color w:val="auto"/>
          <w:szCs w:val="21"/>
        </w:rPr>
        <w:t>C.</w:t>
      </w:r>
      <w:r>
        <w:rPr>
          <w:rFonts w:hint="eastAsia" w:ascii="Times New Roman" w:hAnsi="Times New Roman" w:eastAsia="宋体" w:cs="Times New Roman"/>
          <w:b/>
          <w:bCs/>
          <w:color w:val="auto"/>
          <w:szCs w:val="21"/>
        </w:rPr>
        <w:t>具有履行合同所必需的设备和专业技术能力：</w:t>
      </w:r>
    </w:p>
    <w:p w14:paraId="630EEA94">
      <w:pPr>
        <w:spacing w:line="360" w:lineRule="auto"/>
        <w:ind w:left="42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投标人须在投标文件中出具具有履行合同所必需的设备和专业技术能力的《投标函》。</w:t>
      </w:r>
    </w:p>
    <w:p w14:paraId="3D92E3EF">
      <w:pPr>
        <w:spacing w:line="360" w:lineRule="auto"/>
        <w:ind w:firstLine="413" w:firstLineChars="196"/>
        <w:rPr>
          <w:rFonts w:ascii="Times New Roman" w:hAnsi="Times New Roman" w:eastAsia="宋体" w:cs="Times New Roman"/>
          <w:b/>
          <w:bCs/>
          <w:color w:val="auto"/>
          <w:szCs w:val="21"/>
        </w:rPr>
      </w:pPr>
      <w:r>
        <w:rPr>
          <w:rFonts w:ascii="Times New Roman" w:hAnsi="Times New Roman" w:eastAsia="宋体" w:cs="Times New Roman"/>
          <w:b/>
          <w:bCs/>
          <w:color w:val="auto"/>
          <w:szCs w:val="21"/>
        </w:rPr>
        <w:t>D.</w:t>
      </w:r>
      <w:r>
        <w:rPr>
          <w:rFonts w:hint="eastAsia" w:ascii="Times New Roman" w:hAnsi="Times New Roman" w:eastAsia="宋体" w:cs="Times New Roman"/>
          <w:b/>
          <w:bCs/>
          <w:color w:val="auto"/>
          <w:szCs w:val="21"/>
        </w:rPr>
        <w:t>有依法缴纳税收和社会保障资金的良好记录：（如有）</w:t>
      </w:r>
    </w:p>
    <w:p w14:paraId="3B9BA6A9">
      <w:pPr>
        <w:spacing w:line="360" w:lineRule="auto"/>
        <w:ind w:firstLine="420" w:firstLineChars="200"/>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投标人须在投标文件中同时出具满足以下要求的证明材料复印件：</w:t>
      </w:r>
    </w:p>
    <w:p w14:paraId="5B1ACBA3">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①投标人须提供由税务部门出具的最近一季度缴纳增值税和企业所得税的纳税证明。</w:t>
      </w:r>
    </w:p>
    <w:p w14:paraId="1902EBB0">
      <w:pPr>
        <w:spacing w:line="360" w:lineRule="auto"/>
        <w:ind w:firstLine="420" w:firstLineChars="200"/>
        <w:rPr>
          <w:rFonts w:ascii="Times New Roman" w:hAnsi="Times New Roman" w:eastAsia="宋体" w:cs="Times New Roman"/>
          <w:color w:val="auto"/>
        </w:rPr>
      </w:pPr>
      <w:r>
        <w:rPr>
          <w:rFonts w:hint="eastAsia" w:ascii="宋体" w:hAnsi="宋体" w:eastAsia="宋体" w:cs="宋体"/>
          <w:color w:val="auto"/>
        </w:rPr>
        <w:t>②</w:t>
      </w:r>
      <w:r>
        <w:rPr>
          <w:rFonts w:hint="eastAsia" w:ascii="Times New Roman" w:hAnsi="Times New Roman" w:eastAsia="宋体" w:cs="Times New Roman"/>
          <w:color w:val="auto"/>
        </w:rPr>
        <w:t>投标人须提供最近三个月内缴纳社会保险的凭据（缴税付款凭证或社会保险缴纳证明）</w:t>
      </w:r>
    </w:p>
    <w:p w14:paraId="5BDD7C55">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依法免税或不需要缴纳社会保障资金的投标人，应提供相应文件证明其依法免税或不需要缴纳社会保障资金。</w:t>
      </w:r>
    </w:p>
    <w:p w14:paraId="0675AB7F">
      <w:pPr>
        <w:spacing w:line="360" w:lineRule="auto"/>
        <w:ind w:firstLine="422" w:firstLineChars="200"/>
        <w:rPr>
          <w:rFonts w:ascii="Times New Roman" w:hAnsi="Times New Roman" w:eastAsia="宋体" w:cs="Times New Roman"/>
          <w:b/>
          <w:bCs/>
          <w:color w:val="auto"/>
        </w:rPr>
      </w:pPr>
      <w:r>
        <w:rPr>
          <w:rFonts w:ascii="Times New Roman" w:hAnsi="Times New Roman" w:eastAsia="宋体" w:cs="Times New Roman"/>
          <w:b/>
          <w:bCs/>
          <w:color w:val="auto"/>
        </w:rPr>
        <w:t>E.</w:t>
      </w:r>
      <w:r>
        <w:rPr>
          <w:rFonts w:hint="eastAsia" w:ascii="Times New Roman" w:hAnsi="Times New Roman" w:eastAsia="宋体" w:cs="Times New Roman"/>
          <w:b/>
          <w:bCs/>
          <w:color w:val="auto"/>
        </w:rPr>
        <w:t>参加政府采购活动前三年内，在经营活动中没有重大违法记录：</w:t>
      </w:r>
    </w:p>
    <w:p w14:paraId="06C52870">
      <w:pPr>
        <w:spacing w:line="360" w:lineRule="auto"/>
        <w:ind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投标人须在投标文件中出具《声明函》、廉政承诺书。（格式见附件）</w:t>
      </w:r>
    </w:p>
    <w:p w14:paraId="2495DEA8">
      <w:pPr>
        <w:snapToGrid w:val="0"/>
        <w:spacing w:line="336" w:lineRule="auto"/>
        <w:ind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注：证明材料均需加盖签章。</w:t>
      </w:r>
    </w:p>
    <w:p w14:paraId="04E2B50D">
      <w:pPr>
        <w:snapToGrid w:val="0"/>
        <w:spacing w:line="336" w:lineRule="auto"/>
        <w:ind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中小企业声明函；</w:t>
      </w:r>
    </w:p>
    <w:p w14:paraId="4505CCD9">
      <w:pPr>
        <w:snapToGrid w:val="0"/>
        <w:spacing w:line="336" w:lineRule="auto"/>
        <w:ind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监狱企业声明函（如是）；</w:t>
      </w:r>
    </w:p>
    <w:p w14:paraId="785D81E0">
      <w:pPr>
        <w:snapToGrid w:val="0"/>
        <w:spacing w:line="336" w:lineRule="auto"/>
        <w:ind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残疾人福利性单位声明函（如是）；</w:t>
      </w:r>
    </w:p>
    <w:p w14:paraId="37CEF67F">
      <w:pPr>
        <w:snapToGrid w:val="0"/>
        <w:spacing w:line="336" w:lineRule="auto"/>
        <w:ind w:firstLine="422" w:firstLineChars="200"/>
        <w:rPr>
          <w:rFonts w:hint="eastAsia" w:ascii="宋体" w:hAnsi="宋体" w:eastAsia="宋体" w:cs="Times New Roman"/>
          <w:b/>
          <w:color w:val="auto"/>
          <w:szCs w:val="21"/>
        </w:rPr>
      </w:pPr>
      <w:r>
        <w:rPr>
          <w:rFonts w:hint="eastAsia" w:ascii="宋体" w:hAnsi="宋体" w:eastAsia="宋体" w:cs="Times New Roman"/>
          <w:b/>
          <w:color w:val="auto"/>
          <w:szCs w:val="21"/>
        </w:rPr>
        <w:t>2.商务及技术部分：</w:t>
      </w:r>
    </w:p>
    <w:p w14:paraId="539067E9">
      <w:pPr>
        <w:snapToGrid w:val="0"/>
        <w:spacing w:line="360" w:lineRule="auto"/>
        <w:ind w:firstLine="411" w:firstLineChars="196"/>
        <w:jc w:val="left"/>
        <w:rPr>
          <w:rFonts w:hint="eastAsia" w:ascii="宋体" w:hAnsi="宋体" w:eastAsia="宋体" w:cs="Times New Roman"/>
          <w:bCs/>
          <w:color w:val="auto"/>
          <w:szCs w:val="21"/>
        </w:rPr>
      </w:pPr>
      <w:r>
        <w:rPr>
          <w:rFonts w:hint="eastAsia" w:ascii="宋体" w:hAnsi="宋体" w:eastAsia="宋体" w:cs="Times New Roman"/>
          <w:bCs/>
          <w:color w:val="auto"/>
          <w:szCs w:val="21"/>
        </w:rPr>
        <w:t>2.1投标人基本情况表（如有）；</w:t>
      </w:r>
    </w:p>
    <w:p w14:paraId="3869E8F6">
      <w:pPr>
        <w:snapToGrid w:val="0"/>
        <w:spacing w:line="360" w:lineRule="auto"/>
        <w:ind w:firstLine="411" w:firstLineChars="196"/>
        <w:jc w:val="left"/>
        <w:rPr>
          <w:rFonts w:hint="eastAsia" w:ascii="宋体" w:hAnsi="宋体" w:eastAsia="宋体" w:cs="Times New Roman"/>
          <w:bCs/>
          <w:color w:val="auto"/>
          <w:szCs w:val="21"/>
        </w:rPr>
      </w:pPr>
      <w:r>
        <w:rPr>
          <w:rFonts w:hint="eastAsia" w:ascii="宋体" w:hAnsi="宋体" w:eastAsia="宋体" w:cs="Times New Roman"/>
          <w:bCs/>
          <w:color w:val="auto"/>
          <w:szCs w:val="21"/>
        </w:rPr>
        <w:t>2.2成功案例及业绩；</w:t>
      </w:r>
    </w:p>
    <w:p w14:paraId="2DC20A0C">
      <w:pPr>
        <w:snapToGrid w:val="0"/>
        <w:spacing w:line="360" w:lineRule="auto"/>
        <w:ind w:firstLine="411" w:firstLineChars="196"/>
        <w:jc w:val="left"/>
        <w:rPr>
          <w:rFonts w:hint="eastAsia" w:ascii="宋体" w:hAnsi="宋体" w:eastAsia="宋体" w:cs="Times New Roman"/>
          <w:bCs/>
          <w:color w:val="auto"/>
          <w:szCs w:val="21"/>
        </w:rPr>
      </w:pPr>
      <w:r>
        <w:rPr>
          <w:rFonts w:hint="eastAsia" w:ascii="宋体" w:hAnsi="宋体" w:eastAsia="宋体" w:cs="Times New Roman"/>
          <w:bCs/>
          <w:color w:val="auto"/>
          <w:szCs w:val="21"/>
        </w:rPr>
        <w:t>2.3 项目负责人简历表（须附相关证明材料）；项目实施人员一览表（须附职称证书复印件）；</w:t>
      </w:r>
    </w:p>
    <w:p w14:paraId="4D18C0F5">
      <w:pPr>
        <w:snapToGrid w:val="0"/>
        <w:spacing w:line="360" w:lineRule="auto"/>
        <w:ind w:firstLine="411" w:firstLineChars="196"/>
        <w:jc w:val="left"/>
        <w:rPr>
          <w:rFonts w:hint="eastAsia" w:ascii="宋体" w:hAnsi="宋体" w:eastAsia="宋体" w:cs="Times New Roman"/>
          <w:bCs/>
          <w:color w:val="auto"/>
          <w:szCs w:val="21"/>
        </w:rPr>
      </w:pPr>
      <w:r>
        <w:rPr>
          <w:rFonts w:hint="eastAsia" w:ascii="宋体" w:hAnsi="宋体" w:eastAsia="宋体" w:cs="Times New Roman"/>
          <w:bCs/>
          <w:color w:val="auto"/>
          <w:szCs w:val="21"/>
        </w:rPr>
        <w:t>2.4商务响应表；</w:t>
      </w:r>
    </w:p>
    <w:p w14:paraId="60087849">
      <w:pPr>
        <w:snapToGrid w:val="0"/>
        <w:spacing w:line="360" w:lineRule="auto"/>
        <w:ind w:right="-87" w:firstLine="411" w:firstLineChars="196"/>
        <w:jc w:val="left"/>
        <w:rPr>
          <w:rFonts w:hint="eastAsia" w:ascii="宋体" w:hAnsi="宋体" w:eastAsia="宋体" w:cs="Times New Roman"/>
          <w:color w:val="auto"/>
        </w:rPr>
      </w:pPr>
      <w:r>
        <w:rPr>
          <w:rFonts w:hint="eastAsia" w:ascii="宋体" w:hAnsi="宋体" w:eastAsia="宋体" w:cs="Times New Roman"/>
          <w:color w:val="auto"/>
        </w:rPr>
        <w:t>2.5对本项目的理解：投标人对项目背景及方案解读、政策的理解及分析、现状和区域特征分析等：</w:t>
      </w:r>
    </w:p>
    <w:p w14:paraId="27CEA5C4">
      <w:pPr>
        <w:snapToGrid w:val="0"/>
        <w:spacing w:line="360" w:lineRule="auto"/>
        <w:ind w:right="-87" w:firstLine="420" w:firstLineChars="200"/>
        <w:jc w:val="left"/>
        <w:rPr>
          <w:rFonts w:hint="eastAsia" w:ascii="宋体" w:hAnsi="宋体" w:eastAsia="宋体" w:cs="Times New Roman"/>
          <w:color w:val="auto"/>
          <w:szCs w:val="21"/>
        </w:rPr>
      </w:pPr>
      <w:r>
        <w:rPr>
          <w:rFonts w:hint="eastAsia" w:ascii="宋体" w:hAnsi="宋体" w:eastAsia="宋体" w:cs="Times New Roman"/>
          <w:color w:val="auto"/>
        </w:rPr>
        <w:t>2</w:t>
      </w:r>
      <w:r>
        <w:rPr>
          <w:rFonts w:hint="eastAsia" w:ascii="宋体" w:hAnsi="宋体" w:eastAsia="宋体" w:cs="Times New Roman"/>
          <w:color w:val="auto"/>
          <w:szCs w:val="21"/>
        </w:rPr>
        <w:t>.6项目总体架构及技术解决方案（本项目详细工作实施组织方案，包括</w:t>
      </w:r>
      <w:r>
        <w:rPr>
          <w:rFonts w:ascii="宋体" w:hAnsi="宋体" w:eastAsia="宋体" w:cs="Times New Roman"/>
          <w:color w:val="auto"/>
          <w:szCs w:val="21"/>
        </w:rPr>
        <w:t>(</w:t>
      </w:r>
      <w:r>
        <w:rPr>
          <w:rFonts w:hint="eastAsia" w:ascii="宋体" w:hAnsi="宋体" w:eastAsia="宋体" w:cs="Times New Roman"/>
          <w:color w:val="auto"/>
          <w:szCs w:val="21"/>
        </w:rPr>
        <w:t>但不限于</w:t>
      </w:r>
      <w:r>
        <w:rPr>
          <w:rFonts w:ascii="宋体" w:hAnsi="宋体" w:eastAsia="宋体" w:cs="Times New Roman"/>
          <w:color w:val="auto"/>
          <w:szCs w:val="21"/>
        </w:rPr>
        <w:t>)</w:t>
      </w:r>
      <w:r>
        <w:rPr>
          <w:rFonts w:hint="eastAsia" w:ascii="宋体" w:hAnsi="宋体" w:eastAsia="宋体" w:cs="Times New Roman"/>
          <w:color w:val="auto"/>
          <w:szCs w:val="21"/>
        </w:rPr>
        <w:t>以下内容：组织机构、工作程序和步骤、管理和协调方法、关键步骤的思路和要点。）</w:t>
      </w:r>
    </w:p>
    <w:p w14:paraId="6280D94E">
      <w:pPr>
        <w:snapToGrid w:val="0"/>
        <w:spacing w:line="360" w:lineRule="auto"/>
        <w:ind w:right="-87" w:firstLine="420" w:firstLineChars="200"/>
        <w:jc w:val="left"/>
        <w:rPr>
          <w:rFonts w:hint="eastAsia" w:ascii="宋体" w:hAnsi="宋体" w:eastAsia="宋体" w:cs="Times New Roman"/>
          <w:color w:val="auto"/>
          <w:szCs w:val="21"/>
        </w:rPr>
      </w:pPr>
      <w:r>
        <w:rPr>
          <w:rFonts w:hint="eastAsia" w:ascii="宋体" w:hAnsi="宋体" w:eastAsia="宋体" w:cs="Times New Roman"/>
          <w:color w:val="auto"/>
          <w:szCs w:val="21"/>
        </w:rPr>
        <w:t>2.</w:t>
      </w:r>
      <w:r>
        <w:rPr>
          <w:rFonts w:ascii="宋体" w:hAnsi="宋体" w:eastAsia="宋体" w:cs="Times New Roman"/>
          <w:color w:val="auto"/>
          <w:szCs w:val="21"/>
        </w:rPr>
        <w:t>7</w:t>
      </w:r>
      <w:r>
        <w:rPr>
          <w:rFonts w:hint="eastAsia" w:ascii="宋体" w:hAnsi="宋体" w:eastAsia="宋体" w:cs="Times New Roman"/>
          <w:color w:val="auto"/>
          <w:szCs w:val="21"/>
        </w:rPr>
        <w:t>保证项目质量的技术力量及技术措施；</w:t>
      </w:r>
    </w:p>
    <w:p w14:paraId="09B821CE">
      <w:pPr>
        <w:snapToGrid w:val="0"/>
        <w:spacing w:line="360" w:lineRule="auto"/>
        <w:ind w:right="-87" w:firstLine="411" w:firstLineChars="196"/>
        <w:jc w:val="left"/>
        <w:rPr>
          <w:rFonts w:hint="eastAsia" w:ascii="宋体" w:hAnsi="宋体" w:eastAsia="宋体" w:cs="Times New Roman"/>
          <w:color w:val="auto"/>
          <w:szCs w:val="21"/>
        </w:rPr>
      </w:pPr>
      <w:r>
        <w:rPr>
          <w:rFonts w:hint="eastAsia" w:ascii="宋体" w:hAnsi="宋体" w:eastAsia="宋体" w:cs="Times New Roman"/>
          <w:color w:val="auto"/>
          <w:szCs w:val="21"/>
        </w:rPr>
        <w:t>2.</w:t>
      </w:r>
      <w:r>
        <w:rPr>
          <w:rFonts w:ascii="宋体" w:hAnsi="宋体" w:eastAsia="宋体" w:cs="Times New Roman"/>
          <w:color w:val="auto"/>
          <w:szCs w:val="21"/>
        </w:rPr>
        <w:t>8</w:t>
      </w:r>
      <w:r>
        <w:rPr>
          <w:rFonts w:hint="eastAsia" w:ascii="宋体" w:hAnsi="宋体" w:eastAsia="宋体" w:cs="Times New Roman"/>
          <w:color w:val="auto"/>
          <w:szCs w:val="21"/>
        </w:rPr>
        <w:t>保证项目的组织方案及人力资源安排；</w:t>
      </w:r>
    </w:p>
    <w:p w14:paraId="400521EB">
      <w:pPr>
        <w:snapToGrid w:val="0"/>
        <w:spacing w:line="360" w:lineRule="auto"/>
        <w:ind w:right="-87" w:firstLine="420" w:firstLineChars="200"/>
        <w:jc w:val="left"/>
        <w:rPr>
          <w:rFonts w:hint="eastAsia" w:ascii="宋体" w:hAnsi="宋体" w:eastAsia="宋体" w:cs="Times New Roman"/>
          <w:color w:val="auto"/>
        </w:rPr>
      </w:pPr>
      <w:r>
        <w:rPr>
          <w:rFonts w:hint="eastAsia" w:ascii="宋体" w:hAnsi="宋体" w:eastAsia="宋体" w:cs="Times New Roman"/>
          <w:color w:val="auto"/>
        </w:rPr>
        <w:t>2.</w:t>
      </w:r>
      <w:r>
        <w:rPr>
          <w:rFonts w:ascii="宋体" w:hAnsi="宋体" w:eastAsia="宋体" w:cs="Times New Roman"/>
          <w:color w:val="auto"/>
        </w:rPr>
        <w:t>9相关工作制度及运营方案；</w:t>
      </w:r>
    </w:p>
    <w:p w14:paraId="662A63AC">
      <w:pPr>
        <w:snapToGrid w:val="0"/>
        <w:spacing w:line="360" w:lineRule="auto"/>
        <w:ind w:right="-87" w:firstLine="411" w:firstLineChars="196"/>
        <w:jc w:val="left"/>
        <w:rPr>
          <w:rFonts w:hint="eastAsia" w:ascii="宋体" w:hAnsi="宋体" w:eastAsia="宋体" w:cs="Times New Roman"/>
          <w:color w:val="auto"/>
        </w:rPr>
      </w:pPr>
      <w:r>
        <w:rPr>
          <w:rFonts w:hint="eastAsia" w:ascii="宋体" w:hAnsi="宋体" w:eastAsia="宋体" w:cs="Times New Roman"/>
          <w:color w:val="auto"/>
        </w:rPr>
        <w:t>2.1</w:t>
      </w:r>
      <w:r>
        <w:rPr>
          <w:rFonts w:ascii="宋体" w:hAnsi="宋体" w:eastAsia="宋体" w:cs="Times New Roman"/>
          <w:color w:val="auto"/>
        </w:rPr>
        <w:t>0</w:t>
      </w:r>
      <w:r>
        <w:rPr>
          <w:rFonts w:hint="eastAsia" w:ascii="宋体" w:hAnsi="宋体" w:eastAsia="宋体" w:cs="Times New Roman"/>
          <w:color w:val="auto"/>
        </w:rPr>
        <w:t>投标人建议的验收方法或方案；</w:t>
      </w:r>
    </w:p>
    <w:p w14:paraId="2A91124C">
      <w:pPr>
        <w:snapToGrid w:val="0"/>
        <w:spacing w:line="360" w:lineRule="auto"/>
        <w:ind w:right="-87" w:firstLine="411" w:firstLineChars="196"/>
        <w:jc w:val="left"/>
        <w:rPr>
          <w:rFonts w:hint="eastAsia" w:ascii="宋体" w:hAnsi="宋体" w:eastAsia="宋体" w:cs="Times New Roman"/>
          <w:color w:val="auto"/>
        </w:rPr>
      </w:pPr>
      <w:r>
        <w:rPr>
          <w:rFonts w:hint="eastAsia" w:ascii="宋体" w:hAnsi="宋体" w:eastAsia="宋体" w:cs="Times New Roman"/>
          <w:color w:val="auto"/>
        </w:rPr>
        <w:t>2.1</w:t>
      </w:r>
      <w:r>
        <w:rPr>
          <w:rFonts w:ascii="宋体" w:hAnsi="宋体" w:eastAsia="宋体" w:cs="Times New Roman"/>
          <w:color w:val="auto"/>
        </w:rPr>
        <w:t>1</w:t>
      </w:r>
      <w:r>
        <w:rPr>
          <w:rFonts w:hint="eastAsia" w:ascii="宋体" w:hAnsi="宋体" w:eastAsia="宋体" w:cs="Times New Roman"/>
          <w:color w:val="auto"/>
        </w:rPr>
        <w:t>应急服务方案以及服务承诺和保障措施；</w:t>
      </w:r>
    </w:p>
    <w:p w14:paraId="198EB827">
      <w:pPr>
        <w:snapToGrid w:val="0"/>
        <w:spacing w:line="360" w:lineRule="auto"/>
        <w:ind w:right="-87" w:firstLine="411" w:firstLineChars="196"/>
        <w:jc w:val="left"/>
        <w:rPr>
          <w:rFonts w:hint="eastAsia" w:ascii="宋体" w:hAnsi="宋体" w:eastAsia="宋体" w:cs="Times New Roman"/>
          <w:color w:val="auto"/>
        </w:rPr>
      </w:pPr>
      <w:r>
        <w:rPr>
          <w:rFonts w:hint="eastAsia" w:ascii="宋体" w:hAnsi="宋体" w:eastAsia="宋体" w:cs="Times New Roman"/>
          <w:color w:val="auto"/>
        </w:rPr>
        <w:t>2.1</w:t>
      </w:r>
      <w:r>
        <w:rPr>
          <w:rFonts w:ascii="宋体" w:hAnsi="宋体" w:eastAsia="宋体" w:cs="Times New Roman"/>
          <w:color w:val="auto"/>
        </w:rPr>
        <w:t>2</w:t>
      </w:r>
      <w:r>
        <w:rPr>
          <w:rFonts w:hint="eastAsia" w:ascii="宋体" w:hAnsi="宋体" w:eastAsia="宋体" w:cs="Times New Roman"/>
          <w:color w:val="auto"/>
        </w:rPr>
        <w:t>技术响应表</w:t>
      </w:r>
    </w:p>
    <w:p w14:paraId="5C9DD201">
      <w:pPr>
        <w:spacing w:after="120"/>
        <w:ind w:firstLine="411" w:firstLineChars="196"/>
        <w:rPr>
          <w:rFonts w:ascii="Times New Roman" w:hAnsi="Calibri" w:eastAsia="宋体" w:cs="Times New Roman"/>
          <w:color w:val="auto"/>
          <w:kern w:val="0"/>
        </w:rPr>
      </w:pPr>
      <w:r>
        <w:rPr>
          <w:rFonts w:hint="eastAsia" w:ascii="宋体" w:hAnsi="宋体" w:eastAsia="宋体" w:cs="Times New Roman"/>
          <w:color w:val="auto"/>
        </w:rPr>
        <w:t>2.1</w:t>
      </w:r>
      <w:r>
        <w:rPr>
          <w:rFonts w:ascii="宋体" w:hAnsi="宋体" w:eastAsia="宋体" w:cs="Times New Roman"/>
          <w:color w:val="auto"/>
        </w:rPr>
        <w:t>3</w:t>
      </w:r>
      <w:r>
        <w:rPr>
          <w:rFonts w:hint="eastAsia" w:ascii="宋体" w:hAnsi="宋体" w:eastAsia="宋体" w:cs="Times New Roman"/>
          <w:color w:val="auto"/>
        </w:rPr>
        <w:t>优惠条件：投标人承诺给予招标人的各种优惠条件</w:t>
      </w:r>
    </w:p>
    <w:p w14:paraId="3BC405EB">
      <w:pPr>
        <w:snapToGrid w:val="0"/>
        <w:spacing w:line="360" w:lineRule="auto"/>
        <w:ind w:firstLine="411" w:firstLineChars="196"/>
        <w:jc w:val="left"/>
        <w:rPr>
          <w:rFonts w:hint="eastAsia" w:ascii="宋体" w:hAnsi="宋体" w:eastAsia="宋体" w:cs="Times New Roman"/>
          <w:bCs/>
          <w:color w:val="auto"/>
          <w:szCs w:val="21"/>
        </w:rPr>
      </w:pPr>
      <w:r>
        <w:rPr>
          <w:rFonts w:hint="eastAsia" w:ascii="宋体" w:hAnsi="宋体" w:eastAsia="宋体" w:cs="Times New Roman"/>
          <w:bCs/>
          <w:color w:val="auto"/>
          <w:szCs w:val="21"/>
        </w:rPr>
        <w:t>2.14 评分规则中涉及的所需提交的材料（如有），投标人需要说明的其他文件和说明（如有）。</w:t>
      </w:r>
    </w:p>
    <w:p w14:paraId="47E7C1B6">
      <w:pPr>
        <w:snapToGrid w:val="0"/>
        <w:spacing w:line="360" w:lineRule="auto"/>
        <w:ind w:firstLine="413" w:firstLineChars="196"/>
        <w:jc w:val="left"/>
        <w:rPr>
          <w:rFonts w:hint="eastAsia" w:ascii="宋体" w:hAnsi="宋体" w:eastAsia="宋体" w:cs="Times New Roman"/>
          <w:b/>
          <w:color w:val="auto"/>
          <w:szCs w:val="21"/>
        </w:rPr>
      </w:pPr>
      <w:r>
        <w:rPr>
          <w:rFonts w:hint="eastAsia" w:ascii="宋体" w:hAnsi="宋体" w:eastAsia="宋体" w:cs="Times New Roman"/>
          <w:b/>
          <w:color w:val="auto"/>
          <w:szCs w:val="21"/>
        </w:rPr>
        <w:t>3.报价部分：</w:t>
      </w:r>
    </w:p>
    <w:p w14:paraId="18B394B0">
      <w:pPr>
        <w:snapToGrid w:val="0"/>
        <w:spacing w:line="336" w:lineRule="auto"/>
        <w:ind w:firstLine="420" w:firstLineChars="200"/>
        <w:jc w:val="left"/>
        <w:rPr>
          <w:rFonts w:hint="eastAsia" w:ascii="宋体" w:hAnsi="宋体" w:eastAsia="宋体" w:cs="Times New Roman"/>
          <w:color w:val="auto"/>
          <w:szCs w:val="21"/>
        </w:rPr>
      </w:pPr>
      <w:r>
        <w:rPr>
          <w:rFonts w:hint="eastAsia" w:ascii="宋体" w:hAnsi="宋体" w:eastAsia="宋体" w:cs="Times New Roman"/>
          <w:color w:val="auto"/>
          <w:szCs w:val="21"/>
        </w:rPr>
        <w:t>3.1投标报价一览表；</w:t>
      </w:r>
    </w:p>
    <w:p w14:paraId="6266976C">
      <w:pPr>
        <w:tabs>
          <w:tab w:val="left" w:pos="3870"/>
          <w:tab w:val="left" w:pos="4085"/>
        </w:tabs>
        <w:snapToGrid w:val="0"/>
        <w:spacing w:line="336" w:lineRule="auto"/>
        <w:ind w:firstLine="420" w:firstLineChars="200"/>
        <w:jc w:val="left"/>
        <w:rPr>
          <w:rFonts w:hint="eastAsia" w:ascii="宋体" w:hAnsi="宋体" w:eastAsia="宋体" w:cs="Times New Roman"/>
          <w:color w:val="auto"/>
          <w:szCs w:val="21"/>
        </w:rPr>
      </w:pPr>
      <w:r>
        <w:rPr>
          <w:rFonts w:hint="eastAsia" w:ascii="宋体" w:hAnsi="宋体" w:eastAsia="宋体" w:cs="Times New Roman"/>
          <w:color w:val="auto"/>
          <w:szCs w:val="21"/>
        </w:rPr>
        <w:t>3.2报价明细表；</w:t>
      </w:r>
    </w:p>
    <w:p w14:paraId="10FED55F">
      <w:pPr>
        <w:snapToGrid w:val="0"/>
        <w:spacing w:line="336" w:lineRule="auto"/>
        <w:ind w:firstLine="420" w:firstLineChars="200"/>
        <w:jc w:val="left"/>
        <w:rPr>
          <w:rFonts w:hint="eastAsia" w:ascii="宋体" w:hAnsi="宋体" w:eastAsia="宋体" w:cs="Times New Roman"/>
          <w:color w:val="auto"/>
          <w:szCs w:val="21"/>
        </w:rPr>
      </w:pPr>
      <w:r>
        <w:rPr>
          <w:rFonts w:hint="eastAsia" w:ascii="宋体" w:hAnsi="宋体" w:eastAsia="宋体" w:cs="Times New Roman"/>
          <w:color w:val="auto"/>
          <w:szCs w:val="21"/>
        </w:rPr>
        <w:t>3.3投标人针对报价需要说明的其他文件和说明。</w:t>
      </w:r>
    </w:p>
    <w:p w14:paraId="783F1C04">
      <w:pPr>
        <w:snapToGrid w:val="0"/>
        <w:spacing w:line="360" w:lineRule="auto"/>
        <w:ind w:right="55"/>
        <w:jc w:val="left"/>
        <w:outlineLvl w:val="0"/>
        <w:rPr>
          <w:rFonts w:ascii="Times New Roman" w:hAnsi="Times New Roman" w:eastAsia="宋体" w:cs="Times New Roman"/>
          <w:b/>
          <w:color w:val="auto"/>
          <w:sz w:val="24"/>
        </w:rPr>
      </w:pPr>
      <w:r>
        <w:rPr>
          <w:rFonts w:hint="eastAsia" w:ascii="Times New Roman" w:hAnsi="Times New Roman" w:eastAsia="宋体" w:cs="Times New Roman"/>
          <w:b/>
          <w:color w:val="auto"/>
          <w:szCs w:val="21"/>
        </w:rPr>
        <w:t>（三）投标文件的语言及计量</w:t>
      </w:r>
    </w:p>
    <w:p w14:paraId="529FFB25">
      <w:pPr>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投标文件以及投标人与采购人就有关投标事宜的所有来往函电，均应以中文汉语书写。除签名、盖章、专用名称等特殊情形外，以中文汉语以外的文字表述的投标文件视同未提供。</w:t>
      </w:r>
    </w:p>
    <w:p w14:paraId="244FB227">
      <w:pPr>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投标计量单位，采购文件已有明确规定的，使用采购文件规定的计量单位；采购文件没有规定的，应采用中华人民共和国法定计量单位（货币单位：人民币元），否则视同未响应。</w:t>
      </w:r>
    </w:p>
    <w:p w14:paraId="63E90EBC">
      <w:pPr>
        <w:tabs>
          <w:tab w:val="left" w:pos="0"/>
        </w:tabs>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（四）响应报价</w:t>
      </w:r>
    </w:p>
    <w:p w14:paraId="7DB57EFE">
      <w:pPr>
        <w:snapToGrid w:val="0"/>
        <w:spacing w:line="360" w:lineRule="auto"/>
        <w:ind w:firstLine="422" w:firstLineChars="200"/>
        <w:rPr>
          <w:rFonts w:ascii="Times New Roman" w:hAnsi="Times New Roman" w:eastAsia="宋体" w:cs="Times New Roman"/>
          <w:b/>
          <w:bCs/>
          <w:color w:val="auto"/>
          <w:szCs w:val="21"/>
        </w:rPr>
      </w:pPr>
      <w:r>
        <w:rPr>
          <w:rFonts w:ascii="Times New Roman" w:hAnsi="Times New Roman" w:eastAsia="宋体" w:cs="Times New Roman"/>
          <w:b/>
          <w:bCs/>
          <w:color w:val="auto"/>
          <w:szCs w:val="21"/>
        </w:rPr>
        <w:t>1.</w:t>
      </w:r>
      <w:r>
        <w:rPr>
          <w:rFonts w:hint="eastAsia" w:ascii="Times New Roman" w:hAnsi="Times New Roman" w:eastAsia="宋体" w:cs="Times New Roman"/>
          <w:b/>
          <w:bCs/>
          <w:color w:val="auto"/>
          <w:szCs w:val="21"/>
        </w:rPr>
        <w:t>投标报价应以人民币报价，投标人报价应是包括为完成本项目服务、设备供应可能发生的全部费用及中标人的利润和应交纳的税金等一切费用。</w:t>
      </w:r>
    </w:p>
    <w:p w14:paraId="082ACE94">
      <w:pPr>
        <w:spacing w:line="360" w:lineRule="auto"/>
        <w:ind w:firstLine="420"/>
        <w:rPr>
          <w:rFonts w:ascii="Times New Roman" w:hAnsi="Times New Roman" w:eastAsia="宋体" w:cs="Times New Roman"/>
          <w:color w:val="auto"/>
        </w:rPr>
      </w:pPr>
      <w:r>
        <w:rPr>
          <w:rFonts w:ascii="Times New Roman" w:hAnsi="Times New Roman" w:eastAsia="宋体" w:cs="Times New Roman"/>
          <w:b/>
          <w:bCs/>
          <w:color w:val="auto"/>
          <w:szCs w:val="21"/>
        </w:rPr>
        <w:t>2.</w:t>
      </w:r>
      <w:r>
        <w:rPr>
          <w:rFonts w:hint="eastAsia" w:ascii="Times New Roman" w:hAnsi="Times New Roman" w:eastAsia="宋体" w:cs="Times New Roman"/>
          <w:b/>
          <w:bCs/>
          <w:color w:val="auto"/>
          <w:szCs w:val="21"/>
        </w:rPr>
        <w:t>投标文件针对同一内容只允许有一个报价，有选择的或有条件的报价将不予接受。</w:t>
      </w:r>
    </w:p>
    <w:p w14:paraId="0C88E36C">
      <w:pPr>
        <w:snapToGrid w:val="0"/>
        <w:spacing w:line="360" w:lineRule="auto"/>
        <w:jc w:val="left"/>
        <w:outlineLvl w:val="0"/>
        <w:rPr>
          <w:rFonts w:ascii="Times New Roman" w:hAnsi="Times New Roman" w:eastAsia="宋体" w:cs="Times New Roman"/>
          <w:b/>
          <w:color w:val="auto"/>
          <w:szCs w:val="21"/>
        </w:rPr>
      </w:pPr>
    </w:p>
    <w:p w14:paraId="4738741D">
      <w:pPr>
        <w:snapToGrid w:val="0"/>
        <w:spacing w:line="360" w:lineRule="auto"/>
        <w:jc w:val="left"/>
        <w:outlineLvl w:val="0"/>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（五）投标文件的有效期</w:t>
      </w:r>
    </w:p>
    <w:p w14:paraId="3CA81F56">
      <w:pPr>
        <w:tabs>
          <w:tab w:val="left" w:pos="360"/>
          <w:tab w:val="left" w:pos="454"/>
          <w:tab w:val="left" w:pos="720"/>
          <w:tab w:val="left" w:pos="900"/>
        </w:tabs>
        <w:snapToGrid w:val="0"/>
        <w:spacing w:line="360" w:lineRule="auto"/>
        <w:ind w:right="-506" w:rightChars="-241" w:firstLine="420" w:firstLineChars="200"/>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自投标截止日起</w:t>
      </w:r>
      <w:r>
        <w:rPr>
          <w:rFonts w:ascii="Times New Roman" w:hAnsi="Times New Roman" w:eastAsia="宋体" w:cs="Times New Roman"/>
          <w:b/>
          <w:color w:val="auto"/>
          <w:u w:val="single"/>
        </w:rPr>
        <w:t>90</w:t>
      </w:r>
      <w:r>
        <w:rPr>
          <w:rFonts w:hint="eastAsia" w:ascii="Times New Roman" w:hAnsi="Times New Roman" w:eastAsia="宋体" w:cs="Times New Roman"/>
          <w:b/>
          <w:color w:val="auto"/>
        </w:rPr>
        <w:t>天</w:t>
      </w:r>
      <w:r>
        <w:rPr>
          <w:rFonts w:hint="eastAsia" w:ascii="Times New Roman" w:hAnsi="Times New Roman" w:eastAsia="宋体" w:cs="Times New Roman"/>
          <w:color w:val="auto"/>
        </w:rPr>
        <w:t>投标文件应保持有效。有效期不足的投标文件将被拒绝。</w:t>
      </w:r>
    </w:p>
    <w:p w14:paraId="4D4558D4">
      <w:pPr>
        <w:snapToGrid w:val="0"/>
        <w:spacing w:line="360" w:lineRule="auto"/>
        <w:ind w:right="-86" w:rightChars="-41" w:firstLine="420" w:firstLineChars="200"/>
        <w:jc w:val="left"/>
        <w:outlineLvl w:val="0"/>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在特殊情况下，采购人可与投标人协商延长投标书的有效期，这种要求和答复均以书面形式进行。</w:t>
      </w:r>
    </w:p>
    <w:p w14:paraId="457BA8FE">
      <w:pPr>
        <w:snapToGrid w:val="0"/>
        <w:spacing w:line="360" w:lineRule="auto"/>
        <w:ind w:right="55" w:firstLine="420" w:firstLineChars="200"/>
        <w:jc w:val="left"/>
        <w:outlineLvl w:val="0"/>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中标人的投标文件自开标之日起至合同履行完毕止均应保持有效。</w:t>
      </w:r>
    </w:p>
    <w:p w14:paraId="0DE7DE3C">
      <w:pPr>
        <w:snapToGrid w:val="0"/>
        <w:spacing w:line="360" w:lineRule="auto"/>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（六）投标文件的包装、递交、修改和撤回</w:t>
      </w:r>
    </w:p>
    <w:p w14:paraId="01EB6DA5">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送达的投标、响应文件，将被政采云平台拒收。</w:t>
      </w:r>
    </w:p>
    <w:p w14:paraId="21F99A9B">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2.</w:t>
      </w:r>
      <w:r>
        <w:rPr>
          <w:rFonts w:hint="eastAsia" w:ascii="Times New Roman" w:hAnsi="Times New Roman" w:eastAsia="宋体" w:cs="Times New Roman"/>
          <w:color w:val="auto"/>
        </w:rPr>
        <w:t>投标人应当在投标截止时间前将以介质存储的数据电文形式的备份投标文件</w:t>
      </w:r>
      <w:r>
        <w:rPr>
          <w:rFonts w:hint="eastAsia" w:ascii="Times New Roman" w:hAnsi="Times New Roman" w:eastAsia="宋体" w:cs="Times New Roman"/>
          <w:color w:val="auto"/>
          <w:szCs w:val="21"/>
        </w:rPr>
        <w:t>寄到或送达采购代理公司。地址：舟山市定海区昌国路</w:t>
      </w:r>
      <w:r>
        <w:rPr>
          <w:rFonts w:ascii="Times New Roman" w:hAnsi="Times New Roman" w:eastAsia="宋体" w:cs="Times New Roman"/>
          <w:color w:val="auto"/>
          <w:szCs w:val="21"/>
        </w:rPr>
        <w:t>232</w:t>
      </w:r>
      <w:r>
        <w:rPr>
          <w:rFonts w:hint="eastAsia" w:ascii="Times New Roman" w:hAnsi="Times New Roman" w:eastAsia="宋体" w:cs="Times New Roman"/>
          <w:color w:val="auto"/>
          <w:szCs w:val="21"/>
        </w:rPr>
        <w:t>号中楼</w:t>
      </w:r>
      <w:r>
        <w:rPr>
          <w:rFonts w:ascii="Times New Roman" w:hAnsi="Times New Roman" w:eastAsia="宋体" w:cs="Times New Roman"/>
          <w:color w:val="auto"/>
          <w:szCs w:val="21"/>
        </w:rPr>
        <w:t>202</w:t>
      </w:r>
      <w:r>
        <w:rPr>
          <w:rFonts w:hint="eastAsia" w:ascii="Times New Roman" w:hAnsi="Times New Roman" w:eastAsia="宋体" w:cs="Times New Roman"/>
          <w:color w:val="auto"/>
          <w:szCs w:val="21"/>
        </w:rPr>
        <w:t>深圳市国信招标有限公司舟山分公司。也可现场递交。</w:t>
      </w:r>
      <w:r>
        <w:rPr>
          <w:rFonts w:hint="eastAsia" w:ascii="Times New Roman" w:hAnsi="Times New Roman" w:eastAsia="宋体" w:cs="Times New Roman"/>
          <w:color w:val="auto"/>
        </w:rPr>
        <w:t>逾期送达或未密封将被拒收。</w:t>
      </w:r>
    </w:p>
    <w:p w14:paraId="69D615C3">
      <w:pPr>
        <w:snapToGrid w:val="0"/>
        <w:spacing w:line="360" w:lineRule="auto"/>
        <w:ind w:right="-86" w:rightChars="-41" w:firstLine="422" w:firstLineChars="200"/>
        <w:jc w:val="left"/>
        <w:rPr>
          <w:rFonts w:ascii="Times New Roman" w:hAnsi="Times New Roman" w:eastAsia="宋体" w:cs="Times New Roman"/>
          <w:color w:val="auto"/>
        </w:rPr>
      </w:pPr>
      <w:r>
        <w:rPr>
          <w:rFonts w:hint="eastAsia" w:ascii="Times New Roman" w:hAnsi="Times New Roman" w:eastAsia="宋体" w:cs="Times New Roman"/>
          <w:b/>
          <w:color w:val="auto"/>
          <w:szCs w:val="21"/>
        </w:rPr>
        <w:t>投标人可以不提供备份投标文件，造成项目开评标活动无法进行下去的，投标无效，相关风险由投标人自行承担</w:t>
      </w:r>
    </w:p>
    <w:p w14:paraId="036B45B5">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投标人递交以介质存储的数据电文形式的备份投标文件时，如出现下列情况之一的，将被拒收：</w:t>
      </w:r>
    </w:p>
    <w:p w14:paraId="4CC94357">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1</w:t>
      </w:r>
      <w:r>
        <w:rPr>
          <w:rFonts w:hint="eastAsia" w:ascii="Times New Roman" w:hAnsi="Times New Roman" w:eastAsia="宋体" w:cs="Times New Roman"/>
          <w:color w:val="auto"/>
        </w:rPr>
        <w:t>）未按规定密封或标记的投标文件；</w:t>
      </w:r>
    </w:p>
    <w:p w14:paraId="18E80C8D">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2</w:t>
      </w:r>
      <w:r>
        <w:rPr>
          <w:rFonts w:hint="eastAsia" w:ascii="Times New Roman" w:hAnsi="Times New Roman" w:eastAsia="宋体" w:cs="Times New Roman"/>
          <w:color w:val="auto"/>
        </w:rPr>
        <w:t>）由于包装不妥，在送交途中严重破损或失散的；</w:t>
      </w:r>
    </w:p>
    <w:p w14:paraId="19174598">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3</w:t>
      </w:r>
      <w:r>
        <w:rPr>
          <w:rFonts w:hint="eastAsia" w:ascii="Times New Roman" w:hAnsi="Times New Roman" w:eastAsia="宋体" w:cs="Times New Roman"/>
          <w:color w:val="auto"/>
        </w:rPr>
        <w:t>）未成功办理投标人报名手续的；</w:t>
      </w:r>
    </w:p>
    <w:p w14:paraId="4B953567">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w:t>
      </w:r>
      <w:r>
        <w:rPr>
          <w:rFonts w:ascii="Times New Roman" w:hAnsi="Times New Roman" w:eastAsia="宋体" w:cs="Times New Roman"/>
          <w:color w:val="auto"/>
        </w:rPr>
        <w:t>4</w:t>
      </w:r>
      <w:r>
        <w:rPr>
          <w:rFonts w:hint="eastAsia" w:ascii="Times New Roman" w:hAnsi="Times New Roman" w:eastAsia="宋体" w:cs="Times New Roman"/>
          <w:color w:val="auto"/>
        </w:rPr>
        <w:t>）超过投标截止时间送达的；</w:t>
      </w:r>
    </w:p>
    <w:p w14:paraId="501FBE57">
      <w:pPr>
        <w:snapToGrid w:val="0"/>
        <w:spacing w:line="360" w:lineRule="auto"/>
        <w:ind w:right="-86" w:rightChars="-41" w:firstLine="420" w:firstLineChars="200"/>
        <w:jc w:val="left"/>
        <w:rPr>
          <w:rFonts w:ascii="Times New Roman" w:hAnsi="Times New Roman" w:eastAsia="宋体" w:cs="Times New Roman"/>
          <w:color w:val="auto"/>
        </w:rPr>
      </w:pPr>
      <w:r>
        <w:rPr>
          <w:rFonts w:hint="eastAsia" w:ascii="Times New Roman" w:hAnsi="Times New Roman" w:eastAsia="宋体" w:cs="Times New Roman"/>
          <w:color w:val="auto"/>
        </w:rPr>
        <w:t>仅提供备份投标文件的，投标无效。</w:t>
      </w:r>
    </w:p>
    <w:p w14:paraId="11CC9CA4">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3.</w:t>
      </w:r>
      <w:r>
        <w:rPr>
          <w:rFonts w:hint="eastAsia" w:ascii="Times New Roman" w:hAnsi="Times New Roman" w:eastAsia="宋体" w:cs="Times New Roman"/>
          <w:color w:val="auto"/>
        </w:rPr>
        <w:t>投标、响应文件未按时解密，供应商提供了备份投标、响应文件的，以备份投标、响应文件作为依据，否则视为投标、响应文件撤回。投标、响应文件已按时解密的，备份投标、响应文件自动失效。</w:t>
      </w:r>
    </w:p>
    <w:p w14:paraId="45ED6625">
      <w:pPr>
        <w:snapToGrid w:val="0"/>
        <w:spacing w:line="360" w:lineRule="auto"/>
        <w:ind w:right="-86" w:rightChars="-41" w:firstLine="420" w:firstLineChars="200"/>
        <w:jc w:val="left"/>
        <w:rPr>
          <w:rFonts w:ascii="Times New Roman" w:hAnsi="Times New Roman" w:eastAsia="宋体" w:cs="Times New Roman"/>
          <w:color w:val="auto"/>
        </w:rPr>
      </w:pPr>
      <w:r>
        <w:rPr>
          <w:rFonts w:ascii="Times New Roman" w:hAnsi="Times New Roman" w:eastAsia="宋体" w:cs="Times New Roman"/>
          <w:color w:val="auto"/>
        </w:rPr>
        <w:t>4.</w:t>
      </w:r>
      <w:r>
        <w:rPr>
          <w:rFonts w:hint="eastAsia" w:ascii="Times New Roman" w:hAnsi="Times New Roman" w:eastAsia="宋体" w:cs="Times New Roman"/>
          <w:color w:val="auto"/>
        </w:rPr>
        <w:t>备份投标文件须密封封装。包装封面上应注明投标人名称，封口处加盖投标人公章。</w:t>
      </w:r>
    </w:p>
    <w:p w14:paraId="3B46C73D">
      <w:pPr>
        <w:spacing w:line="360" w:lineRule="auto"/>
        <w:rPr>
          <w:rFonts w:ascii="Times New Roman" w:hAnsi="Times New Roman" w:eastAsia="宋体" w:cs="Times New Roman"/>
          <w:color w:val="auto"/>
        </w:rPr>
      </w:pPr>
      <w:r>
        <w:rPr>
          <w:rFonts w:hint="eastAsia" w:ascii="Times New Roman" w:hAnsi="Times New Roman" w:eastAsia="宋体" w:cs="Times New Roman"/>
          <w:b/>
          <w:color w:val="auto"/>
          <w:szCs w:val="21"/>
        </w:rPr>
        <w:t>（七）投标无效的情形</w:t>
      </w:r>
    </w:p>
    <w:p w14:paraId="2AF3452D">
      <w:pPr>
        <w:snapToGrid w:val="0"/>
        <w:spacing w:before="120" w:beforeLines="50" w:after="120" w:afterLines="50" w:line="360" w:lineRule="auto"/>
        <w:ind w:right="-86" w:rightChars="-41"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实质上没有响应采购文件要求的投标将被视为无效投标。投标人不得通过修正或撤销不合要求的偏离或保留从而使其投标成为实质上响应的投标。经评标委员会认定属于投标人疏忽、笔误所造成的差错，应当允许其在评标结束之前进行修改或者补正（评审小组和投标人通过电子交易平台交换数据电文）。修改或者补正投标文件必须以书面形式进行，并应在中标结果公告之前查核原件。限期内不补正或经补正后仍不符合采购文件要求的，应认定其投标无效。投标人修改、补正投标文件后，不影响评标委员会对其投标文件所作的评价和评分结果。</w:t>
      </w:r>
    </w:p>
    <w:p w14:paraId="3FD049F2">
      <w:pPr>
        <w:snapToGrid w:val="0"/>
        <w:spacing w:before="120" w:beforeLines="50" w:after="120" w:afterLines="50" w:line="360" w:lineRule="auto"/>
        <w:ind w:firstLine="417" w:firstLineChars="198"/>
        <w:rPr>
          <w:rFonts w:ascii="Times New Roman" w:hAnsi="Times New Roman" w:eastAsia="宋体" w:cs="Times New Roman"/>
          <w:b/>
          <w:bCs/>
          <w:color w:val="auto"/>
          <w:szCs w:val="21"/>
        </w:rPr>
      </w:pPr>
    </w:p>
    <w:p w14:paraId="0E6DEB94">
      <w:pPr>
        <w:snapToGrid w:val="0"/>
        <w:spacing w:line="360" w:lineRule="auto"/>
        <w:ind w:firstLine="417" w:firstLineChars="198"/>
        <w:rPr>
          <w:rFonts w:ascii="Times New Roman" w:hAnsi="Times New Roman" w:eastAsia="宋体" w:cs="Times New Roman"/>
          <w:color w:val="auto"/>
          <w:szCs w:val="21"/>
        </w:rPr>
      </w:pPr>
      <w:r>
        <w:rPr>
          <w:rFonts w:ascii="Times New Roman" w:hAnsi="Times New Roman" w:eastAsia="宋体" w:cs="Times New Roman"/>
          <w:b/>
          <w:bCs/>
          <w:color w:val="auto"/>
          <w:szCs w:val="21"/>
        </w:rPr>
        <w:t>1.</w:t>
      </w:r>
      <w:r>
        <w:rPr>
          <w:rFonts w:hint="eastAsia" w:ascii="Times New Roman" w:hAnsi="Times New Roman" w:eastAsia="宋体" w:cs="Times New Roman"/>
          <w:b/>
          <w:bCs/>
          <w:color w:val="auto"/>
          <w:szCs w:val="21"/>
        </w:rPr>
        <w:t>在符合性审查和商务评审时，如发现下列情形之一且无法作出合理解释的，投标文件将被视为无效投标：</w:t>
      </w:r>
    </w:p>
    <w:p w14:paraId="47CECA4F">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1.1</w:t>
      </w:r>
      <w:r>
        <w:rPr>
          <w:rFonts w:hint="eastAsia" w:ascii="Times New Roman" w:hAnsi="Times New Roman" w:eastAsia="宋体" w:cs="Times New Roman"/>
          <w:color w:val="auto"/>
          <w:szCs w:val="21"/>
        </w:rPr>
        <w:t>资格证明文件不全的，或者不符合采购文件标明的资格要求的</w:t>
      </w:r>
      <w:r>
        <w:rPr>
          <w:rFonts w:hint="eastAsia" w:ascii="Times New Roman" w:hAnsi="Times New Roman" w:eastAsia="宋体" w:cs="Times New Roman"/>
          <w:bCs/>
          <w:color w:val="auto"/>
          <w:szCs w:val="21"/>
        </w:rPr>
        <w:t>；</w:t>
      </w:r>
    </w:p>
    <w:p w14:paraId="76A6BD23">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投标文件组成不全的；</w:t>
      </w:r>
    </w:p>
    <w:p w14:paraId="580A0F43">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1.3</w:t>
      </w:r>
      <w:r>
        <w:rPr>
          <w:rFonts w:hint="eastAsia" w:ascii="Times New Roman" w:hAnsi="Times New Roman" w:eastAsia="宋体" w:cs="Times New Roman"/>
          <w:bCs/>
          <w:color w:val="auto"/>
          <w:szCs w:val="21"/>
        </w:rPr>
        <w:t>投标文件的实质性内容未使用中文表述、意思表述不明确、前后矛盾或者使用计量单位不符合采购文件要求的；（</w:t>
      </w:r>
      <w:r>
        <w:rPr>
          <w:rFonts w:hint="eastAsia" w:ascii="Times New Roman" w:hAnsi="Times New Roman" w:eastAsia="宋体" w:cs="Times New Roman"/>
          <w:color w:val="auto"/>
          <w:szCs w:val="21"/>
        </w:rPr>
        <w:t>经评审小组认定允许其在线更正的笔误除外</w:t>
      </w:r>
      <w:r>
        <w:rPr>
          <w:rFonts w:hint="eastAsia" w:ascii="Times New Roman" w:hAnsi="Times New Roman" w:eastAsia="宋体" w:cs="Times New Roman"/>
          <w:bCs/>
          <w:color w:val="auto"/>
          <w:szCs w:val="21"/>
        </w:rPr>
        <w:t>）</w:t>
      </w:r>
    </w:p>
    <w:p w14:paraId="77448473">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1.4</w:t>
      </w:r>
      <w:r>
        <w:rPr>
          <w:rFonts w:hint="eastAsia" w:ascii="Times New Roman" w:hAnsi="Times New Roman" w:eastAsia="宋体" w:cs="Times New Roman"/>
          <w:bCs/>
          <w:color w:val="auto"/>
          <w:szCs w:val="21"/>
        </w:rPr>
        <w:t>投标文件的关键内容字迹模糊、无法辨认的，或者投标文件中经修正的内容字迹模糊难以辩认或者修改处未按规定签名盖章的；</w:t>
      </w:r>
    </w:p>
    <w:p w14:paraId="6C51E1D2">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1.5</w:t>
      </w:r>
      <w:r>
        <w:rPr>
          <w:rFonts w:hint="eastAsia" w:ascii="Times New Roman" w:hAnsi="Times New Roman" w:eastAsia="宋体" w:cs="Times New Roman"/>
          <w:bCs/>
          <w:color w:val="auto"/>
          <w:szCs w:val="21"/>
        </w:rPr>
        <w:t>投标有效期、交货时间、质保期等商务条款不能满足采购文件要求的；</w:t>
      </w:r>
    </w:p>
    <w:p w14:paraId="14D72801">
      <w:pPr>
        <w:snapToGrid w:val="0"/>
        <w:spacing w:line="360" w:lineRule="auto"/>
        <w:ind w:firstLine="415" w:firstLineChars="198"/>
        <w:rPr>
          <w:rFonts w:ascii="Times New Roman" w:hAnsi="Times New Roman" w:eastAsia="宋体" w:cs="Times New Roman"/>
          <w:bCs/>
          <w:color w:val="auto"/>
          <w:szCs w:val="21"/>
        </w:rPr>
      </w:pPr>
      <w:r>
        <w:rPr>
          <w:rFonts w:ascii="Times New Roman" w:hAnsi="Times New Roman" w:eastAsia="宋体" w:cs="Times New Roman"/>
          <w:bCs/>
          <w:color w:val="auto"/>
          <w:szCs w:val="21"/>
        </w:rPr>
        <w:t>1.6</w:t>
      </w:r>
      <w:r>
        <w:rPr>
          <w:rFonts w:hint="eastAsia" w:ascii="Times New Roman" w:hAnsi="Times New Roman" w:eastAsia="宋体" w:cs="Times New Roman"/>
          <w:bCs/>
          <w:color w:val="auto"/>
          <w:szCs w:val="21"/>
        </w:rPr>
        <w:t>未响应采购文件实质性要求或者投标文件有采购人不能接受的附加条件的；</w:t>
      </w:r>
    </w:p>
    <w:p w14:paraId="4DC6857B">
      <w:pPr>
        <w:snapToGrid w:val="0"/>
        <w:spacing w:line="360" w:lineRule="auto"/>
        <w:ind w:firstLine="438" w:firstLineChars="209"/>
        <w:rPr>
          <w:rFonts w:ascii="Times New Roman" w:hAnsi="Times New Roman" w:eastAsia="宋体" w:cs="Times New Roman"/>
          <w:bCs/>
          <w:color w:val="auto"/>
          <w:szCs w:val="21"/>
        </w:rPr>
      </w:pPr>
      <w:r>
        <w:rPr>
          <w:rFonts w:ascii="Times New Roman" w:hAnsi="Times New Roman" w:eastAsia="宋体" w:cs="Times New Roman"/>
          <w:bCs/>
          <w:color w:val="auto"/>
          <w:szCs w:val="21"/>
        </w:rPr>
        <w:t>1.7</w:t>
      </w:r>
      <w:r>
        <w:rPr>
          <w:rFonts w:hint="eastAsia" w:ascii="Times New Roman" w:hAnsi="Times New Roman" w:eastAsia="宋体" w:cs="Times New Roman"/>
          <w:bCs/>
          <w:color w:val="auto"/>
          <w:szCs w:val="21"/>
        </w:rPr>
        <w:t>投标文件没有按采购文件要求响应有标</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的条款的资料和材料的；</w:t>
      </w:r>
    </w:p>
    <w:p w14:paraId="1B6E4D8D">
      <w:pPr>
        <w:snapToGrid w:val="0"/>
        <w:spacing w:line="360" w:lineRule="auto"/>
        <w:ind w:firstLine="441" w:firstLineChars="209"/>
        <w:rPr>
          <w:rFonts w:hint="eastAsia" w:ascii="宋体" w:hAnsi="宋体" w:eastAsia="宋体" w:cs="Times New Roman"/>
          <w:b/>
          <w:color w:val="auto"/>
          <w:szCs w:val="20"/>
        </w:rPr>
      </w:pPr>
      <w:r>
        <w:rPr>
          <w:rFonts w:hint="eastAsia" w:ascii="Times New Roman" w:hAnsi="Times New Roman" w:eastAsia="宋体" w:cs="Times New Roman"/>
          <w:b/>
          <w:color w:val="auto"/>
          <w:szCs w:val="21"/>
        </w:rPr>
        <w:t>1.8</w:t>
      </w:r>
      <w:r>
        <w:rPr>
          <w:rFonts w:hint="eastAsia" w:ascii="宋体" w:hAnsi="宋体" w:eastAsia="宋体" w:cs="Times New Roman"/>
          <w:b/>
          <w:color w:val="auto"/>
          <w:szCs w:val="20"/>
        </w:rPr>
        <w:t>在不影响公平竞争的前提下，采购文件中参与同一标段（包）的供应商存在以下情形的，其投标文件相应无效：MAC地址相同、计算机硬盘序列号相同、采购文件细节错误一致且无合理解释的等情形。</w:t>
      </w:r>
    </w:p>
    <w:p w14:paraId="72648B06">
      <w:pPr>
        <w:spacing w:line="360" w:lineRule="auto"/>
        <w:rPr>
          <w:rFonts w:hint="eastAsia" w:ascii="宋体" w:hAnsi="宋体" w:eastAsia="宋体" w:cs="Times New Roman"/>
          <w:b/>
          <w:color w:val="auto"/>
          <w:szCs w:val="20"/>
        </w:rPr>
      </w:pPr>
      <w:r>
        <w:rPr>
          <w:rFonts w:hint="eastAsia"/>
          <w:color w:val="auto"/>
        </w:rPr>
        <w:t xml:space="preserve">   </w:t>
      </w:r>
      <w:r>
        <w:rPr>
          <w:rFonts w:hint="eastAsia" w:ascii="宋体" w:hAnsi="宋体" w:eastAsia="宋体" w:cs="Times New Roman"/>
          <w:b/>
          <w:color w:val="auto"/>
          <w:szCs w:val="20"/>
        </w:rPr>
        <w:t xml:space="preserve"> 1.9上传的电子投标（响应）文件若出现使用本项目其他投标（响应）供应商的数字证书加密的，或者加盖本项目其他投标（响应）供应商的电子印章的；</w:t>
      </w:r>
    </w:p>
    <w:p w14:paraId="4A540EF8">
      <w:pPr>
        <w:pStyle w:val="61"/>
        <w:spacing w:after="0" w:line="360" w:lineRule="auto"/>
        <w:ind w:left="0" w:leftChars="0" w:firstLine="422"/>
        <w:rPr>
          <w:rFonts w:hint="eastAsia" w:ascii="宋体" w:hAnsi="宋体"/>
          <w:b/>
          <w:color w:val="auto"/>
          <w:szCs w:val="20"/>
        </w:rPr>
      </w:pPr>
      <w:r>
        <w:rPr>
          <w:rFonts w:hint="eastAsia" w:ascii="宋体" w:hAnsi="宋体"/>
          <w:b/>
          <w:color w:val="auto"/>
          <w:szCs w:val="20"/>
        </w:rPr>
        <w:t>1.10不同供应商的投标（响应）文件的内容存在三处（含）以上错误一致的；</w:t>
      </w:r>
    </w:p>
    <w:p w14:paraId="3DE41F60">
      <w:pPr>
        <w:spacing w:line="360" w:lineRule="auto"/>
        <w:ind w:firstLine="420"/>
        <w:rPr>
          <w:rFonts w:hint="eastAsia" w:ascii="宋体" w:hAnsi="宋体" w:eastAsia="宋体" w:cs="Times New Roman"/>
          <w:b/>
          <w:color w:val="auto"/>
          <w:szCs w:val="20"/>
        </w:rPr>
      </w:pPr>
      <w:r>
        <w:rPr>
          <w:rFonts w:hint="eastAsia" w:ascii="宋体" w:hAnsi="宋体" w:eastAsia="宋体" w:cs="Times New Roman"/>
          <w:b/>
          <w:color w:val="auto"/>
          <w:szCs w:val="20"/>
        </w:rPr>
        <w:t>1.11</w:t>
      </w:r>
      <w:r>
        <w:rPr>
          <w:rFonts w:ascii="宋体" w:hAnsi="宋体" w:eastAsia="宋体" w:cs="Times New Roman"/>
          <w:b/>
          <w:color w:val="auto"/>
          <w:szCs w:val="20"/>
        </w:rPr>
        <w:t>不同供应商联系人为同一人或不同联系人的联系电话一致的。</w:t>
      </w:r>
    </w:p>
    <w:p w14:paraId="2EEEF205">
      <w:pPr>
        <w:spacing w:line="360" w:lineRule="auto"/>
        <w:ind w:firstLine="420"/>
        <w:rPr>
          <w:rFonts w:ascii="Times New Roman" w:hAnsi="Times New Roman" w:eastAsia="宋体" w:cs="Times New Roman"/>
          <w:color w:val="auto"/>
          <w:szCs w:val="21"/>
        </w:rPr>
      </w:pPr>
      <w:r>
        <w:rPr>
          <w:rFonts w:ascii="Times New Roman" w:hAnsi="Times New Roman" w:eastAsia="宋体" w:cs="Times New Roman"/>
          <w:b/>
          <w:bCs/>
          <w:color w:val="auto"/>
        </w:rPr>
        <w:t>2.</w:t>
      </w:r>
      <w:r>
        <w:rPr>
          <w:rFonts w:hint="eastAsia" w:ascii="Times New Roman" w:hAnsi="Times New Roman" w:eastAsia="宋体" w:cs="Times New Roman"/>
          <w:b/>
          <w:bCs/>
          <w:color w:val="auto"/>
        </w:rPr>
        <w:t>在技术评审时，如发现下列情形之一的，投标文件将被视为无效响应：</w:t>
      </w:r>
    </w:p>
    <w:p w14:paraId="3C4D9E0B">
      <w:pPr>
        <w:spacing w:line="360" w:lineRule="auto"/>
        <w:ind w:firstLine="420"/>
        <w:rPr>
          <w:rFonts w:ascii="Times New Roman" w:hAnsi="Times New Roman" w:eastAsia="宋体" w:cs="Times New Roman"/>
          <w:color w:val="auto"/>
          <w:szCs w:val="21"/>
        </w:rPr>
      </w:pPr>
      <w:r>
        <w:rPr>
          <w:rFonts w:ascii="Times New Roman" w:hAnsi="Times New Roman" w:eastAsia="宋体" w:cs="Times New Roman"/>
          <w:color w:val="auto"/>
          <w:szCs w:val="21"/>
        </w:rPr>
        <w:t>2.1</w:t>
      </w:r>
      <w:r>
        <w:rPr>
          <w:rFonts w:hint="eastAsia" w:ascii="Times New Roman" w:hAnsi="Times New Roman" w:eastAsia="宋体" w:cs="Times New Roman"/>
          <w:color w:val="auto"/>
          <w:szCs w:val="21"/>
        </w:rPr>
        <w:t>投标文件标明的响应或偏离与事实不符或虚假投标的；</w:t>
      </w:r>
    </w:p>
    <w:p w14:paraId="12F8810C">
      <w:pPr>
        <w:spacing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bCs/>
          <w:color w:val="auto"/>
          <w:szCs w:val="21"/>
        </w:rPr>
        <w:t>2.2</w:t>
      </w:r>
      <w:r>
        <w:rPr>
          <w:rFonts w:hint="eastAsia" w:ascii="Times New Roman" w:hAnsi="Times New Roman" w:eastAsia="宋体" w:cs="Times New Roman"/>
          <w:bCs/>
          <w:color w:val="auto"/>
          <w:szCs w:val="21"/>
        </w:rPr>
        <w:t>明显不符合采购文件标明的质量标准，或者采购文件中标</w:t>
      </w:r>
      <w:r>
        <w:rPr>
          <w:rFonts w:ascii="Times New Roman" w:hAnsi="Times New Roman" w:eastAsia="宋体" w:cs="Times New Roman"/>
          <w:bCs/>
          <w:color w:val="auto"/>
          <w:szCs w:val="21"/>
        </w:rPr>
        <w:t>“</w:t>
      </w:r>
      <w:r>
        <w:rPr>
          <w:rFonts w:hint="eastAsia" w:ascii="Times New Roman" w:hAnsi="Times New Roman" w:eastAsia="宋体" w:cs="Times New Roman"/>
          <w:b/>
          <w:color w:val="auto"/>
        </w:rPr>
        <w:t>★</w:t>
      </w:r>
      <w:r>
        <w:rPr>
          <w:rFonts w:ascii="Times New Roman" w:hAnsi="Times New Roman" w:eastAsia="宋体" w:cs="Times New Roman"/>
          <w:bCs/>
          <w:color w:val="auto"/>
          <w:szCs w:val="21"/>
        </w:rPr>
        <w:t>”</w:t>
      </w:r>
      <w:r>
        <w:rPr>
          <w:rFonts w:hint="eastAsia" w:ascii="Times New Roman" w:hAnsi="Times New Roman" w:eastAsia="宋体" w:cs="Times New Roman"/>
          <w:bCs/>
          <w:color w:val="auto"/>
          <w:szCs w:val="21"/>
        </w:rPr>
        <w:t>的技术参数、条款（如有）发生实质性偏离的；</w:t>
      </w:r>
    </w:p>
    <w:p w14:paraId="7A471ABD">
      <w:pPr>
        <w:spacing w:line="360" w:lineRule="auto"/>
        <w:ind w:firstLine="420"/>
        <w:rPr>
          <w:rFonts w:ascii="Times New Roman" w:hAnsi="Times New Roman" w:eastAsia="宋体" w:cs="Times New Roman"/>
          <w:color w:val="auto"/>
        </w:rPr>
      </w:pPr>
      <w:r>
        <w:rPr>
          <w:rFonts w:ascii="Times New Roman" w:hAnsi="Times New Roman" w:eastAsia="宋体" w:cs="Times New Roman"/>
          <w:color w:val="auto"/>
          <w:szCs w:val="21"/>
        </w:rPr>
        <w:t>2.3</w:t>
      </w:r>
      <w:r>
        <w:rPr>
          <w:rFonts w:hint="eastAsia" w:ascii="Times New Roman" w:hAnsi="Times New Roman" w:eastAsia="宋体" w:cs="Times New Roman"/>
          <w:color w:val="auto"/>
          <w:szCs w:val="21"/>
        </w:rPr>
        <w:t>投标技术方案不明确，存在一个或一个以上备选（替代）投标方案的；</w:t>
      </w:r>
    </w:p>
    <w:p w14:paraId="65B1C233">
      <w:pPr>
        <w:spacing w:line="360" w:lineRule="auto"/>
        <w:ind w:firstLine="420"/>
        <w:rPr>
          <w:rFonts w:ascii="Times New Roman" w:hAnsi="Times New Roman" w:eastAsia="宋体" w:cs="Times New Roman"/>
          <w:color w:val="auto"/>
          <w:szCs w:val="21"/>
        </w:rPr>
      </w:pPr>
      <w:r>
        <w:rPr>
          <w:rFonts w:ascii="Times New Roman" w:hAnsi="Times New Roman" w:eastAsia="宋体" w:cs="Times New Roman"/>
          <w:b/>
          <w:bCs/>
          <w:color w:val="auto"/>
        </w:rPr>
        <w:t>3.</w:t>
      </w:r>
      <w:r>
        <w:rPr>
          <w:rFonts w:hint="eastAsia" w:ascii="Times New Roman" w:hAnsi="Times New Roman" w:eastAsia="宋体" w:cs="Times New Roman"/>
          <w:b/>
          <w:color w:val="auto"/>
          <w:szCs w:val="21"/>
        </w:rPr>
        <w:t>在投标报价文件评审时</w:t>
      </w:r>
      <w:r>
        <w:rPr>
          <w:rFonts w:hint="eastAsia" w:ascii="Times New Roman" w:hAnsi="Times New Roman" w:eastAsia="宋体" w:cs="Times New Roman"/>
          <w:b/>
          <w:bCs/>
          <w:color w:val="auto"/>
        </w:rPr>
        <w:t>，如发现下列情形之一的，投标文件将被视为无效响应：</w:t>
      </w:r>
    </w:p>
    <w:p w14:paraId="11AECB04">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3.1</w:t>
      </w:r>
      <w:r>
        <w:rPr>
          <w:rFonts w:hint="eastAsia" w:ascii="Times New Roman" w:hAnsi="Times New Roman" w:eastAsia="宋体" w:cs="Times New Roman"/>
          <w:color w:val="auto"/>
          <w:szCs w:val="20"/>
        </w:rPr>
        <w:t>未采用人民币报价或者未按照采购文件标明的币种报价的；</w:t>
      </w:r>
    </w:p>
    <w:p w14:paraId="3EF417A7">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3.2</w:t>
      </w:r>
      <w:r>
        <w:rPr>
          <w:rFonts w:hint="eastAsia" w:ascii="Times New Roman" w:hAnsi="Times New Roman" w:eastAsia="宋体" w:cs="Times New Roman"/>
          <w:color w:val="auto"/>
          <w:szCs w:val="20"/>
        </w:rPr>
        <w:t>报价超出最高限价，或者超出采购预算金额，采购人不能支付的；</w:t>
      </w:r>
    </w:p>
    <w:p w14:paraId="415C2FBD">
      <w:pPr>
        <w:snapToGrid w:val="0"/>
        <w:spacing w:line="360" w:lineRule="auto"/>
        <w:ind w:right="-86" w:rightChars="-41" w:firstLine="438" w:firstLineChars="209"/>
        <w:rPr>
          <w:rFonts w:ascii="Times New Roman" w:hAnsi="Times New Roman" w:eastAsia="宋体" w:cs="Times New Roman"/>
          <w:color w:val="auto"/>
          <w:szCs w:val="20"/>
        </w:rPr>
      </w:pPr>
      <w:r>
        <w:rPr>
          <w:rFonts w:ascii="Times New Roman" w:hAnsi="Times New Roman" w:eastAsia="宋体" w:cs="Times New Roman"/>
          <w:color w:val="auto"/>
          <w:szCs w:val="20"/>
        </w:rPr>
        <w:t>3.3</w:t>
      </w:r>
      <w:r>
        <w:rPr>
          <w:rFonts w:hint="eastAsia" w:ascii="Times New Roman" w:hAnsi="Times New Roman" w:eastAsia="宋体" w:cs="Times New Roman"/>
          <w:color w:val="auto"/>
          <w:szCs w:val="20"/>
        </w:rPr>
        <w:t>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5450FFB">
      <w:pPr>
        <w:snapToGrid w:val="0"/>
        <w:spacing w:line="360" w:lineRule="auto"/>
        <w:ind w:right="-86" w:rightChars="-41" w:firstLine="438" w:firstLineChars="209"/>
        <w:rPr>
          <w:rFonts w:ascii="Times New Roman" w:hAnsi="Times New Roman" w:eastAsia="宋体" w:cs="Times New Roman"/>
          <w:b/>
          <w:bCs/>
          <w:color w:val="auto"/>
          <w:szCs w:val="20"/>
        </w:rPr>
      </w:pPr>
      <w:r>
        <w:rPr>
          <w:rFonts w:ascii="Times New Roman" w:hAnsi="Times New Roman" w:eastAsia="宋体" w:cs="Times New Roman"/>
          <w:color w:val="auto"/>
          <w:szCs w:val="20"/>
        </w:rPr>
        <w:t>3.4</w:t>
      </w:r>
      <w:r>
        <w:rPr>
          <w:rFonts w:hint="eastAsia" w:ascii="Times New Roman" w:hAnsi="Times New Roman" w:eastAsia="宋体" w:cs="Times New Roman"/>
          <w:color w:val="auto"/>
          <w:szCs w:val="20"/>
        </w:rPr>
        <w:t>投标报价具有选择性，或者开标价格与投标文件承诺的优惠（折扣）价格不一致的；</w:t>
      </w:r>
    </w:p>
    <w:p w14:paraId="0EE480B9">
      <w:pPr>
        <w:snapToGrid w:val="0"/>
        <w:spacing w:line="360" w:lineRule="auto"/>
        <w:ind w:right="-86" w:rightChars="-41" w:firstLine="441" w:firstLineChars="209"/>
        <w:rPr>
          <w:rFonts w:ascii="Times New Roman" w:hAnsi="Times New Roman" w:eastAsia="宋体" w:cs="Times New Roman"/>
          <w:b/>
          <w:bCs/>
          <w:color w:val="auto"/>
          <w:szCs w:val="20"/>
        </w:rPr>
      </w:pPr>
      <w:r>
        <w:rPr>
          <w:rFonts w:hint="eastAsia" w:ascii="Times New Roman" w:hAnsi="Times New Roman" w:eastAsia="宋体" w:cs="Times New Roman"/>
          <w:b/>
          <w:bCs/>
          <w:color w:val="auto"/>
          <w:szCs w:val="20"/>
        </w:rPr>
        <w:t>4</w:t>
      </w:r>
      <w:r>
        <w:rPr>
          <w:rFonts w:ascii="Times New Roman" w:hAnsi="Times New Roman" w:eastAsia="宋体" w:cs="Times New Roman"/>
          <w:b/>
          <w:bCs/>
          <w:color w:val="auto"/>
          <w:szCs w:val="20"/>
        </w:rPr>
        <w:t>.</w:t>
      </w:r>
      <w:r>
        <w:rPr>
          <w:rFonts w:hint="eastAsia" w:ascii="Times New Roman" w:hAnsi="Times New Roman" w:eastAsia="宋体" w:cs="Times New Roman"/>
          <w:b/>
          <w:bCs/>
          <w:color w:val="auto"/>
          <w:szCs w:val="20"/>
        </w:rPr>
        <w:t>法律、法规和采购文件规定的其他无效情形。</w:t>
      </w:r>
    </w:p>
    <w:p w14:paraId="26945718">
      <w:pPr>
        <w:snapToGrid w:val="0"/>
        <w:spacing w:line="360" w:lineRule="auto"/>
        <w:ind w:right="-86" w:rightChars="-41"/>
        <w:rPr>
          <w:rFonts w:ascii="Times New Roman" w:hAnsi="Times New Roman" w:eastAsia="宋体" w:cs="Times New Roman"/>
          <w:color w:val="auto"/>
          <w:szCs w:val="20"/>
        </w:rPr>
      </w:pPr>
      <w:r>
        <w:rPr>
          <w:rFonts w:hint="eastAsia" w:ascii="Times New Roman" w:hAnsi="Times New Roman" w:eastAsia="宋体" w:cs="Times New Roman"/>
          <w:b/>
          <w:color w:val="auto"/>
          <w:szCs w:val="21"/>
        </w:rPr>
        <w:t>（八）</w:t>
      </w:r>
      <w:r>
        <w:rPr>
          <w:rFonts w:hint="eastAsia" w:ascii="Times New Roman" w:hAnsi="Times New Roman" w:eastAsia="宋体" w:cs="Times New Roman"/>
          <w:b/>
          <w:color w:val="auto"/>
          <w:szCs w:val="20"/>
        </w:rPr>
        <w:t>出现以下情形，导致电子交易平台无法正常运行，或者无法保证电子交易的公平、公正和安全时，中止电子交易活动：</w:t>
      </w:r>
    </w:p>
    <w:p w14:paraId="021A57D9">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（一）电子交易平台发生故障而无法登录访问的；</w:t>
      </w:r>
    </w:p>
    <w:p w14:paraId="7952F562">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（二）电子交易平台应用或数据库出现错误，不能进行正常操作的；</w:t>
      </w:r>
    </w:p>
    <w:p w14:paraId="7D040069">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（三）电子交易平台发现严重安全漏洞，有潜在泄密危险的；</w:t>
      </w:r>
    </w:p>
    <w:p w14:paraId="227C12FE">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（四）病毒发作导致不能进行正常操作的；</w:t>
      </w:r>
    </w:p>
    <w:p w14:paraId="6BD6B33B">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（五）其他无法保证电子交易的公平、公正和安全的情况。</w:t>
      </w:r>
    </w:p>
    <w:p w14:paraId="38E12687">
      <w:pPr>
        <w:snapToGrid w:val="0"/>
        <w:spacing w:line="360" w:lineRule="auto"/>
        <w:ind w:right="-86" w:rightChars="-41" w:firstLine="438" w:firstLineChars="209"/>
        <w:rPr>
          <w:rFonts w:ascii="Times New Roman" w:hAnsi="Times New Roman" w:eastAsia="宋体" w:cs="Times New Roman"/>
          <w:color w:val="auto"/>
          <w:szCs w:val="20"/>
        </w:rPr>
      </w:pPr>
      <w:r>
        <w:rPr>
          <w:rFonts w:hint="eastAsia" w:ascii="Times New Roman" w:hAnsi="Times New Roman" w:eastAsia="宋体" w:cs="Times New Roman"/>
          <w:color w:val="auto"/>
          <w:szCs w:val="20"/>
        </w:rPr>
        <w:t>出现前款规定情形，不影响采购公平、公正性的，代理机构可以待上述情形消除后继续组织电子交易活动，也可以决定某些环节以纸质形式进行；影响或可能影响采购公平、公正性的，重新采购。</w:t>
      </w:r>
    </w:p>
    <w:p w14:paraId="24B769BB">
      <w:pPr>
        <w:widowControl/>
        <w:snapToGrid w:val="0"/>
        <w:spacing w:line="360" w:lineRule="auto"/>
        <w:ind w:right="55"/>
        <w:rPr>
          <w:rFonts w:ascii="Times New Roman" w:hAnsi="Times New Roman" w:eastAsia="宋体" w:cs="Times New Roman"/>
          <w:b/>
          <w:bCs/>
          <w:color w:val="auto"/>
          <w:spacing w:val="-4"/>
          <w:kern w:val="0"/>
          <w:szCs w:val="21"/>
        </w:rPr>
      </w:pPr>
      <w:r>
        <w:rPr>
          <w:rFonts w:hint="eastAsia" w:ascii="Times New Roman" w:hAnsi="Times New Roman" w:eastAsia="宋体" w:cs="Times New Roman"/>
          <w:b/>
          <w:bCs/>
          <w:color w:val="auto"/>
          <w:spacing w:val="-4"/>
          <w:kern w:val="0"/>
          <w:szCs w:val="21"/>
        </w:rPr>
        <w:t>（九）报名不足三家的处理方式</w:t>
      </w:r>
    </w:p>
    <w:p w14:paraId="6D9D6888">
      <w:pPr>
        <w:widowControl/>
        <w:snapToGrid w:val="0"/>
        <w:spacing w:line="360" w:lineRule="auto"/>
        <w:ind w:right="55" w:firstLine="470"/>
        <w:rPr>
          <w:rFonts w:ascii="Times New Roman" w:hAnsi="Times New Roman" w:eastAsia="宋体" w:cs="Times New Roman"/>
          <w:bCs/>
          <w:color w:val="auto"/>
          <w:spacing w:val="-4"/>
          <w:kern w:val="0"/>
          <w:szCs w:val="21"/>
        </w:rPr>
      </w:pPr>
      <w:r>
        <w:rPr>
          <w:rFonts w:hint="eastAsia" w:ascii="Times New Roman" w:hAnsi="Times New Roman" w:eastAsia="宋体" w:cs="Times New Roman"/>
          <w:bCs/>
          <w:color w:val="auto"/>
          <w:spacing w:val="-4"/>
          <w:kern w:val="0"/>
          <w:szCs w:val="21"/>
        </w:rPr>
        <w:t>报名时间截止后，在开标时间前获取招标文件的潜在投标人不足三家的，采购代理机构可以顺延提供期限，并予公告。</w:t>
      </w:r>
    </w:p>
    <w:p w14:paraId="602906DF">
      <w:pPr>
        <w:widowControl/>
        <w:snapToGrid w:val="0"/>
        <w:spacing w:line="360" w:lineRule="auto"/>
        <w:ind w:right="55"/>
        <w:jc w:val="left"/>
        <w:rPr>
          <w:rFonts w:ascii="Times New Roman" w:hAnsi="Times New Roman" w:eastAsia="宋体" w:cs="Times New Roman"/>
          <w:color w:val="auto"/>
          <w:szCs w:val="20"/>
        </w:rPr>
      </w:pPr>
      <w:r>
        <w:rPr>
          <w:rFonts w:hint="eastAsia" w:ascii="Times New Roman" w:hAnsi="Times New Roman" w:eastAsia="宋体" w:cs="Times New Roman"/>
          <w:b/>
          <w:color w:val="auto"/>
          <w:spacing w:val="-4"/>
          <w:kern w:val="0"/>
          <w:szCs w:val="21"/>
        </w:rPr>
        <w:t>（十）被拒绝的投标文件为无效。</w:t>
      </w:r>
    </w:p>
    <w:p w14:paraId="117506ED">
      <w:pPr>
        <w:widowControl/>
        <w:snapToGrid w:val="0"/>
        <w:spacing w:line="360" w:lineRule="auto"/>
        <w:ind w:right="55" w:firstLine="3591" w:firstLineChars="1315"/>
        <w:rPr>
          <w:rFonts w:ascii="Times New Roman" w:hAnsi="Times New Roman" w:eastAsia="宋体" w:cs="Times New Roman"/>
          <w:b/>
          <w:color w:val="auto"/>
          <w:spacing w:val="-4"/>
          <w:kern w:val="0"/>
          <w:sz w:val="28"/>
          <w:szCs w:val="28"/>
        </w:rPr>
      </w:pPr>
      <w:r>
        <w:rPr>
          <w:rFonts w:hint="eastAsia" w:ascii="Times New Roman" w:hAnsi="Times New Roman" w:eastAsia="宋体" w:cs="Times New Roman"/>
          <w:b/>
          <w:color w:val="auto"/>
          <w:spacing w:val="-4"/>
          <w:kern w:val="0"/>
          <w:sz w:val="28"/>
          <w:szCs w:val="28"/>
        </w:rPr>
        <w:t>四、开标</w:t>
      </w:r>
    </w:p>
    <w:p w14:paraId="2BFB98D1">
      <w:pPr>
        <w:spacing w:after="120" w:line="360" w:lineRule="auto"/>
        <w:ind w:firstLine="422" w:firstLineChars="200"/>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电子招投标开标及评审程序</w:t>
      </w:r>
    </w:p>
    <w:p w14:paraId="5FA30727">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采购组织机构按照规定的时间通过政采云系统组织开标、开启响应文件，所有投标人均应当准时在线参加。</w:t>
      </w:r>
    </w:p>
    <w:p w14:paraId="0A451382">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投标截止时间后，投标人登录政采云平台，用</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项目采购</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开标评标</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功能对电子投标文件进行</w:t>
      </w:r>
      <w:r>
        <w:rPr>
          <w:rFonts w:hint="eastAsia" w:ascii="Times New Roman" w:hAnsi="Times New Roman" w:eastAsia="宋体" w:cs="Times New Roman"/>
          <w:b/>
          <w:bCs/>
          <w:color w:val="auto"/>
          <w:szCs w:val="21"/>
        </w:rPr>
        <w:t>在线解密。</w:t>
      </w:r>
      <w:r>
        <w:rPr>
          <w:rFonts w:hint="eastAsia" w:ascii="Times New Roman" w:hAnsi="Times New Roman" w:eastAsia="宋体" w:cs="Times New Roman"/>
          <w:color w:val="auto"/>
          <w:szCs w:val="21"/>
        </w:rPr>
        <w:t>在线解密电子投标文件时间</w:t>
      </w:r>
      <w:r>
        <w:rPr>
          <w:rFonts w:hint="eastAsia" w:ascii="Times New Roman" w:hAnsi="Times New Roman" w:eastAsia="宋体" w:cs="Times New Roman"/>
          <w:b/>
          <w:bCs/>
          <w:color w:val="auto"/>
          <w:szCs w:val="21"/>
        </w:rPr>
        <w:t>为开标时间起半个小时内；</w:t>
      </w:r>
    </w:p>
    <w:p w14:paraId="59C60D28">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采购人或代理机构对资格文件进行评审，评标委员会对商务技术响应文件进行评审。</w:t>
      </w:r>
    </w:p>
    <w:p w14:paraId="2AD7AD00">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在系统上公开资格和商务技术评审结果；</w:t>
      </w:r>
    </w:p>
    <w:p w14:paraId="7D7B6D7F">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5.</w:t>
      </w:r>
      <w:r>
        <w:rPr>
          <w:rFonts w:hint="eastAsia" w:ascii="Times New Roman" w:hAnsi="Times New Roman" w:eastAsia="宋体" w:cs="Times New Roman"/>
          <w:color w:val="auto"/>
          <w:szCs w:val="21"/>
        </w:rPr>
        <w:t>在系统上公开报价开标情况；</w:t>
      </w:r>
    </w:p>
    <w:p w14:paraId="565B57ED">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6.</w:t>
      </w:r>
      <w:r>
        <w:rPr>
          <w:rFonts w:hint="eastAsia" w:ascii="Times New Roman" w:hAnsi="Times New Roman" w:eastAsia="宋体" w:cs="Times New Roman"/>
          <w:color w:val="auto"/>
          <w:szCs w:val="21"/>
        </w:rPr>
        <w:t>评标委员会对报价情况进行评审；</w:t>
      </w:r>
    </w:p>
    <w:p w14:paraId="34B78481">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7.</w:t>
      </w:r>
      <w:r>
        <w:rPr>
          <w:rFonts w:hint="eastAsia" w:ascii="Times New Roman" w:hAnsi="Times New Roman" w:eastAsia="宋体" w:cs="Times New Roman"/>
          <w:color w:val="auto"/>
          <w:szCs w:val="21"/>
        </w:rPr>
        <w:t>在系统上公布评审结果。</w:t>
      </w:r>
    </w:p>
    <w:p w14:paraId="22A6CCAE">
      <w:pPr>
        <w:adjustRightInd w:val="0"/>
        <w:snapToGrid w:val="0"/>
        <w:spacing w:line="360" w:lineRule="auto"/>
        <w:ind w:firstLine="420" w:firstLineChars="200"/>
        <w:jc w:val="left"/>
        <w:rPr>
          <w:rFonts w:ascii="Times New Roman" w:hAnsi="Times New Roman" w:eastAsia="宋体" w:cs="Times New Roman"/>
          <w:color w:val="auto"/>
          <w:szCs w:val="20"/>
        </w:rPr>
      </w:pPr>
      <w:r>
        <w:rPr>
          <w:rFonts w:hint="eastAsia" w:ascii="Times New Roman" w:hAnsi="Times New Roman" w:eastAsia="宋体" w:cs="Times New Roman"/>
          <w:color w:val="auto"/>
          <w:szCs w:val="21"/>
        </w:rPr>
        <w:t>特别说明：政采云公司如对电子化开标及评审程序有调整的，按调整后的程序操作。</w:t>
      </w:r>
    </w:p>
    <w:p w14:paraId="7C76B40B">
      <w:pPr>
        <w:snapToGrid w:val="0"/>
        <w:spacing w:before="120" w:line="360" w:lineRule="auto"/>
        <w:ind w:right="-87" w:firstLine="3654" w:firstLineChars="130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五、评标</w:t>
      </w:r>
    </w:p>
    <w:p w14:paraId="253D7B45">
      <w:pPr>
        <w:snapToGrid w:val="0"/>
        <w:spacing w:before="120" w:line="360" w:lineRule="auto"/>
        <w:ind w:right="-87"/>
        <w:rPr>
          <w:rFonts w:ascii="Times New Roman" w:hAnsi="Times New Roman" w:eastAsia="宋体" w:cs="Times New Roman"/>
          <w:b/>
          <w:color w:val="auto"/>
        </w:rPr>
      </w:pPr>
      <w:r>
        <w:rPr>
          <w:rFonts w:hint="eastAsia" w:ascii="Times New Roman" w:hAnsi="Times New Roman" w:eastAsia="宋体" w:cs="Times New Roman"/>
          <w:b/>
          <w:color w:val="auto"/>
        </w:rPr>
        <w:t>（一）组建评标委员会</w:t>
      </w:r>
    </w:p>
    <w:p w14:paraId="4104C567">
      <w:pPr>
        <w:snapToGrid w:val="0"/>
        <w:spacing w:before="120" w:line="360" w:lineRule="auto"/>
        <w:ind w:right="-87"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评标委员会由评审专家组成，成员人数为5人（含）以上单数。</w:t>
      </w:r>
    </w:p>
    <w:p w14:paraId="643C1B48">
      <w:pPr>
        <w:snapToGrid w:val="0"/>
        <w:spacing w:before="120" w:line="360" w:lineRule="auto"/>
        <w:ind w:right="-87"/>
        <w:rPr>
          <w:rFonts w:ascii="Times New Roman" w:hAnsi="Times New Roman" w:eastAsia="宋体" w:cs="Times New Roman"/>
          <w:b/>
          <w:color w:val="auto"/>
        </w:rPr>
      </w:pPr>
      <w:r>
        <w:rPr>
          <w:rFonts w:hint="eastAsia" w:ascii="Times New Roman" w:hAnsi="Times New Roman" w:eastAsia="宋体" w:cs="Times New Roman"/>
          <w:b/>
          <w:color w:val="auto"/>
        </w:rPr>
        <w:t>（二）评标程序</w:t>
      </w:r>
    </w:p>
    <w:p w14:paraId="6B64BD4D">
      <w:pPr>
        <w:snapToGrid w:val="0"/>
        <w:spacing w:line="360" w:lineRule="auto"/>
        <w:ind w:right="-87"/>
        <w:rPr>
          <w:rFonts w:ascii="Times New Roman" w:hAnsi="Times New Roman" w:eastAsia="宋体" w:cs="Times New Roman"/>
          <w:color w:val="auto"/>
          <w:szCs w:val="21"/>
        </w:rPr>
      </w:pPr>
      <w:r>
        <w:rPr>
          <w:rFonts w:ascii="Times New Roman" w:hAnsi="Times New Roman" w:eastAsia="宋体" w:cs="Times New Roman"/>
          <w:b/>
          <w:color w:val="auto"/>
          <w:szCs w:val="21"/>
        </w:rPr>
        <w:t>1.</w:t>
      </w:r>
      <w:r>
        <w:rPr>
          <w:rFonts w:hint="eastAsia" w:ascii="Times New Roman" w:hAnsi="Times New Roman" w:eastAsia="宋体" w:cs="Times New Roman"/>
          <w:b/>
          <w:color w:val="auto"/>
          <w:szCs w:val="21"/>
        </w:rPr>
        <w:t>投标文件初审。</w:t>
      </w:r>
    </w:p>
    <w:p w14:paraId="09CB643E">
      <w:pPr>
        <w:snapToGrid w:val="0"/>
        <w:spacing w:line="360" w:lineRule="auto"/>
        <w:ind w:right="-87" w:firstLine="420" w:firstLineChars="200"/>
        <w:rPr>
          <w:rFonts w:ascii="Times New Roman" w:hAnsi="Times New Roman" w:eastAsia="宋体" w:cs="Times New Roman"/>
          <w:b/>
          <w:color w:val="auto"/>
          <w:szCs w:val="21"/>
        </w:rPr>
      </w:pPr>
      <w:r>
        <w:rPr>
          <w:rFonts w:hint="eastAsia" w:ascii="Times New Roman" w:hAnsi="Times New Roman" w:eastAsia="宋体" w:cs="Times New Roman"/>
          <w:color w:val="auto"/>
          <w:szCs w:val="21"/>
        </w:rPr>
        <w:t>初审分为资格性检查和符合性检查。</w:t>
      </w:r>
    </w:p>
    <w:p w14:paraId="27E5D7E4">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1.1</w:t>
      </w:r>
      <w:r>
        <w:rPr>
          <w:rFonts w:hint="eastAsia" w:ascii="Times New Roman" w:hAnsi="Times New Roman" w:eastAsia="宋体" w:cs="Times New Roman"/>
          <w:color w:val="auto"/>
          <w:szCs w:val="21"/>
        </w:rPr>
        <w:t>资格性检查。依据法律法规和采购文件的规定，对投标文件中的资格证明等进行审查，以确定投标人是否具备投标资格。</w:t>
      </w:r>
    </w:p>
    <w:p w14:paraId="43FCDE58">
      <w:pPr>
        <w:adjustRightInd w:val="0"/>
        <w:snapToGrid w:val="0"/>
        <w:spacing w:line="360" w:lineRule="auto"/>
        <w:ind w:firstLine="420" w:firstLineChars="200"/>
        <w:jc w:val="left"/>
        <w:rPr>
          <w:rFonts w:ascii="Times New Roman" w:hAnsi="Times New Roman" w:eastAsia="宋体" w:cs="Times New Roman"/>
          <w:color w:val="auto"/>
          <w:szCs w:val="21"/>
        </w:rPr>
      </w:pPr>
      <w:r>
        <w:rPr>
          <w:rFonts w:ascii="Times New Roman" w:hAnsi="Times New Roman" w:eastAsia="宋体" w:cs="Times New Roman"/>
          <w:color w:val="auto"/>
          <w:szCs w:val="21"/>
        </w:rPr>
        <w:t>1.2</w:t>
      </w:r>
      <w:r>
        <w:rPr>
          <w:rFonts w:hint="eastAsia" w:ascii="Times New Roman" w:hAnsi="Times New Roman" w:eastAsia="宋体" w:cs="Times New Roman"/>
          <w:color w:val="auto"/>
          <w:szCs w:val="21"/>
        </w:rPr>
        <w:t>符合性检查。依据采购文件的规定，从投标文件的有效性、完整性和对采购文件的响应程度进行审查，以确定是否对采购文件的实质性要求作出响应。</w:t>
      </w:r>
    </w:p>
    <w:p w14:paraId="530C02D6">
      <w:pPr>
        <w:snapToGrid w:val="0"/>
        <w:spacing w:line="360" w:lineRule="auto"/>
        <w:ind w:right="-87"/>
        <w:rPr>
          <w:rFonts w:ascii="Times New Roman" w:hAnsi="Times New Roman" w:eastAsia="宋体" w:cs="Times New Roman"/>
          <w:b/>
          <w:color w:val="auto"/>
          <w:sz w:val="24"/>
        </w:rPr>
      </w:pPr>
      <w:r>
        <w:rPr>
          <w:rFonts w:ascii="Times New Roman" w:hAnsi="Times New Roman" w:eastAsia="宋体" w:cs="Times New Roman"/>
          <w:b/>
          <w:color w:val="auto"/>
          <w:sz w:val="24"/>
        </w:rPr>
        <w:t>2.</w:t>
      </w:r>
      <w:r>
        <w:rPr>
          <w:rFonts w:hint="eastAsia" w:ascii="Times New Roman" w:hAnsi="Times New Roman" w:eastAsia="宋体" w:cs="Times New Roman"/>
          <w:b/>
          <w:color w:val="auto"/>
          <w:szCs w:val="21"/>
        </w:rPr>
        <w:t>实质审查</w:t>
      </w:r>
    </w:p>
    <w:p w14:paraId="6DEE5D89">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1</w:t>
      </w:r>
      <w:r>
        <w:rPr>
          <w:rFonts w:hint="eastAsia" w:ascii="Times New Roman" w:hAnsi="Times New Roman" w:eastAsia="宋体" w:cs="Times New Roman"/>
          <w:color w:val="auto"/>
          <w:kern w:val="0"/>
          <w:szCs w:val="21"/>
        </w:rPr>
        <w:t>）评标委员会审查投标文件的实质性内容是否符合采购文件的实质性要求。</w:t>
      </w:r>
    </w:p>
    <w:p w14:paraId="58426878">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2</w:t>
      </w:r>
      <w:r>
        <w:rPr>
          <w:rFonts w:hint="eastAsia" w:ascii="Times New Roman" w:hAnsi="Times New Roman" w:eastAsia="宋体" w:cs="Times New Roman"/>
          <w:color w:val="auto"/>
          <w:kern w:val="0"/>
          <w:szCs w:val="21"/>
        </w:rPr>
        <w:t>）评标委员会将根据投标人的投标文件进行审查、核对，如有疑问，将对投标人通过电子系统进行询标，投标人向评标委员会澄清有关问题，并最终以电子形式进行答复。投标人拒绝澄清或者澄清的内容改变了投标文件的实质性内容的，评标委员会有权对该投标文件作出不利于投标人的评判。</w:t>
      </w:r>
    </w:p>
    <w:p w14:paraId="50863416">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3</w:t>
      </w:r>
      <w:r>
        <w:rPr>
          <w:rFonts w:hint="eastAsia" w:ascii="Times New Roman" w:hAnsi="Times New Roman" w:eastAsia="宋体" w:cs="Times New Roman"/>
          <w:color w:val="auto"/>
          <w:kern w:val="0"/>
          <w:szCs w:val="21"/>
        </w:rPr>
        <w:t>）评审小组商务、技术方案响应性评定；</w:t>
      </w:r>
    </w:p>
    <w:p w14:paraId="15A28B2A">
      <w:pPr>
        <w:spacing w:line="360" w:lineRule="auto"/>
        <w:ind w:firstLine="420" w:firstLineChars="200"/>
        <w:rPr>
          <w:rFonts w:ascii="Times New Roman" w:hAnsi="Times New Roman" w:eastAsia="宋体" w:cs="Times New Roman"/>
          <w:color w:val="auto"/>
          <w:kern w:val="0"/>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4</w:t>
      </w:r>
      <w:r>
        <w:rPr>
          <w:rFonts w:hint="eastAsia" w:ascii="Times New Roman" w:hAnsi="Times New Roman" w:eastAsia="宋体" w:cs="Times New Roman"/>
          <w:color w:val="auto"/>
          <w:kern w:val="0"/>
          <w:szCs w:val="21"/>
        </w:rPr>
        <w:t>）各投标人的技术得分为所有评委的有效评分的算术平均数，由指定专人进行计算复核。</w:t>
      </w:r>
    </w:p>
    <w:p w14:paraId="19280949">
      <w:pPr>
        <w:spacing w:line="360" w:lineRule="auto"/>
        <w:ind w:firstLine="420" w:firstLineChars="200"/>
        <w:rPr>
          <w:rFonts w:ascii="Times New Roman" w:hAnsi="Times New Roman" w:eastAsia="宋体" w:cs="Times New Roman"/>
          <w:b/>
          <w:color w:val="auto"/>
          <w:szCs w:val="21"/>
        </w:rPr>
      </w:pPr>
      <w:r>
        <w:rPr>
          <w:rFonts w:hint="eastAsia" w:ascii="Times New Roman" w:hAnsi="Times New Roman" w:eastAsia="宋体" w:cs="Times New Roman"/>
          <w:color w:val="auto"/>
          <w:kern w:val="0"/>
          <w:szCs w:val="21"/>
        </w:rPr>
        <w:t>（</w:t>
      </w:r>
      <w:r>
        <w:rPr>
          <w:rFonts w:ascii="Times New Roman" w:hAnsi="Times New Roman" w:eastAsia="宋体" w:cs="Times New Roman"/>
          <w:color w:val="auto"/>
          <w:kern w:val="0"/>
          <w:szCs w:val="21"/>
        </w:rPr>
        <w:t>5</w:t>
      </w:r>
      <w:r>
        <w:rPr>
          <w:rFonts w:hint="eastAsia" w:ascii="Times New Roman" w:hAnsi="Times New Roman" w:eastAsia="宋体" w:cs="Times New Roman"/>
          <w:color w:val="auto"/>
          <w:kern w:val="0"/>
          <w:szCs w:val="21"/>
        </w:rPr>
        <w:t>）评标委员会完成评标后，评委对各部分得分汇总，计算出本项目综合得分。评标委员会按评标原则通过电子系统向采购人及采购代理机构提交评审报告。</w:t>
      </w:r>
    </w:p>
    <w:p w14:paraId="1148B623">
      <w:pPr>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（三）澄清问题的形式</w:t>
      </w:r>
    </w:p>
    <w:p w14:paraId="44EF4BAC">
      <w:pPr>
        <w:snapToGrid w:val="0"/>
        <w:spacing w:line="360" w:lineRule="auto"/>
        <w:ind w:left="228" w:right="-87" w:firstLine="420" w:firstLineChars="200"/>
        <w:rPr>
          <w:rFonts w:ascii="Times New Roman" w:hAnsi="Times New Roman" w:eastAsia="宋体" w:cs="Times New Roman"/>
          <w:color w:val="auto"/>
        </w:rPr>
      </w:pPr>
      <w:r>
        <w:rPr>
          <w:rFonts w:hint="eastAsia" w:ascii="Times New Roman" w:hAnsi="Times New Roman" w:eastAsia="宋体" w:cs="Times New Roman"/>
          <w:color w:val="auto"/>
        </w:rPr>
        <w:t>对投标文件中含义不明确、同类问题表述不一致或者有明显文字和计算错误的内容，评标委员会可要求投标人作出必要的澄清、说明或者纠正。投标人与评审小组</w:t>
      </w:r>
      <w:r>
        <w:rPr>
          <w:rFonts w:hint="eastAsia" w:ascii="Times New Roman" w:hAnsi="Times New Roman" w:eastAsia="宋体" w:cs="Times New Roman"/>
          <w:color w:val="auto"/>
          <w:szCs w:val="21"/>
        </w:rPr>
        <w:t>通过电子交易平台交换数据电文的形式进行</w:t>
      </w:r>
      <w:r>
        <w:rPr>
          <w:rFonts w:hint="eastAsia" w:ascii="Times New Roman" w:hAnsi="Times New Roman" w:eastAsia="宋体" w:cs="Times New Roman"/>
          <w:color w:val="auto"/>
        </w:rPr>
        <w:t>，给予投标人提交澄清说明或补正的时间不少于半个小时，投标人已经明确表示澄清说明或补正完毕的除外。不得超出投标文件的范围或者改变投标文件的实质性内容。</w:t>
      </w:r>
    </w:p>
    <w:p w14:paraId="7267A6E3">
      <w:pPr>
        <w:snapToGrid w:val="0"/>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（四）错误修正</w:t>
      </w:r>
    </w:p>
    <w:p w14:paraId="79FD6142">
      <w:pPr>
        <w:snapToGrid w:val="0"/>
        <w:spacing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投标文件如果出现计算或表达上的错误，修正错误的原则如下：</w:t>
      </w:r>
    </w:p>
    <w:p w14:paraId="4FFD512B">
      <w:pPr>
        <w:snapToGrid w:val="0"/>
        <w:spacing w:line="360" w:lineRule="auto"/>
        <w:ind w:firstLine="415" w:firstLineChars="198"/>
        <w:rPr>
          <w:rFonts w:ascii="Times New Roman" w:hAnsi="Times New Roman" w:eastAsia="宋体" w:cs="Times New Roman"/>
          <w:color w:val="auto"/>
          <w:szCs w:val="21"/>
        </w:rPr>
      </w:pPr>
      <w:r>
        <w:rPr>
          <w:rFonts w:hint="eastAsia" w:ascii="Times New Roman" w:hAnsi="Times New Roman" w:eastAsia="宋体" w:cs="Times New Roman"/>
          <w:color w:val="auto"/>
          <w:szCs w:val="21"/>
        </w:rPr>
        <w:t>1.投标文件中开标一览表（报价表）内容与投标文件中相应内容不一致的，以开标一览表（报价表）为准；</w:t>
      </w:r>
    </w:p>
    <w:p w14:paraId="5279D52F">
      <w:pPr>
        <w:snapToGrid w:val="0"/>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2.大写金额和小写金额不一致的，以大写金额为准；</w:t>
      </w:r>
    </w:p>
    <w:p w14:paraId="2ECE3F17">
      <w:pPr>
        <w:snapToGrid w:val="0"/>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3.单价金额小数点或者百分比有明显错位的，以开标一览表的总价为准，并修改单价；</w:t>
      </w:r>
    </w:p>
    <w:p w14:paraId="43EF5AF8">
      <w:pPr>
        <w:snapToGrid w:val="0"/>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4.总价金额与按单价汇总金额不一致的，以单价金额计算结果为准。</w:t>
      </w:r>
    </w:p>
    <w:p w14:paraId="25961F74">
      <w:pPr>
        <w:snapToGrid w:val="0"/>
        <w:spacing w:line="360" w:lineRule="auto"/>
        <w:ind w:firstLine="417" w:firstLineChars="198"/>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同时出现两种以上不一致的，按照前款规定的顺序修正。</w:t>
      </w:r>
    </w:p>
    <w:p w14:paraId="1244411D">
      <w:pPr>
        <w:snapToGrid w:val="0"/>
        <w:spacing w:line="360" w:lineRule="auto"/>
        <w:ind w:firstLine="417" w:firstLineChars="198"/>
        <w:rPr>
          <w:rFonts w:ascii="Times New Roman" w:hAnsi="Times New Roman" w:eastAsia="宋体" w:cs="Times New Roman"/>
          <w:color w:val="auto"/>
          <w:szCs w:val="21"/>
        </w:rPr>
      </w:pPr>
      <w:r>
        <w:rPr>
          <w:rFonts w:ascii="Times New Roman" w:hAnsi="Times New Roman" w:eastAsia="宋体" w:cs="Times New Roman"/>
          <w:b/>
          <w:color w:val="auto"/>
          <w:szCs w:val="21"/>
        </w:rPr>
        <w:t>按上述修正错误的原则及方法调整或修正投标文件的投标报价，投标人通过电文并签章确认后，调整后的投标报价对投标人具有约束作用。如果投标人不接受修正后的报价，则其投标将作为无效投标处理。</w:t>
      </w:r>
    </w:p>
    <w:p w14:paraId="7EEDCD98">
      <w:pPr>
        <w:snapToGrid w:val="0"/>
        <w:spacing w:line="360" w:lineRule="auto"/>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（五）评标原则和评标方法</w:t>
      </w:r>
    </w:p>
    <w:p w14:paraId="668ED00F">
      <w:pPr>
        <w:snapToGrid w:val="0"/>
        <w:spacing w:line="360" w:lineRule="auto"/>
        <w:ind w:firstLine="420" w:firstLineChars="200"/>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评标委员会必须公平、公正、客观，不带任何倾向性和启发性；不得向外界透露任何与评标有关的内容；任何单位和个人不得干扰、影响评标的正常进行；评标委员会及有关工作人员不得私下与投标人接触。</w:t>
      </w:r>
    </w:p>
    <w:p w14:paraId="3E0290B0">
      <w:pPr>
        <w:snapToGrid w:val="0"/>
        <w:spacing w:line="360" w:lineRule="auto"/>
        <w:ind w:firstLine="420" w:firstLineChars="200"/>
        <w:rPr>
          <w:rFonts w:ascii="Times New Roman" w:hAnsi="Times New Roman" w:eastAsia="宋体" w:cs="Times New Roman"/>
          <w:color w:val="auto"/>
          <w:sz w:val="24"/>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评标方法。本项目评标方法是</w:t>
      </w:r>
      <w:r>
        <w:rPr>
          <w:rFonts w:hint="eastAsia" w:ascii="Times New Roman" w:hAnsi="Times New Roman" w:eastAsia="宋体" w:cs="Times New Roman"/>
          <w:color w:val="auto"/>
          <w:szCs w:val="21"/>
          <w:u w:val="single"/>
        </w:rPr>
        <w:t>综合评分法</w:t>
      </w:r>
      <w:r>
        <w:rPr>
          <w:rFonts w:hint="eastAsia" w:ascii="Times New Roman" w:hAnsi="Times New Roman" w:eastAsia="宋体" w:cs="Times New Roman"/>
          <w:color w:val="auto"/>
          <w:szCs w:val="21"/>
        </w:rPr>
        <w:t>，具体评标内容及评分标准等详见《第四章：评标方法及评分标准》。</w:t>
      </w:r>
    </w:p>
    <w:p w14:paraId="5A249CF8">
      <w:pPr>
        <w:widowControl/>
        <w:snapToGrid w:val="0"/>
        <w:spacing w:line="36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（六）评标过程的监控</w:t>
      </w:r>
    </w:p>
    <w:p w14:paraId="1ADF5CE7">
      <w:pPr>
        <w:snapToGrid w:val="0"/>
        <w:spacing w:line="360" w:lineRule="auto"/>
        <w:ind w:firstLine="420" w:firstLineChars="200"/>
        <w:rPr>
          <w:rFonts w:ascii="Times New Roman" w:hAnsi="Times New Roman" w:eastAsia="宋体" w:cs="Times New Roman"/>
          <w:b/>
          <w:color w:val="auto"/>
          <w:sz w:val="28"/>
          <w:szCs w:val="24"/>
        </w:rPr>
      </w:pPr>
      <w:r>
        <w:rPr>
          <w:rFonts w:hint="eastAsia" w:ascii="Times New Roman" w:hAnsi="Times New Roman" w:eastAsia="宋体" w:cs="Times New Roman"/>
          <w:color w:val="auto"/>
          <w:szCs w:val="24"/>
        </w:rPr>
        <w:t>本项目评标过程实行全程录音、录像监控。</w:t>
      </w:r>
    </w:p>
    <w:p w14:paraId="790EA0F1">
      <w:pPr>
        <w:snapToGrid w:val="0"/>
        <w:spacing w:before="120" w:line="240" w:lineRule="auto"/>
        <w:ind w:right="-87"/>
        <w:jc w:val="center"/>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六、定标</w:t>
      </w:r>
    </w:p>
    <w:p w14:paraId="19FF6C56">
      <w:pPr>
        <w:snapToGrid w:val="0"/>
        <w:spacing w:before="120" w:beforeLines="50" w:line="240" w:lineRule="auto"/>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（一）确定中标人。</w:t>
      </w:r>
    </w:p>
    <w:p w14:paraId="27195BD8">
      <w:pPr>
        <w:snapToGrid w:val="0"/>
        <w:spacing w:before="120" w:beforeLines="50" w:line="360" w:lineRule="auto"/>
        <w:ind w:firstLine="415" w:firstLineChars="198"/>
        <w:rPr>
          <w:rFonts w:ascii="Times New Roman" w:hAnsi="Times New Roman" w:eastAsia="宋体" w:cs="Times New Roman"/>
          <w:b/>
          <w:color w:val="auto"/>
          <w:szCs w:val="21"/>
        </w:rPr>
      </w:pPr>
      <w:r>
        <w:rPr>
          <w:rFonts w:hint="eastAsia" w:ascii="Times New Roman" w:hAnsi="Times New Roman" w:eastAsia="宋体" w:cs="Times New Roman"/>
          <w:color w:val="auto"/>
          <w:szCs w:val="21"/>
        </w:rPr>
        <w:t>本项目由采购人事先授权评审小组确定候选中标人</w:t>
      </w: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名。经采购人确认后，确定项目中标人，同时发布采购结果公告</w:t>
      </w:r>
      <w:r>
        <w:rPr>
          <w:rFonts w:hint="eastAsia" w:ascii="Times New Roman" w:hAnsi="Times New Roman" w:eastAsia="宋体" w:cs="Times New Roman"/>
          <w:b/>
          <w:color w:val="auto"/>
          <w:szCs w:val="21"/>
        </w:rPr>
        <w:t>（中标人通过政采云系统领取中标通知书）。</w:t>
      </w:r>
    </w:p>
    <w:p w14:paraId="123D526F">
      <w:pPr>
        <w:snapToGrid w:val="0"/>
        <w:spacing w:before="120" w:beforeLines="50"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1.</w:t>
      </w:r>
      <w:r>
        <w:rPr>
          <w:rFonts w:hint="eastAsia" w:ascii="Times New Roman" w:hAnsi="Times New Roman" w:eastAsia="宋体" w:cs="Times New Roman"/>
          <w:color w:val="auto"/>
          <w:szCs w:val="21"/>
        </w:rPr>
        <w:t>采购代理机构在评标结束后在</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个工作日内将评审报告交采购人确认。</w:t>
      </w:r>
    </w:p>
    <w:p w14:paraId="1B299790">
      <w:pPr>
        <w:snapToGrid w:val="0"/>
        <w:spacing w:before="120" w:beforeLines="50"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投标人对评审结果无异议的，采购人应在收到评审报告后</w:t>
      </w:r>
      <w:r>
        <w:rPr>
          <w:rFonts w:ascii="Times New Roman" w:hAnsi="Times New Roman" w:eastAsia="宋体" w:cs="Times New Roman"/>
          <w:color w:val="auto"/>
          <w:szCs w:val="21"/>
        </w:rPr>
        <w:t>5</w:t>
      </w:r>
      <w:r>
        <w:rPr>
          <w:rFonts w:hint="eastAsia" w:ascii="Times New Roman" w:hAnsi="Times New Roman" w:eastAsia="宋体" w:cs="Times New Roman"/>
          <w:color w:val="auto"/>
          <w:szCs w:val="21"/>
        </w:rPr>
        <w:t>个工作日内对评审结果进行确认。如有投标人对评审结果提出质疑的，采购人可在质疑处理完毕后确定中标人。</w:t>
      </w:r>
    </w:p>
    <w:p w14:paraId="3F2FFA80">
      <w:pPr>
        <w:snapToGrid w:val="0"/>
        <w:spacing w:before="120" w:beforeLines="50" w:line="360"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采购人依法确定中标人后</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个工作日内，采购代理机构发出《中标通知书》</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并同时在相关网站上发布中标公告。</w:t>
      </w:r>
    </w:p>
    <w:p w14:paraId="1EE62E56">
      <w:pPr>
        <w:spacing w:line="380" w:lineRule="exact"/>
        <w:rPr>
          <w:rFonts w:ascii="Times New Roman" w:hAnsi="Times New Roman" w:eastAsia="宋体" w:cs="Times New Roman"/>
          <w:b/>
          <w:color w:val="auto"/>
        </w:rPr>
      </w:pPr>
      <w:r>
        <w:rPr>
          <w:rFonts w:hint="eastAsia" w:ascii="Times New Roman" w:hAnsi="Times New Roman" w:eastAsia="宋体" w:cs="Times New Roman"/>
          <w:color w:val="auto"/>
          <w:szCs w:val="21"/>
        </w:rPr>
        <w:t>（二）</w:t>
      </w:r>
      <w:r>
        <w:rPr>
          <w:rFonts w:hint="eastAsia" w:ascii="Times New Roman" w:hAnsi="Times New Roman" w:eastAsia="宋体" w:cs="Times New Roman"/>
          <w:color w:val="auto"/>
        </w:rPr>
        <w:t>根据《中华人民共和国招标投标法实施条例》（国务院第</w:t>
      </w:r>
      <w:r>
        <w:rPr>
          <w:rFonts w:ascii="Times New Roman" w:hAnsi="Times New Roman" w:eastAsia="宋体" w:cs="Times New Roman"/>
          <w:color w:val="auto"/>
        </w:rPr>
        <w:t>613</w:t>
      </w:r>
      <w:r>
        <w:rPr>
          <w:rFonts w:hint="eastAsia" w:ascii="Times New Roman" w:hAnsi="Times New Roman" w:eastAsia="宋体" w:cs="Times New Roman"/>
          <w:color w:val="auto"/>
        </w:rPr>
        <w:t>号令）第四章第五十五条的规定，排名第一的中标候选人放弃中标、因不可抗力不能履行合同、不按照招标文件要求提交履约保证金，或者被查实存在影响中标结果的违法行为等情形，不符合中标条件的，经采购人书面确认，或者经专家论证，按照评标委员会提出的中标候选人名单排序依次确定其他中标候选人为中标人，也可以重新招标。</w:t>
      </w:r>
    </w:p>
    <w:p w14:paraId="59D5E59D">
      <w:pPr>
        <w:ind w:firstLine="420" w:firstLineChars="200"/>
        <w:rPr>
          <w:rFonts w:ascii="Times New Roman" w:hAnsi="Times New Roman" w:eastAsia="宋体" w:cs="Times New Roman"/>
          <w:color w:val="auto"/>
          <w:szCs w:val="20"/>
        </w:rPr>
      </w:pPr>
    </w:p>
    <w:p w14:paraId="1D839703">
      <w:pPr>
        <w:snapToGrid w:val="0"/>
        <w:spacing w:before="120" w:line="240" w:lineRule="auto"/>
        <w:ind w:right="-87" w:firstLine="3345" w:firstLineChars="1190"/>
        <w:outlineLvl w:val="1"/>
        <w:rPr>
          <w:rFonts w:ascii="Times New Roman" w:hAnsi="Times New Roman" w:eastAsia="宋体" w:cs="Times New Roman"/>
          <w:b/>
          <w:color w:val="auto"/>
          <w:sz w:val="28"/>
        </w:rPr>
      </w:pPr>
      <w:r>
        <w:rPr>
          <w:rFonts w:hint="eastAsia" w:ascii="Times New Roman" w:hAnsi="Times New Roman" w:eastAsia="宋体" w:cs="Times New Roman"/>
          <w:b/>
          <w:color w:val="auto"/>
          <w:sz w:val="28"/>
        </w:rPr>
        <w:t>七、合同授予</w:t>
      </w:r>
    </w:p>
    <w:p w14:paraId="0B612DD8">
      <w:pPr>
        <w:widowControl/>
        <w:overflowPunct w:val="0"/>
        <w:autoSpaceDE w:val="0"/>
        <w:autoSpaceDN w:val="0"/>
        <w:adjustRightInd w:val="0"/>
        <w:snapToGrid w:val="0"/>
        <w:spacing w:line="240" w:lineRule="auto"/>
        <w:ind w:left="-735"/>
        <w:jc w:val="left"/>
        <w:textAlignment w:val="baseline"/>
        <w:rPr>
          <w:rFonts w:ascii="Times New Roman" w:hAnsi="Times New Roman" w:eastAsia="宋体" w:cs="Times New Roman"/>
          <w:b/>
          <w:color w:val="auto"/>
          <w:sz w:val="24"/>
        </w:rPr>
      </w:pPr>
      <w:r>
        <w:rPr>
          <w:rFonts w:hint="eastAsia" w:ascii="Times New Roman" w:hAnsi="Times New Roman" w:eastAsia="宋体" w:cs="Times New Roman"/>
          <w:b/>
          <w:color w:val="auto"/>
          <w:sz w:val="24"/>
        </w:rPr>
        <w:t xml:space="preserve">      （一）签订合同</w:t>
      </w:r>
    </w:p>
    <w:p w14:paraId="786FEE87">
      <w:pPr>
        <w:snapToGrid w:val="0"/>
        <w:spacing w:line="336" w:lineRule="auto"/>
        <w:ind w:firstLine="424" w:firstLineChars="202"/>
        <w:rPr>
          <w:rFonts w:ascii="Times New Roman" w:hAnsi="Times New Roman" w:eastAsia="宋体" w:cs="Times New Roman"/>
          <w:color w:val="auto"/>
        </w:rPr>
      </w:pPr>
      <w:r>
        <w:rPr>
          <w:rFonts w:ascii="Times New Roman" w:hAnsi="Times New Roman" w:eastAsia="宋体" w:cs="Times New Roman"/>
          <w:color w:val="auto"/>
        </w:rPr>
        <w:t>1.</w:t>
      </w:r>
      <w:r>
        <w:rPr>
          <w:rFonts w:hint="eastAsia" w:ascii="Times New Roman" w:hAnsi="Times New Roman" w:eastAsia="宋体" w:cs="Times New Roman"/>
          <w:color w:val="auto"/>
        </w:rPr>
        <w:t>采购人与中标人应当在《中标通知书》发出之日起</w:t>
      </w:r>
      <w:r>
        <w:rPr>
          <w:rFonts w:ascii="Times New Roman" w:hAnsi="Times New Roman" w:eastAsia="宋体" w:cs="Times New Roman"/>
          <w:color w:val="auto"/>
        </w:rPr>
        <w:t>30</w:t>
      </w:r>
      <w:r>
        <w:rPr>
          <w:rFonts w:hint="eastAsia" w:ascii="Times New Roman" w:hAnsi="Times New Roman" w:eastAsia="宋体" w:cs="Times New Roman"/>
          <w:color w:val="auto"/>
        </w:rPr>
        <w:t>日内签订政府采购合同。同时，采购代理机构对合同内容进行审查，如发现与采购结果和投标承诺内容不一致的，应予以纠正。</w:t>
      </w:r>
    </w:p>
    <w:p w14:paraId="06F05160">
      <w:pPr>
        <w:snapToGrid w:val="0"/>
        <w:spacing w:line="336"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中标人拖延、拒签合同的，将上报监管部门并取消中标资格。</w:t>
      </w:r>
    </w:p>
    <w:p w14:paraId="166C04CA">
      <w:pPr>
        <w:snapToGrid w:val="0"/>
        <w:spacing w:line="336"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中标人和采购人签订合同，按合同规定的供货时间供货并安装调试完毕。</w:t>
      </w:r>
    </w:p>
    <w:p w14:paraId="70600320">
      <w:pPr>
        <w:snapToGrid w:val="0"/>
        <w:spacing w:line="336" w:lineRule="auto"/>
        <w:ind w:firstLine="415" w:firstLineChars="198"/>
        <w:rPr>
          <w:rFonts w:ascii="Times New Roman" w:hAnsi="Times New Roman" w:eastAsia="宋体" w:cs="Times New Roman"/>
          <w:color w:val="auto"/>
          <w:szCs w:val="21"/>
        </w:rPr>
      </w:pPr>
      <w:r>
        <w:rPr>
          <w:rFonts w:ascii="Times New Roman" w:hAnsi="Times New Roman" w:eastAsia="宋体" w:cs="Times New Roman"/>
          <w:color w:val="auto"/>
          <w:szCs w:val="21"/>
        </w:rPr>
        <w:t>4.</w:t>
      </w:r>
      <w:r>
        <w:rPr>
          <w:rFonts w:hint="eastAsia" w:ascii="Times New Roman" w:hAnsi="Times New Roman" w:eastAsia="宋体" w:cs="Times New Roman"/>
          <w:color w:val="auto"/>
          <w:szCs w:val="21"/>
        </w:rPr>
        <w:t>已确定中标或者成交供应商但尚未签订政府采购合同的，认定中标或者成交结果无效。合格供应商符合法定数量时，可以从合格的中标或者成交候选人中另行确定中标或者成交供应商的，应当要求采购人依法另行确定中标、成交供应商；否则责令重新开展采购活动。</w:t>
      </w:r>
    </w:p>
    <w:p w14:paraId="58B006F4">
      <w:pPr>
        <w:snapToGrid w:val="0"/>
        <w:spacing w:line="336" w:lineRule="auto"/>
        <w:rPr>
          <w:rFonts w:ascii="Times New Roman" w:hAnsi="Times New Roman" w:eastAsia="宋体" w:cs="Times New Roman"/>
          <w:b/>
          <w:bCs/>
          <w:color w:val="auto"/>
          <w:sz w:val="24"/>
          <w:szCs w:val="24"/>
        </w:rPr>
      </w:pPr>
      <w:r>
        <w:rPr>
          <w:rFonts w:hint="eastAsia" w:ascii="Times New Roman" w:hAnsi="Times New Roman" w:eastAsia="宋体" w:cs="Times New Roman"/>
          <w:b/>
          <w:bCs/>
          <w:color w:val="auto"/>
          <w:sz w:val="24"/>
          <w:szCs w:val="24"/>
        </w:rPr>
        <w:t>（二）合同公告</w:t>
      </w:r>
    </w:p>
    <w:p w14:paraId="51636DC5">
      <w:pPr>
        <w:snapToGrid w:val="0"/>
        <w:spacing w:line="336" w:lineRule="auto"/>
        <w:ind w:firstLine="415" w:firstLineChars="198"/>
        <w:rPr>
          <w:rFonts w:ascii="Times New Roman" w:hAnsi="Times New Roman" w:eastAsia="黑体" w:cs="Times New Roman"/>
          <w:color w:val="auto"/>
          <w:sz w:val="30"/>
        </w:rPr>
      </w:pPr>
      <w:r>
        <w:rPr>
          <w:rFonts w:hint="eastAsia" w:ascii="Times New Roman" w:hAnsi="Times New Roman" w:eastAsia="宋体" w:cs="Times New Roman"/>
          <w:color w:val="auto"/>
          <w:szCs w:val="21"/>
        </w:rPr>
        <w:t>采购人应当自政府采购合同签订之日起</w:t>
      </w:r>
      <w:r>
        <w:rPr>
          <w:rFonts w:ascii="Times New Roman" w:hAnsi="Times New Roman" w:eastAsia="宋体" w:cs="Times New Roman"/>
          <w:color w:val="auto"/>
          <w:szCs w:val="21"/>
        </w:rPr>
        <w:t>2</w:t>
      </w:r>
      <w:r>
        <w:rPr>
          <w:rFonts w:hint="eastAsia" w:ascii="Times New Roman" w:hAnsi="Times New Roman" w:eastAsia="宋体" w:cs="Times New Roman"/>
          <w:color w:val="auto"/>
          <w:szCs w:val="21"/>
        </w:rPr>
        <w:t>个工作日内，将政府采购合同在省级以上人民政府财政部门指定的媒体上公告，但政府采购合同中涉及国家秘密、商业秘密的内容除外。</w:t>
      </w:r>
    </w:p>
    <w:p w14:paraId="5E18FEB3">
      <w:pPr>
        <w:snapToGrid w:val="0"/>
        <w:spacing w:before="120" w:line="360" w:lineRule="auto"/>
        <w:ind w:right="-87"/>
        <w:jc w:val="center"/>
        <w:rPr>
          <w:rFonts w:ascii="Times New Roman" w:hAnsi="Times New Roman" w:eastAsia="黑体" w:cs="Times New Roman"/>
          <w:color w:val="auto"/>
          <w:sz w:val="30"/>
        </w:rPr>
      </w:pPr>
    </w:p>
    <w:p w14:paraId="35310265">
      <w:pPr>
        <w:snapToGrid w:val="0"/>
        <w:spacing w:before="120" w:line="360" w:lineRule="auto"/>
        <w:ind w:right="-87"/>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第四章  评标方法及评分标准</w:t>
      </w:r>
    </w:p>
    <w:p w14:paraId="4EFA59D7">
      <w:pPr>
        <w:snapToGrid w:val="0"/>
        <w:spacing w:before="120" w:line="336" w:lineRule="auto"/>
        <w:ind w:right="-87" w:firstLine="103" w:firstLineChars="49"/>
        <w:outlineLvl w:val="0"/>
        <w:rPr>
          <w:rFonts w:ascii="Times New Roman" w:hAnsi="Times New Roman" w:eastAsia="宋体" w:cs="Times New Roman"/>
          <w:color w:val="auto"/>
        </w:rPr>
      </w:pPr>
      <w:r>
        <w:rPr>
          <w:rFonts w:hint="eastAsia" w:ascii="Times New Roman" w:hAnsi="Times New Roman" w:eastAsia="宋体" w:cs="Times New Roman"/>
          <w:b/>
          <w:color w:val="auto"/>
        </w:rPr>
        <w:t>综合评分法</w:t>
      </w:r>
    </w:p>
    <w:p w14:paraId="64D07114">
      <w:pPr>
        <w:snapToGrid w:val="0"/>
        <w:spacing w:line="336" w:lineRule="auto"/>
        <w:ind w:right="-87" w:firstLine="2633" w:firstLineChars="1093"/>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新城垃圾中转站渗滤液处置项目评标方法</w:t>
      </w:r>
    </w:p>
    <w:p w14:paraId="20F511B5">
      <w:pPr>
        <w:snapToGrid w:val="0"/>
        <w:spacing w:line="336" w:lineRule="auto"/>
        <w:ind w:right="-87" w:firstLine="420"/>
        <w:rPr>
          <w:rFonts w:ascii="Times New Roman" w:hAnsi="Times New Roman" w:eastAsia="宋体" w:cs="Times New Roman"/>
          <w:color w:val="auto"/>
        </w:rPr>
      </w:pPr>
      <w:r>
        <w:rPr>
          <w:rFonts w:hint="eastAsia" w:ascii="Times New Roman" w:hAnsi="Times New Roman" w:eastAsia="宋体" w:cs="Times New Roman"/>
          <w:color w:val="auto"/>
        </w:rPr>
        <w:t>为公正、公平、科学地选择中标人，根据《中华人民共和国政府采购法》等有关法律法规的规定，并结合本项目的实际，制定本办法。</w:t>
      </w:r>
    </w:p>
    <w:p w14:paraId="6B4E4DBB">
      <w:pPr>
        <w:snapToGrid w:val="0"/>
        <w:spacing w:line="336" w:lineRule="auto"/>
        <w:ind w:right="-87" w:firstLine="420"/>
        <w:rPr>
          <w:rFonts w:ascii="Times New Roman" w:hAnsi="Times New Roman" w:eastAsia="宋体" w:cs="Times New Roman"/>
          <w:color w:val="auto"/>
        </w:rPr>
      </w:pPr>
      <w:r>
        <w:rPr>
          <w:rFonts w:hint="eastAsia" w:ascii="Times New Roman" w:hAnsi="Times New Roman" w:eastAsia="宋体" w:cs="Times New Roman"/>
          <w:color w:val="auto"/>
          <w:szCs w:val="21"/>
        </w:rPr>
        <w:t>本办法适用于新城垃圾中转站渗滤液处置项目的评标。</w:t>
      </w:r>
    </w:p>
    <w:p w14:paraId="2B36620E">
      <w:pPr>
        <w:snapToGrid w:val="0"/>
        <w:spacing w:line="336" w:lineRule="auto"/>
        <w:ind w:left="756" w:leftChars="114" w:hanging="517" w:hangingChars="245"/>
        <w:rPr>
          <w:rFonts w:hint="eastAsia" w:ascii="宋体" w:hAnsi="宋体" w:eastAsia="宋体" w:cs="Times New Roman"/>
          <w:color w:val="auto"/>
        </w:rPr>
      </w:pPr>
      <w:r>
        <w:rPr>
          <w:rFonts w:hint="eastAsia" w:ascii="Times New Roman" w:hAnsi="Times New Roman" w:eastAsia="宋体" w:cs="Times New Roman"/>
          <w:b/>
          <w:color w:val="auto"/>
        </w:rPr>
        <w:t>中标依据：</w:t>
      </w:r>
      <w:r>
        <w:rPr>
          <w:rFonts w:hint="eastAsia" w:ascii="宋体" w:hAnsi="宋体" w:eastAsia="宋体" w:cs="Times New Roman"/>
          <w:color w:val="auto"/>
          <w:u w:val="single" w:color="000000"/>
        </w:rPr>
        <w:t>综合得分</w:t>
      </w:r>
      <w:r>
        <w:rPr>
          <w:rFonts w:hint="eastAsia" w:ascii="宋体" w:hAnsi="宋体" w:eastAsia="宋体" w:cs="Times New Roman"/>
          <w:color w:val="auto"/>
        </w:rPr>
        <w:t>最高者为中标候选人。</w:t>
      </w:r>
    </w:p>
    <w:p w14:paraId="00BB55C9">
      <w:pPr>
        <w:snapToGrid w:val="0"/>
        <w:spacing w:line="336" w:lineRule="auto"/>
        <w:ind w:left="756" w:leftChars="114" w:hanging="517" w:hangingChars="245"/>
        <w:rPr>
          <w:rFonts w:ascii="Times New Roman" w:hAnsi="Times New Roman" w:eastAsia="宋体" w:cs="Times New Roman"/>
          <w:b/>
          <w:color w:val="auto"/>
        </w:rPr>
      </w:pPr>
      <w:r>
        <w:rPr>
          <w:rFonts w:hint="eastAsia" w:ascii="宋体" w:hAnsi="宋体" w:eastAsia="宋体" w:cs="Times New Roman"/>
          <w:b/>
          <w:color w:val="auto"/>
          <w:u w:val="single"/>
        </w:rPr>
        <w:t>最高限价：预算金额。</w:t>
      </w:r>
    </w:p>
    <w:p w14:paraId="331EE221">
      <w:pPr>
        <w:snapToGrid w:val="0"/>
        <w:spacing w:line="336" w:lineRule="auto"/>
        <w:ind w:left="756" w:leftChars="114" w:hanging="517" w:hangingChars="245"/>
        <w:rPr>
          <w:rFonts w:ascii="Times New Roman" w:hAnsi="Times New Roman" w:eastAsia="宋体" w:cs="Times New Roman"/>
          <w:b/>
          <w:color w:val="auto"/>
        </w:rPr>
      </w:pPr>
      <w:r>
        <w:rPr>
          <w:rFonts w:hint="eastAsia" w:ascii="Times New Roman" w:hAnsi="Times New Roman" w:eastAsia="宋体" w:cs="Times New Roman"/>
          <w:b/>
          <w:color w:val="auto"/>
        </w:rPr>
        <w:t>报价的计分方法：按单价报价</w:t>
      </w:r>
    </w:p>
    <w:p w14:paraId="1E8D3E2E">
      <w:pPr>
        <w:autoSpaceDE w:val="0"/>
        <w:autoSpaceDN w:val="0"/>
        <w:adjustRightInd w:val="0"/>
        <w:snapToGrid w:val="0"/>
        <w:spacing w:line="336" w:lineRule="auto"/>
        <w:ind w:right="-87" w:firstLine="411" w:firstLineChars="196"/>
        <w:rPr>
          <w:rFonts w:ascii="Times New Roman" w:hAnsi="Times New Roman" w:eastAsia="宋体" w:cs="Times New Roman"/>
          <w:color w:val="auto"/>
          <w:lang w:val="zh-CN"/>
        </w:rPr>
      </w:pPr>
      <w:r>
        <w:rPr>
          <w:rFonts w:hint="eastAsia" w:ascii="Times New Roman" w:hAnsi="Times New Roman" w:eastAsia="宋体" w:cs="Times New Roman"/>
          <w:color w:val="auto"/>
          <w:lang w:val="zh-CN"/>
        </w:rPr>
        <w:t>满足投标文件要求</w:t>
      </w:r>
      <w:r>
        <w:rPr>
          <w:rFonts w:hint="eastAsia" w:ascii="宋体" w:hAnsi="宋体" w:eastAsia="宋体" w:cs="宋体"/>
          <w:color w:val="auto"/>
          <w:kern w:val="0"/>
          <w:sz w:val="22"/>
        </w:rPr>
        <w:t>且投</w:t>
      </w:r>
      <w:r>
        <w:rPr>
          <w:rFonts w:hint="eastAsia" w:ascii="Times New Roman" w:hAnsi="Times New Roman" w:eastAsia="宋体" w:cs="Times New Roman"/>
          <w:color w:val="auto"/>
          <w:lang w:val="zh-CN"/>
        </w:rPr>
        <w:t>标</w:t>
      </w:r>
      <w:r>
        <w:rPr>
          <w:rFonts w:hint="eastAsia" w:ascii="Times New Roman" w:hAnsi="Times New Roman" w:eastAsia="宋体" w:cs="Times New Roman"/>
          <w:color w:val="auto"/>
        </w:rPr>
        <w:t>单价</w:t>
      </w:r>
      <w:r>
        <w:rPr>
          <w:rFonts w:hint="eastAsia" w:ascii="Times New Roman" w:hAnsi="Times New Roman" w:eastAsia="宋体" w:cs="Times New Roman"/>
          <w:color w:val="auto"/>
          <w:lang w:val="zh-CN"/>
        </w:rPr>
        <w:t>报价最低的为评标基准价，其价格分为满分，其他投标人的价格分按下列公式计算：</w:t>
      </w:r>
    </w:p>
    <w:p w14:paraId="1BBB1E7E">
      <w:pPr>
        <w:autoSpaceDE w:val="0"/>
        <w:autoSpaceDN w:val="0"/>
        <w:adjustRightInd w:val="0"/>
        <w:snapToGrid w:val="0"/>
        <w:spacing w:line="336" w:lineRule="auto"/>
        <w:ind w:right="-87" w:firstLine="550" w:firstLineChars="262"/>
        <w:rPr>
          <w:rFonts w:ascii="Times New Roman" w:hAnsi="Times New Roman" w:eastAsia="宋体" w:cs="Times New Roman"/>
          <w:color w:val="auto"/>
          <w:lang w:val="zh-CN"/>
        </w:rPr>
      </w:pPr>
      <w:r>
        <w:rPr>
          <w:rFonts w:hint="eastAsia" w:ascii="Times New Roman" w:hAnsi="Times New Roman" w:eastAsia="宋体" w:cs="Times New Roman"/>
          <w:color w:val="auto"/>
          <w:lang w:val="zh-CN"/>
        </w:rPr>
        <w:t>价格得分＝（评标基准价</w:t>
      </w:r>
      <w:r>
        <w:rPr>
          <w:rFonts w:ascii="Times New Roman" w:hAnsi="Times New Roman" w:eastAsia="宋体" w:cs="Times New Roman"/>
          <w:color w:val="auto"/>
          <w:lang w:val="zh-CN"/>
        </w:rPr>
        <w:t>/</w:t>
      </w:r>
      <w:r>
        <w:rPr>
          <w:rFonts w:hint="eastAsia" w:ascii="Times New Roman" w:hAnsi="Times New Roman" w:eastAsia="宋体" w:cs="Times New Roman"/>
          <w:color w:val="auto"/>
          <w:lang w:val="zh-CN"/>
        </w:rPr>
        <w:t>投标报价）</w:t>
      </w:r>
      <w:r>
        <w:rPr>
          <w:rFonts w:ascii="Times New Roman" w:hAnsi="Times New Roman" w:eastAsia="宋体" w:cs="Times New Roman"/>
          <w:color w:val="auto"/>
          <w:lang w:val="zh-CN"/>
        </w:rPr>
        <w:t>×</w:t>
      </w:r>
      <w:r>
        <w:rPr>
          <w:rFonts w:hint="eastAsia" w:ascii="Times New Roman" w:hAnsi="Times New Roman" w:eastAsia="宋体" w:cs="Times New Roman"/>
          <w:color w:val="auto"/>
          <w:lang w:val="zh-CN"/>
        </w:rPr>
        <w:t>价格权重</w:t>
      </w:r>
      <w:r>
        <w:rPr>
          <w:rFonts w:ascii="Times New Roman" w:hAnsi="Times New Roman" w:eastAsia="宋体" w:cs="Times New Roman"/>
          <w:color w:val="auto"/>
          <w:lang w:val="zh-CN"/>
        </w:rPr>
        <w:t>×100</w:t>
      </w:r>
      <w:r>
        <w:rPr>
          <w:rFonts w:hint="eastAsia" w:ascii="Times New Roman" w:hAnsi="Times New Roman" w:eastAsia="宋体" w:cs="Times New Roman"/>
          <w:color w:val="auto"/>
          <w:lang w:val="zh-CN"/>
        </w:rPr>
        <w:t>。</w:t>
      </w:r>
    </w:p>
    <w:tbl>
      <w:tblPr>
        <w:tblStyle w:val="62"/>
        <w:tblW w:w="7740" w:type="dxa"/>
        <w:tblInd w:w="64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0"/>
        <w:gridCol w:w="2700"/>
      </w:tblGrid>
      <w:tr w14:paraId="57EA6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40" w:type="dxa"/>
            <w:tcBorders>
              <w:top w:val="single" w:color="auto" w:sz="4" w:space="0"/>
              <w:left w:val="single" w:color="auto" w:sz="4" w:space="0"/>
              <w:bottom w:val="single" w:color="auto" w:sz="4" w:space="0"/>
              <w:right w:val="single" w:color="auto" w:sz="4" w:space="0"/>
            </w:tcBorders>
            <w:vAlign w:val="center"/>
          </w:tcPr>
          <w:p w14:paraId="323C9513">
            <w:pPr>
              <w:spacing w:line="336" w:lineRule="auto"/>
              <w:ind w:right="-341"/>
              <w:jc w:val="center"/>
              <w:rPr>
                <w:rFonts w:ascii="Times New Roman" w:hAnsi="Times New Roman" w:eastAsia="宋体" w:cs="Times New Roman"/>
                <w:color w:val="auto"/>
              </w:rPr>
            </w:pPr>
            <w:r>
              <w:rPr>
                <w:rFonts w:hint="eastAsia" w:ascii="Times New Roman" w:hAnsi="Times New Roman" w:eastAsia="宋体" w:cs="Times New Roman"/>
                <w:color w:val="auto"/>
                <w:lang w:val="zh-CN"/>
              </w:rPr>
              <w:t>评价指标和各评价权重指标：</w:t>
            </w:r>
            <w:r>
              <w:rPr>
                <w:rFonts w:hint="eastAsia" w:ascii="Times New Roman" w:hAnsi="Times New Roman" w:eastAsia="宋体" w:cs="Times New Roman"/>
                <w:color w:val="auto"/>
              </w:rPr>
              <w:t>评标指标</w:t>
            </w:r>
          </w:p>
        </w:tc>
        <w:tc>
          <w:tcPr>
            <w:tcW w:w="2700" w:type="dxa"/>
            <w:tcBorders>
              <w:top w:val="single" w:color="auto" w:sz="4" w:space="0"/>
              <w:left w:val="single" w:color="auto" w:sz="4" w:space="0"/>
              <w:bottom w:val="single" w:color="auto" w:sz="4" w:space="0"/>
              <w:right w:val="single" w:color="auto" w:sz="4" w:space="0"/>
            </w:tcBorders>
            <w:vAlign w:val="center"/>
          </w:tcPr>
          <w:p w14:paraId="2B2C3F49">
            <w:pPr>
              <w:spacing w:line="336" w:lineRule="auto"/>
              <w:ind w:right="-341"/>
              <w:jc w:val="center"/>
              <w:rPr>
                <w:rFonts w:ascii="Times New Roman" w:hAnsi="Times New Roman" w:eastAsia="宋体" w:cs="Times New Roman"/>
                <w:color w:val="auto"/>
              </w:rPr>
            </w:pPr>
            <w:r>
              <w:rPr>
                <w:rFonts w:hint="eastAsia" w:ascii="Times New Roman" w:hAnsi="Times New Roman" w:eastAsia="宋体" w:cs="Times New Roman"/>
                <w:color w:val="auto"/>
              </w:rPr>
              <w:t>权重（％）</w:t>
            </w:r>
          </w:p>
        </w:tc>
      </w:tr>
      <w:tr w14:paraId="5336B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5" w:hRule="atLeast"/>
        </w:trPr>
        <w:tc>
          <w:tcPr>
            <w:tcW w:w="5040" w:type="dxa"/>
            <w:tcBorders>
              <w:top w:val="single" w:color="auto" w:sz="4" w:space="0"/>
              <w:left w:val="single" w:color="auto" w:sz="4" w:space="0"/>
              <w:bottom w:val="single" w:color="auto" w:sz="4" w:space="0"/>
              <w:right w:val="single" w:color="auto" w:sz="4" w:space="0"/>
            </w:tcBorders>
            <w:vAlign w:val="center"/>
          </w:tcPr>
          <w:p w14:paraId="5CD399A2">
            <w:pPr>
              <w:spacing w:line="336" w:lineRule="auto"/>
              <w:ind w:right="-341"/>
              <w:jc w:val="center"/>
              <w:rPr>
                <w:rFonts w:ascii="Times New Roman" w:hAnsi="Times New Roman" w:eastAsia="宋体" w:cs="Times New Roman"/>
                <w:color w:val="auto"/>
              </w:rPr>
            </w:pPr>
            <w:r>
              <w:rPr>
                <w:rFonts w:hint="eastAsia" w:ascii="Times New Roman" w:hAnsi="Times New Roman" w:eastAsia="宋体" w:cs="Times New Roman"/>
                <w:color w:val="auto"/>
              </w:rPr>
              <w:t>商务、技术部分</w:t>
            </w:r>
          </w:p>
        </w:tc>
        <w:tc>
          <w:tcPr>
            <w:tcW w:w="2700" w:type="dxa"/>
            <w:tcBorders>
              <w:top w:val="single" w:color="auto" w:sz="4" w:space="0"/>
              <w:left w:val="single" w:color="auto" w:sz="4" w:space="0"/>
              <w:bottom w:val="single" w:color="auto" w:sz="4" w:space="0"/>
              <w:right w:val="single" w:color="auto" w:sz="4" w:space="0"/>
            </w:tcBorders>
            <w:vAlign w:val="center"/>
          </w:tcPr>
          <w:p w14:paraId="3994E6C0">
            <w:pPr>
              <w:spacing w:line="336" w:lineRule="auto"/>
              <w:ind w:right="-341"/>
              <w:jc w:val="center"/>
              <w:rPr>
                <w:rFonts w:hint="eastAsia" w:ascii="Times New Roman" w:hAnsi="Times New Roman" w:eastAsia="宋体" w:cs="Times New Roman"/>
                <w:color w:val="auto"/>
              </w:rPr>
            </w:pPr>
            <w:r>
              <w:rPr>
                <w:rFonts w:hint="eastAsia" w:ascii="Times New Roman" w:hAnsi="Times New Roman" w:eastAsia="宋体" w:cs="Times New Roman"/>
                <w:color w:val="auto"/>
              </w:rPr>
              <w:t>85</w:t>
            </w:r>
          </w:p>
        </w:tc>
      </w:tr>
      <w:tr w14:paraId="47EF7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 w:hRule="atLeast"/>
        </w:trPr>
        <w:tc>
          <w:tcPr>
            <w:tcW w:w="5040" w:type="dxa"/>
            <w:tcBorders>
              <w:top w:val="single" w:color="auto" w:sz="4" w:space="0"/>
              <w:left w:val="single" w:color="auto" w:sz="4" w:space="0"/>
              <w:bottom w:val="single" w:color="auto" w:sz="4" w:space="0"/>
              <w:right w:val="single" w:color="auto" w:sz="4" w:space="0"/>
            </w:tcBorders>
            <w:vAlign w:val="center"/>
          </w:tcPr>
          <w:p w14:paraId="3EF502E9">
            <w:pPr>
              <w:spacing w:line="336" w:lineRule="auto"/>
              <w:ind w:right="-341"/>
              <w:jc w:val="center"/>
              <w:rPr>
                <w:rFonts w:ascii="Times New Roman" w:hAnsi="Times New Roman" w:eastAsia="宋体" w:cs="Times New Roman"/>
                <w:color w:val="auto"/>
              </w:rPr>
            </w:pPr>
            <w:r>
              <w:rPr>
                <w:rFonts w:hint="eastAsia" w:ascii="Times New Roman" w:hAnsi="Times New Roman" w:eastAsia="宋体" w:cs="Times New Roman"/>
                <w:color w:val="auto"/>
              </w:rPr>
              <w:t>投标报价</w:t>
            </w:r>
          </w:p>
        </w:tc>
        <w:tc>
          <w:tcPr>
            <w:tcW w:w="2700" w:type="dxa"/>
            <w:tcBorders>
              <w:top w:val="single" w:color="auto" w:sz="4" w:space="0"/>
              <w:left w:val="single" w:color="auto" w:sz="4" w:space="0"/>
              <w:bottom w:val="single" w:color="auto" w:sz="4" w:space="0"/>
              <w:right w:val="single" w:color="auto" w:sz="4" w:space="0"/>
            </w:tcBorders>
            <w:vAlign w:val="center"/>
          </w:tcPr>
          <w:p w14:paraId="5AD040B2">
            <w:pPr>
              <w:spacing w:line="336" w:lineRule="auto"/>
              <w:ind w:right="-341"/>
              <w:jc w:val="center"/>
              <w:rPr>
                <w:rFonts w:hint="eastAsia" w:ascii="Times New Roman" w:hAnsi="Times New Roman" w:eastAsia="宋体" w:cs="Times New Roman"/>
                <w:color w:val="auto"/>
              </w:rPr>
            </w:pPr>
            <w:r>
              <w:rPr>
                <w:rFonts w:hint="eastAsia" w:ascii="Times New Roman" w:hAnsi="Times New Roman" w:eastAsia="宋体" w:cs="Times New Roman"/>
                <w:color w:val="auto"/>
              </w:rPr>
              <w:t>15</w:t>
            </w:r>
          </w:p>
        </w:tc>
      </w:tr>
      <w:tr w14:paraId="0B565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 w:hRule="atLeast"/>
        </w:trPr>
        <w:tc>
          <w:tcPr>
            <w:tcW w:w="5040" w:type="dxa"/>
            <w:tcBorders>
              <w:top w:val="single" w:color="auto" w:sz="4" w:space="0"/>
              <w:left w:val="single" w:color="auto" w:sz="4" w:space="0"/>
              <w:bottom w:val="single" w:color="auto" w:sz="4" w:space="0"/>
              <w:right w:val="single" w:color="auto" w:sz="4" w:space="0"/>
            </w:tcBorders>
            <w:vAlign w:val="center"/>
          </w:tcPr>
          <w:p w14:paraId="600EBC0D">
            <w:pPr>
              <w:spacing w:line="336" w:lineRule="auto"/>
              <w:ind w:right="-341"/>
              <w:jc w:val="center"/>
              <w:rPr>
                <w:rFonts w:ascii="Times New Roman" w:hAnsi="Times New Roman" w:eastAsia="宋体" w:cs="Times New Roman"/>
                <w:color w:val="auto"/>
              </w:rPr>
            </w:pPr>
            <w:r>
              <w:rPr>
                <w:rFonts w:hint="eastAsia" w:ascii="Times New Roman" w:hAnsi="Times New Roman" w:eastAsia="宋体" w:cs="Times New Roman"/>
                <w:color w:val="auto"/>
              </w:rPr>
              <w:t>合计</w:t>
            </w:r>
          </w:p>
        </w:tc>
        <w:tc>
          <w:tcPr>
            <w:tcW w:w="2700" w:type="dxa"/>
            <w:tcBorders>
              <w:top w:val="single" w:color="auto" w:sz="4" w:space="0"/>
              <w:left w:val="single" w:color="auto" w:sz="4" w:space="0"/>
              <w:bottom w:val="single" w:color="auto" w:sz="4" w:space="0"/>
              <w:right w:val="single" w:color="auto" w:sz="4" w:space="0"/>
            </w:tcBorders>
            <w:vAlign w:val="center"/>
          </w:tcPr>
          <w:p w14:paraId="1AAF3736">
            <w:pPr>
              <w:spacing w:line="336" w:lineRule="auto"/>
              <w:ind w:right="-341"/>
              <w:jc w:val="center"/>
              <w:rPr>
                <w:rFonts w:ascii="Times New Roman" w:hAnsi="Times New Roman" w:eastAsia="宋体" w:cs="Times New Roman"/>
                <w:color w:val="auto"/>
              </w:rPr>
            </w:pPr>
            <w:r>
              <w:rPr>
                <w:rFonts w:ascii="Times New Roman" w:hAnsi="Times New Roman" w:eastAsia="宋体" w:cs="Times New Roman"/>
                <w:color w:val="auto"/>
              </w:rPr>
              <w:t>100</w:t>
            </w:r>
          </w:p>
        </w:tc>
      </w:tr>
    </w:tbl>
    <w:p w14:paraId="78BE82FC">
      <w:pPr>
        <w:autoSpaceDE w:val="0"/>
        <w:autoSpaceDN w:val="0"/>
        <w:adjustRightInd w:val="0"/>
        <w:spacing w:line="336" w:lineRule="auto"/>
        <w:ind w:right="-341" w:firstLine="424" w:firstLineChars="202"/>
        <w:rPr>
          <w:rFonts w:ascii="Times New Roman" w:hAnsi="Times New Roman" w:eastAsia="宋体" w:cs="Times New Roman"/>
          <w:color w:val="auto"/>
        </w:rPr>
      </w:pPr>
      <w:r>
        <w:rPr>
          <w:rFonts w:hint="eastAsia" w:ascii="Times New Roman" w:hAnsi="Times New Roman" w:eastAsia="宋体" w:cs="Times New Roman"/>
          <w:color w:val="auto"/>
        </w:rPr>
        <w:t>综合得分</w:t>
      </w:r>
      <w:r>
        <w:rPr>
          <w:rFonts w:ascii="Times New Roman" w:hAnsi="Times New Roman" w:eastAsia="宋体" w:cs="Times New Roman"/>
          <w:color w:val="auto"/>
        </w:rPr>
        <w:t>=</w:t>
      </w:r>
      <w:r>
        <w:rPr>
          <w:rFonts w:hint="eastAsia" w:ascii="Times New Roman" w:hAnsi="Times New Roman" w:eastAsia="宋体" w:cs="Times New Roman"/>
          <w:color w:val="auto"/>
        </w:rPr>
        <w:t>商务技术得分＋价格得分</w:t>
      </w:r>
      <w:r>
        <w:rPr>
          <w:rFonts w:ascii="Times New Roman" w:hAnsi="Times New Roman" w:eastAsia="宋体" w:cs="Times New Roman"/>
          <w:color w:val="auto"/>
        </w:rPr>
        <w:t>(</w:t>
      </w:r>
      <w:r>
        <w:rPr>
          <w:rFonts w:hint="eastAsia" w:ascii="Times New Roman" w:hAnsi="Times New Roman" w:eastAsia="宋体" w:cs="Times New Roman"/>
          <w:color w:val="auto"/>
        </w:rPr>
        <w:t>评分过程中采用四舍五入法，并保留小数</w:t>
      </w:r>
      <w:r>
        <w:rPr>
          <w:rFonts w:ascii="Times New Roman" w:hAnsi="Times New Roman" w:eastAsia="宋体" w:cs="Times New Roman"/>
          <w:color w:val="auto"/>
        </w:rPr>
        <w:t>2</w:t>
      </w:r>
      <w:r>
        <w:rPr>
          <w:rFonts w:hint="eastAsia" w:ascii="Times New Roman" w:hAnsi="Times New Roman" w:eastAsia="宋体" w:cs="Times New Roman"/>
          <w:color w:val="auto"/>
        </w:rPr>
        <w:t>位</w:t>
      </w:r>
      <w:r>
        <w:rPr>
          <w:rFonts w:ascii="Times New Roman" w:hAnsi="Times New Roman" w:eastAsia="宋体" w:cs="Times New Roman"/>
          <w:color w:val="auto"/>
        </w:rPr>
        <w:t>)</w:t>
      </w:r>
    </w:p>
    <w:p w14:paraId="31B14289">
      <w:pPr>
        <w:autoSpaceDE w:val="0"/>
        <w:autoSpaceDN w:val="0"/>
        <w:adjustRightInd w:val="0"/>
        <w:spacing w:line="336" w:lineRule="auto"/>
        <w:ind w:right="-341" w:firstLine="424" w:firstLineChars="202"/>
        <w:rPr>
          <w:rFonts w:ascii="Times New Roman" w:hAnsi="Times New Roman" w:eastAsia="宋体" w:cs="Times New Roman"/>
          <w:color w:val="auto"/>
        </w:rPr>
      </w:pPr>
      <w:bookmarkStart w:id="41" w:name="_Hlk113978293"/>
      <w:r>
        <w:rPr>
          <w:rFonts w:hint="eastAsia" w:ascii="Times New Roman" w:hAnsi="Times New Roman" w:eastAsia="宋体" w:cs="Times New Roman"/>
          <w:color w:val="auto"/>
        </w:rPr>
        <w:t>将综合得分从高到低排序，得出参投标人名次。得分相同时，按投标报价由低到高顺序排列，得分且投标报价相同的，按技术指标优劣顺序排列</w:t>
      </w:r>
    </w:p>
    <w:bookmarkEnd w:id="41"/>
    <w:p w14:paraId="373EBB86">
      <w:pPr>
        <w:tabs>
          <w:tab w:val="left" w:pos="1620"/>
        </w:tabs>
        <w:spacing w:line="336" w:lineRule="auto"/>
        <w:ind w:left="1111" w:leftChars="228" w:hanging="632" w:hangingChars="300"/>
        <w:rPr>
          <w:rFonts w:ascii="Times New Roman" w:hAnsi="Times New Roman" w:eastAsia="宋体" w:cs="Times New Roman"/>
          <w:b/>
          <w:color w:val="auto"/>
        </w:rPr>
      </w:pPr>
      <w:r>
        <w:rPr>
          <w:rFonts w:hint="eastAsia" w:ascii="Times New Roman" w:hAnsi="Times New Roman" w:eastAsia="宋体" w:cs="Times New Roman"/>
          <w:b/>
          <w:color w:val="auto"/>
        </w:rPr>
        <w:t>候选中标商的选取</w:t>
      </w:r>
    </w:p>
    <w:p w14:paraId="5CCDCE57">
      <w:pPr>
        <w:spacing w:line="336" w:lineRule="auto"/>
        <w:ind w:right="-341" w:firstLine="525" w:firstLineChars="250"/>
        <w:rPr>
          <w:rFonts w:ascii="Times New Roman" w:hAnsi="Times New Roman" w:eastAsia="宋体" w:cs="Times New Roman"/>
          <w:b/>
          <w:color w:val="auto"/>
          <w:sz w:val="28"/>
          <w:szCs w:val="28"/>
          <w:lang w:val="zh-CN"/>
        </w:rPr>
      </w:pPr>
      <w:r>
        <w:rPr>
          <w:rFonts w:hint="eastAsia" w:ascii="Times New Roman" w:hAnsi="Times New Roman" w:eastAsia="宋体" w:cs="Times New Roman"/>
          <w:color w:val="auto"/>
        </w:rPr>
        <w:t>按照综合得分名次推荐候选中标人</w:t>
      </w:r>
      <w:r>
        <w:rPr>
          <w:rFonts w:ascii="Times New Roman" w:hAnsi="Times New Roman" w:eastAsia="宋体" w:cs="Times New Roman"/>
          <w:color w:val="auto"/>
        </w:rPr>
        <w:t>1</w:t>
      </w:r>
      <w:r>
        <w:rPr>
          <w:rFonts w:hint="eastAsia" w:ascii="Times New Roman" w:hAnsi="Times New Roman" w:eastAsia="宋体" w:cs="Times New Roman"/>
          <w:color w:val="auto"/>
        </w:rPr>
        <w:t>名。</w:t>
      </w:r>
    </w:p>
    <w:p w14:paraId="4B6A3215">
      <w:pPr>
        <w:rPr>
          <w:rFonts w:ascii="Times New Roman" w:hAnsi="Times New Roman" w:eastAsia="宋体" w:cs="Times New Roman"/>
          <w:b/>
          <w:color w:val="auto"/>
          <w:sz w:val="24"/>
          <w:szCs w:val="24"/>
        </w:rPr>
      </w:pPr>
    </w:p>
    <w:p w14:paraId="65253C84">
      <w:pPr>
        <w:pStyle w:val="18"/>
        <w:rPr>
          <w:color w:val="auto"/>
        </w:rPr>
      </w:pPr>
    </w:p>
    <w:p w14:paraId="33E9D939">
      <w:pPr>
        <w:rPr>
          <w:rFonts w:hint="eastAsia"/>
          <w:color w:val="auto"/>
        </w:rPr>
      </w:pPr>
    </w:p>
    <w:p w14:paraId="39981A18">
      <w:pPr>
        <w:pStyle w:val="18"/>
        <w:rPr>
          <w:color w:val="auto"/>
        </w:rPr>
      </w:pPr>
    </w:p>
    <w:p w14:paraId="421D4E4A">
      <w:pPr>
        <w:rPr>
          <w:rFonts w:hint="eastAsia"/>
          <w:color w:val="auto"/>
        </w:rPr>
      </w:pPr>
    </w:p>
    <w:p w14:paraId="48F42C3F">
      <w:pPr>
        <w:pStyle w:val="18"/>
        <w:rPr>
          <w:color w:val="auto"/>
        </w:rPr>
      </w:pPr>
    </w:p>
    <w:p w14:paraId="6AE31F9C">
      <w:pPr>
        <w:rPr>
          <w:rFonts w:hint="eastAsia"/>
          <w:color w:val="auto"/>
        </w:rPr>
      </w:pPr>
    </w:p>
    <w:p w14:paraId="618605BF">
      <w:pPr>
        <w:pStyle w:val="18"/>
        <w:rPr>
          <w:color w:val="auto"/>
        </w:rPr>
      </w:pPr>
    </w:p>
    <w:p w14:paraId="4DB4F2FB">
      <w:pPr>
        <w:rPr>
          <w:rFonts w:hint="eastAsia"/>
          <w:color w:val="auto"/>
        </w:rPr>
      </w:pPr>
    </w:p>
    <w:p w14:paraId="37A16F3A">
      <w:pPr>
        <w:pStyle w:val="18"/>
        <w:rPr>
          <w:color w:val="auto"/>
        </w:rPr>
      </w:pPr>
    </w:p>
    <w:p w14:paraId="64A3999D">
      <w:pPr>
        <w:spacing w:line="288" w:lineRule="auto"/>
        <w:ind w:right="-341"/>
        <w:jc w:val="center"/>
        <w:rPr>
          <w:rFonts w:ascii="Times New Roman" w:hAnsi="Times New Roman" w:eastAsia="宋体" w:cs="Times New Roman"/>
          <w:b/>
          <w:color w:val="auto"/>
          <w:sz w:val="24"/>
          <w:szCs w:val="24"/>
        </w:rPr>
      </w:pPr>
    </w:p>
    <w:p w14:paraId="4E443EFE">
      <w:pPr>
        <w:spacing w:line="288" w:lineRule="auto"/>
        <w:ind w:right="-341"/>
        <w:jc w:val="center"/>
        <w:rPr>
          <w:rFonts w:ascii="Times New Roman" w:hAnsi="Times New Roman" w:eastAsia="宋体" w:cs="Times New Roman"/>
          <w:b/>
          <w:color w:val="auto"/>
          <w:sz w:val="24"/>
          <w:szCs w:val="24"/>
        </w:rPr>
      </w:pPr>
    </w:p>
    <w:p w14:paraId="00649A8D">
      <w:pPr>
        <w:spacing w:line="288" w:lineRule="auto"/>
        <w:ind w:right="-341"/>
        <w:jc w:val="center"/>
        <w:rPr>
          <w:rFonts w:ascii="Times New Roman" w:hAnsi="Times New Roman" w:eastAsia="宋体" w:cs="Times New Roman"/>
          <w:b/>
          <w:color w:val="auto"/>
          <w:sz w:val="24"/>
          <w:szCs w:val="24"/>
        </w:rPr>
      </w:pPr>
    </w:p>
    <w:p w14:paraId="084A6D45">
      <w:pPr>
        <w:spacing w:line="288" w:lineRule="auto"/>
        <w:ind w:right="-341"/>
        <w:jc w:val="center"/>
        <w:rPr>
          <w:rFonts w:ascii="Times New Roman" w:hAnsi="Times New Roman" w:eastAsia="宋体" w:cs="Times New Roman"/>
          <w:b/>
          <w:color w:val="auto"/>
          <w:sz w:val="24"/>
          <w:szCs w:val="24"/>
        </w:rPr>
      </w:pPr>
    </w:p>
    <w:p w14:paraId="07CBEF76">
      <w:pPr>
        <w:spacing w:line="288" w:lineRule="auto"/>
        <w:ind w:right="-341"/>
        <w:jc w:val="center"/>
        <w:rPr>
          <w:rFonts w:ascii="Times New Roman" w:hAnsi="Times New Roman" w:eastAsia="宋体" w:cs="Times New Roman"/>
          <w:b/>
          <w:color w:val="auto"/>
          <w:sz w:val="24"/>
          <w:szCs w:val="24"/>
        </w:rPr>
      </w:pPr>
    </w:p>
    <w:p w14:paraId="3D77A1CA">
      <w:pPr>
        <w:tabs>
          <w:tab w:val="left" w:pos="1476"/>
          <w:tab w:val="center" w:pos="4651"/>
        </w:tabs>
        <w:spacing w:line="288" w:lineRule="auto"/>
        <w:ind w:right="-341"/>
        <w:rPr>
          <w:rFonts w:ascii="Times New Roman" w:hAnsi="Times New Roman" w:eastAsia="宋体" w:cs="Times New Roman"/>
          <w:b/>
          <w:color w:val="auto"/>
          <w:sz w:val="24"/>
          <w:szCs w:val="24"/>
        </w:rPr>
      </w:pPr>
    </w:p>
    <w:p w14:paraId="1E3D62BD">
      <w:pPr>
        <w:tabs>
          <w:tab w:val="left" w:pos="1476"/>
          <w:tab w:val="center" w:pos="4651"/>
        </w:tabs>
        <w:spacing w:line="288" w:lineRule="auto"/>
        <w:ind w:right="-341"/>
        <w:jc w:val="center"/>
        <w:rPr>
          <w:rFonts w:ascii="Times New Roman" w:hAnsi="Times New Roman" w:eastAsia="宋体" w:cs="Times New Roman"/>
          <w:color w:val="auto"/>
          <w:szCs w:val="21"/>
        </w:rPr>
      </w:pPr>
      <w:r>
        <w:rPr>
          <w:rFonts w:hint="eastAsia" w:ascii="Times New Roman" w:hAnsi="Times New Roman" w:eastAsia="宋体" w:cs="Times New Roman"/>
          <w:b/>
          <w:color w:val="auto"/>
          <w:sz w:val="24"/>
          <w:szCs w:val="24"/>
        </w:rPr>
        <w:t>新城垃圾中转站渗滤液处置项目评分表</w:t>
      </w:r>
    </w:p>
    <w:p w14:paraId="55BEC006">
      <w:pPr>
        <w:spacing w:line="288" w:lineRule="auto"/>
        <w:ind w:right="-341"/>
        <w:jc w:val="left"/>
        <w:rPr>
          <w:rFonts w:ascii="Times New Roman" w:hAnsi="Times New Roman" w:eastAsia="宋体" w:cs="Times New Roman"/>
          <w:b/>
          <w:color w:val="auto"/>
          <w:szCs w:val="21"/>
        </w:rPr>
      </w:pPr>
    </w:p>
    <w:p w14:paraId="455AFA4F">
      <w:pPr>
        <w:spacing w:line="288" w:lineRule="auto"/>
        <w:ind w:right="-341"/>
        <w:jc w:val="left"/>
        <w:rPr>
          <w:rFonts w:ascii="Times New Roman" w:hAnsi="Times New Roman" w:eastAsia="宋体" w:cs="Times New Roman"/>
          <w:b/>
          <w:color w:val="auto"/>
          <w:szCs w:val="21"/>
        </w:rPr>
      </w:pPr>
      <w:r>
        <w:rPr>
          <w:rFonts w:hint="eastAsia" w:ascii="Times New Roman" w:hAnsi="Times New Roman" w:eastAsia="宋体" w:cs="Times New Roman"/>
          <w:b/>
          <w:color w:val="auto"/>
          <w:szCs w:val="21"/>
        </w:rPr>
        <w:t xml:space="preserve">项目名称：新城垃圾中转站渗滤液处置项目  </w:t>
      </w:r>
    </w:p>
    <w:p w14:paraId="0ECB1625">
      <w:pPr>
        <w:spacing w:line="360" w:lineRule="auto"/>
        <w:ind w:right="-341"/>
        <w:jc w:val="left"/>
        <w:rPr>
          <w:rFonts w:hint="eastAsia"/>
          <w:color w:val="auto"/>
        </w:rPr>
      </w:pPr>
      <w:r>
        <w:rPr>
          <w:rFonts w:hint="eastAsia" w:ascii="宋体" w:hAnsi="宋体" w:eastAsia="宋体" w:cs="Times New Roman"/>
          <w:b/>
          <w:color w:val="auto"/>
          <w:szCs w:val="21"/>
        </w:rPr>
        <w:t>项目编号：SZGXZS2025033</w:t>
      </w:r>
      <w:r>
        <w:rPr>
          <w:rFonts w:ascii="宋体" w:hAnsi="宋体" w:eastAsia="宋体" w:cs="Times New Roman"/>
          <w:color w:val="auto"/>
          <w:szCs w:val="21"/>
        </w:rPr>
        <w:t xml:space="preserve"> </w:t>
      </w:r>
    </w:p>
    <w:tbl>
      <w:tblPr>
        <w:tblStyle w:val="62"/>
        <w:tblW w:w="99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9"/>
        <w:gridCol w:w="1536"/>
        <w:gridCol w:w="6882"/>
        <w:gridCol w:w="656"/>
      </w:tblGrid>
      <w:tr w14:paraId="668B2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6" w:hRule="atLeast"/>
          <w:jc w:val="center"/>
        </w:trPr>
        <w:tc>
          <w:tcPr>
            <w:tcW w:w="879" w:type="dxa"/>
            <w:vMerge w:val="restart"/>
            <w:tcBorders>
              <w:top w:val="single" w:color="auto" w:sz="4" w:space="0"/>
              <w:left w:val="single" w:color="auto" w:sz="4" w:space="0"/>
              <w:bottom w:val="single" w:color="auto" w:sz="4" w:space="0"/>
              <w:right w:val="single" w:color="auto" w:sz="4" w:space="0"/>
            </w:tcBorders>
            <w:vAlign w:val="center"/>
          </w:tcPr>
          <w:p w14:paraId="0CF6A2D4">
            <w:pPr>
              <w:jc w:val="center"/>
              <w:rPr>
                <w:rFonts w:ascii="Times New Roman" w:hAnsi="Times New Roman" w:eastAsia="宋体" w:cs="Times New Roman"/>
                <w:color w:val="auto"/>
              </w:rPr>
            </w:pPr>
            <w:r>
              <w:rPr>
                <w:rFonts w:ascii="Times New Roman" w:hAnsi="Times New Roman" w:eastAsia="宋体" w:cs="Times New Roman"/>
                <w:color w:val="auto"/>
              </w:rPr>
              <w:t>评审项目</w:t>
            </w:r>
          </w:p>
        </w:tc>
        <w:tc>
          <w:tcPr>
            <w:tcW w:w="1536" w:type="dxa"/>
            <w:vMerge w:val="restart"/>
            <w:tcBorders>
              <w:top w:val="single" w:color="auto" w:sz="4" w:space="0"/>
              <w:left w:val="single" w:color="auto" w:sz="4" w:space="0"/>
              <w:bottom w:val="single" w:color="auto" w:sz="4" w:space="0"/>
              <w:right w:val="single" w:color="auto" w:sz="4" w:space="0"/>
            </w:tcBorders>
            <w:vAlign w:val="center"/>
          </w:tcPr>
          <w:p w14:paraId="7AE1D732">
            <w:pPr>
              <w:jc w:val="center"/>
              <w:rPr>
                <w:rFonts w:ascii="Times New Roman" w:hAnsi="Times New Roman" w:eastAsia="宋体" w:cs="Times New Roman"/>
                <w:color w:val="auto"/>
              </w:rPr>
            </w:pPr>
            <w:r>
              <w:rPr>
                <w:rFonts w:ascii="Times New Roman" w:hAnsi="Times New Roman" w:eastAsia="宋体" w:cs="Times New Roman"/>
                <w:color w:val="auto"/>
              </w:rPr>
              <w:t>评审内容</w:t>
            </w:r>
          </w:p>
        </w:tc>
        <w:tc>
          <w:tcPr>
            <w:tcW w:w="6882" w:type="dxa"/>
            <w:vMerge w:val="restart"/>
            <w:tcBorders>
              <w:top w:val="single" w:color="auto" w:sz="4" w:space="0"/>
              <w:left w:val="single" w:color="auto" w:sz="4" w:space="0"/>
              <w:bottom w:val="single" w:color="auto" w:sz="4" w:space="0"/>
              <w:right w:val="single" w:color="auto" w:sz="4" w:space="0"/>
            </w:tcBorders>
            <w:vAlign w:val="center"/>
          </w:tcPr>
          <w:p w14:paraId="141CE705">
            <w:pPr>
              <w:ind w:firstLine="210"/>
              <w:jc w:val="center"/>
              <w:rPr>
                <w:rFonts w:ascii="Times New Roman" w:hAnsi="Times New Roman" w:eastAsia="宋体" w:cs="Times New Roman"/>
                <w:color w:val="auto"/>
              </w:rPr>
            </w:pPr>
            <w:r>
              <w:rPr>
                <w:rFonts w:ascii="Times New Roman" w:hAnsi="Times New Roman" w:eastAsia="宋体" w:cs="Times New Roman"/>
                <w:color w:val="auto"/>
              </w:rPr>
              <w:t>评分标准</w:t>
            </w:r>
          </w:p>
        </w:tc>
        <w:tc>
          <w:tcPr>
            <w:tcW w:w="656" w:type="dxa"/>
            <w:vMerge w:val="restart"/>
            <w:tcBorders>
              <w:top w:val="single" w:color="auto" w:sz="4" w:space="0"/>
              <w:left w:val="single" w:color="auto" w:sz="4" w:space="0"/>
              <w:bottom w:val="single" w:color="auto" w:sz="4" w:space="0"/>
              <w:right w:val="single" w:color="auto" w:sz="4" w:space="0"/>
            </w:tcBorders>
            <w:vAlign w:val="center"/>
          </w:tcPr>
          <w:p w14:paraId="10F33C87">
            <w:pPr>
              <w:jc w:val="center"/>
              <w:rPr>
                <w:rFonts w:ascii="Times New Roman" w:hAnsi="Times New Roman" w:eastAsia="宋体" w:cs="Times New Roman"/>
                <w:color w:val="auto"/>
              </w:rPr>
            </w:pPr>
            <w:r>
              <w:rPr>
                <w:rFonts w:ascii="Times New Roman" w:hAnsi="Times New Roman" w:eastAsia="宋体" w:cs="Times New Roman"/>
                <w:color w:val="auto"/>
              </w:rPr>
              <w:t>得分</w:t>
            </w:r>
          </w:p>
        </w:tc>
      </w:tr>
      <w:tr w14:paraId="344B8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6" w:hRule="atLeast"/>
          <w:jc w:val="center"/>
        </w:trPr>
        <w:tc>
          <w:tcPr>
            <w:tcW w:w="879" w:type="dxa"/>
            <w:vMerge w:val="continue"/>
            <w:tcBorders>
              <w:top w:val="single" w:color="auto" w:sz="4" w:space="0"/>
              <w:left w:val="single" w:color="auto" w:sz="4" w:space="0"/>
              <w:bottom w:val="single" w:color="auto" w:sz="4" w:space="0"/>
              <w:right w:val="single" w:color="auto" w:sz="4" w:space="0"/>
            </w:tcBorders>
            <w:vAlign w:val="center"/>
          </w:tcPr>
          <w:p w14:paraId="2F455CD9">
            <w:pPr>
              <w:widowControl/>
              <w:jc w:val="center"/>
              <w:rPr>
                <w:rFonts w:ascii="Times New Roman" w:hAnsi="Times New Roman" w:eastAsia="宋体" w:cs="Times New Roman"/>
                <w:color w:val="auto"/>
              </w:rPr>
            </w:pPr>
          </w:p>
        </w:tc>
        <w:tc>
          <w:tcPr>
            <w:tcW w:w="1536" w:type="dxa"/>
            <w:vMerge w:val="continue"/>
            <w:tcBorders>
              <w:top w:val="single" w:color="auto" w:sz="4" w:space="0"/>
              <w:left w:val="single" w:color="auto" w:sz="4" w:space="0"/>
              <w:bottom w:val="single" w:color="auto" w:sz="4" w:space="0"/>
              <w:right w:val="single" w:color="auto" w:sz="4" w:space="0"/>
            </w:tcBorders>
            <w:vAlign w:val="center"/>
          </w:tcPr>
          <w:p w14:paraId="605038B8">
            <w:pPr>
              <w:widowControl/>
              <w:jc w:val="center"/>
              <w:rPr>
                <w:rFonts w:ascii="Times New Roman" w:hAnsi="Times New Roman" w:eastAsia="宋体" w:cs="Times New Roman"/>
                <w:color w:val="auto"/>
              </w:rPr>
            </w:pPr>
          </w:p>
        </w:tc>
        <w:tc>
          <w:tcPr>
            <w:tcW w:w="6882" w:type="dxa"/>
            <w:vMerge w:val="continue"/>
            <w:tcBorders>
              <w:top w:val="single" w:color="auto" w:sz="4" w:space="0"/>
              <w:left w:val="single" w:color="auto" w:sz="4" w:space="0"/>
              <w:bottom w:val="single" w:color="auto" w:sz="4" w:space="0"/>
              <w:right w:val="single" w:color="auto" w:sz="4" w:space="0"/>
            </w:tcBorders>
            <w:vAlign w:val="center"/>
          </w:tcPr>
          <w:p w14:paraId="5BBBDB75">
            <w:pPr>
              <w:widowControl/>
              <w:jc w:val="left"/>
              <w:rPr>
                <w:rFonts w:ascii="Times New Roman" w:hAnsi="Times New Roman" w:eastAsia="宋体" w:cs="Times New Roman"/>
                <w:color w:val="auto"/>
              </w:rPr>
            </w:pPr>
          </w:p>
        </w:tc>
        <w:tc>
          <w:tcPr>
            <w:tcW w:w="656" w:type="dxa"/>
            <w:vMerge w:val="continue"/>
            <w:tcBorders>
              <w:top w:val="single" w:color="auto" w:sz="4" w:space="0"/>
              <w:left w:val="single" w:color="auto" w:sz="4" w:space="0"/>
              <w:bottom w:val="single" w:color="auto" w:sz="4" w:space="0"/>
              <w:right w:val="single" w:color="auto" w:sz="4" w:space="0"/>
            </w:tcBorders>
            <w:vAlign w:val="center"/>
          </w:tcPr>
          <w:p w14:paraId="79F44A0F">
            <w:pPr>
              <w:widowControl/>
              <w:jc w:val="left"/>
              <w:rPr>
                <w:rFonts w:ascii="Times New Roman" w:hAnsi="Times New Roman" w:eastAsia="宋体" w:cs="Times New Roman"/>
                <w:color w:val="auto"/>
              </w:rPr>
            </w:pPr>
          </w:p>
        </w:tc>
      </w:tr>
      <w:tr w14:paraId="1B9574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4" w:hRule="atLeast"/>
          <w:jc w:val="center"/>
        </w:trPr>
        <w:tc>
          <w:tcPr>
            <w:tcW w:w="879" w:type="dxa"/>
            <w:vMerge w:val="restart"/>
            <w:tcBorders>
              <w:top w:val="single" w:color="auto" w:sz="4" w:space="0"/>
              <w:left w:val="single" w:color="auto" w:sz="4" w:space="0"/>
              <w:right w:val="single" w:color="auto" w:sz="4" w:space="0"/>
            </w:tcBorders>
            <w:shd w:val="clear" w:color="auto" w:fill="auto"/>
            <w:vAlign w:val="center"/>
          </w:tcPr>
          <w:p w14:paraId="122615D6">
            <w:pPr>
              <w:jc w:val="center"/>
              <w:rPr>
                <w:rFonts w:ascii="Times New Roman" w:hAnsi="Times New Roman" w:eastAsia="宋体" w:cs="Times New Roman"/>
                <w:color w:val="auto"/>
              </w:rPr>
            </w:pPr>
            <w:r>
              <w:rPr>
                <w:rFonts w:ascii="Times New Roman" w:hAnsi="Times New Roman" w:eastAsia="宋体" w:cs="Times New Roman"/>
                <w:color w:val="auto"/>
              </w:rPr>
              <w:t>商务技术</w:t>
            </w:r>
          </w:p>
          <w:p w14:paraId="4E4F8E86">
            <w:pPr>
              <w:jc w:val="center"/>
              <w:rPr>
                <w:rFonts w:ascii="Times New Roman" w:hAnsi="Times New Roman" w:eastAsia="宋体" w:cs="Times New Roman"/>
                <w:color w:val="auto"/>
              </w:rPr>
            </w:pPr>
            <w:r>
              <w:rPr>
                <w:rFonts w:ascii="Times New Roman" w:hAnsi="Times New Roman" w:eastAsia="宋体" w:cs="Times New Roman"/>
                <w:color w:val="auto"/>
              </w:rPr>
              <w:t>得分</w:t>
            </w:r>
          </w:p>
          <w:p w14:paraId="6894190C">
            <w:pPr>
              <w:jc w:val="center"/>
              <w:rPr>
                <w:rFonts w:ascii="Times New Roman" w:hAnsi="Times New Roman" w:eastAsia="宋体" w:cs="Times New Roman"/>
                <w:color w:val="auto"/>
              </w:rPr>
            </w:pPr>
            <w:r>
              <w:rPr>
                <w:rFonts w:ascii="Times New Roman" w:hAnsi="Times New Roman" w:eastAsia="宋体" w:cs="Times New Roman"/>
                <w:color w:val="auto"/>
              </w:rPr>
              <w:t>（</w:t>
            </w:r>
            <w:r>
              <w:rPr>
                <w:rFonts w:hint="eastAsia" w:ascii="Times New Roman" w:hAnsi="Times New Roman" w:eastAsia="宋体" w:cs="Times New Roman"/>
                <w:color w:val="auto"/>
              </w:rPr>
              <w:t>85</w:t>
            </w:r>
            <w:r>
              <w:rPr>
                <w:rFonts w:ascii="Times New Roman" w:hAnsi="Times New Roman" w:eastAsia="宋体" w:cs="Times New Roman"/>
                <w:color w:val="auto"/>
              </w:rPr>
              <w:t>分）</w:t>
            </w:r>
          </w:p>
        </w:tc>
        <w:tc>
          <w:tcPr>
            <w:tcW w:w="1536" w:type="dxa"/>
            <w:tcBorders>
              <w:top w:val="single" w:color="auto" w:sz="4" w:space="0"/>
              <w:left w:val="single" w:color="auto" w:sz="4" w:space="0"/>
              <w:right w:val="single" w:color="auto" w:sz="4" w:space="0"/>
            </w:tcBorders>
            <w:shd w:val="clear" w:color="auto" w:fill="auto"/>
            <w:vAlign w:val="center"/>
          </w:tcPr>
          <w:p w14:paraId="74E03B94">
            <w:pPr>
              <w:jc w:val="center"/>
              <w:rPr>
                <w:rFonts w:ascii="Times New Roman" w:hAnsi="Times New Roman" w:eastAsia="宋体" w:cs="Times New Roman"/>
                <w:color w:val="auto"/>
              </w:rPr>
            </w:pPr>
            <w:r>
              <w:rPr>
                <w:rFonts w:hint="eastAsia" w:ascii="Times New Roman" w:hAnsi="Times New Roman" w:eastAsia="宋体" w:cs="Times New Roman"/>
                <w:color w:val="auto"/>
              </w:rPr>
              <w:t>同类案例</w:t>
            </w:r>
          </w:p>
          <w:p w14:paraId="1F5EA76F">
            <w:pPr>
              <w:spacing w:after="120"/>
              <w:jc w:val="center"/>
              <w:rPr>
                <w:rFonts w:ascii="Times New Roman" w:hAnsi="Calibri" w:eastAsia="宋体" w:cs="Times New Roman"/>
                <w:color w:val="auto"/>
                <w:kern w:val="0"/>
              </w:rPr>
            </w:pPr>
            <w:r>
              <w:rPr>
                <w:rFonts w:hint="eastAsia" w:ascii="Times New Roman" w:hAnsi="Calibri" w:eastAsia="宋体" w:cs="Times New Roman"/>
                <w:color w:val="auto"/>
                <w:kern w:val="0"/>
              </w:rPr>
              <w:t>（1分）</w:t>
            </w:r>
          </w:p>
        </w:tc>
        <w:tc>
          <w:tcPr>
            <w:tcW w:w="6882" w:type="dxa"/>
            <w:tcBorders>
              <w:top w:val="single" w:color="auto" w:sz="4" w:space="0"/>
              <w:left w:val="single" w:color="auto" w:sz="4" w:space="0"/>
              <w:right w:val="single" w:color="auto" w:sz="4" w:space="0"/>
            </w:tcBorders>
            <w:shd w:val="clear" w:color="auto" w:fill="FFFFFF"/>
            <w:vAlign w:val="center"/>
          </w:tcPr>
          <w:p w14:paraId="2BD01A98">
            <w:pPr>
              <w:rPr>
                <w:rFonts w:hint="eastAsia" w:ascii="宋体" w:hAnsi="宋体" w:eastAsia="宋体" w:cs="Times New Roman"/>
                <w:color w:val="auto"/>
                <w:szCs w:val="21"/>
              </w:rPr>
            </w:pPr>
            <w:r>
              <w:rPr>
                <w:rFonts w:hint="eastAsia" w:ascii="宋体" w:hAnsi="宋体" w:eastAsia="宋体" w:cs="Times New Roman"/>
                <w:color w:val="auto"/>
                <w:szCs w:val="21"/>
              </w:rPr>
              <w:t>20</w:t>
            </w:r>
            <w:r>
              <w:rPr>
                <w:rFonts w:ascii="宋体" w:hAnsi="宋体" w:eastAsia="宋体" w:cs="Times New Roman"/>
                <w:color w:val="auto"/>
                <w:szCs w:val="21"/>
              </w:rPr>
              <w:t>2</w:t>
            </w:r>
            <w:r>
              <w:rPr>
                <w:rFonts w:hint="eastAsia" w:ascii="宋体" w:hAnsi="宋体" w:eastAsia="宋体" w:cs="Times New Roman"/>
                <w:color w:val="auto"/>
                <w:szCs w:val="21"/>
              </w:rPr>
              <w:t>2年1月1日来同类项目成功案例，每提供一个得0.5分，最多得1分。</w:t>
            </w:r>
          </w:p>
          <w:p w14:paraId="3F660CE5">
            <w:pPr>
              <w:rPr>
                <w:rFonts w:hint="eastAsia" w:ascii="宋体" w:hAnsi="宋体" w:eastAsia="宋体" w:cs="Times New Roman"/>
                <w:color w:val="auto"/>
                <w:szCs w:val="21"/>
              </w:rPr>
            </w:pPr>
            <w:r>
              <w:rPr>
                <w:rFonts w:hint="eastAsia" w:ascii="宋体" w:hAnsi="宋体" w:eastAsia="宋体" w:cs="Times New Roman"/>
                <w:b/>
                <w:bCs/>
                <w:color w:val="auto"/>
                <w:szCs w:val="21"/>
              </w:rPr>
              <w:t>（提供中标通知书（如有）、合同协议书及投标人认为需要提交的其他证明材料证实，复印件加盖公章，须提供重要页面，能够体现项目内容。）</w:t>
            </w:r>
          </w:p>
        </w:tc>
        <w:tc>
          <w:tcPr>
            <w:tcW w:w="656" w:type="dxa"/>
            <w:tcBorders>
              <w:top w:val="single" w:color="auto" w:sz="4" w:space="0"/>
              <w:left w:val="single" w:color="auto" w:sz="4" w:space="0"/>
              <w:right w:val="single" w:color="auto" w:sz="4" w:space="0"/>
            </w:tcBorders>
            <w:vAlign w:val="center"/>
          </w:tcPr>
          <w:p w14:paraId="6D61DDD6">
            <w:pPr>
              <w:ind w:firstLine="210" w:firstLineChars="100"/>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客</w:t>
            </w:r>
          </w:p>
        </w:tc>
      </w:tr>
      <w:tr w14:paraId="4BBB3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4" w:hRule="atLeast"/>
          <w:jc w:val="center"/>
        </w:trPr>
        <w:tc>
          <w:tcPr>
            <w:tcW w:w="879" w:type="dxa"/>
            <w:vMerge w:val="continue"/>
            <w:tcBorders>
              <w:top w:val="single" w:color="auto" w:sz="4" w:space="0"/>
              <w:left w:val="single" w:color="auto" w:sz="4" w:space="0"/>
              <w:right w:val="single" w:color="auto" w:sz="4" w:space="0"/>
            </w:tcBorders>
            <w:shd w:val="clear" w:color="auto" w:fill="auto"/>
            <w:vAlign w:val="center"/>
          </w:tcPr>
          <w:p w14:paraId="1ACF0CE4">
            <w:pPr>
              <w:ind w:firstLine="640"/>
              <w:jc w:val="center"/>
              <w:rPr>
                <w:rFonts w:ascii="Times New Roman" w:hAnsi="Times New Roman" w:eastAsia="宋体" w:cs="Times New Roman"/>
                <w:color w:val="auto"/>
              </w:rPr>
            </w:pPr>
          </w:p>
        </w:tc>
        <w:tc>
          <w:tcPr>
            <w:tcW w:w="1536" w:type="dxa"/>
            <w:tcBorders>
              <w:top w:val="single" w:color="auto" w:sz="4" w:space="0"/>
              <w:left w:val="single" w:color="auto" w:sz="4" w:space="0"/>
              <w:right w:val="single" w:color="auto" w:sz="4" w:space="0"/>
            </w:tcBorders>
            <w:shd w:val="clear" w:color="auto" w:fill="auto"/>
            <w:vAlign w:val="top"/>
          </w:tcPr>
          <w:p w14:paraId="25170A3A">
            <w:pPr>
              <w:jc w:val="center"/>
              <w:rPr>
                <w:rFonts w:hint="eastAsia" w:ascii="Times New Roman" w:hAnsi="Times New Roman" w:eastAsia="宋体" w:cs="Times New Roman"/>
                <w:color w:val="auto"/>
                <w:lang w:eastAsia="zh-CN"/>
              </w:rPr>
            </w:pPr>
            <w:r>
              <w:rPr>
                <w:rFonts w:hint="eastAsia" w:ascii="Times New Roman" w:hAnsi="Times New Roman" w:eastAsia="宋体" w:cs="Times New Roman"/>
                <w:color w:val="auto"/>
                <w:lang w:eastAsia="zh-CN"/>
              </w:rPr>
              <w:t>管理体系</w:t>
            </w:r>
          </w:p>
          <w:p w14:paraId="6586BF62">
            <w:pPr>
              <w:jc w:val="center"/>
              <w:rPr>
                <w:rFonts w:hint="eastAsia" w:ascii="Times New Roman" w:hAnsi="Times New Roman" w:eastAsia="宋体" w:cs="Times New Roman"/>
                <w:color w:val="auto"/>
                <w:lang w:eastAsia="zh-CN"/>
              </w:rPr>
            </w:pPr>
            <w:r>
              <w:rPr>
                <w:rFonts w:hint="eastAsia" w:ascii="Times New Roman" w:hAnsi="Times New Roman" w:eastAsia="宋体" w:cs="Times New Roman"/>
                <w:color w:val="auto"/>
                <w:lang w:eastAsia="zh-CN"/>
              </w:rPr>
              <w:t>认证</w:t>
            </w:r>
          </w:p>
          <w:p w14:paraId="0A8409A7">
            <w:pPr>
              <w:jc w:val="center"/>
              <w:rPr>
                <w:rFonts w:hint="eastAsia" w:ascii="Times New Roman" w:hAnsi="Times New Roman" w:eastAsia="宋体" w:cs="Times New Roman"/>
                <w:color w:val="auto"/>
              </w:rPr>
            </w:pPr>
            <w:r>
              <w:rPr>
                <w:rFonts w:hint="eastAsia" w:ascii="Times New Roman" w:hAnsi="Times New Roman" w:eastAsia="宋体" w:cs="Times New Roman"/>
                <w:color w:val="auto"/>
                <w:lang w:eastAsia="zh-CN"/>
              </w:rPr>
              <w:t>（</w:t>
            </w:r>
            <w:r>
              <w:rPr>
                <w:rFonts w:hint="eastAsia" w:ascii="Times New Roman" w:hAnsi="Times New Roman" w:eastAsia="宋体" w:cs="Times New Roman"/>
                <w:color w:val="auto"/>
                <w:lang w:val="en-US" w:eastAsia="zh-CN"/>
              </w:rPr>
              <w:t xml:space="preserve"> 2 </w:t>
            </w:r>
            <w:r>
              <w:rPr>
                <w:rFonts w:hint="eastAsia" w:ascii="Calibri"/>
                <w:color w:val="auto"/>
                <w:sz w:val="22"/>
                <w:lang w:eastAsia="zh-CN"/>
              </w:rPr>
              <w:t>分）</w:t>
            </w:r>
          </w:p>
        </w:tc>
        <w:tc>
          <w:tcPr>
            <w:tcW w:w="6882" w:type="dxa"/>
            <w:tcBorders>
              <w:top w:val="single" w:color="auto" w:sz="4" w:space="0"/>
              <w:left w:val="single" w:color="auto" w:sz="4" w:space="0"/>
              <w:right w:val="single" w:color="auto" w:sz="4" w:space="0"/>
            </w:tcBorders>
            <w:shd w:val="clear" w:color="auto" w:fill="FFFFFF"/>
            <w:vAlign w:val="top"/>
          </w:tcPr>
          <w:p w14:paraId="7D51AB38">
            <w:pPr>
              <w:widowControl/>
              <w:rPr>
                <w:rFonts w:hint="eastAsia" w:ascii="宋体" w:hAnsi="宋体" w:eastAsia="宋体" w:cs="Times New Roman"/>
                <w:bCs/>
                <w:color w:val="auto"/>
                <w:szCs w:val="21"/>
                <w:lang w:val="en-US" w:eastAsia="zh-CN"/>
              </w:rPr>
            </w:pPr>
            <w:r>
              <w:rPr>
                <w:rFonts w:hint="eastAsia" w:ascii="宋体" w:hAnsi="宋体" w:eastAsia="宋体" w:cs="Times New Roman"/>
                <w:bCs/>
                <w:color w:val="auto"/>
                <w:szCs w:val="21"/>
                <w:lang w:val="en-US" w:eastAsia="zh-CN"/>
              </w:rPr>
              <w:t>企业具有社会责任管理体系（范围：环保水处理设备的生产、安装所涉及的社会责任管理活动）认证证书，得2分。</w:t>
            </w:r>
          </w:p>
          <w:p w14:paraId="7C695095">
            <w:pPr>
              <w:widowControl/>
              <w:rPr>
                <w:rFonts w:ascii="宋体" w:hAnsi="宋体" w:eastAsia="宋体" w:cs="Times New Roman"/>
                <w:b/>
                <w:color w:val="auto"/>
                <w:szCs w:val="21"/>
              </w:rPr>
            </w:pPr>
            <w:r>
              <w:rPr>
                <w:rFonts w:hint="eastAsia" w:ascii="宋体" w:hAnsi="宋体" w:eastAsia="宋体" w:cs="Times New Roman"/>
                <w:b/>
                <w:bCs w:val="0"/>
                <w:color w:val="auto"/>
                <w:szCs w:val="21"/>
                <w:lang w:val="en-US" w:eastAsia="zh-CN"/>
              </w:rPr>
              <w:t>（提供相关证书、证明文件复印件加盖公章。）</w:t>
            </w:r>
          </w:p>
        </w:tc>
        <w:tc>
          <w:tcPr>
            <w:tcW w:w="656" w:type="dxa"/>
            <w:tcBorders>
              <w:top w:val="single" w:color="auto" w:sz="4" w:space="0"/>
              <w:left w:val="single" w:color="auto" w:sz="4" w:space="0"/>
              <w:right w:val="single" w:color="auto" w:sz="4" w:space="0"/>
            </w:tcBorders>
            <w:vAlign w:val="center"/>
          </w:tcPr>
          <w:p w14:paraId="44EEF60E">
            <w:pPr>
              <w:ind w:firstLine="210" w:firstLineChars="100"/>
              <w:rPr>
                <w:rFonts w:ascii="Times New Roman" w:hAnsi="Times New Roman" w:eastAsia="宋体" w:cs="Times New Roman"/>
                <w:color w:val="auto"/>
              </w:rPr>
            </w:pPr>
            <w:r>
              <w:rPr>
                <w:rFonts w:hint="eastAsia" w:ascii="Times New Roman" w:hAnsi="Times New Roman" w:eastAsia="宋体" w:cs="Times New Roman"/>
                <w:color w:val="auto"/>
                <w:lang w:val="en-US" w:eastAsia="zh-CN"/>
              </w:rPr>
              <w:t>客</w:t>
            </w:r>
          </w:p>
        </w:tc>
      </w:tr>
      <w:tr w14:paraId="6B1C0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2" w:hRule="atLeast"/>
          <w:jc w:val="center"/>
        </w:trPr>
        <w:tc>
          <w:tcPr>
            <w:tcW w:w="879" w:type="dxa"/>
            <w:vMerge w:val="continue"/>
            <w:tcBorders>
              <w:top w:val="single" w:color="auto" w:sz="4" w:space="0"/>
              <w:left w:val="single" w:color="auto" w:sz="4" w:space="0"/>
              <w:right w:val="single" w:color="auto" w:sz="4" w:space="0"/>
            </w:tcBorders>
            <w:shd w:val="clear" w:color="auto" w:fill="auto"/>
            <w:vAlign w:val="center"/>
          </w:tcPr>
          <w:p w14:paraId="57B3E69D">
            <w:pPr>
              <w:ind w:firstLine="640"/>
              <w:jc w:val="center"/>
              <w:rPr>
                <w:rFonts w:ascii="Times New Roman" w:hAnsi="Times New Roman" w:eastAsia="宋体" w:cs="Times New Roman"/>
                <w:color w:val="auto"/>
              </w:rPr>
            </w:pPr>
          </w:p>
        </w:tc>
        <w:tc>
          <w:tcPr>
            <w:tcW w:w="1536" w:type="dxa"/>
            <w:vMerge w:val="restart"/>
            <w:tcBorders>
              <w:top w:val="single" w:color="auto" w:sz="4" w:space="0"/>
              <w:left w:val="single" w:color="auto" w:sz="4" w:space="0"/>
              <w:right w:val="single" w:color="auto" w:sz="4" w:space="0"/>
            </w:tcBorders>
            <w:shd w:val="clear" w:color="auto" w:fill="auto"/>
            <w:vAlign w:val="center"/>
          </w:tcPr>
          <w:p w14:paraId="0BE8D59D">
            <w:pPr>
              <w:jc w:val="center"/>
              <w:rPr>
                <w:rFonts w:ascii="Times New Roman" w:hAnsi="Times New Roman" w:eastAsia="宋体" w:cs="Times New Roman"/>
                <w:color w:val="auto"/>
              </w:rPr>
            </w:pPr>
            <w:r>
              <w:rPr>
                <w:rFonts w:hint="eastAsia" w:ascii="Times New Roman" w:hAnsi="Times New Roman" w:eastAsia="宋体" w:cs="Times New Roman"/>
                <w:color w:val="auto"/>
              </w:rPr>
              <w:t>人员配备</w:t>
            </w:r>
          </w:p>
          <w:p w14:paraId="0A662580">
            <w:pPr>
              <w:jc w:val="center"/>
              <w:rPr>
                <w:rFonts w:ascii="Times New Roman" w:hAnsi="Times New Roman" w:eastAsia="宋体" w:cs="Times New Roman"/>
                <w:color w:val="auto"/>
              </w:rPr>
            </w:pPr>
            <w:r>
              <w:rPr>
                <w:rFonts w:hint="eastAsia" w:ascii="Times New Roman" w:hAnsi="Times New Roman" w:eastAsia="宋体" w:cs="Times New Roman"/>
                <w:color w:val="auto"/>
              </w:rPr>
              <w:t>（</w:t>
            </w:r>
            <w:r>
              <w:rPr>
                <w:rFonts w:hint="eastAsia" w:ascii="Times New Roman" w:hAnsi="Times New Roman" w:eastAsia="宋体" w:cs="Times New Roman"/>
                <w:color w:val="auto"/>
                <w:lang w:val="en-US" w:eastAsia="zh-CN"/>
              </w:rPr>
              <w:t>8</w:t>
            </w:r>
            <w:r>
              <w:rPr>
                <w:rFonts w:hint="eastAsia" w:ascii="Times New Roman" w:hAnsi="Times New Roman" w:eastAsia="宋体" w:cs="Times New Roman"/>
                <w:color w:val="auto"/>
              </w:rPr>
              <w:t>分）</w:t>
            </w:r>
          </w:p>
        </w:tc>
        <w:tc>
          <w:tcPr>
            <w:tcW w:w="6882" w:type="dxa"/>
            <w:tcBorders>
              <w:top w:val="single" w:color="auto" w:sz="4" w:space="0"/>
              <w:left w:val="single" w:color="auto" w:sz="4" w:space="0"/>
              <w:right w:val="single" w:color="auto" w:sz="4" w:space="0"/>
            </w:tcBorders>
            <w:shd w:val="clear" w:color="auto" w:fill="FFFFFF"/>
            <w:vAlign w:val="center"/>
          </w:tcPr>
          <w:p w14:paraId="724E97FF">
            <w:pPr>
              <w:widowControl/>
              <w:rPr>
                <w:rFonts w:hint="eastAsia" w:ascii="宋体" w:hAnsi="宋体" w:eastAsia="宋体" w:cs="Times New Roman"/>
                <w:bCs/>
                <w:color w:val="auto"/>
                <w:szCs w:val="21"/>
              </w:rPr>
            </w:pPr>
            <w:r>
              <w:rPr>
                <w:rFonts w:hint="eastAsia" w:ascii="宋体" w:hAnsi="宋体" w:eastAsia="宋体" w:cs="Times New Roman"/>
                <w:bCs/>
                <w:color w:val="auto"/>
                <w:szCs w:val="21"/>
              </w:rPr>
              <w:t>项目负责人自2022年</w:t>
            </w:r>
            <w:r>
              <w:rPr>
                <w:rFonts w:hint="eastAsia" w:ascii="宋体" w:hAnsi="宋体" w:eastAsia="宋体" w:cs="Times New Roman"/>
                <w:bCs/>
                <w:color w:val="auto"/>
                <w:szCs w:val="21"/>
                <w:lang w:val="en-US" w:eastAsia="zh-CN"/>
              </w:rPr>
              <w:t>4</w:t>
            </w:r>
            <w:r>
              <w:rPr>
                <w:rFonts w:hint="eastAsia" w:ascii="宋体" w:hAnsi="宋体" w:eastAsia="宋体" w:cs="Times New Roman"/>
                <w:bCs/>
                <w:color w:val="auto"/>
                <w:szCs w:val="21"/>
              </w:rPr>
              <w:t>月以来承担过垃圾渗滤液处置的，每提供一个得1分，最多得2分</w:t>
            </w:r>
            <w:r>
              <w:rPr>
                <w:rFonts w:ascii="宋体" w:hAnsi="宋体" w:eastAsia="宋体" w:cs="宋体"/>
                <w:color w:val="auto"/>
                <w:kern w:val="0"/>
                <w:szCs w:val="21"/>
                <w:lang w:bidi="ar"/>
              </w:rPr>
              <w:t>；</w:t>
            </w:r>
          </w:p>
          <w:p w14:paraId="24E6B177">
            <w:pPr>
              <w:rPr>
                <w:rFonts w:hint="eastAsia" w:ascii="宋体" w:hAnsi="宋体" w:eastAsia="宋体" w:cs="宋体"/>
                <w:color w:val="auto"/>
                <w:kern w:val="0"/>
                <w:szCs w:val="21"/>
              </w:rPr>
            </w:pPr>
            <w:r>
              <w:rPr>
                <w:rFonts w:ascii="宋体" w:hAnsi="宋体" w:eastAsia="宋体" w:cs="Times New Roman"/>
                <w:b/>
                <w:color w:val="auto"/>
                <w:szCs w:val="21"/>
              </w:rPr>
              <w:t>（提供相关证书、证明文件及</w:t>
            </w:r>
            <w:r>
              <w:rPr>
                <w:rFonts w:hint="eastAsia" w:ascii="宋体" w:hAnsi="宋体" w:eastAsia="宋体" w:cs="Times New Roman"/>
                <w:b/>
                <w:color w:val="auto"/>
                <w:szCs w:val="21"/>
              </w:rPr>
              <w:t>25年1月、2月</w:t>
            </w:r>
            <w:r>
              <w:rPr>
                <w:rFonts w:hint="eastAsia" w:ascii="宋体" w:hAnsi="宋体" w:eastAsia="宋体" w:cs="Times New Roman"/>
                <w:b/>
                <w:color w:val="auto"/>
                <w:szCs w:val="21"/>
                <w:lang w:eastAsia="zh-CN"/>
              </w:rPr>
              <w:t>、</w:t>
            </w:r>
            <w:r>
              <w:rPr>
                <w:rFonts w:hint="eastAsia" w:ascii="宋体" w:hAnsi="宋体" w:eastAsia="宋体" w:cs="Times New Roman"/>
                <w:b/>
                <w:color w:val="auto"/>
                <w:szCs w:val="21"/>
                <w:lang w:val="en-US" w:eastAsia="zh-CN"/>
              </w:rPr>
              <w:t>3月</w:t>
            </w:r>
            <w:r>
              <w:rPr>
                <w:rFonts w:ascii="宋体" w:hAnsi="宋体" w:eastAsia="宋体" w:cs="Times New Roman"/>
                <w:b/>
                <w:color w:val="auto"/>
                <w:szCs w:val="21"/>
              </w:rPr>
              <w:t>任意一个月的社保证明，复印件加盖公章）</w:t>
            </w:r>
          </w:p>
        </w:tc>
        <w:tc>
          <w:tcPr>
            <w:tcW w:w="656" w:type="dxa"/>
            <w:tcBorders>
              <w:top w:val="single" w:color="auto" w:sz="4" w:space="0"/>
              <w:left w:val="single" w:color="auto" w:sz="4" w:space="0"/>
              <w:right w:val="single" w:color="auto" w:sz="4" w:space="0"/>
            </w:tcBorders>
            <w:vAlign w:val="center"/>
          </w:tcPr>
          <w:p w14:paraId="5325B21D">
            <w:pPr>
              <w:ind w:firstLine="210" w:firstLineChars="100"/>
              <w:rPr>
                <w:rFonts w:ascii="Times New Roman" w:hAnsi="Times New Roman" w:eastAsia="宋体" w:cs="Times New Roman"/>
                <w:color w:val="auto"/>
              </w:rPr>
            </w:pPr>
            <w:r>
              <w:rPr>
                <w:rFonts w:hint="eastAsia" w:ascii="Times New Roman" w:hAnsi="Times New Roman" w:eastAsia="宋体" w:cs="Times New Roman"/>
                <w:color w:val="auto"/>
                <w:lang w:val="en-US" w:eastAsia="zh-CN"/>
              </w:rPr>
              <w:t>客</w:t>
            </w:r>
          </w:p>
        </w:tc>
      </w:tr>
      <w:tr w14:paraId="64651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879" w:type="dxa"/>
            <w:vMerge w:val="continue"/>
            <w:tcBorders>
              <w:top w:val="single" w:color="auto" w:sz="4" w:space="0"/>
              <w:left w:val="single" w:color="auto" w:sz="4" w:space="0"/>
              <w:right w:val="single" w:color="auto" w:sz="4" w:space="0"/>
            </w:tcBorders>
            <w:shd w:val="clear" w:color="auto" w:fill="auto"/>
            <w:vAlign w:val="center"/>
          </w:tcPr>
          <w:p w14:paraId="068F74B6">
            <w:pPr>
              <w:ind w:firstLine="640"/>
              <w:jc w:val="center"/>
              <w:rPr>
                <w:rFonts w:ascii="Times New Roman" w:hAnsi="Times New Roman" w:eastAsia="宋体" w:cs="Times New Roman"/>
                <w:color w:val="auto"/>
              </w:rPr>
            </w:pPr>
          </w:p>
        </w:tc>
        <w:tc>
          <w:tcPr>
            <w:tcW w:w="1536" w:type="dxa"/>
            <w:vMerge w:val="continue"/>
            <w:tcBorders>
              <w:left w:val="single" w:color="auto" w:sz="4" w:space="0"/>
              <w:right w:val="single" w:color="auto" w:sz="4" w:space="0"/>
            </w:tcBorders>
            <w:shd w:val="clear" w:color="auto" w:fill="auto"/>
            <w:vAlign w:val="center"/>
          </w:tcPr>
          <w:p w14:paraId="404AB2F0">
            <w:pPr>
              <w:jc w:val="center"/>
              <w:rPr>
                <w:rFonts w:ascii="Times New Roman" w:hAnsi="Times New Roman" w:eastAsia="宋体" w:cs="Times New Roman"/>
                <w:color w:val="auto"/>
              </w:rPr>
            </w:pPr>
          </w:p>
        </w:tc>
        <w:tc>
          <w:tcPr>
            <w:tcW w:w="6882" w:type="dxa"/>
            <w:tcBorders>
              <w:top w:val="single" w:color="auto" w:sz="4" w:space="0"/>
              <w:left w:val="single" w:color="auto" w:sz="4" w:space="0"/>
              <w:right w:val="single" w:color="auto" w:sz="4" w:space="0"/>
            </w:tcBorders>
            <w:shd w:val="clear" w:color="auto" w:fill="FFFFFF"/>
            <w:vAlign w:val="center"/>
          </w:tcPr>
          <w:p w14:paraId="48BD4927">
            <w:pPr>
              <w:rPr>
                <w:rFonts w:hint="eastAsia" w:ascii="宋体" w:hAnsi="宋体" w:eastAsia="宋体" w:cs="宋体"/>
                <w:color w:val="auto"/>
                <w:kern w:val="0"/>
                <w:szCs w:val="21"/>
              </w:rPr>
            </w:pPr>
            <w:r>
              <w:rPr>
                <w:rFonts w:hint="eastAsia" w:ascii="宋体" w:hAnsi="宋体" w:eastAsia="宋体" w:cs="宋体"/>
                <w:color w:val="auto"/>
                <w:kern w:val="0"/>
                <w:szCs w:val="21"/>
              </w:rPr>
              <w:t>项目组人员（项目负责人除外）：</w:t>
            </w:r>
          </w:p>
          <w:p w14:paraId="7DE6A1CE">
            <w:pPr>
              <w:rPr>
                <w:rFonts w:hint="eastAsia" w:ascii="宋体" w:hAnsi="宋体" w:eastAsia="宋体" w:cs="宋体"/>
                <w:color w:val="auto"/>
                <w:kern w:val="0"/>
                <w:szCs w:val="21"/>
                <w:lang w:eastAsia="zh-CN"/>
              </w:rPr>
            </w:pPr>
            <w:r>
              <w:rPr>
                <w:rFonts w:hint="eastAsia" w:ascii="宋体" w:hAnsi="宋体" w:eastAsia="宋体" w:cs="宋体"/>
                <w:color w:val="auto"/>
                <w:kern w:val="0"/>
                <w:szCs w:val="21"/>
              </w:rPr>
              <w:t>项目技术人员具有环境工程、</w:t>
            </w:r>
            <w:r>
              <w:rPr>
                <w:rFonts w:hint="eastAsia" w:ascii="宋体" w:hAnsi="宋体" w:eastAsia="宋体" w:cs="宋体"/>
                <w:color w:val="auto"/>
                <w:kern w:val="0"/>
                <w:szCs w:val="21"/>
                <w:lang w:eastAsia="zh-CN"/>
              </w:rPr>
              <w:t>市政</w:t>
            </w:r>
            <w:r>
              <w:rPr>
                <w:rFonts w:hint="eastAsia" w:ascii="宋体" w:hAnsi="宋体" w:eastAsia="宋体" w:cs="宋体"/>
                <w:color w:val="auto"/>
                <w:kern w:val="0"/>
                <w:szCs w:val="21"/>
              </w:rPr>
              <w:t>、</w:t>
            </w:r>
            <w:r>
              <w:rPr>
                <w:rFonts w:hint="eastAsia" w:ascii="宋体" w:hAnsi="宋体" w:eastAsia="宋体" w:cs="宋体"/>
                <w:color w:val="auto"/>
                <w:kern w:val="0"/>
                <w:szCs w:val="21"/>
                <w:lang w:eastAsia="zh-CN"/>
              </w:rPr>
              <w:t>机电、</w:t>
            </w:r>
            <w:r>
              <w:rPr>
                <w:rFonts w:hint="eastAsia" w:ascii="宋体" w:hAnsi="宋体" w:eastAsia="宋体" w:cs="宋体"/>
                <w:color w:val="auto"/>
                <w:kern w:val="0"/>
                <w:szCs w:val="21"/>
              </w:rPr>
              <w:t>给排水类专业工程师以上职称资格的</w:t>
            </w:r>
            <w:r>
              <w:rPr>
                <w:rFonts w:hint="eastAsia" w:ascii="宋体" w:hAnsi="宋体" w:eastAsia="宋体" w:cs="宋体"/>
                <w:color w:val="auto"/>
                <w:kern w:val="0"/>
                <w:szCs w:val="21"/>
                <w:lang w:eastAsia="zh-CN"/>
              </w:rPr>
              <w:t>，</w:t>
            </w:r>
            <w:r>
              <w:rPr>
                <w:rFonts w:hint="eastAsia" w:ascii="宋体" w:hAnsi="宋体" w:eastAsia="宋体" w:cs="宋体"/>
                <w:color w:val="auto"/>
                <w:kern w:val="0"/>
                <w:szCs w:val="21"/>
              </w:rPr>
              <w:t>每个专业得1分，最高得</w:t>
            </w:r>
            <w:r>
              <w:rPr>
                <w:rFonts w:hint="eastAsia" w:ascii="宋体" w:hAnsi="宋体" w:eastAsia="宋体" w:cs="宋体"/>
                <w:color w:val="auto"/>
                <w:kern w:val="0"/>
                <w:szCs w:val="21"/>
                <w:lang w:val="en-US" w:eastAsia="zh-CN"/>
              </w:rPr>
              <w:t>4</w:t>
            </w:r>
            <w:r>
              <w:rPr>
                <w:rFonts w:hint="eastAsia" w:ascii="宋体" w:hAnsi="宋体" w:eastAsia="宋体" w:cs="宋体"/>
                <w:color w:val="auto"/>
                <w:kern w:val="0"/>
                <w:szCs w:val="21"/>
              </w:rPr>
              <w:t>分</w:t>
            </w:r>
            <w:r>
              <w:rPr>
                <w:rFonts w:hint="eastAsia" w:ascii="宋体" w:hAnsi="宋体" w:eastAsia="宋体" w:cs="宋体"/>
                <w:color w:val="auto"/>
                <w:kern w:val="0"/>
                <w:szCs w:val="21"/>
                <w:lang w:eastAsia="zh-CN"/>
              </w:rPr>
              <w:t>；</w:t>
            </w:r>
          </w:p>
          <w:p w14:paraId="317E87F1">
            <w:pPr>
              <w:rPr>
                <w:rFonts w:hint="eastAsia" w:ascii="宋体" w:hAnsi="宋体" w:eastAsia="宋体" w:cs="宋体"/>
                <w:color w:val="auto"/>
                <w:kern w:val="0"/>
                <w:szCs w:val="21"/>
              </w:rPr>
            </w:pPr>
            <w:r>
              <w:rPr>
                <w:rFonts w:hint="eastAsia" w:ascii="宋体" w:hAnsi="宋体" w:eastAsia="宋体" w:cs="宋体"/>
                <w:color w:val="auto"/>
                <w:kern w:val="0"/>
                <w:szCs w:val="21"/>
              </w:rPr>
              <w:t>具有</w:t>
            </w:r>
            <w:r>
              <w:rPr>
                <w:rFonts w:hint="eastAsia" w:ascii="宋体" w:hAnsi="宋体" w:eastAsia="宋体" w:cs="宋体"/>
                <w:color w:val="auto"/>
                <w:kern w:val="0"/>
                <w:szCs w:val="21"/>
                <w:lang w:eastAsia="zh-CN"/>
              </w:rPr>
              <w:t>防水工专业技能中级工以上等级的，</w:t>
            </w:r>
            <w:r>
              <w:rPr>
                <w:rFonts w:hint="eastAsia" w:ascii="宋体" w:hAnsi="宋体" w:eastAsia="宋体" w:cs="宋体"/>
                <w:color w:val="auto"/>
                <w:kern w:val="0"/>
                <w:szCs w:val="21"/>
                <w:lang w:val="en-US" w:eastAsia="zh-CN"/>
              </w:rPr>
              <w:t>得2分</w:t>
            </w:r>
            <w:r>
              <w:rPr>
                <w:rFonts w:hint="eastAsia" w:ascii="宋体" w:hAnsi="宋体" w:eastAsia="宋体" w:cs="宋体"/>
                <w:color w:val="auto"/>
                <w:kern w:val="0"/>
                <w:szCs w:val="21"/>
              </w:rPr>
              <w:t>。（同类专业不重复计分）</w:t>
            </w:r>
          </w:p>
          <w:p w14:paraId="300CD1E4">
            <w:pPr>
              <w:rPr>
                <w:rFonts w:hint="eastAsia" w:ascii="宋体" w:hAnsi="宋体" w:eastAsia="宋体" w:cs="宋体"/>
                <w:color w:val="auto"/>
                <w:kern w:val="0"/>
                <w:szCs w:val="21"/>
              </w:rPr>
            </w:pPr>
            <w:r>
              <w:rPr>
                <w:rFonts w:ascii="宋体" w:hAnsi="宋体" w:eastAsia="宋体" w:cs="Times New Roman"/>
                <w:b/>
                <w:color w:val="auto"/>
                <w:szCs w:val="21"/>
              </w:rPr>
              <w:t>（提供相关证书、证明文件及</w:t>
            </w:r>
            <w:r>
              <w:rPr>
                <w:rFonts w:hint="eastAsia" w:ascii="宋体" w:hAnsi="宋体" w:eastAsia="宋体" w:cs="Times New Roman"/>
                <w:b/>
                <w:color w:val="auto"/>
                <w:szCs w:val="21"/>
              </w:rPr>
              <w:t>25年1月、2月</w:t>
            </w:r>
            <w:r>
              <w:rPr>
                <w:rFonts w:hint="eastAsia" w:ascii="宋体" w:hAnsi="宋体" w:eastAsia="宋体" w:cs="Times New Roman"/>
                <w:b/>
                <w:color w:val="auto"/>
                <w:szCs w:val="21"/>
                <w:lang w:eastAsia="zh-CN"/>
              </w:rPr>
              <w:t>、</w:t>
            </w:r>
            <w:r>
              <w:rPr>
                <w:rFonts w:hint="eastAsia" w:ascii="宋体" w:hAnsi="宋体" w:eastAsia="宋体" w:cs="Times New Roman"/>
                <w:b/>
                <w:color w:val="auto"/>
                <w:szCs w:val="21"/>
                <w:lang w:val="en-US" w:eastAsia="zh-CN"/>
              </w:rPr>
              <w:t>3月</w:t>
            </w:r>
            <w:r>
              <w:rPr>
                <w:rFonts w:ascii="宋体" w:hAnsi="宋体" w:eastAsia="宋体" w:cs="Times New Roman"/>
                <w:b/>
                <w:color w:val="auto"/>
                <w:szCs w:val="21"/>
              </w:rPr>
              <w:t>任意一个月的社保证明，复印件加盖公章）</w:t>
            </w:r>
          </w:p>
        </w:tc>
        <w:tc>
          <w:tcPr>
            <w:tcW w:w="656" w:type="dxa"/>
            <w:tcBorders>
              <w:top w:val="single" w:color="auto" w:sz="4" w:space="0"/>
              <w:left w:val="single" w:color="auto" w:sz="4" w:space="0"/>
              <w:right w:val="single" w:color="auto" w:sz="4" w:space="0"/>
            </w:tcBorders>
            <w:vAlign w:val="center"/>
          </w:tcPr>
          <w:p w14:paraId="63B24F4A">
            <w:pPr>
              <w:ind w:firstLine="210" w:firstLineChars="100"/>
              <w:rPr>
                <w:rFonts w:ascii="Times New Roman" w:hAnsi="Times New Roman" w:eastAsia="宋体" w:cs="Times New Roman"/>
                <w:color w:val="auto"/>
              </w:rPr>
            </w:pPr>
            <w:r>
              <w:rPr>
                <w:rFonts w:hint="eastAsia" w:ascii="Times New Roman" w:hAnsi="Times New Roman" w:eastAsia="宋体" w:cs="Times New Roman"/>
                <w:color w:val="auto"/>
                <w:lang w:val="en-US" w:eastAsia="zh-CN"/>
              </w:rPr>
              <w:t>客</w:t>
            </w:r>
          </w:p>
        </w:tc>
      </w:tr>
      <w:tr w14:paraId="3497B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879" w:type="dxa"/>
            <w:vMerge w:val="continue"/>
            <w:tcBorders>
              <w:top w:val="single" w:color="auto" w:sz="4" w:space="0"/>
              <w:left w:val="single" w:color="auto" w:sz="4" w:space="0"/>
              <w:right w:val="single" w:color="auto" w:sz="4" w:space="0"/>
            </w:tcBorders>
            <w:shd w:val="clear" w:color="auto" w:fill="auto"/>
            <w:vAlign w:val="center"/>
          </w:tcPr>
          <w:p w14:paraId="6E8E1415">
            <w:pPr>
              <w:ind w:firstLine="640"/>
              <w:jc w:val="center"/>
              <w:rPr>
                <w:rFonts w:ascii="Times New Roman" w:hAnsi="Times New Roman" w:eastAsia="宋体" w:cs="Times New Roman"/>
                <w:color w:val="auto"/>
              </w:rPr>
            </w:pPr>
          </w:p>
        </w:tc>
        <w:tc>
          <w:tcPr>
            <w:tcW w:w="1536" w:type="dxa"/>
            <w:tcBorders>
              <w:left w:val="single" w:color="auto" w:sz="4" w:space="0"/>
              <w:right w:val="single" w:color="auto" w:sz="4" w:space="0"/>
            </w:tcBorders>
            <w:shd w:val="clear" w:color="auto" w:fill="auto"/>
            <w:vAlign w:val="center"/>
          </w:tcPr>
          <w:p w14:paraId="3DB72258">
            <w:pPr>
              <w:jc w:val="center"/>
              <w:rPr>
                <w:rFonts w:hint="default"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项目总体方案</w:t>
            </w:r>
          </w:p>
          <w:p w14:paraId="0CBD5404">
            <w:pPr>
              <w:jc w:val="center"/>
              <w:rPr>
                <w:rFonts w:hint="default"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（8分）</w:t>
            </w:r>
          </w:p>
        </w:tc>
        <w:tc>
          <w:tcPr>
            <w:tcW w:w="6882" w:type="dxa"/>
            <w:tcBorders>
              <w:top w:val="single" w:color="auto" w:sz="4" w:space="0"/>
              <w:left w:val="single" w:color="auto" w:sz="4" w:space="0"/>
              <w:right w:val="single" w:color="auto" w:sz="4" w:space="0"/>
            </w:tcBorders>
            <w:shd w:val="clear" w:color="auto" w:fill="FFFFFF"/>
            <w:vAlign w:val="center"/>
          </w:tcPr>
          <w:p w14:paraId="5723BBFB">
            <w:pPr>
              <w:widowControl/>
              <w:textAlignment w:val="center"/>
              <w:rPr>
                <w:rFonts w:hint="eastAsia" w:ascii="宋体" w:hAnsi="宋体" w:eastAsia="宋体" w:cs="宋体"/>
                <w:color w:val="auto"/>
                <w:kern w:val="0"/>
                <w:szCs w:val="21"/>
                <w:lang w:bidi="ar"/>
              </w:rPr>
            </w:pPr>
            <w:r>
              <w:rPr>
                <w:rFonts w:hint="eastAsia" w:ascii="宋体" w:hAnsi="宋体" w:eastAsia="宋体" w:cs="宋体"/>
                <w:color w:val="auto"/>
                <w:kern w:val="0"/>
                <w:szCs w:val="21"/>
                <w:lang w:bidi="ar"/>
              </w:rPr>
              <w:t xml:space="preserve">投标人须自行前往进行现场踏勘及工艺分析，了解项目的实际情况：投标人对本项目需求的理解，投标人对项目背景及方案解读、政策的理解及分析、现状和区域特征分析等： </w:t>
            </w:r>
          </w:p>
          <w:p w14:paraId="12285C6C">
            <w:pPr>
              <w:widowControl/>
              <w:textAlignment w:val="center"/>
              <w:rPr>
                <w:rFonts w:hint="eastAsia" w:ascii="宋体" w:hAnsi="宋体" w:eastAsia="宋体" w:cs="宋体"/>
                <w:color w:val="auto"/>
                <w:kern w:val="0"/>
                <w:szCs w:val="21"/>
                <w:lang w:bidi="ar"/>
              </w:rPr>
            </w:pPr>
            <w:r>
              <w:rPr>
                <w:rFonts w:hint="eastAsia" w:ascii="宋体" w:hAnsi="宋体" w:eastAsia="宋体" w:cs="宋体"/>
                <w:color w:val="auto"/>
                <w:kern w:val="0"/>
                <w:szCs w:val="21"/>
                <w:lang w:bidi="ar"/>
              </w:rPr>
              <w:t>对项目状况了解透彻、全面，项目背景及目的明确，方案全面、合理、完整的，得</w:t>
            </w:r>
            <w:r>
              <w:rPr>
                <w:rFonts w:hint="eastAsia" w:ascii="宋体" w:hAnsi="宋体" w:eastAsia="宋体" w:cs="宋体"/>
                <w:color w:val="auto"/>
                <w:kern w:val="0"/>
                <w:szCs w:val="21"/>
                <w:lang w:val="en-US" w:eastAsia="zh-CN" w:bidi="ar"/>
              </w:rPr>
              <w:t>8</w:t>
            </w:r>
            <w:r>
              <w:rPr>
                <w:rFonts w:ascii="宋体" w:hAnsi="宋体" w:eastAsia="宋体" w:cs="宋体"/>
                <w:color w:val="auto"/>
                <w:kern w:val="0"/>
                <w:szCs w:val="21"/>
                <w:lang w:bidi="ar"/>
              </w:rPr>
              <w:t>分；</w:t>
            </w:r>
          </w:p>
          <w:p w14:paraId="4B355BDF">
            <w:pPr>
              <w:widowControl/>
              <w:textAlignment w:val="center"/>
              <w:rPr>
                <w:rFonts w:hint="eastAsia" w:ascii="宋体" w:hAnsi="宋体" w:eastAsia="宋体" w:cs="宋体"/>
                <w:color w:val="auto"/>
                <w:kern w:val="0"/>
                <w:szCs w:val="21"/>
                <w:lang w:bidi="ar"/>
              </w:rPr>
            </w:pPr>
            <w:r>
              <w:rPr>
                <w:rFonts w:hint="eastAsia" w:ascii="宋体" w:hAnsi="宋体" w:eastAsia="宋体" w:cs="宋体"/>
                <w:color w:val="auto"/>
                <w:kern w:val="0"/>
                <w:szCs w:val="21"/>
                <w:lang w:bidi="ar"/>
              </w:rPr>
              <w:t>对项目状况基本了解，方案较全面的，得</w:t>
            </w:r>
            <w:r>
              <w:rPr>
                <w:rFonts w:hint="eastAsia" w:ascii="宋体" w:hAnsi="宋体" w:eastAsia="宋体" w:cs="宋体"/>
                <w:color w:val="auto"/>
                <w:kern w:val="0"/>
                <w:szCs w:val="21"/>
                <w:lang w:val="en-US" w:eastAsia="zh-CN" w:bidi="ar"/>
              </w:rPr>
              <w:t>5</w:t>
            </w:r>
            <w:r>
              <w:rPr>
                <w:rFonts w:ascii="宋体" w:hAnsi="宋体" w:eastAsia="宋体" w:cs="宋体"/>
                <w:color w:val="auto"/>
                <w:kern w:val="0"/>
                <w:szCs w:val="21"/>
                <w:lang w:bidi="ar"/>
              </w:rPr>
              <w:t>分；</w:t>
            </w:r>
          </w:p>
          <w:p w14:paraId="6787F839">
            <w:pPr>
              <w:widowControl/>
              <w:textAlignment w:val="center"/>
              <w:rPr>
                <w:rFonts w:hint="eastAsia" w:ascii="宋体" w:hAnsi="宋体" w:eastAsia="宋体" w:cs="宋体"/>
                <w:color w:val="auto"/>
                <w:kern w:val="0"/>
                <w:szCs w:val="21"/>
                <w:lang w:bidi="ar"/>
              </w:rPr>
            </w:pPr>
            <w:r>
              <w:rPr>
                <w:rFonts w:hint="eastAsia" w:ascii="宋体" w:hAnsi="宋体" w:eastAsia="宋体" w:cs="宋体"/>
                <w:color w:val="auto"/>
                <w:kern w:val="0"/>
                <w:szCs w:val="21"/>
                <w:lang w:bidi="ar"/>
              </w:rPr>
              <w:t>对项目状况有所了解、有初步的背景及目的认知的</w:t>
            </w:r>
            <w:r>
              <w:rPr>
                <w:rFonts w:ascii="宋体" w:hAnsi="宋体" w:eastAsia="宋体" w:cs="宋体"/>
                <w:color w:val="auto"/>
                <w:kern w:val="0"/>
                <w:szCs w:val="21"/>
                <w:lang w:bidi="ar"/>
              </w:rPr>
              <w:t>,方案</w:t>
            </w:r>
            <w:r>
              <w:rPr>
                <w:rFonts w:hint="eastAsia" w:ascii="宋体" w:hAnsi="宋体" w:eastAsia="宋体" w:cs="宋体"/>
                <w:color w:val="auto"/>
                <w:kern w:val="0"/>
                <w:szCs w:val="21"/>
                <w:lang w:bidi="ar"/>
              </w:rPr>
              <w:t>简单</w:t>
            </w:r>
            <w:r>
              <w:rPr>
                <w:rFonts w:ascii="宋体" w:hAnsi="宋体" w:eastAsia="宋体" w:cs="宋体"/>
                <w:color w:val="auto"/>
                <w:kern w:val="0"/>
                <w:szCs w:val="21"/>
                <w:lang w:bidi="ar"/>
              </w:rPr>
              <w:t>的</w:t>
            </w:r>
            <w:r>
              <w:rPr>
                <w:rFonts w:hint="eastAsia" w:ascii="宋体" w:hAnsi="宋体" w:eastAsia="宋体" w:cs="宋体"/>
                <w:color w:val="auto"/>
                <w:kern w:val="0"/>
                <w:szCs w:val="21"/>
                <w:lang w:bidi="ar"/>
              </w:rPr>
              <w:t>，得2分</w:t>
            </w:r>
            <w:r>
              <w:rPr>
                <w:rFonts w:ascii="宋体" w:hAnsi="宋体" w:eastAsia="宋体" w:cs="宋体"/>
                <w:color w:val="auto"/>
                <w:kern w:val="0"/>
                <w:szCs w:val="21"/>
                <w:lang w:bidi="ar"/>
              </w:rPr>
              <w:t>。</w:t>
            </w:r>
          </w:p>
          <w:p w14:paraId="3DD47E33">
            <w:pPr>
              <w:rPr>
                <w:rFonts w:hint="eastAsia" w:ascii="宋体" w:hAnsi="宋体" w:eastAsia="宋体" w:cs="宋体"/>
                <w:color w:val="auto"/>
                <w:kern w:val="0"/>
                <w:szCs w:val="21"/>
              </w:rPr>
            </w:pPr>
            <w:r>
              <w:rPr>
                <w:rFonts w:hint="eastAsia" w:ascii="宋体" w:hAnsi="宋体" w:eastAsia="宋体" w:cs="宋体"/>
                <w:color w:val="auto"/>
                <w:kern w:val="0"/>
                <w:szCs w:val="21"/>
                <w:lang w:bidi="ar"/>
              </w:rPr>
              <w:t>对项目背景完全不理解的不得分。</w:t>
            </w:r>
          </w:p>
        </w:tc>
        <w:tc>
          <w:tcPr>
            <w:tcW w:w="656" w:type="dxa"/>
            <w:tcBorders>
              <w:top w:val="single" w:color="auto" w:sz="4" w:space="0"/>
              <w:left w:val="single" w:color="auto" w:sz="4" w:space="0"/>
              <w:right w:val="single" w:color="auto" w:sz="4" w:space="0"/>
            </w:tcBorders>
            <w:vAlign w:val="center"/>
          </w:tcPr>
          <w:p w14:paraId="33DE84C1">
            <w:pPr>
              <w:ind w:firstLine="210" w:firstLineChars="100"/>
              <w:rPr>
                <w:rFonts w:ascii="Times New Roman" w:hAnsi="Times New Roman" w:eastAsia="宋体" w:cs="Times New Roman"/>
                <w:color w:val="auto"/>
              </w:rPr>
            </w:pPr>
          </w:p>
        </w:tc>
      </w:tr>
      <w:tr w14:paraId="2E1936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5" w:hRule="atLeast"/>
          <w:jc w:val="center"/>
        </w:trPr>
        <w:tc>
          <w:tcPr>
            <w:tcW w:w="879" w:type="dxa"/>
            <w:vMerge w:val="continue"/>
            <w:tcBorders>
              <w:top w:val="single" w:color="auto" w:sz="4" w:space="0"/>
              <w:left w:val="single" w:color="auto" w:sz="4" w:space="0"/>
              <w:right w:val="single" w:color="auto" w:sz="4" w:space="0"/>
            </w:tcBorders>
            <w:shd w:val="clear" w:color="auto" w:fill="auto"/>
            <w:vAlign w:val="center"/>
          </w:tcPr>
          <w:p w14:paraId="299CF528">
            <w:pPr>
              <w:ind w:firstLine="640"/>
              <w:jc w:val="center"/>
              <w:rPr>
                <w:rFonts w:ascii="Times New Roman" w:hAnsi="Times New Roman" w:eastAsia="宋体" w:cs="Times New Roman"/>
                <w:color w:val="auto"/>
              </w:rPr>
            </w:pPr>
          </w:p>
        </w:tc>
        <w:tc>
          <w:tcPr>
            <w:tcW w:w="1536" w:type="dxa"/>
            <w:tcBorders>
              <w:left w:val="single" w:color="auto" w:sz="4" w:space="0"/>
              <w:right w:val="single" w:color="auto" w:sz="4" w:space="0"/>
            </w:tcBorders>
            <w:shd w:val="clear" w:color="auto" w:fill="auto"/>
            <w:vAlign w:val="center"/>
          </w:tcPr>
          <w:p w14:paraId="232F571D">
            <w:pPr>
              <w:jc w:val="center"/>
              <w:rPr>
                <w:rFonts w:hint="default"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技术参数满足情况（17分）</w:t>
            </w:r>
          </w:p>
        </w:tc>
        <w:tc>
          <w:tcPr>
            <w:tcW w:w="6882" w:type="dxa"/>
            <w:tcBorders>
              <w:top w:val="single" w:color="auto" w:sz="4" w:space="0"/>
              <w:left w:val="single" w:color="auto" w:sz="4" w:space="0"/>
              <w:right w:val="single" w:color="auto" w:sz="4" w:space="0"/>
            </w:tcBorders>
            <w:shd w:val="clear" w:color="auto" w:fill="FFFFFF"/>
            <w:vAlign w:val="center"/>
          </w:tcPr>
          <w:p w14:paraId="4D964B39">
            <w:pPr>
              <w:widowControl/>
              <w:textAlignment w:val="center"/>
              <w:rPr>
                <w:rFonts w:hint="eastAsia" w:ascii="宋体" w:hAnsi="宋体" w:eastAsia="宋体" w:cs="宋体"/>
                <w:color w:val="auto"/>
                <w:kern w:val="0"/>
                <w:szCs w:val="21"/>
                <w:lang w:bidi="ar"/>
              </w:rPr>
            </w:pPr>
            <w:r>
              <w:rPr>
                <w:rFonts w:hint="eastAsia" w:ascii="宋体" w:hAnsi="宋体" w:eastAsia="宋体" w:cs="宋体"/>
                <w:color w:val="auto"/>
                <w:kern w:val="0"/>
                <w:szCs w:val="21"/>
                <w:lang w:bidi="ar"/>
              </w:rPr>
              <w:t>服务要求：每满足一项得</w:t>
            </w:r>
            <w:r>
              <w:rPr>
                <w:rFonts w:hint="eastAsia" w:ascii="宋体" w:hAnsi="宋体" w:eastAsia="宋体" w:cs="宋体"/>
                <w:color w:val="auto"/>
                <w:kern w:val="0"/>
                <w:szCs w:val="21"/>
                <w:lang w:val="en-US" w:eastAsia="zh-CN" w:bidi="ar"/>
              </w:rPr>
              <w:t>1</w:t>
            </w:r>
            <w:r>
              <w:rPr>
                <w:rFonts w:hint="eastAsia" w:ascii="宋体" w:hAnsi="宋体" w:eastAsia="宋体" w:cs="宋体"/>
                <w:color w:val="auto"/>
                <w:kern w:val="0"/>
                <w:szCs w:val="21"/>
                <w:lang w:bidi="ar"/>
              </w:rPr>
              <w:t>分，最多得</w:t>
            </w:r>
            <w:r>
              <w:rPr>
                <w:rFonts w:hint="eastAsia" w:ascii="宋体" w:hAnsi="宋体" w:eastAsia="宋体" w:cs="宋体"/>
                <w:color w:val="auto"/>
                <w:kern w:val="0"/>
                <w:szCs w:val="21"/>
                <w:lang w:val="en-US" w:eastAsia="zh-CN" w:bidi="ar"/>
              </w:rPr>
              <w:t>17</w:t>
            </w:r>
            <w:r>
              <w:rPr>
                <w:rFonts w:hint="eastAsia" w:ascii="宋体" w:hAnsi="宋体" w:eastAsia="宋体" w:cs="宋体"/>
                <w:color w:val="auto"/>
                <w:kern w:val="0"/>
                <w:szCs w:val="21"/>
                <w:lang w:bidi="ar"/>
              </w:rPr>
              <w:t>分。</w:t>
            </w:r>
          </w:p>
        </w:tc>
        <w:tc>
          <w:tcPr>
            <w:tcW w:w="656" w:type="dxa"/>
            <w:tcBorders>
              <w:top w:val="single" w:color="auto" w:sz="4" w:space="0"/>
              <w:left w:val="single" w:color="auto" w:sz="4" w:space="0"/>
              <w:right w:val="single" w:color="auto" w:sz="4" w:space="0"/>
            </w:tcBorders>
            <w:vAlign w:val="center"/>
          </w:tcPr>
          <w:p w14:paraId="2199E550">
            <w:pPr>
              <w:ind w:firstLine="210" w:firstLineChars="100"/>
              <w:rPr>
                <w:rFonts w:ascii="Times New Roman" w:hAnsi="Times New Roman" w:eastAsia="宋体" w:cs="Times New Roman"/>
                <w:color w:val="auto"/>
              </w:rPr>
            </w:pPr>
            <w:r>
              <w:rPr>
                <w:rFonts w:hint="eastAsia" w:ascii="Times New Roman" w:hAnsi="Times New Roman" w:eastAsia="宋体" w:cs="Times New Roman"/>
                <w:color w:val="auto"/>
                <w:lang w:val="en-US" w:eastAsia="zh-CN"/>
              </w:rPr>
              <w:t>客</w:t>
            </w:r>
          </w:p>
        </w:tc>
      </w:tr>
      <w:tr w14:paraId="2193C2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879" w:type="dxa"/>
            <w:vMerge w:val="continue"/>
            <w:tcBorders>
              <w:top w:val="single" w:color="auto" w:sz="4" w:space="0"/>
              <w:left w:val="single" w:color="auto" w:sz="4" w:space="0"/>
              <w:right w:val="single" w:color="auto" w:sz="4" w:space="0"/>
            </w:tcBorders>
            <w:shd w:val="clear" w:color="auto" w:fill="auto"/>
            <w:vAlign w:val="center"/>
          </w:tcPr>
          <w:p w14:paraId="44EB5EC0">
            <w:pPr>
              <w:ind w:firstLine="640"/>
              <w:jc w:val="center"/>
              <w:rPr>
                <w:rFonts w:ascii="Times New Roman" w:hAnsi="Times New Roman" w:eastAsia="宋体" w:cs="Times New Roman"/>
                <w:color w:val="auto"/>
              </w:rPr>
            </w:pPr>
          </w:p>
        </w:tc>
        <w:tc>
          <w:tcPr>
            <w:tcW w:w="153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6BE13676">
            <w:pPr>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渗滤液处理设备工艺</w:t>
            </w:r>
          </w:p>
          <w:p w14:paraId="565E1244">
            <w:pPr>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（6分）</w:t>
            </w:r>
          </w:p>
        </w:tc>
        <w:tc>
          <w:tcPr>
            <w:tcW w:w="6882" w:type="dxa"/>
            <w:tcBorders>
              <w:top w:val="single" w:color="000000" w:sz="8" w:space="0"/>
              <w:left w:val="single" w:color="000000" w:sz="8" w:space="0"/>
              <w:bottom w:val="single" w:color="000000" w:sz="8" w:space="0"/>
              <w:right w:val="single" w:color="000000" w:sz="8" w:space="0"/>
            </w:tcBorders>
            <w:shd w:val="clear" w:color="auto" w:fill="auto"/>
            <w:vAlign w:val="top"/>
          </w:tcPr>
          <w:p w14:paraId="0B1D3501">
            <w:pPr>
              <w:widowControl/>
              <w:textAlignment w:val="center"/>
              <w:rPr>
                <w:rFonts w:hint="eastAsia" w:ascii="宋体" w:hAnsi="宋体" w:eastAsia="宋体" w:cs="宋体"/>
                <w:color w:val="auto"/>
                <w:kern w:val="0"/>
                <w:szCs w:val="21"/>
                <w:lang w:eastAsia="zh-CN" w:bidi="ar"/>
              </w:rPr>
            </w:pPr>
            <w:r>
              <w:rPr>
                <w:rFonts w:hint="eastAsia" w:ascii="宋体" w:hAnsi="宋体" w:eastAsia="宋体" w:cs="宋体"/>
                <w:color w:val="auto"/>
                <w:kern w:val="0"/>
                <w:szCs w:val="21"/>
                <w:lang w:bidi="ar"/>
              </w:rPr>
              <w:t>投标人提供的处理设备，对采用的工艺阐述说明及工艺操作理解等内容情况</w:t>
            </w:r>
            <w:r>
              <w:rPr>
                <w:rFonts w:hint="eastAsia" w:ascii="宋体" w:hAnsi="宋体" w:eastAsia="宋体" w:cs="宋体"/>
                <w:color w:val="auto"/>
                <w:kern w:val="0"/>
                <w:szCs w:val="21"/>
                <w:lang w:eastAsia="zh-CN" w:bidi="ar"/>
              </w:rPr>
              <w:t>：</w:t>
            </w:r>
          </w:p>
          <w:p w14:paraId="5DF64354">
            <w:pPr>
              <w:widowControl/>
              <w:textAlignment w:val="center"/>
              <w:rPr>
                <w:rFonts w:hint="eastAsia" w:ascii="宋体" w:hAnsi="宋体" w:eastAsia="宋体" w:cs="宋体"/>
                <w:color w:val="auto"/>
                <w:kern w:val="0"/>
                <w:szCs w:val="21"/>
                <w:lang w:bidi="ar"/>
              </w:rPr>
            </w:pPr>
            <w:r>
              <w:rPr>
                <w:rFonts w:hint="eastAsia" w:ascii="宋体" w:hAnsi="宋体" w:eastAsia="宋体" w:cs="宋体"/>
                <w:color w:val="auto"/>
                <w:kern w:val="0"/>
                <w:szCs w:val="21"/>
                <w:lang w:val="en-US" w:eastAsia="zh-CN" w:bidi="ar"/>
              </w:rPr>
              <w:t>阐述完整、合理、清晰的，得6</w:t>
            </w:r>
            <w:r>
              <w:rPr>
                <w:rFonts w:hint="eastAsia" w:ascii="宋体" w:hAnsi="宋体" w:eastAsia="宋体" w:cs="宋体"/>
                <w:color w:val="auto"/>
                <w:kern w:val="0"/>
                <w:szCs w:val="21"/>
                <w:lang w:bidi="ar"/>
              </w:rPr>
              <w:t>分；</w:t>
            </w:r>
          </w:p>
          <w:p w14:paraId="43F1F833">
            <w:pPr>
              <w:widowControl/>
              <w:textAlignment w:val="center"/>
              <w:rPr>
                <w:rFonts w:hint="eastAsia" w:ascii="宋体" w:hAnsi="宋体" w:eastAsia="宋体" w:cs="宋体"/>
                <w:color w:val="auto"/>
                <w:kern w:val="0"/>
                <w:szCs w:val="21"/>
                <w:lang w:bidi="ar"/>
              </w:rPr>
            </w:pPr>
            <w:r>
              <w:rPr>
                <w:rFonts w:hint="eastAsia" w:ascii="宋体" w:hAnsi="宋体" w:eastAsia="宋体" w:cs="宋体"/>
                <w:color w:val="auto"/>
                <w:kern w:val="0"/>
                <w:szCs w:val="21"/>
                <w:lang w:val="en-US" w:eastAsia="zh-CN" w:bidi="ar"/>
              </w:rPr>
              <w:t>阐述较完整、合理、清晰的，得4</w:t>
            </w:r>
            <w:r>
              <w:rPr>
                <w:rFonts w:hint="eastAsia" w:ascii="宋体" w:hAnsi="宋体" w:eastAsia="宋体" w:cs="宋体"/>
                <w:color w:val="auto"/>
                <w:kern w:val="0"/>
                <w:szCs w:val="21"/>
                <w:lang w:bidi="ar"/>
              </w:rPr>
              <w:t>分；</w:t>
            </w:r>
          </w:p>
          <w:p w14:paraId="71823929">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阐述笼统简单的，得2分；</w:t>
            </w:r>
          </w:p>
          <w:p w14:paraId="49B4CB21">
            <w:pPr>
              <w:widowControl/>
              <w:textAlignment w:val="center"/>
              <w:rPr>
                <w:rFonts w:hint="default"/>
                <w:color w:val="auto"/>
                <w:lang w:val="en-US" w:eastAsia="zh-CN"/>
              </w:rPr>
            </w:pPr>
            <w:r>
              <w:rPr>
                <w:rFonts w:hint="eastAsia" w:ascii="宋体" w:hAnsi="宋体" w:eastAsia="宋体" w:cs="宋体"/>
                <w:color w:val="auto"/>
                <w:kern w:val="0"/>
                <w:szCs w:val="21"/>
                <w:lang w:val="en-US" w:eastAsia="zh-CN" w:bidi="ar"/>
              </w:rPr>
              <w:t>未提及的不得分。</w:t>
            </w:r>
          </w:p>
        </w:tc>
        <w:tc>
          <w:tcPr>
            <w:tcW w:w="656" w:type="dxa"/>
            <w:tcBorders>
              <w:top w:val="single" w:color="auto" w:sz="4" w:space="0"/>
              <w:left w:val="single" w:color="auto" w:sz="4" w:space="0"/>
              <w:right w:val="single" w:color="auto" w:sz="4" w:space="0"/>
            </w:tcBorders>
            <w:vAlign w:val="center"/>
          </w:tcPr>
          <w:p w14:paraId="10D9FD88">
            <w:pPr>
              <w:ind w:firstLine="210" w:firstLineChars="100"/>
              <w:rPr>
                <w:rFonts w:ascii="Times New Roman" w:hAnsi="Times New Roman" w:eastAsia="宋体" w:cs="Times New Roman"/>
                <w:color w:val="auto"/>
              </w:rPr>
            </w:pPr>
          </w:p>
        </w:tc>
      </w:tr>
      <w:tr w14:paraId="20218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5" w:hRule="atLeast"/>
          <w:jc w:val="center"/>
        </w:trPr>
        <w:tc>
          <w:tcPr>
            <w:tcW w:w="879" w:type="dxa"/>
            <w:vMerge w:val="continue"/>
            <w:tcBorders>
              <w:top w:val="single" w:color="auto" w:sz="4" w:space="0"/>
              <w:left w:val="single" w:color="auto" w:sz="4" w:space="0"/>
              <w:right w:val="single" w:color="auto" w:sz="4" w:space="0"/>
            </w:tcBorders>
            <w:shd w:val="clear" w:color="auto" w:fill="auto"/>
            <w:vAlign w:val="center"/>
          </w:tcPr>
          <w:p w14:paraId="1E42D84B">
            <w:pPr>
              <w:ind w:firstLine="640"/>
              <w:jc w:val="center"/>
              <w:rPr>
                <w:rFonts w:ascii="Times New Roman" w:hAnsi="Times New Roman" w:eastAsia="宋体" w:cs="Times New Roman"/>
                <w:color w:val="auto"/>
              </w:rPr>
            </w:pPr>
          </w:p>
        </w:tc>
        <w:tc>
          <w:tcPr>
            <w:tcW w:w="1536" w:type="dxa"/>
            <w:tcBorders>
              <w:top w:val="single" w:color="000000" w:sz="8" w:space="0"/>
              <w:left w:val="single" w:color="000000" w:sz="8" w:space="0"/>
              <w:bottom w:val="single" w:color="000000" w:sz="8" w:space="0"/>
              <w:right w:val="single" w:color="000000" w:sz="8" w:space="0"/>
            </w:tcBorders>
            <w:shd w:val="clear" w:color="auto" w:fill="auto"/>
            <w:vAlign w:val="top"/>
          </w:tcPr>
          <w:p w14:paraId="54856A9C">
            <w:pPr>
              <w:jc w:val="center"/>
              <w:rPr>
                <w:rFonts w:hint="default" w:ascii="Times New Roman" w:hAnsi="Times New Roman" w:eastAsia="宋体" w:cs="Times New Roman"/>
                <w:color w:val="auto"/>
                <w:lang w:val="en-US" w:eastAsia="zh-CN"/>
              </w:rPr>
            </w:pPr>
          </w:p>
          <w:p w14:paraId="06D57545">
            <w:pPr>
              <w:jc w:val="center"/>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t>安装调试</w:t>
            </w:r>
          </w:p>
          <w:p w14:paraId="28DF7269">
            <w:pPr>
              <w:jc w:val="center"/>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t>方案</w:t>
            </w:r>
          </w:p>
          <w:p w14:paraId="593FF013">
            <w:pPr>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（5分）</w:t>
            </w:r>
          </w:p>
        </w:tc>
        <w:tc>
          <w:tcPr>
            <w:tcW w:w="6882" w:type="dxa"/>
            <w:tcBorders>
              <w:top w:val="single" w:color="000000" w:sz="8" w:space="0"/>
              <w:left w:val="single" w:color="000000" w:sz="8" w:space="0"/>
              <w:bottom w:val="single" w:color="000000" w:sz="8" w:space="0"/>
              <w:right w:val="single" w:color="000000" w:sz="8" w:space="0"/>
            </w:tcBorders>
            <w:shd w:val="clear" w:color="auto" w:fill="auto"/>
            <w:vAlign w:val="top"/>
          </w:tcPr>
          <w:p w14:paraId="30333815">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投标人提供的安装调试方案，对其安装调试人员的安排和仪器材料的进场时间、质量、工期保障措施、安全防护、文明施工措施等情况：</w:t>
            </w:r>
          </w:p>
          <w:p w14:paraId="1F79E5C4">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方案完整、措施合理的，得5分；</w:t>
            </w:r>
          </w:p>
          <w:p w14:paraId="4CC8B7DA">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方案较完整、措施较合理的，得3分；</w:t>
            </w:r>
          </w:p>
          <w:p w14:paraId="3C5EC559">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方案笼统、措施简单的，得1分；</w:t>
            </w:r>
          </w:p>
          <w:p w14:paraId="2E8C9072">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未提及的不得分。</w:t>
            </w:r>
          </w:p>
        </w:tc>
        <w:tc>
          <w:tcPr>
            <w:tcW w:w="656" w:type="dxa"/>
            <w:tcBorders>
              <w:top w:val="single" w:color="auto" w:sz="4" w:space="0"/>
              <w:left w:val="single" w:color="auto" w:sz="4" w:space="0"/>
              <w:right w:val="single" w:color="auto" w:sz="4" w:space="0"/>
            </w:tcBorders>
            <w:vAlign w:val="center"/>
          </w:tcPr>
          <w:p w14:paraId="464863BE">
            <w:pPr>
              <w:ind w:firstLine="210" w:firstLineChars="100"/>
              <w:rPr>
                <w:rFonts w:ascii="Times New Roman" w:hAnsi="Times New Roman" w:eastAsia="宋体" w:cs="Times New Roman"/>
                <w:color w:val="auto"/>
              </w:rPr>
            </w:pPr>
          </w:p>
        </w:tc>
      </w:tr>
      <w:tr w14:paraId="56947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26" w:hRule="atLeast"/>
          <w:jc w:val="center"/>
        </w:trPr>
        <w:tc>
          <w:tcPr>
            <w:tcW w:w="879" w:type="dxa"/>
            <w:vMerge w:val="continue"/>
            <w:tcBorders>
              <w:top w:val="single" w:color="auto" w:sz="4" w:space="0"/>
              <w:left w:val="single" w:color="auto" w:sz="4" w:space="0"/>
              <w:right w:val="single" w:color="auto" w:sz="4" w:space="0"/>
            </w:tcBorders>
            <w:shd w:val="clear" w:color="auto" w:fill="auto"/>
            <w:vAlign w:val="center"/>
          </w:tcPr>
          <w:p w14:paraId="7ECF9302">
            <w:pPr>
              <w:ind w:firstLine="640"/>
              <w:jc w:val="center"/>
              <w:rPr>
                <w:rFonts w:ascii="Times New Roman" w:hAnsi="Times New Roman" w:eastAsia="宋体" w:cs="Times New Roman"/>
                <w:color w:val="auto"/>
              </w:rPr>
            </w:pPr>
          </w:p>
        </w:tc>
        <w:tc>
          <w:tcPr>
            <w:tcW w:w="1536" w:type="dxa"/>
            <w:vMerge w:val="restart"/>
            <w:tcBorders>
              <w:top w:val="single" w:color="000000" w:sz="8" w:space="0"/>
              <w:left w:val="single" w:color="000000" w:sz="8" w:space="0"/>
              <w:right w:val="single" w:color="000000" w:sz="8" w:space="0"/>
            </w:tcBorders>
            <w:shd w:val="clear" w:color="auto" w:fill="auto"/>
            <w:vAlign w:val="center"/>
          </w:tcPr>
          <w:p w14:paraId="07AF6D49">
            <w:pPr>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项目运营</w:t>
            </w:r>
          </w:p>
          <w:p w14:paraId="1E05A643">
            <w:pPr>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管理方案</w:t>
            </w:r>
          </w:p>
          <w:p w14:paraId="5C389984">
            <w:pPr>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（15分）</w:t>
            </w:r>
          </w:p>
        </w:tc>
        <w:tc>
          <w:tcPr>
            <w:tcW w:w="6882" w:type="dxa"/>
            <w:tcBorders>
              <w:top w:val="single" w:color="000000" w:sz="8" w:space="0"/>
              <w:left w:val="single" w:color="000000" w:sz="8" w:space="0"/>
              <w:bottom w:val="single" w:color="000000" w:sz="8" w:space="0"/>
              <w:right w:val="single" w:color="000000" w:sz="8" w:space="0"/>
            </w:tcBorders>
            <w:shd w:val="clear" w:color="auto" w:fill="auto"/>
            <w:vAlign w:val="top"/>
          </w:tcPr>
          <w:p w14:paraId="15DC3894">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投标人提供的运营方案，对其项目运营维护计划的整体性、运营流程（含日常维护、保养、维修等方面的阐述说明）：</w:t>
            </w:r>
          </w:p>
          <w:p w14:paraId="03BC80AD">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方案完整，运营流程合理的，得5分；</w:t>
            </w:r>
          </w:p>
          <w:p w14:paraId="68961416">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方案较完整，运营流程较合理的，得3分；</w:t>
            </w:r>
          </w:p>
          <w:p w14:paraId="09C92BAD">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方案不够完整，运营流程不够合理的，得1分；</w:t>
            </w:r>
          </w:p>
          <w:p w14:paraId="52C4CE57">
            <w:pPr>
              <w:pStyle w:val="27"/>
              <w:ind w:left="0" w:leftChars="0" w:firstLine="0" w:firstLineChars="0"/>
              <w:rPr>
                <w:rFonts w:hint="default"/>
                <w:color w:val="auto"/>
                <w:lang w:val="en-US" w:eastAsia="zh-CN"/>
              </w:rPr>
            </w:pPr>
            <w:r>
              <w:rPr>
                <w:rFonts w:hint="eastAsia"/>
                <w:color w:val="auto"/>
                <w:lang w:val="en-US" w:eastAsia="zh-CN"/>
              </w:rPr>
              <w:t>未提及的不得分。</w:t>
            </w:r>
          </w:p>
        </w:tc>
        <w:tc>
          <w:tcPr>
            <w:tcW w:w="656" w:type="dxa"/>
            <w:tcBorders>
              <w:top w:val="single" w:color="auto" w:sz="4" w:space="0"/>
              <w:left w:val="single" w:color="auto" w:sz="4" w:space="0"/>
              <w:right w:val="single" w:color="auto" w:sz="4" w:space="0"/>
            </w:tcBorders>
            <w:vAlign w:val="center"/>
          </w:tcPr>
          <w:p w14:paraId="08FE4C67">
            <w:pPr>
              <w:ind w:firstLine="210" w:firstLineChars="100"/>
              <w:rPr>
                <w:rFonts w:ascii="Times New Roman" w:hAnsi="Times New Roman" w:eastAsia="宋体" w:cs="Times New Roman"/>
                <w:color w:val="auto"/>
              </w:rPr>
            </w:pPr>
          </w:p>
        </w:tc>
      </w:tr>
      <w:tr w14:paraId="4D832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3" w:hRule="atLeast"/>
          <w:jc w:val="center"/>
        </w:trPr>
        <w:tc>
          <w:tcPr>
            <w:tcW w:w="879" w:type="dxa"/>
            <w:vMerge w:val="continue"/>
            <w:tcBorders>
              <w:top w:val="single" w:color="auto" w:sz="4" w:space="0"/>
              <w:left w:val="single" w:color="auto" w:sz="4" w:space="0"/>
              <w:right w:val="single" w:color="auto" w:sz="4" w:space="0"/>
            </w:tcBorders>
            <w:shd w:val="clear" w:color="auto" w:fill="auto"/>
            <w:vAlign w:val="center"/>
          </w:tcPr>
          <w:p w14:paraId="24766810">
            <w:pPr>
              <w:ind w:firstLine="640"/>
              <w:jc w:val="center"/>
              <w:rPr>
                <w:rFonts w:ascii="Times New Roman" w:hAnsi="Times New Roman" w:eastAsia="宋体" w:cs="Times New Roman"/>
                <w:color w:val="auto"/>
              </w:rPr>
            </w:pPr>
          </w:p>
        </w:tc>
        <w:tc>
          <w:tcPr>
            <w:tcW w:w="1536" w:type="dxa"/>
            <w:vMerge w:val="continue"/>
            <w:tcBorders>
              <w:left w:val="single" w:color="000000" w:sz="8" w:space="0"/>
              <w:right w:val="single" w:color="000000" w:sz="8" w:space="0"/>
            </w:tcBorders>
            <w:shd w:val="clear" w:color="auto" w:fill="auto"/>
            <w:vAlign w:val="center"/>
          </w:tcPr>
          <w:p w14:paraId="23A07F49">
            <w:pPr>
              <w:jc w:val="center"/>
              <w:rPr>
                <w:rFonts w:hint="eastAsia" w:ascii="Times New Roman" w:hAnsi="Times New Roman" w:eastAsia="宋体" w:cs="Times New Roman"/>
                <w:color w:val="auto"/>
                <w:lang w:val="en-US" w:eastAsia="zh-CN"/>
              </w:rPr>
            </w:pPr>
          </w:p>
        </w:tc>
        <w:tc>
          <w:tcPr>
            <w:tcW w:w="6882" w:type="dxa"/>
            <w:tcBorders>
              <w:top w:val="single" w:color="000000" w:sz="8" w:space="0"/>
              <w:left w:val="single" w:color="000000" w:sz="8" w:space="0"/>
              <w:bottom w:val="single" w:color="000000" w:sz="8" w:space="0"/>
              <w:right w:val="single" w:color="000000" w:sz="8" w:space="0"/>
            </w:tcBorders>
            <w:shd w:val="clear" w:color="auto" w:fill="auto"/>
            <w:vAlign w:val="top"/>
          </w:tcPr>
          <w:p w14:paraId="572FC878">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投标人提供的管理方式（制度全面性、管理制度、质量控制等）：</w:t>
            </w:r>
          </w:p>
          <w:p w14:paraId="4D7BAC8E">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制度全面、完整，管理方式合理的，得5分；</w:t>
            </w:r>
          </w:p>
          <w:p w14:paraId="4F34978F">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制度比较全面、完整，管理方式较合理的，得3分；</w:t>
            </w:r>
          </w:p>
          <w:p w14:paraId="59F810EC">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制度不够全面，管理方式不够合理的，得1分；</w:t>
            </w:r>
          </w:p>
          <w:p w14:paraId="03269511">
            <w:pPr>
              <w:widowControl/>
              <w:textAlignment w:val="center"/>
              <w:rPr>
                <w:rFonts w:hint="default"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未提及的不得分。</w:t>
            </w:r>
          </w:p>
        </w:tc>
        <w:tc>
          <w:tcPr>
            <w:tcW w:w="656" w:type="dxa"/>
            <w:tcBorders>
              <w:top w:val="single" w:color="auto" w:sz="4" w:space="0"/>
              <w:left w:val="single" w:color="auto" w:sz="4" w:space="0"/>
              <w:right w:val="single" w:color="auto" w:sz="4" w:space="0"/>
            </w:tcBorders>
            <w:vAlign w:val="center"/>
          </w:tcPr>
          <w:p w14:paraId="3979D959">
            <w:pPr>
              <w:ind w:firstLine="210" w:firstLineChars="100"/>
              <w:rPr>
                <w:rFonts w:ascii="Times New Roman" w:hAnsi="Times New Roman" w:eastAsia="宋体" w:cs="Times New Roman"/>
                <w:color w:val="auto"/>
              </w:rPr>
            </w:pPr>
          </w:p>
        </w:tc>
      </w:tr>
      <w:tr w14:paraId="201C3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879" w:type="dxa"/>
            <w:vMerge w:val="continue"/>
            <w:tcBorders>
              <w:top w:val="single" w:color="auto" w:sz="4" w:space="0"/>
              <w:left w:val="single" w:color="auto" w:sz="4" w:space="0"/>
              <w:right w:val="single" w:color="auto" w:sz="4" w:space="0"/>
            </w:tcBorders>
            <w:shd w:val="clear" w:color="auto" w:fill="auto"/>
            <w:vAlign w:val="center"/>
          </w:tcPr>
          <w:p w14:paraId="493413D1">
            <w:pPr>
              <w:ind w:firstLine="640"/>
              <w:jc w:val="center"/>
              <w:rPr>
                <w:rFonts w:ascii="Times New Roman" w:hAnsi="Times New Roman" w:eastAsia="宋体" w:cs="Times New Roman"/>
                <w:color w:val="auto"/>
              </w:rPr>
            </w:pPr>
          </w:p>
        </w:tc>
        <w:tc>
          <w:tcPr>
            <w:tcW w:w="1536" w:type="dxa"/>
            <w:vMerge w:val="continue"/>
            <w:tcBorders>
              <w:left w:val="single" w:color="000000" w:sz="8" w:space="0"/>
              <w:bottom w:val="single" w:color="000000" w:sz="8" w:space="0"/>
              <w:right w:val="single" w:color="000000" w:sz="8" w:space="0"/>
            </w:tcBorders>
            <w:shd w:val="clear" w:color="auto" w:fill="auto"/>
            <w:vAlign w:val="center"/>
          </w:tcPr>
          <w:p w14:paraId="2BD1BA0B">
            <w:pPr>
              <w:jc w:val="center"/>
              <w:rPr>
                <w:rFonts w:hint="eastAsia" w:ascii="Times New Roman" w:hAnsi="Times New Roman" w:eastAsia="宋体" w:cs="Times New Roman"/>
                <w:color w:val="auto"/>
                <w:lang w:val="en-US" w:eastAsia="zh-CN"/>
              </w:rPr>
            </w:pPr>
          </w:p>
        </w:tc>
        <w:tc>
          <w:tcPr>
            <w:tcW w:w="6882" w:type="dxa"/>
            <w:tcBorders>
              <w:top w:val="single" w:color="000000" w:sz="8" w:space="0"/>
              <w:left w:val="single" w:color="000000" w:sz="8" w:space="0"/>
              <w:bottom w:val="single" w:color="000000" w:sz="8" w:space="0"/>
              <w:right w:val="single" w:color="000000" w:sz="8" w:space="0"/>
            </w:tcBorders>
            <w:shd w:val="clear" w:color="auto" w:fill="auto"/>
            <w:vAlign w:val="top"/>
          </w:tcPr>
          <w:p w14:paraId="2E26B725">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投标人提供的设备应急处理维修方案及应急响应速度：</w:t>
            </w:r>
          </w:p>
          <w:p w14:paraId="3BA360D9">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应急方案中设备使用过程中可能遇到的故障问题考虑全面，且提供了相应的有效应对措施的，得5分；</w:t>
            </w:r>
          </w:p>
          <w:p w14:paraId="4F34E903">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方案中对故障问题的考虑基本 全面但尚有不足，且应对措施不够细化合理的，得3分；</w:t>
            </w:r>
          </w:p>
          <w:p w14:paraId="68C64AE3">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应急方案不够全面、应对措施也缺乏可操作性的，得1分；</w:t>
            </w:r>
          </w:p>
          <w:p w14:paraId="24A417B6">
            <w:pPr>
              <w:widowControl/>
              <w:textAlignment w:val="center"/>
              <w:rPr>
                <w:rFonts w:hint="default"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未提及的不得分。</w:t>
            </w:r>
          </w:p>
        </w:tc>
        <w:tc>
          <w:tcPr>
            <w:tcW w:w="656" w:type="dxa"/>
            <w:tcBorders>
              <w:top w:val="single" w:color="auto" w:sz="4" w:space="0"/>
              <w:left w:val="single" w:color="auto" w:sz="4" w:space="0"/>
              <w:right w:val="single" w:color="auto" w:sz="4" w:space="0"/>
            </w:tcBorders>
            <w:vAlign w:val="center"/>
          </w:tcPr>
          <w:p w14:paraId="5546A624">
            <w:pPr>
              <w:ind w:firstLine="210" w:firstLineChars="100"/>
              <w:rPr>
                <w:rFonts w:ascii="Times New Roman" w:hAnsi="Times New Roman" w:eastAsia="宋体" w:cs="Times New Roman"/>
                <w:color w:val="auto"/>
              </w:rPr>
            </w:pPr>
          </w:p>
        </w:tc>
      </w:tr>
      <w:tr w14:paraId="0993D2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879" w:type="dxa"/>
            <w:vMerge w:val="continue"/>
            <w:tcBorders>
              <w:top w:val="single" w:color="auto" w:sz="4" w:space="0"/>
              <w:left w:val="single" w:color="auto" w:sz="4" w:space="0"/>
              <w:right w:val="single" w:color="auto" w:sz="4" w:space="0"/>
            </w:tcBorders>
            <w:shd w:val="clear" w:color="auto" w:fill="auto"/>
            <w:vAlign w:val="center"/>
          </w:tcPr>
          <w:p w14:paraId="45A89EE3">
            <w:pPr>
              <w:ind w:firstLine="640"/>
              <w:jc w:val="center"/>
              <w:rPr>
                <w:rFonts w:ascii="Times New Roman" w:hAnsi="Times New Roman" w:eastAsia="宋体" w:cs="Times New Roman"/>
                <w:color w:val="auto"/>
              </w:rPr>
            </w:pPr>
          </w:p>
        </w:tc>
        <w:tc>
          <w:tcPr>
            <w:tcW w:w="153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29B7764">
            <w:pPr>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环境保护</w:t>
            </w:r>
          </w:p>
          <w:p w14:paraId="17672F26">
            <w:pPr>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要求</w:t>
            </w:r>
          </w:p>
          <w:p w14:paraId="44379E80">
            <w:pPr>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（5分）</w:t>
            </w:r>
          </w:p>
        </w:tc>
        <w:tc>
          <w:tcPr>
            <w:tcW w:w="6882" w:type="dxa"/>
            <w:tcBorders>
              <w:top w:val="single" w:color="000000" w:sz="8" w:space="0"/>
              <w:left w:val="single" w:color="000000" w:sz="8" w:space="0"/>
              <w:bottom w:val="single" w:color="000000" w:sz="8" w:space="0"/>
              <w:right w:val="single" w:color="000000" w:sz="8" w:space="0"/>
            </w:tcBorders>
            <w:shd w:val="clear" w:color="auto" w:fill="auto"/>
            <w:vAlign w:val="top"/>
          </w:tcPr>
          <w:p w14:paraId="667D3C84">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投标人制定的污染源防治措施和处理方案（包含残留物处置、</w:t>
            </w:r>
            <w:r>
              <w:rPr>
                <w:rFonts w:hint="eastAsia" w:ascii="宋体" w:hAnsi="宋体" w:eastAsia="宋体"/>
                <w:color w:val="auto"/>
                <w:szCs w:val="21"/>
                <w:lang w:eastAsia="zh-CN"/>
              </w:rPr>
              <w:t>突发事件的</w:t>
            </w:r>
            <w:r>
              <w:rPr>
                <w:rFonts w:hint="eastAsia" w:ascii="宋体" w:hAnsi="宋体" w:eastAsia="宋体"/>
                <w:color w:val="auto"/>
                <w:szCs w:val="21"/>
              </w:rPr>
              <w:t>紧急防范预案</w:t>
            </w:r>
            <w:r>
              <w:rPr>
                <w:rFonts w:hint="eastAsia" w:ascii="宋体" w:hAnsi="宋体" w:eastAsia="宋体"/>
                <w:color w:val="auto"/>
                <w:szCs w:val="21"/>
                <w:lang w:eastAsia="zh-CN"/>
              </w:rPr>
              <w:t>等</w:t>
            </w:r>
            <w:r>
              <w:rPr>
                <w:rFonts w:hint="eastAsia" w:ascii="宋体" w:hAnsi="宋体" w:eastAsia="宋体" w:cs="宋体"/>
                <w:color w:val="auto"/>
                <w:kern w:val="0"/>
                <w:szCs w:val="21"/>
                <w:lang w:val="en-US" w:eastAsia="zh-CN" w:bidi="ar"/>
              </w:rPr>
              <w:t>）：</w:t>
            </w:r>
          </w:p>
          <w:p w14:paraId="1BF3328E">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制定的保护措施详细完整、处理方案合理的，得5分；</w:t>
            </w:r>
          </w:p>
          <w:p w14:paraId="460C3BF8">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制定的措施方案阐述、表达较明确的，得3分；</w:t>
            </w:r>
          </w:p>
          <w:p w14:paraId="2F4C15DE">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制定的措施方案阐述、表达不够明确的，得1分；</w:t>
            </w:r>
          </w:p>
          <w:p w14:paraId="252661E3">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未提及的不得分。</w:t>
            </w:r>
          </w:p>
        </w:tc>
        <w:tc>
          <w:tcPr>
            <w:tcW w:w="656" w:type="dxa"/>
            <w:tcBorders>
              <w:top w:val="single" w:color="auto" w:sz="4" w:space="0"/>
              <w:left w:val="single" w:color="auto" w:sz="4" w:space="0"/>
              <w:right w:val="single" w:color="auto" w:sz="4" w:space="0"/>
            </w:tcBorders>
            <w:vAlign w:val="center"/>
          </w:tcPr>
          <w:p w14:paraId="3EA71DD4">
            <w:pPr>
              <w:ind w:firstLine="210" w:firstLineChars="100"/>
              <w:rPr>
                <w:rFonts w:ascii="Times New Roman" w:hAnsi="Times New Roman" w:eastAsia="宋体" w:cs="Times New Roman"/>
                <w:color w:val="auto"/>
              </w:rPr>
            </w:pPr>
          </w:p>
        </w:tc>
      </w:tr>
      <w:tr w14:paraId="5EFBF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879" w:type="dxa"/>
            <w:vMerge w:val="continue"/>
            <w:tcBorders>
              <w:top w:val="single" w:color="auto" w:sz="4" w:space="0"/>
              <w:left w:val="single" w:color="auto" w:sz="4" w:space="0"/>
              <w:right w:val="single" w:color="auto" w:sz="4" w:space="0"/>
            </w:tcBorders>
            <w:shd w:val="clear" w:color="auto" w:fill="auto"/>
            <w:vAlign w:val="center"/>
          </w:tcPr>
          <w:p w14:paraId="3EE008A4">
            <w:pPr>
              <w:ind w:firstLine="640"/>
              <w:jc w:val="center"/>
              <w:rPr>
                <w:rFonts w:ascii="Times New Roman" w:hAnsi="Times New Roman" w:eastAsia="宋体" w:cs="Times New Roman"/>
                <w:color w:val="auto"/>
              </w:rPr>
            </w:pPr>
          </w:p>
        </w:tc>
        <w:tc>
          <w:tcPr>
            <w:tcW w:w="153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7846520C">
            <w:pPr>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运营人员配置</w:t>
            </w:r>
          </w:p>
          <w:p w14:paraId="09313DCE">
            <w:pPr>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（5分）</w:t>
            </w:r>
          </w:p>
        </w:tc>
        <w:tc>
          <w:tcPr>
            <w:tcW w:w="6882" w:type="dxa"/>
            <w:tcBorders>
              <w:top w:val="single" w:color="000000" w:sz="8" w:space="0"/>
              <w:left w:val="single" w:color="000000" w:sz="8" w:space="0"/>
              <w:bottom w:val="single" w:color="000000" w:sz="8" w:space="0"/>
              <w:right w:val="single" w:color="000000" w:sz="8" w:space="0"/>
            </w:tcBorders>
            <w:shd w:val="clear" w:color="auto" w:fill="auto"/>
            <w:vAlign w:val="top"/>
          </w:tcPr>
          <w:p w14:paraId="2B0BC1EB">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投标人制定的运营人员配置响应程度、合理性等方面：</w:t>
            </w:r>
          </w:p>
          <w:p w14:paraId="52C6B07E">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运营人员配置合理，响应程度高的，得5分；</w:t>
            </w:r>
          </w:p>
          <w:p w14:paraId="2B9A255E">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运营人员配置较合理，响应程度较高的，得3分；</w:t>
            </w:r>
          </w:p>
          <w:p w14:paraId="219AB3FA">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运营人员配置不够合理，响应程度较差的，得1分；</w:t>
            </w:r>
          </w:p>
          <w:p w14:paraId="473CE498">
            <w:pPr>
              <w:rPr>
                <w:rFonts w:hint="default"/>
                <w:color w:val="auto"/>
                <w:lang w:val="en-US" w:eastAsia="zh-CN"/>
              </w:rPr>
            </w:pPr>
            <w:r>
              <w:rPr>
                <w:rFonts w:hint="eastAsia" w:ascii="宋体" w:hAnsi="宋体" w:eastAsia="宋体" w:cs="宋体"/>
                <w:color w:val="auto"/>
                <w:kern w:val="0"/>
                <w:szCs w:val="21"/>
                <w:lang w:val="en-US" w:eastAsia="zh-CN" w:bidi="ar"/>
              </w:rPr>
              <w:t>未提及的不得分。</w:t>
            </w:r>
          </w:p>
        </w:tc>
        <w:tc>
          <w:tcPr>
            <w:tcW w:w="656" w:type="dxa"/>
            <w:tcBorders>
              <w:top w:val="single" w:color="auto" w:sz="4" w:space="0"/>
              <w:left w:val="single" w:color="auto" w:sz="4" w:space="0"/>
              <w:right w:val="single" w:color="auto" w:sz="4" w:space="0"/>
            </w:tcBorders>
            <w:vAlign w:val="center"/>
          </w:tcPr>
          <w:p w14:paraId="40737062">
            <w:pPr>
              <w:ind w:firstLine="210" w:firstLineChars="100"/>
              <w:rPr>
                <w:rFonts w:ascii="Times New Roman" w:hAnsi="Times New Roman" w:eastAsia="宋体" w:cs="Times New Roman"/>
                <w:color w:val="auto"/>
              </w:rPr>
            </w:pPr>
          </w:p>
        </w:tc>
      </w:tr>
      <w:tr w14:paraId="06FC7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5" w:hRule="atLeast"/>
          <w:jc w:val="center"/>
        </w:trPr>
        <w:tc>
          <w:tcPr>
            <w:tcW w:w="879" w:type="dxa"/>
            <w:vMerge w:val="continue"/>
            <w:tcBorders>
              <w:top w:val="single" w:color="auto" w:sz="4" w:space="0"/>
              <w:left w:val="single" w:color="auto" w:sz="4" w:space="0"/>
              <w:right w:val="single" w:color="auto" w:sz="4" w:space="0"/>
            </w:tcBorders>
            <w:shd w:val="clear" w:color="auto" w:fill="auto"/>
            <w:vAlign w:val="center"/>
          </w:tcPr>
          <w:p w14:paraId="38C848A1">
            <w:pPr>
              <w:ind w:firstLine="640"/>
              <w:jc w:val="center"/>
              <w:rPr>
                <w:rFonts w:ascii="Times New Roman" w:hAnsi="Times New Roman" w:eastAsia="宋体" w:cs="Times New Roman"/>
                <w:color w:val="auto"/>
              </w:rPr>
            </w:pPr>
          </w:p>
        </w:tc>
        <w:tc>
          <w:tcPr>
            <w:tcW w:w="153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98FB167">
            <w:pPr>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日常监测</w:t>
            </w:r>
          </w:p>
          <w:p w14:paraId="6D0A709B">
            <w:pPr>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管理</w:t>
            </w:r>
          </w:p>
          <w:p w14:paraId="3B541174">
            <w:pPr>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（5分）</w:t>
            </w:r>
          </w:p>
        </w:tc>
        <w:tc>
          <w:tcPr>
            <w:tcW w:w="6882" w:type="dxa"/>
            <w:tcBorders>
              <w:top w:val="single" w:color="000000" w:sz="8" w:space="0"/>
              <w:left w:val="single" w:color="000000" w:sz="8" w:space="0"/>
              <w:bottom w:val="single" w:color="000000" w:sz="8" w:space="0"/>
              <w:right w:val="single" w:color="000000" w:sz="8" w:space="0"/>
            </w:tcBorders>
            <w:shd w:val="clear" w:color="auto" w:fill="auto"/>
            <w:vAlign w:val="top"/>
          </w:tcPr>
          <w:p w14:paraId="1EF2904B">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投标人建立日常检测管理制度，保证水质的各项措施：</w:t>
            </w:r>
          </w:p>
          <w:p w14:paraId="0714137D">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制度全面、措施合理的，得5分；</w:t>
            </w:r>
          </w:p>
          <w:p w14:paraId="7B72A28F">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制度较全面、措施较合理的，得3分；</w:t>
            </w:r>
          </w:p>
          <w:p w14:paraId="1DB48FE5">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制度不够全面、措施不够合理的，得1分；</w:t>
            </w:r>
          </w:p>
          <w:p w14:paraId="73CE0807">
            <w:pPr>
              <w:pStyle w:val="27"/>
              <w:ind w:left="0" w:leftChars="0" w:firstLine="0" w:firstLineChars="0"/>
              <w:rPr>
                <w:rFonts w:hint="default"/>
                <w:color w:val="auto"/>
                <w:lang w:val="en-US" w:eastAsia="zh-CN"/>
              </w:rPr>
            </w:pPr>
            <w:r>
              <w:rPr>
                <w:rFonts w:hint="eastAsia" w:ascii="宋体" w:hAnsi="宋体" w:eastAsia="宋体" w:cs="宋体"/>
                <w:color w:val="auto"/>
                <w:kern w:val="0"/>
                <w:szCs w:val="21"/>
                <w:lang w:val="en-US" w:eastAsia="zh-CN" w:bidi="ar"/>
              </w:rPr>
              <w:t>未提及的不得分。</w:t>
            </w:r>
          </w:p>
        </w:tc>
        <w:tc>
          <w:tcPr>
            <w:tcW w:w="656" w:type="dxa"/>
            <w:tcBorders>
              <w:top w:val="single" w:color="auto" w:sz="4" w:space="0"/>
              <w:left w:val="single" w:color="auto" w:sz="4" w:space="0"/>
              <w:right w:val="single" w:color="auto" w:sz="4" w:space="0"/>
            </w:tcBorders>
            <w:vAlign w:val="center"/>
          </w:tcPr>
          <w:p w14:paraId="3CB54AC7">
            <w:pPr>
              <w:ind w:firstLine="210" w:firstLineChars="100"/>
              <w:rPr>
                <w:rFonts w:ascii="Times New Roman" w:hAnsi="Times New Roman" w:eastAsia="宋体" w:cs="Times New Roman"/>
                <w:color w:val="auto"/>
              </w:rPr>
            </w:pPr>
          </w:p>
        </w:tc>
      </w:tr>
      <w:tr w14:paraId="72E3A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879" w:type="dxa"/>
            <w:vMerge w:val="continue"/>
            <w:tcBorders>
              <w:top w:val="single" w:color="auto" w:sz="4" w:space="0"/>
              <w:left w:val="single" w:color="auto" w:sz="4" w:space="0"/>
              <w:right w:val="single" w:color="auto" w:sz="4" w:space="0"/>
            </w:tcBorders>
            <w:shd w:val="clear" w:color="auto" w:fill="auto"/>
            <w:vAlign w:val="center"/>
          </w:tcPr>
          <w:p w14:paraId="35788C4E">
            <w:pPr>
              <w:ind w:firstLine="640"/>
              <w:jc w:val="center"/>
              <w:rPr>
                <w:rFonts w:ascii="Times New Roman" w:hAnsi="Times New Roman" w:eastAsia="宋体" w:cs="Times New Roman"/>
                <w:color w:val="auto"/>
              </w:rPr>
            </w:pPr>
          </w:p>
        </w:tc>
        <w:tc>
          <w:tcPr>
            <w:tcW w:w="153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50F61EF1">
            <w:pPr>
              <w:jc w:val="center"/>
              <w:rPr>
                <w:rFonts w:hint="default"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培训方案</w:t>
            </w:r>
          </w:p>
          <w:p w14:paraId="254787C1">
            <w:pPr>
              <w:jc w:val="center"/>
              <w:rPr>
                <w:rFonts w:hint="eastAsia"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（4分）</w:t>
            </w:r>
          </w:p>
        </w:tc>
        <w:tc>
          <w:tcPr>
            <w:tcW w:w="6882" w:type="dxa"/>
            <w:tcBorders>
              <w:top w:val="single" w:color="000000" w:sz="8" w:space="0"/>
              <w:left w:val="single" w:color="000000" w:sz="8" w:space="0"/>
              <w:bottom w:val="single" w:color="000000" w:sz="8" w:space="0"/>
              <w:right w:val="single" w:color="000000" w:sz="8" w:space="0"/>
            </w:tcBorders>
            <w:shd w:val="clear" w:color="auto" w:fill="auto"/>
            <w:vAlign w:val="top"/>
          </w:tcPr>
          <w:p w14:paraId="6A765D91">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培训方案内容合理、详细，培训时长等方面：</w:t>
            </w:r>
          </w:p>
          <w:p w14:paraId="6AE195C3">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培训方案详实、内容完整的，得4分；</w:t>
            </w:r>
          </w:p>
          <w:p w14:paraId="3963B579">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培训方案基本详实的，得2分；</w:t>
            </w:r>
          </w:p>
          <w:p w14:paraId="68AA8382">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培训方案简单的，得1分；</w:t>
            </w:r>
          </w:p>
          <w:p w14:paraId="4D3120A0">
            <w:pPr>
              <w:widowControl/>
              <w:textAlignment w:val="center"/>
              <w:rPr>
                <w:rFonts w:hint="default" w:ascii="宋体" w:hAnsi="宋体" w:eastAsia="宋体" w:cs="宋体"/>
                <w:color w:val="auto"/>
                <w:kern w:val="0"/>
                <w:szCs w:val="21"/>
                <w:lang w:val="en-US" w:eastAsia="zh-CN" w:bidi="ar"/>
              </w:rPr>
            </w:pPr>
            <w:r>
              <w:rPr>
                <w:rFonts w:hint="eastAsia" w:ascii="宋体" w:hAnsi="宋体" w:eastAsia="宋体" w:cs="宋体"/>
                <w:color w:val="auto"/>
                <w:kern w:val="0"/>
                <w:szCs w:val="21"/>
                <w:lang w:val="en-US" w:eastAsia="zh-CN" w:bidi="ar"/>
              </w:rPr>
              <w:t>未提及的不得分。</w:t>
            </w:r>
          </w:p>
        </w:tc>
        <w:tc>
          <w:tcPr>
            <w:tcW w:w="656" w:type="dxa"/>
            <w:tcBorders>
              <w:top w:val="single" w:color="auto" w:sz="4" w:space="0"/>
              <w:left w:val="single" w:color="auto" w:sz="4" w:space="0"/>
              <w:right w:val="single" w:color="auto" w:sz="4" w:space="0"/>
            </w:tcBorders>
            <w:vAlign w:val="center"/>
          </w:tcPr>
          <w:p w14:paraId="3B8DCF3A">
            <w:pPr>
              <w:ind w:firstLine="210" w:firstLineChars="100"/>
              <w:rPr>
                <w:rFonts w:ascii="Times New Roman" w:hAnsi="Times New Roman" w:eastAsia="宋体" w:cs="Times New Roman"/>
                <w:color w:val="auto"/>
              </w:rPr>
            </w:pPr>
          </w:p>
        </w:tc>
      </w:tr>
      <w:tr w14:paraId="6C09E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1" w:hRule="atLeast"/>
          <w:jc w:val="center"/>
        </w:trPr>
        <w:tc>
          <w:tcPr>
            <w:tcW w:w="879" w:type="dxa"/>
            <w:tcBorders>
              <w:top w:val="single" w:color="auto" w:sz="4" w:space="0"/>
              <w:left w:val="single" w:color="auto" w:sz="4" w:space="0"/>
              <w:right w:val="single" w:color="auto" w:sz="4" w:space="0"/>
            </w:tcBorders>
            <w:shd w:val="clear" w:color="auto" w:fill="auto"/>
            <w:vAlign w:val="center"/>
          </w:tcPr>
          <w:p w14:paraId="71A5A7E5">
            <w:pPr>
              <w:ind w:firstLine="640"/>
              <w:jc w:val="center"/>
              <w:rPr>
                <w:rFonts w:ascii="Times New Roman" w:hAnsi="Times New Roman" w:eastAsia="宋体" w:cs="Times New Roman"/>
                <w:color w:val="auto"/>
              </w:rPr>
            </w:pPr>
          </w:p>
        </w:tc>
        <w:tc>
          <w:tcPr>
            <w:tcW w:w="1536" w:type="dxa"/>
            <w:tcBorders>
              <w:top w:val="single" w:color="000000" w:sz="8" w:space="0"/>
              <w:left w:val="single" w:color="000000" w:sz="8" w:space="0"/>
              <w:bottom w:val="single" w:color="000000" w:sz="8" w:space="0"/>
              <w:right w:val="single" w:color="000000" w:sz="8" w:space="0"/>
            </w:tcBorders>
            <w:shd w:val="clear" w:color="auto" w:fill="auto"/>
            <w:vAlign w:val="center"/>
          </w:tcPr>
          <w:p w14:paraId="055EF182">
            <w:pPr>
              <w:jc w:val="center"/>
              <w:rPr>
                <w:rFonts w:hint="eastAsia" w:ascii="Times New Roman" w:hAnsi="Times New Roman" w:eastAsia="宋体" w:cs="Times New Roman"/>
                <w:color w:val="auto"/>
                <w:lang w:val="en-US" w:eastAsia="zh-CN"/>
              </w:rPr>
            </w:pPr>
            <w:r>
              <w:rPr>
                <w:rFonts w:hint="eastAsia" w:ascii="宋体" w:hAnsi="宋体" w:eastAsia="宋体" w:cs="Times New Roman"/>
                <w:color w:val="auto"/>
                <w:kern w:val="0"/>
              </w:rPr>
              <w:t>维稳交接</w:t>
            </w:r>
            <w:r>
              <w:rPr>
                <w:rFonts w:hint="eastAsia" w:ascii="宋体" w:hAnsi="宋体" w:eastAsia="宋体" w:cs="Times New Roman"/>
                <w:color w:val="auto"/>
                <w:kern w:val="0"/>
                <w:lang w:eastAsia="zh-CN"/>
              </w:rPr>
              <w:t>（</w:t>
            </w:r>
            <w:r>
              <w:rPr>
                <w:rFonts w:hint="eastAsia" w:ascii="宋体" w:hAnsi="宋体" w:eastAsia="宋体" w:cs="Times New Roman"/>
                <w:color w:val="auto"/>
                <w:kern w:val="0"/>
                <w:lang w:val="en-US" w:eastAsia="zh-CN"/>
              </w:rPr>
              <w:t>4分</w:t>
            </w:r>
            <w:r>
              <w:rPr>
                <w:rFonts w:hint="eastAsia" w:ascii="宋体" w:hAnsi="宋体" w:eastAsia="宋体" w:cs="Times New Roman"/>
                <w:color w:val="auto"/>
                <w:kern w:val="0"/>
                <w:lang w:eastAsia="zh-CN"/>
              </w:rPr>
              <w:t>）</w:t>
            </w:r>
          </w:p>
        </w:tc>
        <w:tc>
          <w:tcPr>
            <w:tcW w:w="6882" w:type="dxa"/>
            <w:tcBorders>
              <w:top w:val="single" w:color="000000" w:sz="8" w:space="0"/>
              <w:left w:val="single" w:color="000000" w:sz="8" w:space="0"/>
              <w:bottom w:val="single" w:color="000000" w:sz="8" w:space="0"/>
              <w:right w:val="single" w:color="000000" w:sz="8" w:space="0"/>
            </w:tcBorders>
            <w:shd w:val="clear" w:color="auto" w:fill="auto"/>
            <w:vAlign w:val="top"/>
          </w:tcPr>
          <w:p w14:paraId="323033D7">
            <w:pPr>
              <w:rPr>
                <w:rFonts w:hint="eastAsia" w:ascii="宋体" w:hAnsi="宋体" w:eastAsia="宋体"/>
                <w:color w:val="auto"/>
                <w:szCs w:val="21"/>
              </w:rPr>
            </w:pPr>
            <w:r>
              <w:rPr>
                <w:rFonts w:ascii="宋体" w:hAnsi="宋体" w:eastAsia="宋体"/>
                <w:color w:val="auto"/>
                <w:szCs w:val="21"/>
              </w:rPr>
              <w:t>投标人提出的为确保项目顺利交接和平稳过渡所采取的各项措施与承诺，包括安全排除，维稳过</w:t>
            </w:r>
            <w:r>
              <w:rPr>
                <w:rFonts w:hint="eastAsia" w:ascii="宋体" w:hAnsi="宋体" w:eastAsia="宋体"/>
                <w:color w:val="auto"/>
                <w:szCs w:val="21"/>
              </w:rPr>
              <w:t>渡</w:t>
            </w:r>
            <w:r>
              <w:rPr>
                <w:rFonts w:ascii="宋体" w:hAnsi="宋体" w:eastAsia="宋体"/>
                <w:color w:val="auto"/>
                <w:szCs w:val="21"/>
              </w:rPr>
              <w:t>等。</w:t>
            </w:r>
          </w:p>
          <w:p w14:paraId="45E0BB80">
            <w:pPr>
              <w:widowControl/>
              <w:textAlignment w:val="center"/>
              <w:rPr>
                <w:rFonts w:hint="eastAsia" w:ascii="宋体" w:hAnsi="宋体" w:eastAsia="宋体"/>
                <w:color w:val="auto"/>
                <w:szCs w:val="21"/>
              </w:rPr>
            </w:pPr>
            <w:r>
              <w:rPr>
                <w:rFonts w:ascii="宋体" w:hAnsi="宋体" w:eastAsia="宋体"/>
                <w:color w:val="auto"/>
                <w:szCs w:val="21"/>
              </w:rPr>
              <w:t>各项措施及承诺全面</w:t>
            </w:r>
            <w:r>
              <w:rPr>
                <w:rFonts w:hint="eastAsia" w:ascii="宋体" w:hAnsi="宋体" w:eastAsia="宋体"/>
                <w:color w:val="auto"/>
                <w:szCs w:val="21"/>
              </w:rPr>
              <w:t>完整</w:t>
            </w:r>
            <w:bookmarkStart w:id="43" w:name="_GoBack"/>
            <w:bookmarkEnd w:id="43"/>
            <w:r>
              <w:rPr>
                <w:rFonts w:hint="eastAsia" w:ascii="宋体" w:hAnsi="宋体" w:eastAsia="宋体"/>
                <w:color w:val="auto"/>
                <w:szCs w:val="21"/>
              </w:rPr>
              <w:t>的，得</w:t>
            </w:r>
            <w:r>
              <w:rPr>
                <w:rFonts w:hint="eastAsia" w:ascii="宋体" w:hAnsi="宋体" w:eastAsia="宋体"/>
                <w:color w:val="auto"/>
                <w:szCs w:val="21"/>
                <w:lang w:val="en-US" w:eastAsia="zh-CN"/>
              </w:rPr>
              <w:t>4</w:t>
            </w:r>
            <w:r>
              <w:rPr>
                <w:rFonts w:hint="eastAsia" w:ascii="宋体" w:hAnsi="宋体" w:eastAsia="宋体"/>
                <w:color w:val="auto"/>
                <w:szCs w:val="21"/>
              </w:rPr>
              <w:t>分；</w:t>
            </w:r>
          </w:p>
          <w:p w14:paraId="0DCE2490">
            <w:pPr>
              <w:widowControl/>
              <w:textAlignment w:val="center"/>
              <w:rPr>
                <w:rFonts w:hint="eastAsia" w:ascii="宋体" w:hAnsi="宋体" w:eastAsia="宋体"/>
                <w:color w:val="auto"/>
                <w:szCs w:val="21"/>
                <w:lang w:eastAsia="zh-CN"/>
              </w:rPr>
            </w:pPr>
            <w:r>
              <w:rPr>
                <w:rFonts w:ascii="宋体" w:hAnsi="宋体" w:eastAsia="宋体"/>
                <w:color w:val="auto"/>
                <w:szCs w:val="21"/>
              </w:rPr>
              <w:t>各项措施及承诺基本</w:t>
            </w:r>
            <w:r>
              <w:rPr>
                <w:rFonts w:hint="eastAsia" w:ascii="宋体" w:hAnsi="宋体" w:eastAsia="宋体"/>
                <w:color w:val="auto"/>
                <w:szCs w:val="21"/>
              </w:rPr>
              <w:t>完整的，得</w:t>
            </w:r>
            <w:r>
              <w:rPr>
                <w:rFonts w:hint="eastAsia" w:ascii="宋体" w:hAnsi="宋体" w:eastAsia="宋体"/>
                <w:color w:val="auto"/>
                <w:szCs w:val="21"/>
                <w:lang w:val="en-US" w:eastAsia="zh-CN"/>
              </w:rPr>
              <w:t>2</w:t>
            </w:r>
            <w:r>
              <w:rPr>
                <w:rFonts w:hint="eastAsia" w:ascii="宋体" w:hAnsi="宋体" w:eastAsia="宋体"/>
                <w:color w:val="auto"/>
                <w:szCs w:val="21"/>
              </w:rPr>
              <w:t>分</w:t>
            </w:r>
            <w:r>
              <w:rPr>
                <w:rFonts w:hint="eastAsia" w:ascii="宋体" w:hAnsi="宋体" w:eastAsia="宋体"/>
                <w:color w:val="auto"/>
                <w:szCs w:val="21"/>
                <w:lang w:eastAsia="zh-CN"/>
              </w:rPr>
              <w:t>；</w:t>
            </w:r>
          </w:p>
          <w:p w14:paraId="164AAE81">
            <w:pPr>
              <w:widowControl/>
              <w:textAlignment w:val="center"/>
              <w:rPr>
                <w:rFonts w:hint="default" w:ascii="宋体" w:hAnsi="宋体" w:eastAsia="宋体"/>
                <w:color w:val="auto"/>
                <w:szCs w:val="21"/>
                <w:lang w:val="en-US" w:eastAsia="zh-CN"/>
              </w:rPr>
            </w:pPr>
            <w:r>
              <w:rPr>
                <w:rFonts w:ascii="宋体" w:hAnsi="宋体" w:eastAsia="宋体"/>
                <w:color w:val="auto"/>
                <w:szCs w:val="21"/>
              </w:rPr>
              <w:t>各项措施及承诺有所欠缺的</w:t>
            </w:r>
            <w:r>
              <w:rPr>
                <w:rFonts w:hint="eastAsia" w:ascii="宋体" w:hAnsi="宋体" w:eastAsia="宋体"/>
                <w:color w:val="auto"/>
                <w:szCs w:val="21"/>
                <w:lang w:eastAsia="zh-CN"/>
              </w:rPr>
              <w:t>，得</w:t>
            </w:r>
            <w:r>
              <w:rPr>
                <w:rFonts w:hint="eastAsia" w:ascii="宋体" w:hAnsi="宋体" w:eastAsia="宋体"/>
                <w:color w:val="auto"/>
                <w:szCs w:val="21"/>
                <w:lang w:val="en-US" w:eastAsia="zh-CN"/>
              </w:rPr>
              <w:t>1分；</w:t>
            </w:r>
          </w:p>
          <w:p w14:paraId="5F1D28F9">
            <w:pPr>
              <w:widowControl/>
              <w:textAlignment w:val="center"/>
              <w:rPr>
                <w:rFonts w:hint="eastAsia" w:ascii="宋体" w:hAnsi="宋体" w:eastAsia="宋体" w:cs="宋体"/>
                <w:color w:val="auto"/>
                <w:kern w:val="0"/>
                <w:szCs w:val="21"/>
                <w:lang w:val="en-US" w:eastAsia="zh-CN" w:bidi="ar"/>
              </w:rPr>
            </w:pPr>
            <w:r>
              <w:rPr>
                <w:rFonts w:hint="eastAsia" w:ascii="宋体" w:hAnsi="宋体" w:eastAsia="宋体"/>
                <w:color w:val="auto"/>
                <w:szCs w:val="21"/>
              </w:rPr>
              <w:t>未提及</w:t>
            </w:r>
            <w:r>
              <w:rPr>
                <w:rFonts w:hint="eastAsia" w:ascii="宋体" w:hAnsi="宋体" w:eastAsia="宋体"/>
                <w:color w:val="auto"/>
                <w:szCs w:val="21"/>
                <w:lang w:eastAsia="zh-CN"/>
              </w:rPr>
              <w:t>的，</w:t>
            </w:r>
            <w:r>
              <w:rPr>
                <w:rFonts w:hint="eastAsia" w:ascii="宋体" w:hAnsi="宋体" w:eastAsia="宋体"/>
                <w:color w:val="auto"/>
                <w:szCs w:val="21"/>
              </w:rPr>
              <w:t>不得分。</w:t>
            </w:r>
          </w:p>
        </w:tc>
        <w:tc>
          <w:tcPr>
            <w:tcW w:w="656" w:type="dxa"/>
            <w:tcBorders>
              <w:top w:val="single" w:color="auto" w:sz="4" w:space="0"/>
              <w:left w:val="single" w:color="auto" w:sz="4" w:space="0"/>
              <w:right w:val="single" w:color="auto" w:sz="4" w:space="0"/>
            </w:tcBorders>
            <w:vAlign w:val="center"/>
          </w:tcPr>
          <w:p w14:paraId="73FCD4B6">
            <w:pPr>
              <w:ind w:firstLine="210" w:firstLineChars="100"/>
              <w:rPr>
                <w:rFonts w:ascii="Times New Roman" w:hAnsi="Times New Roman" w:eastAsia="宋体" w:cs="Times New Roman"/>
                <w:color w:val="auto"/>
              </w:rPr>
            </w:pPr>
          </w:p>
        </w:tc>
      </w:tr>
      <w:tr w14:paraId="418E1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8" w:hRule="atLeast"/>
          <w:jc w:val="center"/>
        </w:trPr>
        <w:tc>
          <w:tcPr>
            <w:tcW w:w="879" w:type="dxa"/>
            <w:tcBorders>
              <w:top w:val="single" w:color="auto" w:sz="4" w:space="0"/>
              <w:left w:val="single" w:color="auto" w:sz="4" w:space="0"/>
              <w:bottom w:val="single" w:color="auto" w:sz="4" w:space="0"/>
              <w:right w:val="single" w:color="auto" w:sz="4" w:space="0"/>
            </w:tcBorders>
            <w:vAlign w:val="center"/>
          </w:tcPr>
          <w:p w14:paraId="3CA38F22">
            <w:pPr>
              <w:widowControl/>
              <w:spacing w:line="240" w:lineRule="auto"/>
              <w:ind w:right="-341"/>
              <w:rPr>
                <w:rFonts w:ascii="Times New Roman" w:hAnsi="Times New Roman" w:eastAsia="宋体" w:cs="Times New Roman"/>
                <w:color w:val="auto"/>
              </w:rPr>
            </w:pPr>
            <w:r>
              <w:rPr>
                <w:rFonts w:ascii="Times New Roman" w:hAnsi="Times New Roman" w:eastAsia="宋体" w:cs="Times New Roman"/>
                <w:color w:val="auto"/>
              </w:rPr>
              <w:t>价格得分</w:t>
            </w:r>
          </w:p>
          <w:p w14:paraId="733F3433">
            <w:pPr>
              <w:widowControl/>
              <w:spacing w:line="240" w:lineRule="auto"/>
              <w:ind w:right="-341"/>
              <w:rPr>
                <w:rFonts w:ascii="Times New Roman" w:hAnsi="Times New Roman" w:eastAsia="宋体" w:cs="Times New Roman"/>
                <w:color w:val="auto"/>
              </w:rPr>
            </w:pPr>
            <w:r>
              <w:rPr>
                <w:rFonts w:ascii="Times New Roman" w:hAnsi="Times New Roman" w:eastAsia="宋体" w:cs="Times New Roman"/>
                <w:color w:val="auto"/>
              </w:rPr>
              <w:t>（</w:t>
            </w:r>
            <w:r>
              <w:rPr>
                <w:rFonts w:hint="eastAsia" w:ascii="Times New Roman" w:hAnsi="Times New Roman" w:eastAsia="宋体" w:cs="Times New Roman"/>
                <w:color w:val="auto"/>
              </w:rPr>
              <w:t>15</w:t>
            </w:r>
            <w:r>
              <w:rPr>
                <w:rFonts w:ascii="Times New Roman" w:hAnsi="Times New Roman" w:eastAsia="宋体" w:cs="Times New Roman"/>
                <w:color w:val="auto"/>
              </w:rPr>
              <w:t>分）</w:t>
            </w:r>
          </w:p>
        </w:tc>
        <w:tc>
          <w:tcPr>
            <w:tcW w:w="8418" w:type="dxa"/>
            <w:gridSpan w:val="2"/>
            <w:tcBorders>
              <w:top w:val="single" w:color="auto" w:sz="4" w:space="0"/>
              <w:left w:val="single" w:color="auto" w:sz="4" w:space="0"/>
              <w:bottom w:val="single" w:color="auto" w:sz="4" w:space="0"/>
              <w:right w:val="single" w:color="auto" w:sz="4" w:space="0"/>
            </w:tcBorders>
            <w:vAlign w:val="center"/>
          </w:tcPr>
          <w:p w14:paraId="685730B4">
            <w:pPr>
              <w:snapToGrid w:val="0"/>
              <w:spacing w:line="240" w:lineRule="auto"/>
              <w:rPr>
                <w:rFonts w:hint="eastAsia" w:ascii="宋体" w:hAnsi="宋体" w:eastAsia="宋体" w:cs="Times New Roman"/>
                <w:bCs/>
                <w:color w:val="auto"/>
              </w:rPr>
            </w:pPr>
            <w:r>
              <w:rPr>
                <w:rFonts w:hint="eastAsia" w:ascii="宋体" w:hAnsi="宋体" w:eastAsia="宋体" w:cs="Times New Roman"/>
                <w:bCs/>
                <w:color w:val="auto"/>
              </w:rPr>
              <w:t>满足投标文件要求且投标单价最低的为评标基准价，其价格分为满分，其他投标人的价格分按下列公式计算：</w:t>
            </w:r>
          </w:p>
          <w:p w14:paraId="79534142">
            <w:pPr>
              <w:spacing w:line="240" w:lineRule="auto"/>
              <w:ind w:right="-341"/>
              <w:jc w:val="left"/>
              <w:rPr>
                <w:rFonts w:ascii="Times New Roman" w:hAnsi="Times New Roman" w:eastAsia="宋体" w:cs="Times New Roman"/>
                <w:color w:val="auto"/>
              </w:rPr>
            </w:pPr>
            <w:r>
              <w:rPr>
                <w:rFonts w:hint="eastAsia" w:ascii="宋体" w:hAnsi="宋体" w:eastAsia="宋体" w:cs="Times New Roman"/>
                <w:bCs/>
                <w:color w:val="auto"/>
              </w:rPr>
              <w:t>价格得分＝（评标基准价/投标报价）×价格权重×100。</w:t>
            </w:r>
          </w:p>
        </w:tc>
        <w:tc>
          <w:tcPr>
            <w:tcW w:w="656" w:type="dxa"/>
            <w:tcBorders>
              <w:top w:val="single" w:color="auto" w:sz="4" w:space="0"/>
              <w:left w:val="single" w:color="auto" w:sz="4" w:space="0"/>
              <w:bottom w:val="single" w:color="auto" w:sz="4" w:space="0"/>
              <w:right w:val="single" w:color="auto" w:sz="4" w:space="0"/>
            </w:tcBorders>
          </w:tcPr>
          <w:p w14:paraId="22890D2B">
            <w:pPr>
              <w:ind w:firstLine="210" w:firstLineChars="100"/>
              <w:rPr>
                <w:rFonts w:ascii="Times New Roman" w:hAnsi="Times New Roman" w:eastAsia="宋体" w:cs="Times New Roman"/>
                <w:color w:val="auto"/>
              </w:rPr>
            </w:pPr>
          </w:p>
        </w:tc>
      </w:tr>
    </w:tbl>
    <w:p w14:paraId="61041D46">
      <w:pPr>
        <w:pStyle w:val="26"/>
        <w:rPr>
          <w:rFonts w:eastAsia="黑体"/>
          <w:color w:val="auto"/>
          <w:sz w:val="30"/>
        </w:rPr>
      </w:pPr>
    </w:p>
    <w:p w14:paraId="4C29A342">
      <w:pPr>
        <w:spacing w:line="440" w:lineRule="exact"/>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第五章合同主要条款</w:t>
      </w:r>
      <w:bookmarkEnd w:id="0"/>
    </w:p>
    <w:p w14:paraId="1C620E9C">
      <w:pPr>
        <w:pStyle w:val="84"/>
        <w:rPr>
          <w:rFonts w:hint="eastAsia"/>
          <w:color w:val="auto"/>
        </w:rPr>
      </w:pPr>
    </w:p>
    <w:p w14:paraId="4FF147DC">
      <w:pPr>
        <w:snapToGrid w:val="0"/>
        <w:jc w:val="center"/>
        <w:textAlignment w:val="baseline"/>
        <w:rPr>
          <w:rFonts w:hint="eastAsia"/>
          <w:b/>
          <w:color w:val="auto"/>
          <w:sz w:val="28"/>
        </w:rPr>
      </w:pPr>
      <w:r>
        <w:rPr>
          <w:rFonts w:hint="eastAsia"/>
          <w:b/>
          <w:color w:val="auto"/>
          <w:sz w:val="28"/>
        </w:rPr>
        <w:t>采购合同</w:t>
      </w:r>
      <w:r>
        <w:rPr>
          <w:b/>
          <w:color w:val="auto"/>
          <w:sz w:val="28"/>
        </w:rPr>
        <w:t>(</w:t>
      </w:r>
      <w:r>
        <w:rPr>
          <w:rFonts w:hint="eastAsia"/>
          <w:b/>
          <w:color w:val="auto"/>
          <w:sz w:val="28"/>
        </w:rPr>
        <w:t>仅供参考</w:t>
      </w:r>
      <w:r>
        <w:rPr>
          <w:b/>
          <w:color w:val="auto"/>
          <w:sz w:val="28"/>
        </w:rPr>
        <w:t>)</w:t>
      </w:r>
    </w:p>
    <w:p w14:paraId="6633DC72">
      <w:pPr>
        <w:spacing w:line="288" w:lineRule="auto"/>
        <w:rPr>
          <w:rFonts w:hint="eastAsia" w:ascii="宋体" w:hAnsi="宋体"/>
          <w:color w:val="auto"/>
        </w:rPr>
      </w:pPr>
    </w:p>
    <w:p w14:paraId="0E470AC6">
      <w:pPr>
        <w:spacing w:line="288" w:lineRule="auto"/>
        <w:rPr>
          <w:rFonts w:hint="eastAsia" w:ascii="宋体" w:hAnsi="宋体"/>
          <w:color w:val="auto"/>
        </w:rPr>
      </w:pPr>
    </w:p>
    <w:p w14:paraId="5275120A">
      <w:pPr>
        <w:spacing w:line="288" w:lineRule="auto"/>
        <w:jc w:val="center"/>
        <w:rPr>
          <w:rFonts w:hint="eastAsia" w:ascii="宋体" w:hAnsi="宋体" w:eastAsia="宋体" w:cs="宋体"/>
          <w:b/>
          <w:color w:val="auto"/>
          <w:szCs w:val="21"/>
        </w:rPr>
      </w:pPr>
      <w:r>
        <w:rPr>
          <w:rFonts w:hint="eastAsia" w:ascii="Times New Roman" w:hAnsi="Times New Roman" w:eastAsia="宋体" w:cs="Times New Roman"/>
          <w:b/>
          <w:color w:val="auto"/>
          <w:szCs w:val="21"/>
        </w:rPr>
        <w:t xml:space="preserve">新城垃圾中转站渗滤液处置项目 </w:t>
      </w:r>
      <w:r>
        <w:rPr>
          <w:rFonts w:hint="eastAsia" w:ascii="宋体" w:hAnsi="宋体" w:eastAsia="宋体" w:cs="宋体"/>
          <w:b/>
          <w:color w:val="auto"/>
          <w:szCs w:val="21"/>
        </w:rPr>
        <w:t>合同（范本）</w:t>
      </w:r>
    </w:p>
    <w:p w14:paraId="52CD421B">
      <w:pPr>
        <w:spacing w:before="156" w:after="156" w:line="360" w:lineRule="auto"/>
        <w:ind w:left="420" w:leftChars="200" w:right="150" w:firstLine="474"/>
        <w:rPr>
          <w:rFonts w:hint="eastAsia" w:ascii="宋体" w:hAnsi="宋体" w:eastAsia="宋体" w:cs="宋体"/>
          <w:b/>
          <w:bCs/>
          <w:color w:val="auto"/>
          <w:szCs w:val="21"/>
        </w:rPr>
      </w:pPr>
      <w:r>
        <w:rPr>
          <w:rFonts w:hint="eastAsia" w:ascii="宋体" w:hAnsi="宋体" w:eastAsia="宋体" w:cs="宋体"/>
          <w:b/>
          <w:bCs/>
          <w:color w:val="auto"/>
          <w:szCs w:val="21"/>
        </w:rPr>
        <w:t>招标文件、中标人的投标文件及其澄清文件等，均为合同的组成部分。</w:t>
      </w:r>
    </w:p>
    <w:p w14:paraId="48270EDA">
      <w:pPr>
        <w:spacing w:line="360" w:lineRule="auto"/>
        <w:ind w:firstLine="472" w:firstLineChars="225"/>
        <w:rPr>
          <w:rFonts w:hint="eastAsia" w:ascii="宋体" w:hAnsi="宋体" w:eastAsia="宋体" w:cs="宋体"/>
          <w:color w:val="auto"/>
          <w:szCs w:val="21"/>
          <w:u w:val="single"/>
        </w:rPr>
      </w:pPr>
      <w:r>
        <w:rPr>
          <w:rFonts w:hint="eastAsia" w:ascii="宋体" w:hAnsi="宋体" w:eastAsia="宋体" w:cs="宋体"/>
          <w:color w:val="auto"/>
          <w:szCs w:val="21"/>
        </w:rPr>
        <w:t>甲方：（全称）</w:t>
      </w:r>
    </w:p>
    <w:p w14:paraId="520E593B">
      <w:pPr>
        <w:spacing w:line="360" w:lineRule="auto"/>
        <w:ind w:firstLine="472" w:firstLineChars="225"/>
        <w:rPr>
          <w:rFonts w:hint="eastAsia" w:ascii="宋体" w:hAnsi="宋体" w:eastAsia="宋体" w:cs="宋体"/>
          <w:color w:val="auto"/>
          <w:szCs w:val="21"/>
          <w:u w:val="single"/>
        </w:rPr>
      </w:pPr>
      <w:r>
        <w:rPr>
          <w:rFonts w:hint="eastAsia" w:ascii="宋体" w:hAnsi="宋体" w:eastAsia="宋体" w:cs="宋体"/>
          <w:color w:val="auto"/>
          <w:szCs w:val="21"/>
        </w:rPr>
        <w:t>乙方：（全称）</w:t>
      </w:r>
    </w:p>
    <w:p w14:paraId="14057E01">
      <w:pPr>
        <w:spacing w:line="360" w:lineRule="auto"/>
        <w:ind w:firstLine="472" w:firstLineChars="225"/>
        <w:rPr>
          <w:rFonts w:hint="eastAsia" w:ascii="宋体" w:hAnsi="宋体" w:eastAsia="宋体" w:cs="宋体"/>
          <w:color w:val="auto"/>
          <w:szCs w:val="21"/>
        </w:rPr>
      </w:pPr>
      <w:r>
        <w:rPr>
          <w:rFonts w:hint="eastAsia" w:ascii="宋体" w:hAnsi="宋体" w:eastAsia="宋体" w:cs="宋体"/>
          <w:color w:val="auto"/>
          <w:szCs w:val="21"/>
        </w:rPr>
        <w:t>依照《中华人民共和国民法典》及其他有关法律、行政法规，遵循平等、自愿、公平和诚实信用的原则，双方就本项目事项协商一致，订立本合同。</w:t>
      </w:r>
    </w:p>
    <w:p w14:paraId="1E5360B9">
      <w:pPr>
        <w:spacing w:line="360" w:lineRule="auto"/>
        <w:ind w:firstLine="474" w:firstLineChars="225"/>
        <w:rPr>
          <w:rFonts w:hint="eastAsia" w:ascii="宋体" w:hAnsi="宋体" w:eastAsia="宋体" w:cs="宋体"/>
          <w:b/>
          <w:bCs/>
          <w:color w:val="auto"/>
          <w:szCs w:val="21"/>
        </w:rPr>
      </w:pPr>
      <w:r>
        <w:rPr>
          <w:rFonts w:hint="eastAsia" w:ascii="宋体" w:hAnsi="宋体" w:eastAsia="宋体" w:cs="宋体"/>
          <w:b/>
          <w:bCs/>
          <w:color w:val="auto"/>
          <w:szCs w:val="21"/>
        </w:rPr>
        <w:t xml:space="preserve">1.项目背景 </w:t>
      </w:r>
    </w:p>
    <w:p w14:paraId="5A19934D">
      <w:pPr>
        <w:spacing w:line="360" w:lineRule="auto"/>
        <w:ind w:firstLine="420" w:firstLineChars="200"/>
        <w:outlineLvl w:val="0"/>
        <w:rPr>
          <w:rFonts w:hint="eastAsia" w:ascii="宋体" w:hAnsi="宋体" w:eastAsia="宋体" w:cs="Times New Roman"/>
          <w:color w:val="auto"/>
          <w:szCs w:val="21"/>
        </w:rPr>
      </w:pPr>
      <w:r>
        <w:rPr>
          <w:rFonts w:hint="eastAsia" w:ascii="宋体" w:hAnsi="宋体" w:eastAsia="宋体" w:cs="Times New Roman"/>
          <w:color w:val="auto"/>
          <w:szCs w:val="21"/>
        </w:rPr>
        <w:t>对新城区6座生活垃圾中转站渗滤液进行集中处置。根据《浙江省生活垃圾中转站改造提升技术导则》（浙江省住房和城乡建设厅公告2022年第4号）和《舟山市生活垃圾压缩站安全运行提升行动实施方案》（舟公管〔2023〕18号）文件要求，将各中转站产生的垃圾渗滤液进行无害化处置达标排放。</w:t>
      </w:r>
    </w:p>
    <w:p w14:paraId="7904C29B">
      <w:pPr>
        <w:spacing w:line="360" w:lineRule="auto"/>
        <w:ind w:firstLine="420" w:firstLineChars="200"/>
        <w:outlineLvl w:val="0"/>
        <w:rPr>
          <w:rFonts w:hint="eastAsia" w:ascii="宋体" w:hAnsi="宋体" w:eastAsia="宋体" w:cs="Times New Roman"/>
          <w:color w:val="auto"/>
          <w:szCs w:val="21"/>
        </w:rPr>
      </w:pPr>
      <w:r>
        <w:rPr>
          <w:rFonts w:hint="eastAsia" w:ascii="宋体" w:hAnsi="宋体" w:eastAsia="宋体" w:cs="Times New Roman"/>
          <w:color w:val="auto"/>
          <w:szCs w:val="21"/>
          <w:lang w:eastAsia="zh-CN"/>
        </w:rPr>
        <w:t>项目地点在孙家岙环卫基地，</w:t>
      </w:r>
      <w:r>
        <w:rPr>
          <w:rFonts w:hint="eastAsia" w:ascii="宋体" w:hAnsi="宋体" w:eastAsia="宋体" w:cs="Times New Roman"/>
          <w:color w:val="auto"/>
          <w:szCs w:val="21"/>
        </w:rPr>
        <w:t>因项目的特殊性，投标人需自行前往现场进行踏勘及工艺分析。</w:t>
      </w:r>
    </w:p>
    <w:p w14:paraId="5BBC55AA">
      <w:pPr>
        <w:spacing w:line="360" w:lineRule="auto"/>
        <w:ind w:firstLine="420" w:firstLineChars="200"/>
        <w:outlineLvl w:val="0"/>
        <w:rPr>
          <w:rFonts w:hint="eastAsia" w:ascii="宋体" w:hAnsi="宋体" w:eastAsia="宋体" w:cs="Times New Roman"/>
          <w:color w:val="auto"/>
          <w:szCs w:val="21"/>
        </w:rPr>
      </w:pPr>
      <w:r>
        <w:rPr>
          <w:rFonts w:hint="eastAsia" w:ascii="宋体" w:hAnsi="宋体" w:eastAsia="宋体" w:cs="Times New Roman"/>
          <w:color w:val="auto"/>
          <w:szCs w:val="21"/>
          <w:lang w:val="en-US" w:eastAsia="zh-CN"/>
        </w:rPr>
        <w:t>6座生活垃圾中转站渗滤液污水日产生量约30-40m³，采购人已委托另外项目将渗滤液转运至孙家岙环卫基地，无需投标人收集运输</w:t>
      </w:r>
      <w:r>
        <w:rPr>
          <w:rFonts w:hint="eastAsia" w:ascii="宋体" w:hAnsi="宋体" w:eastAsia="宋体" w:cs="Times New Roman"/>
          <w:color w:val="auto"/>
          <w:szCs w:val="21"/>
        </w:rPr>
        <w:t>。</w:t>
      </w:r>
    </w:p>
    <w:p w14:paraId="58DD263E">
      <w:pPr>
        <w:spacing w:line="360" w:lineRule="auto"/>
        <w:ind w:firstLine="474" w:firstLineChars="225"/>
        <w:rPr>
          <w:rFonts w:hint="eastAsia" w:ascii="宋体" w:hAnsi="宋体" w:eastAsia="宋体" w:cs="宋体"/>
          <w:b/>
          <w:bCs/>
          <w:color w:val="auto"/>
          <w:szCs w:val="21"/>
          <w:lang w:eastAsia="zh-CN"/>
        </w:rPr>
      </w:pPr>
      <w:r>
        <w:rPr>
          <w:rFonts w:hint="eastAsia" w:ascii="宋体" w:hAnsi="宋体" w:eastAsia="宋体" w:cs="宋体"/>
          <w:b/>
          <w:bCs/>
          <w:color w:val="auto"/>
          <w:szCs w:val="21"/>
          <w:lang w:val="en-US" w:eastAsia="zh-CN"/>
        </w:rPr>
        <w:t>2.</w:t>
      </w:r>
      <w:r>
        <w:rPr>
          <w:rFonts w:hint="eastAsia" w:ascii="宋体" w:hAnsi="宋体" w:eastAsia="宋体" w:cs="宋体"/>
          <w:b/>
          <w:bCs/>
          <w:color w:val="auto"/>
          <w:szCs w:val="21"/>
        </w:rPr>
        <w:t>项目</w:t>
      </w:r>
      <w:r>
        <w:rPr>
          <w:rFonts w:hint="eastAsia" w:ascii="宋体" w:hAnsi="宋体" w:eastAsia="宋体" w:cs="宋体"/>
          <w:b/>
          <w:bCs/>
          <w:color w:val="auto"/>
          <w:szCs w:val="21"/>
          <w:lang w:val="en-US" w:eastAsia="zh-CN"/>
        </w:rPr>
        <w:t>内容</w:t>
      </w:r>
    </w:p>
    <w:p w14:paraId="0FFA5FD6">
      <w:pPr>
        <w:spacing w:line="360" w:lineRule="auto"/>
        <w:ind w:firstLine="420" w:firstLineChars="200"/>
        <w:outlineLvl w:val="0"/>
        <w:rPr>
          <w:rFonts w:hint="eastAsia" w:ascii="宋体" w:hAnsi="宋体" w:eastAsia="宋体" w:cs="Times New Roman"/>
          <w:color w:val="auto"/>
          <w:szCs w:val="21"/>
        </w:rPr>
      </w:pPr>
      <w:r>
        <w:rPr>
          <w:rFonts w:hint="eastAsia" w:ascii="宋体" w:hAnsi="宋体" w:eastAsia="宋体" w:cs="Times New Roman"/>
          <w:color w:val="auto"/>
          <w:szCs w:val="21"/>
          <w:lang w:val="en-US" w:eastAsia="zh-CN"/>
        </w:rPr>
        <w:t>1.</w:t>
      </w:r>
      <w:r>
        <w:rPr>
          <w:rFonts w:hint="eastAsia" w:ascii="宋体" w:hAnsi="宋体" w:eastAsia="宋体" w:cs="Times New Roman"/>
          <w:color w:val="auto"/>
          <w:szCs w:val="21"/>
        </w:rPr>
        <w:t>对于水、电费的明确：水、电费由</w:t>
      </w:r>
      <w:r>
        <w:rPr>
          <w:rFonts w:hint="eastAsia" w:ascii="宋体" w:hAnsi="宋体" w:eastAsia="宋体" w:cs="Times New Roman"/>
          <w:color w:val="auto"/>
          <w:szCs w:val="21"/>
          <w:lang w:val="en-US" w:eastAsia="zh-CN"/>
        </w:rPr>
        <w:t>投标人</w:t>
      </w:r>
      <w:r>
        <w:rPr>
          <w:rFonts w:hint="eastAsia" w:ascii="宋体" w:hAnsi="宋体" w:eastAsia="宋体" w:cs="Times New Roman"/>
          <w:color w:val="auto"/>
          <w:szCs w:val="21"/>
        </w:rPr>
        <w:t>自行支付。</w:t>
      </w:r>
    </w:p>
    <w:p w14:paraId="40959614">
      <w:pPr>
        <w:spacing w:line="360" w:lineRule="auto"/>
        <w:ind w:firstLine="420" w:firstLineChars="200"/>
        <w:outlineLvl w:val="0"/>
        <w:rPr>
          <w:rFonts w:hint="eastAsia" w:ascii="宋体" w:hAnsi="宋体" w:eastAsia="宋体" w:cs="Times New Roman"/>
          <w:color w:val="auto"/>
          <w:szCs w:val="21"/>
          <w:lang w:val="en-US" w:eastAsia="zh-CN"/>
        </w:rPr>
      </w:pPr>
      <w:r>
        <w:rPr>
          <w:rFonts w:hint="eastAsia" w:ascii="宋体" w:hAnsi="宋体" w:eastAsia="宋体" w:cs="Times New Roman"/>
          <w:color w:val="auto"/>
          <w:szCs w:val="21"/>
          <w:lang w:val="en-US" w:eastAsia="zh-CN"/>
        </w:rPr>
        <w:t>2.人员配备：项目负责人一名，操作人员3人及以上。</w:t>
      </w:r>
    </w:p>
    <w:p w14:paraId="60F40CDA">
      <w:pPr>
        <w:spacing w:line="360" w:lineRule="auto"/>
        <w:ind w:firstLine="422" w:firstLineChars="200"/>
        <w:outlineLvl w:val="0"/>
        <w:rPr>
          <w:rFonts w:hint="eastAsia" w:ascii="宋体" w:hAnsi="宋体" w:eastAsia="宋体" w:cs="Times New Roman"/>
          <w:b/>
          <w:bCs/>
          <w:color w:val="auto"/>
          <w:szCs w:val="21"/>
          <w:lang w:val="en-US" w:eastAsia="zh-CN"/>
        </w:rPr>
      </w:pPr>
      <w:r>
        <w:rPr>
          <w:rFonts w:hint="eastAsia" w:ascii="宋体" w:hAnsi="宋体" w:eastAsia="宋体" w:cs="Times New Roman"/>
          <w:b/>
          <w:bCs/>
          <w:color w:val="auto"/>
          <w:szCs w:val="21"/>
          <w:lang w:val="en-US" w:eastAsia="zh-CN"/>
        </w:rPr>
        <w:t>★3.投标人需提供一套处置能力30m³/d（含）以上的渗滤液处理设备（提供的渗滤液处理设备归属权为投标人）。（自有或租赁，若租赁，可先承诺，中标后7个工作日内提供相关证明文件；已承诺，中标后无法提供，视为放弃中标（成交）资格，并承担相关责任）；按采购人要求安置在孙家岙环卫基地，随时进行接纳处理，不得拒接或停止处理。</w:t>
      </w:r>
    </w:p>
    <w:p w14:paraId="3D913DCC">
      <w:pPr>
        <w:spacing w:line="360" w:lineRule="auto"/>
        <w:ind w:firstLine="420" w:firstLineChars="200"/>
        <w:outlineLvl w:val="0"/>
        <w:rPr>
          <w:rFonts w:hint="eastAsia" w:ascii="宋体" w:hAnsi="宋体" w:eastAsia="宋体"/>
          <w:b/>
          <w:bCs/>
          <w:color w:val="auto"/>
          <w:sz w:val="24"/>
        </w:rPr>
      </w:pPr>
      <w:r>
        <w:rPr>
          <w:rFonts w:hint="eastAsia" w:ascii="宋体" w:hAnsi="宋体" w:eastAsia="宋体" w:cs="Times New Roman"/>
          <w:color w:val="auto"/>
          <w:szCs w:val="21"/>
          <w:lang w:val="en-US" w:eastAsia="zh-CN"/>
        </w:rPr>
        <w:t>4.投标人需根据采购人要求在处理设备上安装流量计以便采购人每月统计渗滤液处置量。</w:t>
      </w:r>
    </w:p>
    <w:p w14:paraId="616C3CCD">
      <w:pPr>
        <w:spacing w:line="360" w:lineRule="auto"/>
        <w:ind w:firstLine="474" w:firstLineChars="225"/>
        <w:rPr>
          <w:rFonts w:hint="eastAsia" w:ascii="宋体" w:hAnsi="宋体" w:eastAsia="宋体" w:cs="宋体"/>
          <w:b/>
          <w:bCs/>
          <w:color w:val="auto"/>
          <w:szCs w:val="21"/>
        </w:rPr>
      </w:pPr>
      <w:r>
        <w:rPr>
          <w:rFonts w:hint="eastAsia" w:ascii="宋体" w:hAnsi="宋体" w:eastAsia="宋体" w:cs="宋体"/>
          <w:b/>
          <w:bCs/>
          <w:color w:val="auto"/>
          <w:szCs w:val="21"/>
          <w:lang w:val="en-US" w:eastAsia="zh-CN"/>
        </w:rPr>
        <w:t>3.</w:t>
      </w:r>
      <w:r>
        <w:rPr>
          <w:rFonts w:hint="eastAsia" w:ascii="宋体" w:hAnsi="宋体" w:eastAsia="宋体" w:cs="宋体"/>
          <w:b/>
          <w:bCs/>
          <w:color w:val="auto"/>
          <w:szCs w:val="21"/>
        </w:rPr>
        <w:t>服务要求</w:t>
      </w:r>
    </w:p>
    <w:p w14:paraId="1A76CEFE">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针对本项目，乙方须建立项目组，项目组设项目负责人1名，项目人员若干，负责处置和作业工作。乙方加强安全生产工作，确保全年不出安全责任事故。如发生安全责任事故、工伤事故等，由乙方承担一切责任及损失。乙方必须自觉接受甲方及其它管理部门的管理、监督和检查，如遇突发事故或重大活动的突击任务，须无条件服从甲方的安排。</w:t>
      </w:r>
    </w:p>
    <w:p w14:paraId="6FF35DFE">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2．乙方须配备具备渗滤液处置能力的装置设备，装置设备应采用一体化、模块化、智能化设计，选取先进、可靠、适用的工艺，以节省投资，减少占地面积，降低运行能耗。乙方具备的渗滤液处置装置日处理渗滤液能力须达到30m³（含）以上。中标后，须保证在25天（含）内完成装置的整体设计、采购制造、人员配备、设备安装等，随之调试运行。</w:t>
      </w:r>
    </w:p>
    <w:p w14:paraId="7D3E137B">
      <w:pPr>
        <w:pStyle w:val="355"/>
        <w:keepNext w:val="0"/>
        <w:keepLines w:val="0"/>
        <w:pageBreakBefore w:val="0"/>
        <w:widowControl w:val="0"/>
        <w:numPr>
          <w:ilvl w:val="0"/>
          <w:numId w:val="0"/>
        </w:numPr>
        <w:shd w:val="clear" w:color="auto" w:fill="auto"/>
        <w:tabs>
          <w:tab w:val="left" w:pos="799"/>
        </w:tabs>
        <w:kinsoku/>
        <w:wordWrap/>
        <w:overflowPunct/>
        <w:topLinePunct w:val="0"/>
        <w:autoSpaceDE/>
        <w:autoSpaceDN/>
        <w:bidi w:val="0"/>
        <w:adjustRightInd/>
        <w:snapToGrid/>
        <w:spacing w:before="0" w:after="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3.垃圾渗滤液处置须符合《生活垃圾渗沥液处理技术规范》（CJJ150-2010）和《生活垃圾填埋场渗滤液处理工程技术规范》（HJ564-2010）等相关规定和要求。出水符合《污水综合排放标准》（GB8978-1996）三级标准后排放至污水管道，符合生活垃圾填埋场污染控制标准（GB 16889-2008），氨氮和磷酸盐排放执行《工业企业废水氮、磷污染物单间排放限值》（DB33／887-2013）：化学需氧量（mg／l）≤500，生化需氧量(mg/l)≤350,氨氮(mg/l)≤45,总氮(mg/l)≤70,悬浮物(mg/l)≤400,总磷(mg/1)≤8，PH＝6.5-9.5，动植物油(mg/l)≤100。排放水质达到《污水排入城镇下水道水质标准》（GB／T 31962-2015）中的排放标准，若未达到由此产生的后果责任由乙方承担。</w:t>
      </w:r>
    </w:p>
    <w:p w14:paraId="23C35C71">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4.根据现场情况，渗滤液处理装置安置地点为孙家岙环卫基地，现场只提供装置安装的基础，如水电接入、渗滤液进出口等。受孙家岙环卫基地地形限制，渗滤液处置装置的整体体积尺寸须控制在长度17米（含）、宽度6米（含）、高度3米（含）以内。</w:t>
      </w:r>
    </w:p>
    <w:p w14:paraId="339BE98A">
      <w:pPr>
        <w:pStyle w:val="355"/>
        <w:keepNext w:val="0"/>
        <w:keepLines w:val="0"/>
        <w:pageBreakBefore w:val="0"/>
        <w:widowControl w:val="0"/>
        <w:numPr>
          <w:ilvl w:val="0"/>
          <w:numId w:val="0"/>
        </w:numPr>
        <w:shd w:val="clear" w:color="auto" w:fill="auto"/>
        <w:tabs>
          <w:tab w:val="left" w:pos="799"/>
        </w:tabs>
        <w:kinsoku/>
        <w:wordWrap/>
        <w:overflowPunct/>
        <w:topLinePunct w:val="0"/>
        <w:autoSpaceDE/>
        <w:autoSpaceDN/>
        <w:bidi w:val="0"/>
        <w:adjustRightInd/>
        <w:snapToGrid/>
        <w:spacing w:before="0" w:after="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5.</w:t>
      </w:r>
      <w:r>
        <w:rPr>
          <w:rFonts w:hint="eastAsia" w:ascii="宋体" w:hAnsi="宋体" w:eastAsia="宋体" w:cs="宋体"/>
          <w:color w:val="auto"/>
          <w:spacing w:val="0"/>
          <w:w w:val="100"/>
          <w:position w:val="0"/>
          <w:sz w:val="21"/>
          <w:szCs w:val="21"/>
        </w:rPr>
        <w:t>在整个运营期内</w:t>
      </w:r>
      <w:r>
        <w:rPr>
          <w:rFonts w:hint="eastAsia" w:ascii="宋体" w:hAnsi="宋体" w:eastAsia="宋体" w:cs="宋体"/>
          <w:color w:val="auto"/>
          <w:spacing w:val="0"/>
          <w:w w:val="100"/>
          <w:position w:val="0"/>
          <w:sz w:val="21"/>
          <w:szCs w:val="21"/>
          <w:lang w:val="en-US" w:eastAsia="zh-CN"/>
        </w:rPr>
        <w:t>乙方</w:t>
      </w:r>
      <w:r>
        <w:rPr>
          <w:rFonts w:hint="eastAsia" w:ascii="宋体" w:hAnsi="宋体" w:eastAsia="宋体" w:cs="宋体"/>
          <w:color w:val="auto"/>
          <w:spacing w:val="0"/>
          <w:w w:val="100"/>
          <w:position w:val="0"/>
          <w:sz w:val="21"/>
          <w:szCs w:val="21"/>
        </w:rPr>
        <w:t>应自行承担费用和风险，始终合理负责本项目的管理、运营维护和修理，使本项目处于良好的运营状态并能够安全、稳定地处理污水使之达到以上出水标准。</w:t>
      </w:r>
    </w:p>
    <w:p w14:paraId="4AD847FA">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6.</w:t>
      </w:r>
      <w:r>
        <w:rPr>
          <w:rFonts w:hint="eastAsia" w:ascii="宋体" w:hAnsi="宋体" w:eastAsia="宋体" w:cs="宋体"/>
          <w:color w:val="auto"/>
          <w:spacing w:val="0"/>
          <w:w w:val="100"/>
          <w:position w:val="0"/>
          <w:sz w:val="21"/>
          <w:szCs w:val="21"/>
        </w:rPr>
        <w:t>污水沉淀或分离出来的废弃物，</w:t>
      </w:r>
      <w:r>
        <w:rPr>
          <w:rFonts w:hint="eastAsia" w:ascii="宋体" w:hAnsi="宋体" w:eastAsia="宋体" w:cs="宋体"/>
          <w:color w:val="auto"/>
          <w:spacing w:val="0"/>
          <w:w w:val="100"/>
          <w:position w:val="0"/>
          <w:sz w:val="21"/>
          <w:szCs w:val="21"/>
          <w:lang w:val="en-US" w:eastAsia="zh-CN"/>
        </w:rPr>
        <w:t>乙方</w:t>
      </w:r>
      <w:r>
        <w:rPr>
          <w:rFonts w:hint="eastAsia" w:ascii="宋体" w:hAnsi="宋体" w:eastAsia="宋体" w:cs="宋体"/>
          <w:color w:val="auto"/>
          <w:spacing w:val="0"/>
          <w:w w:val="100"/>
          <w:position w:val="0"/>
          <w:sz w:val="21"/>
          <w:szCs w:val="21"/>
        </w:rPr>
        <w:t>应负责运载至</w:t>
      </w:r>
      <w:r>
        <w:rPr>
          <w:rFonts w:hint="eastAsia" w:ascii="宋体" w:hAnsi="宋体" w:eastAsia="宋体" w:cs="宋体"/>
          <w:color w:val="auto"/>
          <w:spacing w:val="0"/>
          <w:w w:val="100"/>
          <w:position w:val="0"/>
          <w:sz w:val="21"/>
          <w:szCs w:val="21"/>
          <w:lang w:eastAsia="zh-CN"/>
        </w:rPr>
        <w:t>有资质的处置单位</w:t>
      </w:r>
      <w:r>
        <w:rPr>
          <w:rFonts w:hint="eastAsia" w:ascii="宋体" w:hAnsi="宋体" w:eastAsia="宋体" w:cs="宋体"/>
          <w:color w:val="auto"/>
          <w:spacing w:val="0"/>
          <w:w w:val="100"/>
          <w:position w:val="0"/>
          <w:sz w:val="21"/>
          <w:szCs w:val="21"/>
        </w:rPr>
        <w:t>，相应费用由</w:t>
      </w:r>
      <w:r>
        <w:rPr>
          <w:rFonts w:hint="eastAsia" w:ascii="宋体" w:hAnsi="宋体" w:eastAsia="宋体" w:cs="宋体"/>
          <w:color w:val="auto"/>
          <w:spacing w:val="0"/>
          <w:w w:val="100"/>
          <w:position w:val="0"/>
          <w:sz w:val="21"/>
          <w:szCs w:val="21"/>
          <w:lang w:val="en-US" w:eastAsia="zh-CN"/>
        </w:rPr>
        <w:t>乙方</w:t>
      </w:r>
      <w:r>
        <w:rPr>
          <w:rFonts w:hint="eastAsia" w:ascii="宋体" w:hAnsi="宋体" w:eastAsia="宋体" w:cs="宋体"/>
          <w:color w:val="auto"/>
          <w:spacing w:val="0"/>
          <w:w w:val="100"/>
          <w:position w:val="0"/>
          <w:sz w:val="21"/>
          <w:szCs w:val="21"/>
        </w:rPr>
        <w:t>承担。对本项目运营过程中所产生的其他废弃物，必须按国家及地方政府有关规定进行处理、排放，不得造成污染及危害公共安全。</w:t>
      </w:r>
    </w:p>
    <w:p w14:paraId="6D5DF5DD">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7.甲方在委托检测单位定期对处置后的渗滤液进行检验的同时，有权根据需要随时对渗滤液装置的出水水质进行抽检，保证装置全程出水达标。</w:t>
      </w:r>
    </w:p>
    <w:p w14:paraId="053D59A5">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lang w:val="en-US" w:eastAsia="zh-CN"/>
        </w:rPr>
        <w:t>8.乙方</w:t>
      </w:r>
      <w:r>
        <w:rPr>
          <w:rFonts w:hint="eastAsia" w:ascii="宋体" w:hAnsi="宋体" w:eastAsia="宋体" w:cs="宋体"/>
          <w:color w:val="auto"/>
          <w:spacing w:val="0"/>
          <w:w w:val="100"/>
          <w:position w:val="0"/>
          <w:sz w:val="21"/>
          <w:szCs w:val="21"/>
        </w:rPr>
        <w:t>应使本项目区域保持在良好、干净、整齐及清洁的状况，包括渗滤液处理区域内整体环境保洁，实施必须的修理、购买及保存本项目必需的替换设备或零件，并保存适当库存量的零件与设备，清除和处理维修所产生的废料。</w:t>
      </w:r>
    </w:p>
    <w:p w14:paraId="54100284">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9.渗滤液处理运营所需的药剂使用、膜等易耗品更换所需费用由乙方自行承担；渗滤液处理过程中使用的主要消耗件、消耗品必须及时更换，更换产生的费用由乙方自行承担。不可为降低运营成本而延迟或拒绝更换主要消耗件、易耗品与配件，如因以上原因导致渗滤液处理效率与渗滤液处理质量降低，甲方在责成乙方更换有关配件后15天内未完成的，则甲方可委托第三方实施更换，费用由乙方承担。</w:t>
      </w:r>
    </w:p>
    <w:p w14:paraId="6CE72CEC">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10.乙方须有一系列的管理制度，如渗滤液处理工艺流程图、污水处理安全操作规程、渗滤液处理管理规定、渗滤液处理装置负责人职责、渗滤液处理装置操作人员职责等，保证系统运行职责分明、规范操作、安全有序。中标后，各项管理制度应上墙公示，在运营期间，必须严格遵守相关的规章制度，确保运营正常。</w:t>
      </w:r>
    </w:p>
    <w:p w14:paraId="7EA06B77">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11.服务运营过程中，装置各处置交接节点、整体流程都应有纸质或电子记录,保证系统运行有据可查。</w:t>
      </w:r>
    </w:p>
    <w:p w14:paraId="4376794C">
      <w:pPr>
        <w:pStyle w:val="355"/>
        <w:keepNext w:val="0"/>
        <w:keepLines w:val="0"/>
        <w:pageBreakBefore w:val="0"/>
        <w:widowControl w:val="0"/>
        <w:numPr>
          <w:ilvl w:val="0"/>
          <w:numId w:val="0"/>
        </w:numPr>
        <w:shd w:val="clear" w:color="auto" w:fill="auto"/>
        <w:tabs>
          <w:tab w:val="left" w:pos="799"/>
        </w:tabs>
        <w:kinsoku/>
        <w:wordWrap/>
        <w:overflowPunct/>
        <w:topLinePunct w:val="0"/>
        <w:autoSpaceDE/>
        <w:autoSpaceDN/>
        <w:bidi w:val="0"/>
        <w:adjustRightInd/>
        <w:snapToGrid/>
        <w:spacing w:before="0" w:after="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12.作业人员应减少对作业区域及周边居民正常工作、生活的影响。乙方必须负责协调或处理由于渗滤液所带来的与周边单位（或居民）的各种问题的协调工作。</w:t>
      </w:r>
    </w:p>
    <w:p w14:paraId="57F361F3">
      <w:pPr>
        <w:pStyle w:val="355"/>
        <w:keepNext w:val="0"/>
        <w:keepLines w:val="0"/>
        <w:pageBreakBefore w:val="0"/>
        <w:widowControl w:val="0"/>
        <w:numPr>
          <w:ilvl w:val="0"/>
          <w:numId w:val="0"/>
        </w:numPr>
        <w:shd w:val="clear" w:color="auto" w:fill="auto"/>
        <w:tabs>
          <w:tab w:val="left" w:pos="799"/>
        </w:tabs>
        <w:kinsoku/>
        <w:wordWrap/>
        <w:overflowPunct/>
        <w:topLinePunct w:val="0"/>
        <w:autoSpaceDE/>
        <w:autoSpaceDN/>
        <w:bidi w:val="0"/>
        <w:adjustRightInd/>
        <w:snapToGrid/>
        <w:spacing w:before="0" w:after="0" w:line="336" w:lineRule="auto"/>
        <w:ind w:right="0" w:rightChars="0" w:firstLine="420" w:firstLineChars="200"/>
        <w:jc w:val="both"/>
        <w:textAlignment w:val="auto"/>
        <w:rPr>
          <w:rFonts w:hint="default"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13.在服务运营期间，乙方必须安排足够的工作人员，并建立相应的排班制度，保持通讯渠道畅通，设立专门应急队伍，负责运营期间突发事件的处理，确保及时到位。</w:t>
      </w:r>
    </w:p>
    <w:p w14:paraId="70A00F6C">
      <w:pPr>
        <w:pStyle w:val="355"/>
        <w:keepNext w:val="0"/>
        <w:keepLines w:val="0"/>
        <w:pageBreakBefore w:val="0"/>
        <w:widowControl w:val="0"/>
        <w:numPr>
          <w:ilvl w:val="0"/>
          <w:numId w:val="0"/>
        </w:numPr>
        <w:shd w:val="clear" w:color="auto" w:fill="auto"/>
        <w:tabs>
          <w:tab w:val="left" w:pos="823"/>
        </w:tabs>
        <w:kinsoku/>
        <w:wordWrap/>
        <w:overflowPunct/>
        <w:topLinePunct w:val="0"/>
        <w:autoSpaceDE/>
        <w:autoSpaceDN/>
        <w:bidi w:val="0"/>
        <w:adjustRightInd/>
        <w:snapToGrid/>
        <w:spacing w:before="0" w:after="0" w:line="336" w:lineRule="auto"/>
        <w:ind w:right="0" w:rightChars="0" w:firstLine="420" w:firstLineChars="200"/>
        <w:jc w:val="left"/>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14.乙方应加强安全管理，制定安全责任制度，在运营期内所发生所有的安全事故由乙方承担。乙方在运营服务期内造成人员伤亡和财产损失的，由乙方负责赔偿。</w:t>
      </w:r>
    </w:p>
    <w:p w14:paraId="344C506B">
      <w:pPr>
        <w:pStyle w:val="355"/>
        <w:keepNext w:val="0"/>
        <w:keepLines w:val="0"/>
        <w:pageBreakBefore w:val="0"/>
        <w:widowControl w:val="0"/>
        <w:numPr>
          <w:ilvl w:val="0"/>
          <w:numId w:val="0"/>
        </w:numPr>
        <w:shd w:val="clear" w:color="auto" w:fill="auto"/>
        <w:tabs>
          <w:tab w:val="left" w:pos="823"/>
        </w:tabs>
        <w:kinsoku/>
        <w:wordWrap/>
        <w:overflowPunct/>
        <w:topLinePunct w:val="0"/>
        <w:autoSpaceDE/>
        <w:autoSpaceDN/>
        <w:bidi w:val="0"/>
        <w:adjustRightInd/>
        <w:snapToGrid/>
        <w:spacing w:before="0" w:after="0" w:line="336" w:lineRule="auto"/>
        <w:ind w:right="0" w:rightChars="0" w:firstLine="420" w:firstLineChars="200"/>
        <w:jc w:val="left"/>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15.因违反操作规程或其他人为原因造成生产事故，导致生产设备损坏及影响渗滤液正常处理而导致经济损失，将追究相关责任单位与责任人的有关责任。</w:t>
      </w:r>
    </w:p>
    <w:p w14:paraId="4EA849F4">
      <w:pPr>
        <w:pStyle w:val="355"/>
        <w:keepNext w:val="0"/>
        <w:keepLines w:val="0"/>
        <w:pageBreakBefore w:val="0"/>
        <w:widowControl w:val="0"/>
        <w:numPr>
          <w:ilvl w:val="0"/>
          <w:numId w:val="0"/>
        </w:numPr>
        <w:shd w:val="clear" w:color="auto" w:fill="auto"/>
        <w:tabs>
          <w:tab w:val="left" w:pos="823"/>
        </w:tabs>
        <w:kinsoku/>
        <w:wordWrap/>
        <w:overflowPunct/>
        <w:topLinePunct w:val="0"/>
        <w:autoSpaceDE/>
        <w:autoSpaceDN/>
        <w:bidi w:val="0"/>
        <w:adjustRightInd/>
        <w:snapToGrid/>
        <w:spacing w:before="0" w:after="0" w:line="336" w:lineRule="auto"/>
        <w:ind w:right="0" w:rightChars="0" w:firstLine="420" w:firstLineChars="200"/>
        <w:jc w:val="left"/>
        <w:textAlignment w:val="auto"/>
        <w:rPr>
          <w:rFonts w:hint="eastAsia" w:ascii="宋体" w:hAnsi="宋体" w:eastAsia="宋体" w:cs="宋体"/>
          <w:color w:val="auto"/>
          <w:sz w:val="21"/>
          <w:szCs w:val="21"/>
        </w:rPr>
      </w:pPr>
      <w:r>
        <w:rPr>
          <w:rFonts w:hint="eastAsia" w:ascii="宋体" w:hAnsi="宋体" w:eastAsia="宋体" w:cs="宋体"/>
          <w:color w:val="auto"/>
          <w:spacing w:val="0"/>
          <w:w w:val="100"/>
          <w:position w:val="0"/>
          <w:sz w:val="21"/>
          <w:szCs w:val="21"/>
          <w:lang w:val="en-US" w:eastAsia="zh-CN"/>
        </w:rPr>
        <w:t>16.</w:t>
      </w:r>
      <w:r>
        <w:rPr>
          <w:rFonts w:hint="eastAsia" w:ascii="宋体" w:hAnsi="宋体" w:eastAsia="宋体" w:cs="宋体"/>
          <w:color w:val="auto"/>
          <w:spacing w:val="0"/>
          <w:w w:val="100"/>
          <w:position w:val="0"/>
          <w:sz w:val="21"/>
          <w:szCs w:val="21"/>
        </w:rPr>
        <w:t>服务</w:t>
      </w:r>
      <w:r>
        <w:rPr>
          <w:rFonts w:hint="eastAsia" w:ascii="宋体" w:hAnsi="宋体" w:eastAsia="宋体" w:cs="宋体"/>
          <w:color w:val="auto"/>
          <w:spacing w:val="0"/>
          <w:w w:val="100"/>
          <w:position w:val="0"/>
          <w:sz w:val="21"/>
          <w:szCs w:val="21"/>
          <w:lang w:val="en-US" w:eastAsia="zh-CN"/>
        </w:rPr>
        <w:t>运营</w:t>
      </w:r>
      <w:r>
        <w:rPr>
          <w:rFonts w:hint="eastAsia" w:ascii="宋体" w:hAnsi="宋体" w:eastAsia="宋体" w:cs="宋体"/>
          <w:color w:val="auto"/>
          <w:spacing w:val="0"/>
          <w:w w:val="100"/>
          <w:position w:val="0"/>
          <w:sz w:val="21"/>
          <w:szCs w:val="21"/>
        </w:rPr>
        <w:t>期内，未经</w:t>
      </w:r>
      <w:r>
        <w:rPr>
          <w:rFonts w:hint="eastAsia" w:ascii="宋体" w:hAnsi="宋体" w:eastAsia="宋体" w:cs="宋体"/>
          <w:color w:val="auto"/>
          <w:spacing w:val="0"/>
          <w:w w:val="100"/>
          <w:position w:val="0"/>
          <w:sz w:val="21"/>
          <w:szCs w:val="21"/>
          <w:lang w:val="en-US" w:eastAsia="zh-CN"/>
        </w:rPr>
        <w:t>甲方</w:t>
      </w:r>
      <w:r>
        <w:rPr>
          <w:rFonts w:hint="eastAsia" w:ascii="宋体" w:hAnsi="宋体" w:eastAsia="宋体" w:cs="宋体"/>
          <w:color w:val="auto"/>
          <w:spacing w:val="0"/>
          <w:w w:val="100"/>
          <w:position w:val="0"/>
          <w:sz w:val="21"/>
          <w:szCs w:val="21"/>
        </w:rPr>
        <w:t>同意，</w:t>
      </w:r>
      <w:r>
        <w:rPr>
          <w:rFonts w:hint="eastAsia" w:ascii="宋体" w:hAnsi="宋体" w:eastAsia="宋体" w:cs="宋体"/>
          <w:color w:val="auto"/>
          <w:spacing w:val="0"/>
          <w:w w:val="100"/>
          <w:position w:val="0"/>
          <w:sz w:val="21"/>
          <w:szCs w:val="21"/>
          <w:lang w:val="en-US" w:eastAsia="zh-CN"/>
        </w:rPr>
        <w:t>乙方</w:t>
      </w:r>
      <w:r>
        <w:rPr>
          <w:rFonts w:hint="eastAsia" w:ascii="宋体" w:hAnsi="宋体" w:eastAsia="宋体" w:cs="宋体"/>
          <w:color w:val="auto"/>
          <w:spacing w:val="0"/>
          <w:w w:val="100"/>
          <w:position w:val="0"/>
          <w:sz w:val="21"/>
          <w:szCs w:val="21"/>
        </w:rPr>
        <w:t>不得将该服务项目转包给其他承包人。</w:t>
      </w:r>
    </w:p>
    <w:p w14:paraId="6792358D">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17.</w:t>
      </w:r>
      <w:r>
        <w:rPr>
          <w:rFonts w:hint="eastAsia" w:ascii="宋体" w:hAnsi="宋体" w:eastAsia="宋体" w:cs="宋体"/>
          <w:color w:val="auto"/>
          <w:spacing w:val="0"/>
          <w:w w:val="100"/>
          <w:position w:val="0"/>
          <w:sz w:val="21"/>
          <w:szCs w:val="21"/>
        </w:rPr>
        <w:t>服务</w:t>
      </w:r>
      <w:r>
        <w:rPr>
          <w:rFonts w:hint="eastAsia" w:ascii="宋体" w:hAnsi="宋体" w:eastAsia="宋体" w:cs="宋体"/>
          <w:color w:val="auto"/>
          <w:spacing w:val="0"/>
          <w:w w:val="100"/>
          <w:position w:val="0"/>
          <w:sz w:val="21"/>
          <w:szCs w:val="21"/>
          <w:lang w:val="en-US" w:eastAsia="zh-CN"/>
        </w:rPr>
        <w:t>运营</w:t>
      </w:r>
      <w:r>
        <w:rPr>
          <w:rFonts w:hint="eastAsia" w:ascii="宋体" w:hAnsi="宋体" w:eastAsia="宋体" w:cs="宋体"/>
          <w:color w:val="auto"/>
          <w:spacing w:val="0"/>
          <w:w w:val="100"/>
          <w:position w:val="0"/>
          <w:sz w:val="21"/>
          <w:szCs w:val="21"/>
        </w:rPr>
        <w:t>期满，</w:t>
      </w:r>
      <w:r>
        <w:rPr>
          <w:rFonts w:hint="eastAsia" w:ascii="宋体" w:hAnsi="宋体" w:eastAsia="宋体" w:cs="宋体"/>
          <w:color w:val="auto"/>
          <w:spacing w:val="0"/>
          <w:w w:val="100"/>
          <w:position w:val="0"/>
          <w:sz w:val="21"/>
          <w:szCs w:val="21"/>
          <w:lang w:val="en-US" w:eastAsia="zh-CN"/>
        </w:rPr>
        <w:t>乙方</w:t>
      </w:r>
      <w:r>
        <w:rPr>
          <w:rFonts w:hint="eastAsia" w:ascii="宋体" w:hAnsi="宋体" w:eastAsia="宋体" w:cs="宋体"/>
          <w:color w:val="auto"/>
          <w:spacing w:val="0"/>
          <w:w w:val="100"/>
          <w:position w:val="0"/>
          <w:sz w:val="21"/>
          <w:szCs w:val="21"/>
        </w:rPr>
        <w:t>未能继续获取运营资格时，</w:t>
      </w:r>
      <w:r>
        <w:rPr>
          <w:rFonts w:hint="eastAsia" w:ascii="宋体" w:hAnsi="宋体" w:eastAsia="宋体" w:cs="宋体"/>
          <w:color w:val="auto"/>
          <w:spacing w:val="0"/>
          <w:w w:val="100"/>
          <w:position w:val="0"/>
          <w:sz w:val="21"/>
          <w:szCs w:val="21"/>
          <w:lang w:val="en-US" w:eastAsia="zh-CN"/>
        </w:rPr>
        <w:t>乙方</w:t>
      </w:r>
      <w:r>
        <w:rPr>
          <w:rFonts w:hint="eastAsia" w:ascii="宋体" w:hAnsi="宋体" w:eastAsia="宋体" w:cs="宋体"/>
          <w:color w:val="auto"/>
          <w:spacing w:val="0"/>
          <w:w w:val="100"/>
          <w:position w:val="0"/>
          <w:sz w:val="21"/>
          <w:szCs w:val="21"/>
        </w:rPr>
        <w:t>要积极配合与下一运营单位交接。不得以</w:t>
      </w:r>
      <w:r>
        <w:rPr>
          <w:rFonts w:hint="eastAsia" w:ascii="宋体" w:hAnsi="宋体" w:eastAsia="宋体" w:cs="宋体"/>
          <w:color w:val="auto"/>
          <w:spacing w:val="0"/>
          <w:w w:val="100"/>
          <w:position w:val="0"/>
          <w:sz w:val="21"/>
          <w:szCs w:val="21"/>
          <w:lang w:val="en-US" w:eastAsia="zh-CN"/>
        </w:rPr>
        <w:t>任何方式阻碍交接，影响釆购单位正常工作。</w:t>
      </w:r>
    </w:p>
    <w:p w14:paraId="7CF93821">
      <w:pPr>
        <w:pStyle w:val="355"/>
        <w:keepNext w:val="0"/>
        <w:keepLines w:val="0"/>
        <w:pageBreakBefore w:val="0"/>
        <w:widowControl w:val="0"/>
        <w:numPr>
          <w:ilvl w:val="0"/>
          <w:numId w:val="0"/>
        </w:numPr>
        <w:shd w:val="clear" w:color="auto" w:fill="auto"/>
        <w:tabs>
          <w:tab w:val="left" w:pos="776"/>
        </w:tabs>
        <w:kinsoku/>
        <w:wordWrap/>
        <w:overflowPunct/>
        <w:topLinePunct w:val="0"/>
        <w:autoSpaceDE/>
        <w:autoSpaceDN/>
        <w:bidi w:val="0"/>
        <w:adjustRightInd/>
        <w:snapToGrid/>
        <w:spacing w:before="0" w:after="60" w:line="336" w:lineRule="auto"/>
        <w:ind w:right="0" w:rightChars="0" w:firstLine="420" w:firstLineChars="200"/>
        <w:jc w:val="both"/>
        <w:textAlignment w:val="auto"/>
        <w:rPr>
          <w:rFonts w:hint="eastAsia" w:ascii="宋体" w:hAnsi="宋体" w:eastAsia="宋体" w:cs="宋体"/>
          <w:color w:val="auto"/>
          <w:spacing w:val="0"/>
          <w:w w:val="100"/>
          <w:position w:val="0"/>
          <w:sz w:val="21"/>
          <w:szCs w:val="21"/>
          <w:lang w:val="en-US" w:eastAsia="zh-CN"/>
        </w:rPr>
      </w:pPr>
      <w:r>
        <w:rPr>
          <w:rFonts w:hint="eastAsia" w:ascii="宋体" w:hAnsi="宋体" w:eastAsia="宋体" w:cs="宋体"/>
          <w:color w:val="auto"/>
          <w:spacing w:val="0"/>
          <w:w w:val="100"/>
          <w:position w:val="0"/>
          <w:sz w:val="21"/>
          <w:szCs w:val="21"/>
          <w:lang w:val="en-US" w:eastAsia="zh-CN"/>
        </w:rPr>
        <w:t>18.在乙方运营期间，渗滤液处理设备必须随时接受甲方检查、考核等。</w:t>
      </w:r>
    </w:p>
    <w:p w14:paraId="64A1DE84">
      <w:pPr>
        <w:pStyle w:val="52"/>
        <w:rPr>
          <w:color w:val="auto"/>
        </w:rPr>
      </w:pPr>
    </w:p>
    <w:p w14:paraId="7E19CE57">
      <w:pPr>
        <w:spacing w:line="360" w:lineRule="auto"/>
        <w:ind w:firstLine="474" w:firstLineChars="225"/>
        <w:rPr>
          <w:rFonts w:hint="eastAsia" w:ascii="宋体" w:hAnsi="宋体" w:eastAsia="宋体" w:cs="宋体"/>
          <w:b/>
          <w:color w:val="auto"/>
          <w:szCs w:val="21"/>
          <w:lang w:val="zh-TW"/>
        </w:rPr>
      </w:pPr>
      <w:r>
        <w:rPr>
          <w:rFonts w:hint="eastAsia" w:ascii="宋体" w:hAnsi="宋体" w:eastAsia="宋体" w:cs="宋体"/>
          <w:b/>
          <w:bCs/>
          <w:color w:val="auto"/>
          <w:szCs w:val="21"/>
          <w:lang w:val="en-US" w:eastAsia="zh-CN"/>
        </w:rPr>
        <w:t>4.</w:t>
      </w:r>
      <w:r>
        <w:rPr>
          <w:rFonts w:hint="eastAsia" w:ascii="宋体" w:hAnsi="宋体" w:eastAsia="宋体" w:cs="宋体"/>
          <w:b/>
          <w:bCs/>
          <w:color w:val="auto"/>
          <w:szCs w:val="21"/>
          <w:lang w:val="zh-TW" w:eastAsia="zh-TW"/>
        </w:rPr>
        <w:t>费用及支付方式</w:t>
      </w:r>
    </w:p>
    <w:p w14:paraId="22BDBD1A">
      <w:pPr>
        <w:pStyle w:val="84"/>
        <w:ind w:firstLine="420"/>
        <w:rPr>
          <w:rFonts w:hint="eastAsia" w:eastAsia="宋体" w:cs="宋体"/>
          <w:color w:val="auto"/>
          <w:sz w:val="21"/>
          <w:szCs w:val="21"/>
          <w:lang w:eastAsia="zh-CN"/>
        </w:rPr>
      </w:pPr>
      <w:r>
        <w:rPr>
          <w:rFonts w:hint="eastAsia" w:eastAsia="宋体" w:cs="宋体"/>
          <w:color w:val="auto"/>
          <w:sz w:val="21"/>
          <w:szCs w:val="21"/>
          <w:lang w:val="en-US" w:eastAsia="zh-CN"/>
        </w:rPr>
        <w:t>1.合同生效后，费用按季支付，季度承包款按照30m³/d的处置量</w:t>
      </w:r>
      <w:r>
        <w:rPr>
          <w:rFonts w:hint="eastAsia" w:ascii="汉仪细圆B5" w:hAnsi="汉仪细圆B5" w:eastAsia="汉仪细圆B5" w:cs="汉仪细圆B5"/>
          <w:color w:val="auto"/>
          <w:sz w:val="21"/>
          <w:szCs w:val="21"/>
          <w:lang w:val="en-US" w:eastAsia="zh-CN"/>
        </w:rPr>
        <w:t>×</w:t>
      </w:r>
      <w:r>
        <w:rPr>
          <w:rFonts w:hint="eastAsia" w:eastAsia="宋体" w:cs="宋体"/>
          <w:color w:val="auto"/>
          <w:sz w:val="21"/>
          <w:szCs w:val="21"/>
          <w:lang w:val="en-US" w:eastAsia="zh-CN"/>
        </w:rPr>
        <w:t>中标价</w:t>
      </w:r>
      <w:r>
        <w:rPr>
          <w:rFonts w:hint="eastAsia" w:ascii="汉仪细圆B5" w:hAnsi="汉仪细圆B5" w:eastAsia="汉仪细圆B5" w:cs="汉仪细圆B5"/>
          <w:color w:val="auto"/>
          <w:sz w:val="21"/>
          <w:szCs w:val="21"/>
          <w:lang w:val="en-US" w:eastAsia="zh-CN"/>
        </w:rPr>
        <w:t>×</w:t>
      </w:r>
      <w:r>
        <w:rPr>
          <w:rFonts w:hint="eastAsia" w:eastAsia="宋体" w:cs="宋体"/>
          <w:color w:val="auto"/>
          <w:sz w:val="21"/>
          <w:szCs w:val="21"/>
          <w:lang w:val="en-US" w:eastAsia="zh-CN"/>
        </w:rPr>
        <w:t>天数计算，每季度的第一个月内，由甲方在收到乙方正式发票后20天内向乙方办理运营处理费价款的支付手续；第四季度费用根据当年度实际处置量对承包费用进行结算后结清。</w:t>
      </w:r>
    </w:p>
    <w:p w14:paraId="5D2B0E5F">
      <w:pPr>
        <w:pStyle w:val="84"/>
        <w:ind w:firstLine="420"/>
        <w:rPr>
          <w:rFonts w:hint="eastAsia" w:eastAsia="宋体" w:cs="宋体"/>
          <w:color w:val="auto"/>
          <w:sz w:val="21"/>
          <w:szCs w:val="21"/>
        </w:rPr>
      </w:pPr>
      <w:r>
        <w:rPr>
          <w:rFonts w:hint="eastAsia" w:eastAsia="宋体" w:cs="宋体"/>
          <w:color w:val="auto"/>
          <w:sz w:val="21"/>
          <w:szCs w:val="21"/>
          <w:lang w:val="en-US" w:eastAsia="zh-CN"/>
        </w:rPr>
        <w:t>2.</w:t>
      </w:r>
      <w:r>
        <w:rPr>
          <w:rFonts w:hint="eastAsia" w:eastAsia="宋体" w:cs="宋体"/>
          <w:color w:val="auto"/>
          <w:sz w:val="21"/>
          <w:szCs w:val="21"/>
        </w:rPr>
        <w:t>在运营期间，</w:t>
      </w:r>
      <w:r>
        <w:rPr>
          <w:rFonts w:hint="eastAsia" w:eastAsia="宋体" w:cs="宋体"/>
          <w:color w:val="auto"/>
          <w:sz w:val="21"/>
          <w:szCs w:val="21"/>
          <w:lang w:val="en-US" w:eastAsia="zh-CN"/>
        </w:rPr>
        <w:t>甲方</w:t>
      </w:r>
      <w:r>
        <w:rPr>
          <w:rFonts w:hint="eastAsia" w:eastAsia="宋体" w:cs="宋体"/>
          <w:color w:val="auto"/>
          <w:sz w:val="21"/>
          <w:szCs w:val="21"/>
        </w:rPr>
        <w:t>将对</w:t>
      </w:r>
      <w:r>
        <w:rPr>
          <w:rFonts w:hint="eastAsia" w:eastAsia="宋体" w:cs="宋体"/>
          <w:color w:val="auto"/>
          <w:sz w:val="21"/>
          <w:szCs w:val="21"/>
          <w:lang w:val="en-US" w:eastAsia="zh-CN"/>
        </w:rPr>
        <w:t>乙方</w:t>
      </w:r>
      <w:r>
        <w:rPr>
          <w:rFonts w:hint="eastAsia" w:eastAsia="宋体" w:cs="宋体"/>
          <w:color w:val="auto"/>
          <w:sz w:val="21"/>
          <w:szCs w:val="21"/>
        </w:rPr>
        <w:t>进行定期不定期进行日常检查。若</w:t>
      </w:r>
      <w:r>
        <w:rPr>
          <w:rFonts w:hint="eastAsia" w:eastAsia="宋体" w:cs="宋体"/>
          <w:color w:val="auto"/>
          <w:sz w:val="21"/>
          <w:szCs w:val="21"/>
          <w:lang w:val="en-US" w:eastAsia="zh-CN"/>
        </w:rPr>
        <w:t>甲方</w:t>
      </w:r>
      <w:r>
        <w:rPr>
          <w:rFonts w:hint="eastAsia" w:eastAsia="宋体" w:cs="宋体"/>
          <w:color w:val="auto"/>
          <w:sz w:val="21"/>
          <w:szCs w:val="21"/>
        </w:rPr>
        <w:t>抽查时出现污水处理排放及脱水后污泥处理不符合标准要求的，</w:t>
      </w:r>
      <w:r>
        <w:rPr>
          <w:rFonts w:hint="eastAsia" w:eastAsia="宋体" w:cs="宋体"/>
          <w:color w:val="auto"/>
          <w:sz w:val="21"/>
          <w:szCs w:val="21"/>
          <w:lang w:val="en-US" w:eastAsia="zh-CN"/>
        </w:rPr>
        <w:t>甲方</w:t>
      </w:r>
      <w:r>
        <w:rPr>
          <w:rFonts w:hint="eastAsia" w:eastAsia="宋体" w:cs="宋体"/>
          <w:color w:val="auto"/>
          <w:sz w:val="21"/>
          <w:szCs w:val="21"/>
        </w:rPr>
        <w:t>有权根据考核结果扣除承包费用，</w:t>
      </w:r>
      <w:r>
        <w:rPr>
          <w:rFonts w:hint="eastAsia" w:eastAsia="宋体" w:cs="宋体"/>
          <w:color w:val="auto"/>
          <w:sz w:val="21"/>
          <w:szCs w:val="21"/>
          <w:lang w:val="en-US" w:eastAsia="zh-CN"/>
        </w:rPr>
        <w:t>乙方</w:t>
      </w:r>
      <w:r>
        <w:rPr>
          <w:rFonts w:hint="eastAsia" w:eastAsia="宋体" w:cs="宋体"/>
          <w:color w:val="auto"/>
          <w:sz w:val="21"/>
          <w:szCs w:val="21"/>
        </w:rPr>
        <w:t>需进行整改并提交相关方案，若同一季度出现三次上述情况，</w:t>
      </w:r>
      <w:r>
        <w:rPr>
          <w:rFonts w:hint="eastAsia" w:eastAsia="宋体" w:cs="宋体"/>
          <w:color w:val="auto"/>
          <w:sz w:val="21"/>
          <w:szCs w:val="21"/>
          <w:lang w:val="en-US" w:eastAsia="zh-CN"/>
        </w:rPr>
        <w:t>甲方</w:t>
      </w:r>
      <w:r>
        <w:rPr>
          <w:rFonts w:hint="eastAsia" w:eastAsia="宋体" w:cs="宋体"/>
          <w:color w:val="auto"/>
          <w:sz w:val="21"/>
          <w:szCs w:val="21"/>
        </w:rPr>
        <w:t>有权无条件终止</w:t>
      </w:r>
      <w:r>
        <w:rPr>
          <w:rFonts w:hint="eastAsia" w:eastAsia="宋体" w:cs="宋体"/>
          <w:color w:val="auto"/>
          <w:sz w:val="21"/>
          <w:szCs w:val="21"/>
          <w:lang w:eastAsia="zh-CN"/>
        </w:rPr>
        <w:t>投标人</w:t>
      </w:r>
      <w:r>
        <w:rPr>
          <w:rFonts w:hint="eastAsia" w:eastAsia="宋体" w:cs="宋体"/>
          <w:color w:val="auto"/>
          <w:sz w:val="21"/>
          <w:szCs w:val="21"/>
        </w:rPr>
        <w:t>合同，履约保证金不予退还。</w:t>
      </w:r>
    </w:p>
    <w:p w14:paraId="279C327F">
      <w:pPr>
        <w:pStyle w:val="84"/>
        <w:ind w:firstLine="420"/>
        <w:rPr>
          <w:rFonts w:hint="eastAsia" w:eastAsia="宋体" w:cs="宋体"/>
          <w:color w:val="auto"/>
          <w:sz w:val="21"/>
          <w:szCs w:val="21"/>
        </w:rPr>
      </w:pPr>
      <w:r>
        <w:rPr>
          <w:rFonts w:hint="eastAsia" w:eastAsia="宋体" w:cs="宋体"/>
          <w:color w:val="auto"/>
          <w:sz w:val="21"/>
          <w:szCs w:val="21"/>
          <w:lang w:val="en-US" w:eastAsia="zh-CN"/>
        </w:rPr>
        <w:t>3.</w:t>
      </w:r>
      <w:r>
        <w:rPr>
          <w:rFonts w:hint="eastAsia" w:eastAsia="宋体" w:cs="宋体"/>
          <w:color w:val="auto"/>
          <w:sz w:val="21"/>
          <w:szCs w:val="21"/>
        </w:rPr>
        <w:t>在运营期间，若</w:t>
      </w:r>
      <w:r>
        <w:rPr>
          <w:rFonts w:hint="eastAsia" w:eastAsia="宋体" w:cs="宋体"/>
          <w:color w:val="auto"/>
          <w:sz w:val="21"/>
          <w:szCs w:val="21"/>
          <w:lang w:eastAsia="zh-CN"/>
        </w:rPr>
        <w:t>相关</w:t>
      </w:r>
      <w:r>
        <w:rPr>
          <w:rFonts w:hint="eastAsia" w:eastAsia="宋体" w:cs="宋体"/>
          <w:color w:val="auto"/>
          <w:sz w:val="21"/>
          <w:szCs w:val="21"/>
        </w:rPr>
        <w:t>部门发现不符合标准，由</w:t>
      </w:r>
      <w:r>
        <w:rPr>
          <w:rFonts w:hint="eastAsia" w:eastAsia="宋体" w:cs="宋体"/>
          <w:color w:val="auto"/>
          <w:sz w:val="21"/>
          <w:szCs w:val="21"/>
          <w:lang w:val="en-US" w:eastAsia="zh-CN"/>
        </w:rPr>
        <w:t>乙方</w:t>
      </w:r>
      <w:r>
        <w:rPr>
          <w:rFonts w:hint="eastAsia" w:eastAsia="宋体" w:cs="宋体"/>
          <w:color w:val="auto"/>
          <w:sz w:val="21"/>
          <w:szCs w:val="21"/>
        </w:rPr>
        <w:t>承担一切责任和处罚费用。</w:t>
      </w:r>
    </w:p>
    <w:p w14:paraId="7FDA9197">
      <w:pPr>
        <w:spacing w:line="360" w:lineRule="auto"/>
        <w:ind w:firstLine="525" w:firstLineChars="249"/>
        <w:rPr>
          <w:rFonts w:hint="eastAsia" w:ascii="宋体" w:hAnsi="宋体" w:eastAsia="宋体" w:cs="宋体"/>
          <w:b/>
          <w:color w:val="auto"/>
          <w:szCs w:val="21"/>
          <w:lang w:val="zh-TW" w:eastAsia="zh-TW"/>
        </w:rPr>
      </w:pPr>
      <w:r>
        <w:rPr>
          <w:rFonts w:hint="eastAsia" w:ascii="宋体" w:hAnsi="宋体" w:eastAsia="宋体" w:cs="宋体"/>
          <w:b/>
          <w:color w:val="auto"/>
          <w:szCs w:val="21"/>
          <w:lang w:val="en-US" w:eastAsia="zh-CN"/>
        </w:rPr>
        <w:t>5</w:t>
      </w:r>
      <w:r>
        <w:rPr>
          <w:rFonts w:hint="eastAsia" w:ascii="宋体" w:hAnsi="宋体" w:eastAsia="宋体" w:cs="宋体"/>
          <w:b/>
          <w:color w:val="auto"/>
          <w:szCs w:val="21"/>
          <w:lang w:val="zh-TW"/>
        </w:rPr>
        <w:t>.</w:t>
      </w:r>
      <w:r>
        <w:rPr>
          <w:rFonts w:hint="eastAsia" w:ascii="宋体" w:hAnsi="宋体" w:eastAsia="宋体" w:cs="宋体"/>
          <w:b/>
          <w:color w:val="auto"/>
          <w:szCs w:val="21"/>
          <w:lang w:val="zh-TW" w:eastAsia="zh-TW"/>
        </w:rPr>
        <w:t>乙方项目组成员与合约履行期限：</w:t>
      </w:r>
    </w:p>
    <w:p w14:paraId="17A28587">
      <w:pPr>
        <w:spacing w:before="120" w:after="120" w:line="360" w:lineRule="auto"/>
        <w:ind w:firstLine="525" w:firstLineChars="250"/>
        <w:rPr>
          <w:rFonts w:hint="eastAsia" w:ascii="宋体" w:hAnsi="宋体" w:eastAsia="宋体" w:cs="宋体"/>
          <w:color w:val="auto"/>
          <w:szCs w:val="21"/>
          <w:lang w:val="zh-TW"/>
        </w:rPr>
      </w:pPr>
      <w:r>
        <w:rPr>
          <w:rFonts w:hint="eastAsia" w:ascii="宋体" w:hAnsi="宋体" w:eastAsia="宋体" w:cs="宋体"/>
          <w:color w:val="auto"/>
          <w:szCs w:val="21"/>
        </w:rPr>
        <w:t>1）</w:t>
      </w:r>
      <w:r>
        <w:rPr>
          <w:rFonts w:hint="eastAsia" w:ascii="宋体" w:hAnsi="宋体" w:eastAsia="宋体" w:cs="宋体"/>
          <w:color w:val="auto"/>
          <w:szCs w:val="21"/>
          <w:lang w:val="zh-TW" w:eastAsia="zh-TW"/>
        </w:rPr>
        <w:t>乙方项目组成员构成</w:t>
      </w:r>
    </w:p>
    <w:p w14:paraId="302E2478">
      <w:pPr>
        <w:spacing w:line="360" w:lineRule="auto"/>
        <w:ind w:firstLine="472" w:firstLineChars="225"/>
        <w:rPr>
          <w:rFonts w:hint="eastAsia" w:ascii="宋体" w:hAnsi="宋体" w:eastAsia="宋体" w:cs="宋体"/>
          <w:color w:val="auto"/>
          <w:szCs w:val="21"/>
          <w:u w:val="single"/>
        </w:rPr>
      </w:pPr>
    </w:p>
    <w:p w14:paraId="2EAD4043">
      <w:pPr>
        <w:spacing w:line="360" w:lineRule="auto"/>
        <w:ind w:firstLine="480"/>
        <w:rPr>
          <w:rFonts w:hint="eastAsia" w:ascii="宋体" w:hAnsi="宋体" w:eastAsia="宋体" w:cs="宋体"/>
          <w:b/>
          <w:color w:val="auto"/>
          <w:szCs w:val="21"/>
          <w:lang w:val="zh-TW"/>
        </w:rPr>
      </w:pPr>
      <w:r>
        <w:rPr>
          <w:rFonts w:hint="eastAsia" w:ascii="宋体" w:hAnsi="宋体" w:eastAsia="宋体" w:cs="宋体"/>
          <w:b/>
          <w:color w:val="auto"/>
          <w:szCs w:val="21"/>
          <w:lang w:val="en-US" w:eastAsia="zh-CN"/>
        </w:rPr>
        <w:t>6</w:t>
      </w:r>
      <w:r>
        <w:rPr>
          <w:rFonts w:hint="eastAsia" w:ascii="宋体" w:hAnsi="宋体" w:eastAsia="宋体" w:cs="宋体"/>
          <w:b/>
          <w:color w:val="auto"/>
          <w:szCs w:val="21"/>
          <w:lang w:val="zh-TW"/>
        </w:rPr>
        <w:t>.</w:t>
      </w:r>
      <w:r>
        <w:rPr>
          <w:rFonts w:hint="eastAsia" w:ascii="宋体" w:hAnsi="宋体" w:eastAsia="宋体" w:cs="宋体"/>
          <w:b/>
          <w:color w:val="auto"/>
          <w:szCs w:val="21"/>
          <w:lang w:val="zh-TW" w:eastAsia="zh-TW"/>
        </w:rPr>
        <w:t>项目工作要求</w:t>
      </w:r>
    </w:p>
    <w:p w14:paraId="6291F2BE">
      <w:pPr>
        <w:spacing w:line="360" w:lineRule="auto"/>
        <w:rPr>
          <w:rFonts w:hint="eastAsia" w:ascii="宋体" w:hAnsi="宋体" w:eastAsia="宋体" w:cs="宋体"/>
          <w:color w:val="auto"/>
          <w:szCs w:val="21"/>
          <w:lang w:val="zh-TW"/>
        </w:rPr>
      </w:pPr>
      <w:r>
        <w:rPr>
          <w:rFonts w:hint="eastAsia" w:ascii="宋体" w:hAnsi="宋体" w:eastAsia="宋体" w:cs="宋体"/>
          <w:color w:val="auto"/>
          <w:szCs w:val="21"/>
          <w:lang w:val="zh-TW"/>
        </w:rPr>
        <w:t xml:space="preserve">     </w:t>
      </w:r>
    </w:p>
    <w:p w14:paraId="652D8714">
      <w:pPr>
        <w:spacing w:line="360" w:lineRule="auto"/>
        <w:ind w:firstLine="630" w:firstLineChars="300"/>
        <w:rPr>
          <w:rFonts w:hint="eastAsia" w:ascii="宋体" w:hAnsi="宋体" w:eastAsia="宋体" w:cs="宋体"/>
          <w:color w:val="auto"/>
          <w:szCs w:val="21"/>
          <w:lang w:val="zh-TW"/>
        </w:rPr>
      </w:pPr>
      <w:r>
        <w:rPr>
          <w:rFonts w:hint="eastAsia" w:ascii="宋体" w:hAnsi="宋体" w:eastAsia="宋体" w:cs="宋体"/>
          <w:color w:val="auto"/>
          <w:szCs w:val="21"/>
          <w:lang w:val="zh-TW"/>
        </w:rPr>
        <w:t>约定验收时间：</w:t>
      </w:r>
    </w:p>
    <w:p w14:paraId="3C16C440">
      <w:pPr>
        <w:spacing w:line="360" w:lineRule="auto"/>
        <w:ind w:firstLine="480"/>
        <w:rPr>
          <w:rFonts w:hint="eastAsia" w:ascii="宋体" w:hAnsi="宋体" w:eastAsia="宋体" w:cs="宋体"/>
          <w:b/>
          <w:color w:val="auto"/>
          <w:szCs w:val="21"/>
          <w:lang w:val="zh-TW" w:eastAsia="zh-TW"/>
        </w:rPr>
      </w:pPr>
      <w:r>
        <w:rPr>
          <w:rFonts w:hint="eastAsia" w:ascii="宋体" w:hAnsi="宋体" w:eastAsia="宋体" w:cs="宋体"/>
          <w:b/>
          <w:color w:val="auto"/>
          <w:szCs w:val="21"/>
          <w:lang w:val="en-US" w:eastAsia="zh-CN"/>
        </w:rPr>
        <w:t>7</w:t>
      </w:r>
      <w:r>
        <w:rPr>
          <w:rFonts w:hint="eastAsia" w:ascii="宋体" w:hAnsi="宋体" w:eastAsia="宋体" w:cs="宋体"/>
          <w:b/>
          <w:color w:val="auto"/>
          <w:szCs w:val="21"/>
          <w:lang w:val="zh-TW"/>
        </w:rPr>
        <w:t>.</w:t>
      </w:r>
      <w:r>
        <w:rPr>
          <w:rFonts w:hint="eastAsia" w:ascii="宋体" w:hAnsi="宋体" w:eastAsia="宋体" w:cs="宋体"/>
          <w:b/>
          <w:color w:val="auto"/>
          <w:szCs w:val="21"/>
          <w:lang w:val="zh-TW" w:eastAsia="zh-TW"/>
        </w:rPr>
        <w:t>权利与义务</w:t>
      </w:r>
    </w:p>
    <w:p w14:paraId="3F8F45AD">
      <w:pPr>
        <w:spacing w:line="360" w:lineRule="auto"/>
        <w:ind w:firstLine="480"/>
        <w:rPr>
          <w:rFonts w:hint="eastAsia" w:ascii="宋体" w:hAnsi="宋体" w:eastAsia="宋体" w:cs="宋体"/>
          <w:bCs/>
          <w:color w:val="auto"/>
          <w:szCs w:val="21"/>
          <w:lang w:val="zh-TW" w:eastAsia="zh-TW"/>
        </w:rPr>
      </w:pPr>
      <w:r>
        <w:rPr>
          <w:rFonts w:hint="eastAsia" w:ascii="宋体" w:hAnsi="宋体" w:eastAsia="宋体" w:cs="宋体"/>
          <w:bCs/>
          <w:color w:val="auto"/>
          <w:szCs w:val="21"/>
          <w:lang w:val="zh-TW" w:eastAsia="zh-TW"/>
        </w:rPr>
        <w:t>1.</w:t>
      </w:r>
      <w:r>
        <w:rPr>
          <w:rFonts w:hint="eastAsia" w:ascii="宋体" w:hAnsi="宋体" w:eastAsia="宋体" w:cs="宋体"/>
          <w:bCs/>
          <w:color w:val="auto"/>
          <w:szCs w:val="21"/>
          <w:lang w:val="zh-TW"/>
        </w:rPr>
        <w:t>乙方应按招标文件规定向甲方提供服务。</w:t>
      </w:r>
    </w:p>
    <w:p w14:paraId="7719A8B8">
      <w:pPr>
        <w:spacing w:line="360" w:lineRule="auto"/>
        <w:ind w:firstLine="480"/>
        <w:rPr>
          <w:rFonts w:hint="eastAsia" w:ascii="宋体" w:hAnsi="宋体" w:eastAsia="宋体" w:cs="宋体"/>
          <w:bCs/>
          <w:color w:val="auto"/>
          <w:szCs w:val="21"/>
          <w:lang w:val="zh-TW" w:eastAsia="zh-TW"/>
        </w:rPr>
      </w:pPr>
      <w:r>
        <w:rPr>
          <w:rFonts w:hint="eastAsia" w:ascii="宋体" w:hAnsi="宋体" w:eastAsia="宋体" w:cs="宋体"/>
          <w:bCs/>
          <w:color w:val="auto"/>
          <w:szCs w:val="21"/>
          <w:lang w:val="zh-TW" w:eastAsia="zh-TW"/>
        </w:rPr>
        <w:t>2.</w:t>
      </w:r>
      <w:r>
        <w:rPr>
          <w:rFonts w:hint="eastAsia" w:ascii="宋体" w:hAnsi="宋体" w:eastAsia="宋体" w:cs="宋体"/>
          <w:bCs/>
          <w:color w:val="auto"/>
          <w:szCs w:val="21"/>
          <w:lang w:val="zh-TW"/>
        </w:rPr>
        <w:t>未经甲方事先书面同意，乙方不得将与本合同及有关的任何计划、图文或物料提供给任何第三方。即使向履行本合同有关的人员提供，也应注意保密并限于履行合同的必需范围。</w:t>
      </w:r>
    </w:p>
    <w:p w14:paraId="7E0A5D9A">
      <w:pPr>
        <w:spacing w:line="360" w:lineRule="auto"/>
        <w:ind w:firstLine="480"/>
        <w:rPr>
          <w:rFonts w:hint="eastAsia" w:ascii="宋体" w:hAnsi="宋体" w:eastAsia="宋体" w:cs="宋体"/>
          <w:bCs/>
          <w:color w:val="auto"/>
          <w:szCs w:val="21"/>
          <w:lang w:val="zh-TW" w:eastAsia="zh-TW"/>
        </w:rPr>
      </w:pPr>
      <w:r>
        <w:rPr>
          <w:rFonts w:hint="eastAsia" w:ascii="宋体" w:hAnsi="宋体" w:eastAsia="宋体" w:cs="宋体"/>
          <w:bCs/>
          <w:color w:val="auto"/>
          <w:szCs w:val="21"/>
          <w:lang w:val="zh-TW" w:eastAsia="zh-TW"/>
        </w:rPr>
        <w:t>3.</w:t>
      </w:r>
      <w:r>
        <w:rPr>
          <w:rFonts w:hint="eastAsia" w:ascii="宋体" w:hAnsi="宋体" w:eastAsia="宋体" w:cs="宋体"/>
          <w:bCs/>
          <w:color w:val="auto"/>
          <w:szCs w:val="21"/>
          <w:lang w:val="zh-TW"/>
        </w:rPr>
        <w:t>乙方应保证提供服务过程中不会侵犯任何第三方的知识产权，否则甲方有权解除本合同，拒绝支付合同价款，并要求乙方赔偿所有损失。</w:t>
      </w:r>
    </w:p>
    <w:p w14:paraId="14063B1E">
      <w:pPr>
        <w:spacing w:line="360" w:lineRule="auto"/>
        <w:ind w:firstLine="480"/>
        <w:rPr>
          <w:rFonts w:hint="eastAsia" w:ascii="宋体" w:hAnsi="宋体" w:eastAsia="宋体" w:cs="宋体"/>
          <w:bCs/>
          <w:color w:val="auto"/>
          <w:szCs w:val="21"/>
          <w:lang w:val="zh-TW" w:eastAsia="zh-TW"/>
        </w:rPr>
      </w:pPr>
      <w:r>
        <w:rPr>
          <w:rFonts w:hint="eastAsia" w:ascii="宋体" w:hAnsi="宋体" w:eastAsia="宋体" w:cs="宋体"/>
          <w:bCs/>
          <w:color w:val="auto"/>
          <w:szCs w:val="21"/>
          <w:lang w:val="zh-TW" w:eastAsia="zh-TW"/>
        </w:rPr>
        <w:t>4.</w:t>
      </w:r>
      <w:r>
        <w:rPr>
          <w:rFonts w:hint="eastAsia" w:ascii="宋体" w:hAnsi="宋体" w:eastAsia="宋体" w:cs="宋体"/>
          <w:bCs/>
          <w:color w:val="auto"/>
          <w:szCs w:val="21"/>
          <w:lang w:val="zh-TW"/>
        </w:rPr>
        <w:t>乙方提供的服务验收不合格的，或在服务保证期内出现问题，乙方应负责免费提供后续服务，给甲方造成损失的，乙方应当赔偿。</w:t>
      </w:r>
    </w:p>
    <w:p w14:paraId="65DB0582">
      <w:pPr>
        <w:pStyle w:val="61"/>
        <w:ind w:left="0" w:leftChars="0"/>
        <w:rPr>
          <w:rFonts w:hint="eastAsia" w:ascii="宋体" w:hAnsi="宋体" w:cs="宋体"/>
          <w:b/>
          <w:color w:val="auto"/>
          <w:szCs w:val="21"/>
          <w:lang w:val="zh-TW"/>
        </w:rPr>
      </w:pPr>
      <w:r>
        <w:rPr>
          <w:rFonts w:hint="eastAsia" w:ascii="宋体" w:hAnsi="宋体" w:cs="宋体"/>
          <w:bCs/>
          <w:color w:val="auto"/>
          <w:szCs w:val="21"/>
          <w:lang w:val="zh-TW" w:eastAsia="zh-TW"/>
        </w:rPr>
        <w:t>5.</w:t>
      </w:r>
      <w:r>
        <w:rPr>
          <w:rFonts w:hint="eastAsia" w:ascii="宋体" w:hAnsi="宋体" w:cs="宋体"/>
          <w:bCs/>
          <w:color w:val="auto"/>
          <w:szCs w:val="21"/>
          <w:lang w:val="zh-TW"/>
        </w:rPr>
        <w:t>在服务保证期内，乙方应对出现的质量及安全问题负责处理解决并承担一切费用</w:t>
      </w:r>
    </w:p>
    <w:p w14:paraId="65735CD6">
      <w:pPr>
        <w:spacing w:line="360" w:lineRule="auto"/>
        <w:ind w:firstLine="480"/>
        <w:rPr>
          <w:rFonts w:hint="eastAsia" w:ascii="宋体" w:hAnsi="宋体" w:eastAsia="宋体" w:cs="宋体"/>
          <w:b/>
          <w:color w:val="auto"/>
          <w:szCs w:val="21"/>
          <w:lang w:val="zh-TW" w:eastAsia="zh-TW"/>
        </w:rPr>
      </w:pPr>
      <w:r>
        <w:rPr>
          <w:rFonts w:hint="eastAsia" w:ascii="宋体" w:hAnsi="宋体" w:eastAsia="宋体" w:cs="宋体"/>
          <w:b/>
          <w:color w:val="auto"/>
          <w:szCs w:val="21"/>
          <w:lang w:val="en-US" w:eastAsia="zh-CN"/>
        </w:rPr>
        <w:t>8</w:t>
      </w:r>
      <w:r>
        <w:rPr>
          <w:rFonts w:hint="eastAsia" w:ascii="宋体" w:hAnsi="宋体" w:eastAsia="宋体" w:cs="宋体"/>
          <w:b/>
          <w:color w:val="auto"/>
          <w:szCs w:val="21"/>
          <w:lang w:val="zh-TW"/>
        </w:rPr>
        <w:t>.</w:t>
      </w:r>
      <w:r>
        <w:rPr>
          <w:rFonts w:hint="eastAsia" w:ascii="宋体" w:hAnsi="宋体" w:eastAsia="宋体" w:cs="宋体"/>
          <w:b/>
          <w:color w:val="auto"/>
          <w:szCs w:val="21"/>
          <w:lang w:val="zh-TW" w:eastAsia="zh-TW"/>
        </w:rPr>
        <w:t>违约责任</w:t>
      </w:r>
    </w:p>
    <w:p w14:paraId="6DEE63F3">
      <w:pPr>
        <w:spacing w:line="360" w:lineRule="auto"/>
        <w:ind w:firstLine="48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zh-TW"/>
        </w:rPr>
        <w:t>.</w:t>
      </w:r>
      <w:r>
        <w:rPr>
          <w:rFonts w:hint="eastAsia" w:ascii="宋体" w:hAnsi="宋体" w:eastAsia="宋体" w:cs="宋体"/>
          <w:color w:val="auto"/>
          <w:szCs w:val="21"/>
          <w:lang w:val="zh-TW" w:eastAsia="zh-TW"/>
        </w:rPr>
        <w:t>甲方无正当理由逾期付款</w:t>
      </w:r>
      <w:r>
        <w:rPr>
          <w:rFonts w:hint="eastAsia" w:ascii="宋体" w:hAnsi="宋体" w:eastAsia="宋体" w:cs="宋体"/>
          <w:color w:val="auto"/>
          <w:szCs w:val="21"/>
        </w:rPr>
        <w:t>1</w:t>
      </w:r>
      <w:r>
        <w:rPr>
          <w:rFonts w:hint="eastAsia" w:ascii="宋体" w:hAnsi="宋体" w:eastAsia="宋体" w:cs="宋体"/>
          <w:color w:val="auto"/>
          <w:szCs w:val="21"/>
          <w:lang w:val="zh-TW" w:eastAsia="zh-TW"/>
        </w:rPr>
        <w:t>个月，乙方可终止合同。解除合同后费用的核算，以乙方完成且甲方确认的工作成果为准，多退少补。因地震、水灾、战争等不可抗力的因素或因政策、法律原因造成合同无法履行除外。</w:t>
      </w:r>
    </w:p>
    <w:p w14:paraId="61E6BCFE">
      <w:pPr>
        <w:spacing w:line="360" w:lineRule="auto"/>
        <w:ind w:firstLine="480"/>
        <w:rPr>
          <w:rFonts w:hint="eastAsia" w:ascii="宋体" w:hAnsi="宋体" w:eastAsia="宋体" w:cs="宋体"/>
          <w:color w:val="auto"/>
          <w:szCs w:val="21"/>
        </w:rPr>
      </w:pPr>
      <w:r>
        <w:rPr>
          <w:rFonts w:hint="eastAsia" w:ascii="宋体" w:hAnsi="宋体" w:eastAsia="宋体" w:cs="宋体"/>
          <w:color w:val="auto"/>
          <w:szCs w:val="21"/>
        </w:rPr>
        <w:t>2</w:t>
      </w:r>
      <w:r>
        <w:rPr>
          <w:rFonts w:hint="eastAsia" w:ascii="宋体" w:hAnsi="宋体" w:eastAsia="宋体" w:cs="宋体"/>
          <w:color w:val="auto"/>
          <w:szCs w:val="21"/>
          <w:lang w:val="zh-TW"/>
        </w:rPr>
        <w:t>.</w:t>
      </w:r>
      <w:r>
        <w:rPr>
          <w:rFonts w:hint="eastAsia" w:ascii="宋体" w:hAnsi="宋体" w:eastAsia="宋体" w:cs="宋体"/>
          <w:color w:val="auto"/>
          <w:szCs w:val="21"/>
          <w:lang w:val="zh-TW" w:eastAsia="zh-TW"/>
        </w:rPr>
        <w:t>乙方无正当理由未按时提交成果超过</w:t>
      </w:r>
      <w:r>
        <w:rPr>
          <w:rFonts w:hint="eastAsia" w:ascii="宋体" w:hAnsi="宋体" w:eastAsia="宋体" w:cs="宋体"/>
          <w:color w:val="auto"/>
          <w:szCs w:val="21"/>
        </w:rPr>
        <w:t>1</w:t>
      </w:r>
      <w:r>
        <w:rPr>
          <w:rFonts w:hint="eastAsia" w:ascii="宋体" w:hAnsi="宋体" w:eastAsia="宋体" w:cs="宋体"/>
          <w:color w:val="auto"/>
          <w:szCs w:val="21"/>
          <w:lang w:val="zh-TW" w:eastAsia="zh-TW"/>
        </w:rPr>
        <w:t>个月，甲方可终止合同。解除合同后费用的核算，以乙方完成且甲方确认的工作成果为准，多退少补。因地震、水灾、战争等不可抗力的因素或因政策、法律原因造成合同无法履行除外。</w:t>
      </w:r>
    </w:p>
    <w:p w14:paraId="3F9FD82A">
      <w:pPr>
        <w:spacing w:line="360" w:lineRule="auto"/>
        <w:ind w:firstLine="480"/>
        <w:rPr>
          <w:rFonts w:hint="eastAsia" w:ascii="宋体" w:hAnsi="宋体" w:eastAsia="宋体" w:cs="宋体"/>
          <w:b/>
          <w:color w:val="auto"/>
          <w:szCs w:val="21"/>
          <w:lang w:val="zh-TW" w:eastAsia="zh-TW"/>
        </w:rPr>
      </w:pPr>
      <w:r>
        <w:rPr>
          <w:rFonts w:hint="eastAsia" w:ascii="宋体" w:hAnsi="宋体" w:eastAsia="宋体" w:cs="宋体"/>
          <w:b/>
          <w:color w:val="auto"/>
          <w:szCs w:val="21"/>
          <w:lang w:val="en-US" w:eastAsia="zh-CN"/>
        </w:rPr>
        <w:t>9</w:t>
      </w:r>
      <w:r>
        <w:rPr>
          <w:rFonts w:hint="eastAsia" w:ascii="宋体" w:hAnsi="宋体" w:eastAsia="宋体" w:cs="宋体"/>
          <w:b/>
          <w:color w:val="auto"/>
          <w:szCs w:val="21"/>
          <w:lang w:val="zh-TW"/>
        </w:rPr>
        <w:t>.</w:t>
      </w:r>
      <w:r>
        <w:rPr>
          <w:rFonts w:hint="eastAsia" w:ascii="宋体" w:hAnsi="宋体" w:eastAsia="宋体" w:cs="宋体"/>
          <w:b/>
          <w:color w:val="auto"/>
          <w:szCs w:val="21"/>
          <w:lang w:val="zh-TW" w:eastAsia="zh-TW"/>
        </w:rPr>
        <w:t>争议的解决</w:t>
      </w:r>
    </w:p>
    <w:p w14:paraId="2489DAF0">
      <w:pPr>
        <w:spacing w:line="360" w:lineRule="auto"/>
        <w:ind w:firstLine="480"/>
        <w:rPr>
          <w:rFonts w:hint="eastAsia" w:ascii="宋体" w:hAnsi="宋体" w:eastAsia="宋体" w:cs="宋体"/>
          <w:color w:val="auto"/>
          <w:szCs w:val="21"/>
          <w:lang w:val="zh-TW" w:eastAsia="zh-TW"/>
        </w:rPr>
      </w:pPr>
      <w:r>
        <w:rPr>
          <w:rFonts w:hint="eastAsia" w:ascii="宋体" w:hAnsi="宋体" w:eastAsia="宋体" w:cs="宋体"/>
          <w:color w:val="auto"/>
          <w:szCs w:val="21"/>
          <w:lang w:val="zh-TW" w:eastAsia="zh-TW"/>
        </w:rPr>
        <w:t>因本合同的解释或履行本合同如发生争议，甲乙双方应友好协商解决，协商不成，可以提交甲方所在地人民法院通过诉讼方式解决。</w:t>
      </w:r>
    </w:p>
    <w:p w14:paraId="74A6747B">
      <w:pPr>
        <w:spacing w:line="360" w:lineRule="auto"/>
        <w:ind w:firstLine="480"/>
        <w:rPr>
          <w:rFonts w:hint="eastAsia" w:ascii="宋体" w:hAnsi="宋体" w:eastAsia="宋体" w:cs="宋体"/>
          <w:color w:val="auto"/>
          <w:szCs w:val="21"/>
          <w:lang w:val="zh-TW" w:eastAsia="zh-TW"/>
        </w:rPr>
      </w:pPr>
      <w:r>
        <w:rPr>
          <w:rFonts w:hint="eastAsia" w:ascii="宋体" w:hAnsi="宋体" w:eastAsia="宋体" w:cs="宋体"/>
          <w:color w:val="auto"/>
          <w:szCs w:val="21"/>
          <w:lang w:val="en-US" w:eastAsia="zh-CN"/>
        </w:rPr>
        <w:t>10</w:t>
      </w:r>
      <w:r>
        <w:rPr>
          <w:rFonts w:hint="eastAsia" w:ascii="宋体" w:hAnsi="宋体" w:eastAsia="宋体" w:cs="宋体"/>
          <w:color w:val="auto"/>
          <w:szCs w:val="21"/>
          <w:lang w:val="zh-TW"/>
        </w:rPr>
        <w:t>.</w:t>
      </w:r>
      <w:r>
        <w:rPr>
          <w:rFonts w:hint="eastAsia" w:ascii="宋体" w:hAnsi="宋体" w:eastAsia="宋体" w:cs="宋体"/>
          <w:color w:val="auto"/>
          <w:szCs w:val="21"/>
          <w:lang w:val="zh-TW" w:eastAsia="zh-TW"/>
        </w:rPr>
        <w:t>合同未尽事宜，双方可另行协商，并达成书面补充协议。补充协议与合同具有同等法律效力。</w:t>
      </w:r>
    </w:p>
    <w:p w14:paraId="5DD15887">
      <w:pPr>
        <w:spacing w:line="360" w:lineRule="auto"/>
        <w:ind w:firstLine="480"/>
        <w:rPr>
          <w:rFonts w:hint="eastAsia" w:ascii="宋体" w:hAnsi="宋体" w:eastAsia="宋体" w:cs="宋体"/>
          <w:color w:val="auto"/>
          <w:szCs w:val="21"/>
        </w:rPr>
      </w:pPr>
      <w:r>
        <w:rPr>
          <w:rFonts w:hint="eastAsia" w:ascii="宋体" w:hAnsi="宋体" w:eastAsia="宋体" w:cs="宋体"/>
          <w:color w:val="auto"/>
          <w:szCs w:val="21"/>
        </w:rPr>
        <w:t>1</w:t>
      </w:r>
      <w:r>
        <w:rPr>
          <w:rFonts w:hint="eastAsia" w:ascii="宋体" w:hAnsi="宋体" w:eastAsia="宋体" w:cs="宋体"/>
          <w:color w:val="auto"/>
          <w:szCs w:val="21"/>
          <w:lang w:val="en-US" w:eastAsia="zh-CN"/>
        </w:rPr>
        <w:t>1</w:t>
      </w:r>
      <w:r>
        <w:rPr>
          <w:rFonts w:hint="eastAsia" w:ascii="宋体" w:hAnsi="宋体" w:eastAsia="宋体" w:cs="宋体"/>
          <w:color w:val="auto"/>
          <w:szCs w:val="21"/>
          <w:lang w:val="zh-TW"/>
        </w:rPr>
        <w:t>.</w:t>
      </w:r>
      <w:r>
        <w:rPr>
          <w:rFonts w:hint="eastAsia" w:ascii="宋体" w:hAnsi="宋体" w:eastAsia="宋体" w:cs="宋体"/>
          <w:color w:val="auto"/>
          <w:szCs w:val="21"/>
        </w:rPr>
        <w:t>本合同壹式</w:t>
      </w:r>
      <w:r>
        <w:rPr>
          <w:rFonts w:hint="eastAsia" w:ascii="宋体" w:hAnsi="宋体" w:eastAsia="宋体" w:cs="宋体"/>
          <w:color w:val="auto"/>
          <w:szCs w:val="21"/>
          <w:lang w:eastAsia="zh-CN"/>
        </w:rPr>
        <w:t>陆</w:t>
      </w:r>
      <w:r>
        <w:rPr>
          <w:rFonts w:hint="eastAsia" w:ascii="宋体" w:hAnsi="宋体" w:eastAsia="宋体" w:cs="宋体"/>
          <w:color w:val="auto"/>
          <w:szCs w:val="21"/>
        </w:rPr>
        <w:t>份，甲</w:t>
      </w:r>
      <w:r>
        <w:rPr>
          <w:rFonts w:hint="eastAsia" w:ascii="宋体" w:hAnsi="宋体" w:eastAsia="宋体" w:cs="宋体"/>
          <w:color w:val="auto"/>
          <w:szCs w:val="21"/>
          <w:lang w:eastAsia="zh-CN"/>
        </w:rPr>
        <w:t>方肆份，</w:t>
      </w:r>
      <w:r>
        <w:rPr>
          <w:rFonts w:hint="eastAsia" w:ascii="宋体" w:hAnsi="宋体" w:eastAsia="宋体" w:cs="宋体"/>
          <w:color w:val="auto"/>
          <w:szCs w:val="21"/>
        </w:rPr>
        <w:t>乙方和代理机构各执壹份，具有同等的法律效力。</w:t>
      </w:r>
    </w:p>
    <w:p w14:paraId="075B4DD1">
      <w:pPr>
        <w:snapToGrid w:val="0"/>
        <w:spacing w:line="312" w:lineRule="auto"/>
        <w:ind w:right="-340" w:firstLine="1260" w:firstLineChars="600"/>
        <w:rPr>
          <w:rFonts w:hint="eastAsia" w:ascii="宋体" w:hAnsi="宋体" w:eastAsia="宋体" w:cs="宋体"/>
          <w:color w:val="auto"/>
          <w:szCs w:val="21"/>
        </w:rPr>
      </w:pPr>
    </w:p>
    <w:p w14:paraId="0B6E9F6F">
      <w:pPr>
        <w:snapToGrid w:val="0"/>
        <w:spacing w:line="312" w:lineRule="auto"/>
        <w:ind w:right="-340" w:firstLine="1260" w:firstLineChars="600"/>
        <w:rPr>
          <w:rFonts w:hint="eastAsia" w:ascii="宋体" w:hAnsi="宋体" w:eastAsia="宋体" w:cs="宋体"/>
          <w:color w:val="auto"/>
          <w:szCs w:val="21"/>
        </w:rPr>
      </w:pPr>
    </w:p>
    <w:p w14:paraId="2C4581A4">
      <w:pPr>
        <w:snapToGrid w:val="0"/>
        <w:spacing w:line="312" w:lineRule="auto"/>
        <w:ind w:right="-340" w:firstLine="1260" w:firstLineChars="600"/>
        <w:rPr>
          <w:rFonts w:hint="eastAsia" w:ascii="宋体" w:hAnsi="宋体" w:eastAsia="宋体" w:cs="宋体"/>
          <w:color w:val="auto"/>
          <w:szCs w:val="21"/>
        </w:rPr>
      </w:pPr>
      <w:r>
        <w:rPr>
          <w:rFonts w:hint="eastAsia" w:ascii="宋体" w:hAnsi="宋体" w:eastAsia="宋体" w:cs="宋体"/>
          <w:color w:val="auto"/>
          <w:szCs w:val="21"/>
        </w:rPr>
        <w:t>甲方：                          乙方：</w:t>
      </w:r>
    </w:p>
    <w:p w14:paraId="78D775F3">
      <w:pPr>
        <w:snapToGrid w:val="0"/>
        <w:spacing w:line="312" w:lineRule="auto"/>
        <w:ind w:right="-340" w:firstLine="1260" w:firstLineChars="600"/>
        <w:rPr>
          <w:rFonts w:hint="eastAsia" w:ascii="宋体" w:hAnsi="宋体" w:eastAsia="宋体" w:cs="宋体"/>
          <w:color w:val="auto"/>
          <w:szCs w:val="21"/>
        </w:rPr>
      </w:pPr>
      <w:r>
        <w:rPr>
          <w:rFonts w:hint="eastAsia" w:ascii="宋体" w:hAnsi="宋体" w:eastAsia="宋体" w:cs="宋体"/>
          <w:color w:val="auto"/>
          <w:szCs w:val="21"/>
        </w:rPr>
        <w:t>地址：                          地址：</w:t>
      </w:r>
    </w:p>
    <w:p w14:paraId="24EC7B9D">
      <w:pPr>
        <w:snapToGrid w:val="0"/>
        <w:spacing w:line="312" w:lineRule="auto"/>
        <w:ind w:right="-340" w:firstLine="1260" w:firstLineChars="600"/>
        <w:rPr>
          <w:rFonts w:hint="eastAsia" w:ascii="宋体" w:hAnsi="宋体" w:eastAsia="宋体" w:cs="宋体"/>
          <w:color w:val="auto"/>
          <w:szCs w:val="21"/>
          <w:lang w:val="en-US" w:eastAsia="zh-CN"/>
        </w:rPr>
      </w:pPr>
      <w:r>
        <w:rPr>
          <w:rFonts w:hint="eastAsia" w:ascii="宋体" w:hAnsi="宋体" w:eastAsia="宋体" w:cs="宋体"/>
          <w:color w:val="auto"/>
          <w:szCs w:val="21"/>
        </w:rPr>
        <w:t>法人代表</w:t>
      </w:r>
      <w:r>
        <w:rPr>
          <w:rFonts w:hint="eastAsia" w:ascii="宋体" w:hAnsi="宋体" w:eastAsia="宋体" w:cs="宋体"/>
          <w:color w:val="auto"/>
          <w:szCs w:val="21"/>
          <w:lang w:val="en-US" w:eastAsia="zh-CN"/>
        </w:rPr>
        <w:t xml:space="preserve">                        </w:t>
      </w:r>
      <w:r>
        <w:rPr>
          <w:rFonts w:hint="eastAsia" w:ascii="宋体" w:hAnsi="宋体" w:eastAsia="宋体" w:cs="宋体"/>
          <w:color w:val="auto"/>
          <w:szCs w:val="21"/>
        </w:rPr>
        <w:t>法人代表</w:t>
      </w:r>
      <w:r>
        <w:rPr>
          <w:rFonts w:hint="eastAsia" w:ascii="宋体" w:hAnsi="宋体" w:eastAsia="宋体" w:cs="宋体"/>
          <w:color w:val="auto"/>
          <w:szCs w:val="21"/>
          <w:lang w:val="en-US" w:eastAsia="zh-CN"/>
        </w:rPr>
        <w:t xml:space="preserve"> </w:t>
      </w:r>
    </w:p>
    <w:p w14:paraId="7D04A587">
      <w:pPr>
        <w:snapToGrid w:val="0"/>
        <w:spacing w:line="312" w:lineRule="auto"/>
        <w:ind w:right="-340" w:firstLine="1260" w:firstLineChars="600"/>
        <w:rPr>
          <w:rFonts w:hint="eastAsia" w:ascii="宋体" w:hAnsi="宋体" w:eastAsia="宋体" w:cs="宋体"/>
          <w:color w:val="auto"/>
          <w:szCs w:val="21"/>
        </w:rPr>
      </w:pPr>
      <w:r>
        <w:rPr>
          <w:rFonts w:hint="eastAsia" w:ascii="宋体" w:hAnsi="宋体" w:eastAsia="宋体" w:cs="宋体"/>
          <w:color w:val="auto"/>
          <w:szCs w:val="21"/>
          <w:lang w:eastAsia="zh-CN"/>
        </w:rPr>
        <w:t>或委托代理人</w:t>
      </w:r>
      <w:r>
        <w:rPr>
          <w:rFonts w:hint="eastAsia" w:ascii="宋体" w:hAnsi="宋体" w:eastAsia="宋体" w:cs="宋体"/>
          <w:color w:val="auto"/>
          <w:szCs w:val="21"/>
        </w:rPr>
        <w:t xml:space="preserve">：                  </w:t>
      </w:r>
      <w:r>
        <w:rPr>
          <w:rFonts w:hint="eastAsia" w:ascii="宋体" w:hAnsi="宋体" w:eastAsia="宋体" w:cs="宋体"/>
          <w:color w:val="auto"/>
          <w:szCs w:val="21"/>
          <w:lang w:eastAsia="zh-CN"/>
        </w:rPr>
        <w:t>或委托代理人</w:t>
      </w:r>
      <w:r>
        <w:rPr>
          <w:rFonts w:hint="eastAsia" w:ascii="宋体" w:hAnsi="宋体" w:eastAsia="宋体" w:cs="宋体"/>
          <w:color w:val="auto"/>
          <w:szCs w:val="21"/>
        </w:rPr>
        <w:t>：</w:t>
      </w:r>
    </w:p>
    <w:p w14:paraId="4CAB7867">
      <w:pPr>
        <w:snapToGrid w:val="0"/>
        <w:spacing w:line="312" w:lineRule="auto"/>
        <w:ind w:right="-340" w:firstLine="1260" w:firstLineChars="600"/>
        <w:rPr>
          <w:rFonts w:hint="eastAsia" w:ascii="宋体" w:hAnsi="宋体" w:eastAsia="宋体" w:cs="宋体"/>
          <w:color w:val="auto"/>
          <w:szCs w:val="21"/>
        </w:rPr>
      </w:pPr>
      <w:r>
        <w:rPr>
          <w:rFonts w:hint="eastAsia" w:ascii="宋体" w:hAnsi="宋体" w:eastAsia="宋体" w:cs="宋体"/>
          <w:color w:val="auto"/>
          <w:szCs w:val="21"/>
        </w:rPr>
        <w:t>电话：                          电话：</w:t>
      </w:r>
    </w:p>
    <w:p w14:paraId="117D8353">
      <w:pPr>
        <w:snapToGrid w:val="0"/>
        <w:spacing w:line="312" w:lineRule="auto"/>
        <w:ind w:right="-340" w:firstLine="1260" w:firstLineChars="600"/>
        <w:rPr>
          <w:rFonts w:hint="eastAsia" w:ascii="宋体" w:hAnsi="宋体" w:eastAsia="宋体" w:cs="宋体"/>
          <w:color w:val="auto"/>
          <w:szCs w:val="21"/>
        </w:rPr>
      </w:pPr>
      <w:r>
        <w:rPr>
          <w:rFonts w:hint="eastAsia" w:ascii="宋体" w:hAnsi="宋体" w:eastAsia="宋体" w:cs="宋体"/>
          <w:color w:val="auto"/>
          <w:szCs w:val="21"/>
        </w:rPr>
        <w:t>电传：                          电传：</w:t>
      </w:r>
    </w:p>
    <w:p w14:paraId="4E969A5D">
      <w:pPr>
        <w:snapToGrid w:val="0"/>
        <w:spacing w:line="312" w:lineRule="auto"/>
        <w:ind w:right="-340" w:firstLine="1260" w:firstLineChars="600"/>
        <w:rPr>
          <w:rFonts w:hint="eastAsia" w:ascii="宋体" w:hAnsi="宋体" w:eastAsia="宋体" w:cs="宋体"/>
          <w:color w:val="auto"/>
          <w:szCs w:val="21"/>
        </w:rPr>
      </w:pPr>
      <w:r>
        <w:rPr>
          <w:rFonts w:hint="eastAsia" w:ascii="宋体" w:hAnsi="宋体" w:eastAsia="宋体" w:cs="宋体"/>
          <w:color w:val="auto"/>
          <w:szCs w:val="21"/>
        </w:rPr>
        <w:t>开户银行：                      开户银行：</w:t>
      </w:r>
    </w:p>
    <w:p w14:paraId="4568EA0D">
      <w:pPr>
        <w:snapToGrid w:val="0"/>
        <w:spacing w:line="360" w:lineRule="auto"/>
        <w:ind w:right="-340" w:firstLine="1260" w:firstLineChars="600"/>
        <w:rPr>
          <w:rFonts w:hint="eastAsia" w:ascii="宋体" w:hAnsi="宋体" w:eastAsia="宋体" w:cs="宋体"/>
          <w:color w:val="auto"/>
          <w:szCs w:val="21"/>
        </w:rPr>
      </w:pPr>
      <w:r>
        <w:rPr>
          <w:rFonts w:hint="eastAsia" w:ascii="宋体" w:hAnsi="宋体" w:eastAsia="宋体" w:cs="宋体"/>
          <w:color w:val="auto"/>
          <w:szCs w:val="21"/>
        </w:rPr>
        <w:t>账号：                           账号：</w:t>
      </w:r>
    </w:p>
    <w:p w14:paraId="2FEAB2A4">
      <w:pPr>
        <w:pStyle w:val="18"/>
        <w:spacing w:line="360" w:lineRule="auto"/>
        <w:ind w:firstLine="1296" w:firstLineChars="642"/>
        <w:rPr>
          <w:rFonts w:hint="eastAsia" w:ascii="宋体" w:hAnsi="宋体" w:eastAsia="宋体" w:cs="Times New Roman"/>
          <w:color w:val="auto"/>
          <w:szCs w:val="21"/>
        </w:rPr>
      </w:pPr>
      <w:r>
        <w:rPr>
          <w:rFonts w:hint="eastAsia" w:hAnsi="宋体" w:cs="宋体"/>
          <w:color w:val="auto"/>
          <w:sz w:val="21"/>
          <w:szCs w:val="21"/>
        </w:rPr>
        <w:t>日期：                           日期：</w:t>
      </w:r>
      <w:bookmarkStart w:id="42" w:name="_Hlk118299836"/>
    </w:p>
    <w:p w14:paraId="56F4C7B9">
      <w:pPr>
        <w:snapToGrid w:val="0"/>
        <w:spacing w:line="260" w:lineRule="exact"/>
        <w:rPr>
          <w:rFonts w:ascii="宋体" w:hAnsi="宋体" w:eastAsia="宋体" w:cs="Times New Roman"/>
          <w:color w:val="auto"/>
          <w:szCs w:val="21"/>
        </w:rPr>
      </w:pPr>
    </w:p>
    <w:p w14:paraId="564EDC06">
      <w:pPr>
        <w:snapToGrid w:val="0"/>
        <w:spacing w:line="260" w:lineRule="exact"/>
        <w:rPr>
          <w:rFonts w:ascii="宋体" w:hAnsi="宋体" w:eastAsia="宋体" w:cs="Times New Roman"/>
          <w:color w:val="auto"/>
          <w:szCs w:val="21"/>
        </w:rPr>
      </w:pPr>
    </w:p>
    <w:p w14:paraId="42462457">
      <w:pPr>
        <w:snapToGrid w:val="0"/>
        <w:spacing w:line="260" w:lineRule="exact"/>
        <w:rPr>
          <w:rFonts w:ascii="宋体" w:hAnsi="宋体" w:eastAsia="宋体" w:cs="Times New Roman"/>
          <w:color w:val="auto"/>
          <w:szCs w:val="21"/>
        </w:rPr>
      </w:pPr>
    </w:p>
    <w:p w14:paraId="46FC68B4">
      <w:pPr>
        <w:snapToGrid w:val="0"/>
        <w:spacing w:line="260" w:lineRule="exact"/>
        <w:rPr>
          <w:rFonts w:ascii="宋体" w:hAnsi="宋体" w:eastAsia="宋体" w:cs="Times New Roman"/>
          <w:color w:val="auto"/>
          <w:szCs w:val="21"/>
        </w:rPr>
      </w:pPr>
    </w:p>
    <w:p w14:paraId="6BB51026">
      <w:pPr>
        <w:snapToGrid w:val="0"/>
        <w:spacing w:line="260" w:lineRule="exact"/>
        <w:rPr>
          <w:rFonts w:ascii="宋体" w:hAnsi="宋体" w:eastAsia="宋体" w:cs="Times New Roman"/>
          <w:color w:val="auto"/>
          <w:szCs w:val="21"/>
        </w:rPr>
      </w:pPr>
    </w:p>
    <w:p w14:paraId="1863F408">
      <w:pPr>
        <w:snapToGrid w:val="0"/>
        <w:spacing w:line="260" w:lineRule="exact"/>
        <w:rPr>
          <w:rFonts w:ascii="宋体" w:hAnsi="宋体" w:eastAsia="宋体" w:cs="Times New Roman"/>
          <w:color w:val="auto"/>
          <w:szCs w:val="21"/>
        </w:rPr>
      </w:pPr>
    </w:p>
    <w:p w14:paraId="095E6158">
      <w:pPr>
        <w:snapToGrid w:val="0"/>
        <w:spacing w:line="260" w:lineRule="exact"/>
        <w:rPr>
          <w:rFonts w:ascii="宋体" w:hAnsi="宋体" w:eastAsia="宋体" w:cs="Times New Roman"/>
          <w:color w:val="auto"/>
          <w:szCs w:val="21"/>
        </w:rPr>
      </w:pPr>
    </w:p>
    <w:p w14:paraId="307999C5">
      <w:pPr>
        <w:snapToGrid w:val="0"/>
        <w:spacing w:line="260" w:lineRule="exact"/>
        <w:rPr>
          <w:rFonts w:ascii="宋体" w:hAnsi="宋体" w:eastAsia="宋体" w:cs="Times New Roman"/>
          <w:color w:val="auto"/>
          <w:szCs w:val="21"/>
        </w:rPr>
      </w:pPr>
    </w:p>
    <w:p w14:paraId="10058777">
      <w:pPr>
        <w:snapToGrid w:val="0"/>
        <w:spacing w:line="260" w:lineRule="exact"/>
        <w:rPr>
          <w:rFonts w:ascii="宋体" w:hAnsi="宋体" w:eastAsia="宋体" w:cs="Times New Roman"/>
          <w:color w:val="auto"/>
          <w:szCs w:val="21"/>
        </w:rPr>
      </w:pPr>
    </w:p>
    <w:p w14:paraId="40A57FC7">
      <w:pPr>
        <w:snapToGrid w:val="0"/>
        <w:spacing w:line="260" w:lineRule="exact"/>
        <w:rPr>
          <w:rFonts w:ascii="宋体" w:hAnsi="宋体" w:eastAsia="宋体" w:cs="Times New Roman"/>
          <w:color w:val="auto"/>
          <w:szCs w:val="21"/>
        </w:rPr>
      </w:pPr>
    </w:p>
    <w:p w14:paraId="0D50F772">
      <w:pPr>
        <w:snapToGrid w:val="0"/>
        <w:spacing w:line="260" w:lineRule="exact"/>
        <w:rPr>
          <w:rFonts w:hint="eastAsia" w:ascii="宋体" w:hAnsi="宋体" w:eastAsia="宋体" w:cs="Times New Roman"/>
          <w:color w:val="auto"/>
          <w:szCs w:val="21"/>
        </w:rPr>
      </w:pPr>
      <w:r>
        <w:rPr>
          <w:rFonts w:ascii="宋体" w:hAnsi="宋体" w:eastAsia="宋体" w:cs="Times New Roman"/>
          <w:color w:val="auto"/>
          <w:szCs w:val="21"/>
        </w:rPr>
        <w:t>信贷政策</w:t>
      </w:r>
    </w:p>
    <w:p w14:paraId="577BAADA">
      <w:pPr>
        <w:spacing w:line="260" w:lineRule="exact"/>
        <w:ind w:firstLine="420" w:firstLineChars="200"/>
        <w:rPr>
          <w:rFonts w:hint="eastAsia" w:ascii="宋体" w:hAnsi="宋体" w:eastAsia="宋体" w:cs="Times New Roman"/>
          <w:color w:val="auto"/>
          <w:szCs w:val="21"/>
        </w:rPr>
      </w:pPr>
      <w:r>
        <w:rPr>
          <w:rFonts w:ascii="宋体" w:hAnsi="宋体" w:eastAsia="宋体" w:cs="Times New Roman"/>
          <w:color w:val="auto"/>
          <w:szCs w:val="21"/>
        </w:rPr>
        <w:t>1．为有效破解当前中小微企业面临的“融资难、融资贵”困局，充分发挥好政府采购扶持小微企业发展的政策功能，属于舟山市内的各中小企业可凭政府采购项目中标通知书等材料向舟山市政府采购信用融资合作银行申请相关融资产品，有关的合作银行详见下表：</w:t>
      </w:r>
    </w:p>
    <w:p w14:paraId="56C61562">
      <w:pPr>
        <w:spacing w:line="240" w:lineRule="exact"/>
        <w:contextualSpacing/>
        <w:rPr>
          <w:rFonts w:hint="eastAsia" w:ascii="宋体" w:hAnsi="宋体" w:eastAsia="宋体" w:cs="Times New Roman"/>
          <w:color w:val="auto"/>
          <w:sz w:val="24"/>
          <w:szCs w:val="20"/>
        </w:rPr>
      </w:pPr>
    </w:p>
    <w:tbl>
      <w:tblPr>
        <w:tblStyle w:val="62"/>
        <w:tblW w:w="95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0"/>
        <w:gridCol w:w="3975"/>
        <w:gridCol w:w="2220"/>
        <w:gridCol w:w="1908"/>
      </w:tblGrid>
      <w:tr w14:paraId="69D7C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9563" w:type="dxa"/>
            <w:gridSpan w:val="4"/>
            <w:vAlign w:val="center"/>
          </w:tcPr>
          <w:p w14:paraId="66005B8A">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舟山市政府采购信用融资合作银行</w:t>
            </w:r>
          </w:p>
        </w:tc>
      </w:tr>
      <w:tr w14:paraId="1B52D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1460" w:type="dxa"/>
            <w:vAlign w:val="center"/>
          </w:tcPr>
          <w:p w14:paraId="0242E1AD">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银行名称</w:t>
            </w:r>
          </w:p>
        </w:tc>
        <w:tc>
          <w:tcPr>
            <w:tcW w:w="3975" w:type="dxa"/>
            <w:vAlign w:val="center"/>
          </w:tcPr>
          <w:p w14:paraId="4AB1167B">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各银行介绍的产品特点</w:t>
            </w:r>
          </w:p>
        </w:tc>
        <w:tc>
          <w:tcPr>
            <w:tcW w:w="2220" w:type="dxa"/>
            <w:vAlign w:val="center"/>
          </w:tcPr>
          <w:p w14:paraId="17624951">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经办人</w:t>
            </w:r>
          </w:p>
        </w:tc>
        <w:tc>
          <w:tcPr>
            <w:tcW w:w="1908" w:type="dxa"/>
            <w:vAlign w:val="center"/>
          </w:tcPr>
          <w:p w14:paraId="267704C4">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联系方式</w:t>
            </w:r>
          </w:p>
        </w:tc>
      </w:tr>
      <w:tr w14:paraId="57FAB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2" w:hRule="atLeast"/>
          <w:jc w:val="center"/>
        </w:trPr>
        <w:tc>
          <w:tcPr>
            <w:tcW w:w="1460" w:type="dxa"/>
            <w:vAlign w:val="center"/>
          </w:tcPr>
          <w:p w14:paraId="635E7C43">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中国工商银行股份有限公司舟山分行</w:t>
            </w:r>
          </w:p>
        </w:tc>
        <w:tc>
          <w:tcPr>
            <w:tcW w:w="3975" w:type="dxa"/>
          </w:tcPr>
          <w:p w14:paraId="363CA308">
            <w:pPr>
              <w:numPr>
                <w:ilvl w:val="0"/>
                <w:numId w:val="10"/>
              </w:numPr>
              <w:spacing w:line="240" w:lineRule="exact"/>
              <w:contextualSpacing/>
              <w:rPr>
                <w:rFonts w:hint="eastAsia" w:ascii="宋体" w:hAnsi="宋体" w:eastAsia="宋体" w:cs="仿宋_GB2312"/>
                <w:color w:val="auto"/>
                <w:szCs w:val="21"/>
              </w:rPr>
            </w:pPr>
            <w:r>
              <w:rPr>
                <w:rFonts w:hint="eastAsia" w:ascii="宋体" w:hAnsi="宋体" w:eastAsia="宋体" w:cs="仿宋_GB2312"/>
                <w:color w:val="auto"/>
                <w:szCs w:val="21"/>
              </w:rPr>
              <w:t>融资额度高，融资金额最高可至订单金额70%，线上申请，随借随还。2.融资利率低，最低可至当期LPR利率。</w:t>
            </w:r>
          </w:p>
          <w:p w14:paraId="22B51822">
            <w:pPr>
              <w:spacing w:line="240" w:lineRule="exact"/>
              <w:contextualSpacing/>
              <w:rPr>
                <w:rFonts w:hint="eastAsia" w:ascii="宋体" w:hAnsi="宋体" w:eastAsia="宋体" w:cs="Times New Roman"/>
                <w:color w:val="auto"/>
                <w:szCs w:val="21"/>
              </w:rPr>
            </w:pPr>
            <w:r>
              <w:rPr>
                <w:rFonts w:hint="eastAsia" w:ascii="宋体" w:hAnsi="宋体" w:eastAsia="宋体" w:cs="仿宋_GB2312"/>
                <w:color w:val="auto"/>
                <w:szCs w:val="21"/>
              </w:rPr>
              <w:t>3.担保方式灵活，以政府采购合同进行融资，无需另外抵押。</w:t>
            </w:r>
          </w:p>
        </w:tc>
        <w:tc>
          <w:tcPr>
            <w:tcW w:w="2220" w:type="dxa"/>
            <w:vAlign w:val="center"/>
          </w:tcPr>
          <w:p w14:paraId="6DF757FF">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柳超颖</w:t>
            </w:r>
          </w:p>
        </w:tc>
        <w:tc>
          <w:tcPr>
            <w:tcW w:w="1908" w:type="dxa"/>
            <w:vAlign w:val="center"/>
          </w:tcPr>
          <w:p w14:paraId="6B7A2B02">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0580-2166242, 15858076468</w:t>
            </w:r>
          </w:p>
        </w:tc>
      </w:tr>
      <w:tr w14:paraId="4DFF1B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1460" w:type="dxa"/>
            <w:vAlign w:val="center"/>
          </w:tcPr>
          <w:p w14:paraId="1AFC4E7F">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中国建设银行股份有限公司舟山分行</w:t>
            </w:r>
          </w:p>
        </w:tc>
        <w:tc>
          <w:tcPr>
            <w:tcW w:w="3975" w:type="dxa"/>
          </w:tcPr>
          <w:p w14:paraId="01BC289E">
            <w:pPr>
              <w:numPr>
                <w:ilvl w:val="0"/>
                <w:numId w:val="11"/>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快速便捷：全流程线上操作，通过浙江省政府采购网数据审核信用额度，建行供应链平台快速放款。</w:t>
            </w:r>
          </w:p>
          <w:p w14:paraId="3F71A6CD">
            <w:pPr>
              <w:numPr>
                <w:ilvl w:val="0"/>
                <w:numId w:val="11"/>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申请额度高：单笔融资额度最高可达政府采购合同金额的90%，单户额度最高可达3000万。</w:t>
            </w:r>
          </w:p>
          <w:p w14:paraId="4B005A45">
            <w:pPr>
              <w:numPr>
                <w:ilvl w:val="0"/>
                <w:numId w:val="11"/>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无需额外抵押：以浙江省政府采购网备案公示的政府采购合同进行融资，无需额外抵押担保。</w:t>
            </w:r>
          </w:p>
          <w:p w14:paraId="6840F4C9">
            <w:pPr>
              <w:numPr>
                <w:ilvl w:val="0"/>
                <w:numId w:val="11"/>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利率优惠：给予流动资金贷款最优惠利率。</w:t>
            </w:r>
          </w:p>
        </w:tc>
        <w:tc>
          <w:tcPr>
            <w:tcW w:w="2220" w:type="dxa"/>
            <w:vAlign w:val="center"/>
          </w:tcPr>
          <w:p w14:paraId="4826EE01">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普陀片区：蔡妮妮</w:t>
            </w:r>
          </w:p>
          <w:p w14:paraId="69EBBA81">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定海片区：杨莹</w:t>
            </w:r>
          </w:p>
          <w:p w14:paraId="3448B27A">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自贸区片区：方晓</w:t>
            </w:r>
          </w:p>
        </w:tc>
        <w:tc>
          <w:tcPr>
            <w:tcW w:w="1908" w:type="dxa"/>
            <w:vAlign w:val="center"/>
          </w:tcPr>
          <w:p w14:paraId="5D14001A">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普陀片区：13957201791</w:t>
            </w:r>
          </w:p>
          <w:p w14:paraId="14192F57">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定海片区：13655803997</w:t>
            </w:r>
          </w:p>
          <w:p w14:paraId="4EF32F98">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自贸区片区：13587086324</w:t>
            </w:r>
          </w:p>
        </w:tc>
      </w:tr>
      <w:tr w14:paraId="76F5B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66D0C79E">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杭州银行股份有限公司舟山市分行</w:t>
            </w:r>
          </w:p>
        </w:tc>
        <w:tc>
          <w:tcPr>
            <w:tcW w:w="3975" w:type="dxa"/>
          </w:tcPr>
          <w:p w14:paraId="1B752778">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云采贷”是杭州银行为政府采购供应商提供的纯信用贷款产品。客户申请、签约、放款全流程线上化，平台注册入库并取得采购合同即可申请，融资比例最高达采购订单的80%，单户、单笔最高可达3000万，最长期限一年。</w:t>
            </w:r>
          </w:p>
        </w:tc>
        <w:tc>
          <w:tcPr>
            <w:tcW w:w="2220" w:type="dxa"/>
            <w:vAlign w:val="center"/>
          </w:tcPr>
          <w:p w14:paraId="6522D63C">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方经理</w:t>
            </w:r>
          </w:p>
        </w:tc>
        <w:tc>
          <w:tcPr>
            <w:tcW w:w="1908" w:type="dxa"/>
            <w:vAlign w:val="center"/>
          </w:tcPr>
          <w:p w14:paraId="473887DF">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0580-2185201，18205800451</w:t>
            </w:r>
          </w:p>
        </w:tc>
      </w:tr>
      <w:tr w14:paraId="07AB1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5BD77613">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招商银行股份有限公司浙江自贸试验区舟山分行</w:t>
            </w:r>
          </w:p>
        </w:tc>
        <w:tc>
          <w:tcPr>
            <w:tcW w:w="3975" w:type="dxa"/>
          </w:tcPr>
          <w:p w14:paraId="42C402F8">
            <w:pPr>
              <w:spacing w:line="240" w:lineRule="exact"/>
              <w:rPr>
                <w:rFonts w:hint="eastAsia" w:ascii="宋体" w:hAnsi="宋体" w:eastAsia="宋体" w:cs="Times New Roman"/>
                <w:color w:val="auto"/>
                <w:szCs w:val="21"/>
              </w:rPr>
            </w:pPr>
            <w:r>
              <w:rPr>
                <w:rFonts w:hint="eastAsia" w:ascii="宋体" w:hAnsi="宋体" w:eastAsia="宋体" w:cs="仿宋_GB2312"/>
                <w:color w:val="auto"/>
                <w:szCs w:val="21"/>
              </w:rPr>
              <w:t>小企业政采贷是招商银行为政府采购成交供应商提供的用于履行政府采购合同的专属融资产品。优势：一、额度高。根据企业上一年或近一年获得政府采购成交及成交通知的一定比例给予额度，最高可达3000万元，单笔提款金额最高至合同金额的90%。二、操作简便、模式丰富。客户通过我行一网通等渠道在线申请。支持线上用款，按日计息，随借随还，利率最低至当期LPR。三、担保方式灵活。实际控制人夫妇担保＋融资项下应收账款质押作为辅助，无需抵押，一次性签署合作协议。</w:t>
            </w:r>
          </w:p>
        </w:tc>
        <w:tc>
          <w:tcPr>
            <w:tcW w:w="2220" w:type="dxa"/>
            <w:vAlign w:val="center"/>
          </w:tcPr>
          <w:p w14:paraId="638926E8">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李玲</w:t>
            </w:r>
          </w:p>
        </w:tc>
        <w:tc>
          <w:tcPr>
            <w:tcW w:w="1908" w:type="dxa"/>
            <w:vAlign w:val="center"/>
          </w:tcPr>
          <w:p w14:paraId="3AE31B92">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0580-2061710，13957227971</w:t>
            </w:r>
          </w:p>
        </w:tc>
      </w:tr>
      <w:tr w14:paraId="65934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0" w:hRule="atLeast"/>
          <w:jc w:val="center"/>
        </w:trPr>
        <w:tc>
          <w:tcPr>
            <w:tcW w:w="1460" w:type="dxa"/>
            <w:vAlign w:val="center"/>
          </w:tcPr>
          <w:p w14:paraId="4831C9E7">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温州银行股份有限公司舟山市分行</w:t>
            </w:r>
          </w:p>
        </w:tc>
        <w:tc>
          <w:tcPr>
            <w:tcW w:w="3975" w:type="dxa"/>
          </w:tcPr>
          <w:p w14:paraId="7A51B14E">
            <w:pPr>
              <w:numPr>
                <w:ilvl w:val="0"/>
                <w:numId w:val="12"/>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单户授信敞口最高不超过1000万元，且最高额度核定一般不超过借款人（含实际控制人控制的其他经营实体）最近13个月合计有效中标合同金额的70%。</w:t>
            </w:r>
          </w:p>
          <w:p w14:paraId="5A43E8B3">
            <w:pPr>
              <w:numPr>
                <w:ilvl w:val="0"/>
                <w:numId w:val="12"/>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单笔借款额度最高不超过1000万元，单笔业务授信额度不超过“政采云平台”提供的中标通知书承载的中标金额或本次申请授信提供的采购合同金额的80%，且用信金额不超过采购合同未付金额的80%。</w:t>
            </w:r>
          </w:p>
          <w:p w14:paraId="08107745">
            <w:pPr>
              <w:numPr>
                <w:ilvl w:val="0"/>
                <w:numId w:val="12"/>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借款人中标采购人自行采购项目并向我行发起授信申请的，单笔业务授信敞口不超500万元，且不超过借款人中标通知书承载的中标金额或本次申请授信提供的采购合同的80%。</w:t>
            </w:r>
          </w:p>
          <w:p w14:paraId="5BF8477F">
            <w:pPr>
              <w:numPr>
                <w:ilvl w:val="0"/>
                <w:numId w:val="12"/>
              </w:num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符合我行采购人资质的，且负债率不超75%，配合应收账款质押登记确认的，并可出具确认函，单笔借款额度可按不超过采购合同的90%办理。</w:t>
            </w:r>
          </w:p>
        </w:tc>
        <w:tc>
          <w:tcPr>
            <w:tcW w:w="2220" w:type="dxa"/>
            <w:vAlign w:val="center"/>
          </w:tcPr>
          <w:p w14:paraId="231389C5">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郑贤栋</w:t>
            </w:r>
          </w:p>
        </w:tc>
        <w:tc>
          <w:tcPr>
            <w:tcW w:w="1908" w:type="dxa"/>
            <w:vAlign w:val="center"/>
          </w:tcPr>
          <w:p w14:paraId="70B33FB4">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058—8866086</w:t>
            </w:r>
          </w:p>
        </w:tc>
      </w:tr>
      <w:tr w14:paraId="50D274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0" w:type="dxa"/>
            <w:vAlign w:val="center"/>
          </w:tcPr>
          <w:p w14:paraId="57CBE831">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交通银行股份有限公司舟山分行</w:t>
            </w:r>
          </w:p>
        </w:tc>
        <w:tc>
          <w:tcPr>
            <w:tcW w:w="3975" w:type="dxa"/>
          </w:tcPr>
          <w:p w14:paraId="105F7DD9">
            <w:pPr>
              <w:spacing w:line="240" w:lineRule="exact"/>
              <w:contextualSpacing/>
              <w:rPr>
                <w:rFonts w:hint="eastAsia" w:ascii="宋体" w:hAnsi="宋体" w:eastAsia="宋体" w:cs="Times New Roman"/>
                <w:color w:val="auto"/>
                <w:szCs w:val="21"/>
              </w:rPr>
            </w:pPr>
            <w:r>
              <w:rPr>
                <w:rFonts w:hint="eastAsia" w:ascii="宋体" w:hAnsi="宋体" w:eastAsia="宋体" w:cs="仿宋_GB2312"/>
                <w:color w:val="auto"/>
                <w:szCs w:val="21"/>
              </w:rPr>
              <w:t>交通银行政采贷，线上版本最长期限1年，融资金额一般不超过1000万；线下版本期限最长两年，额度最高2,000万，单笔提款金额最高至采购合同金额的70%。担保方式为信用（附加该笔业务项下未来应收账款质押、实际控制人及配偶个人保证），随借随还，利率最低至当期L</w:t>
            </w:r>
            <w:r>
              <w:rPr>
                <w:rFonts w:hint="eastAsia" w:ascii="宋体" w:hAnsi="宋体" w:eastAsia="宋体" w:cs="Times New Roman"/>
                <w:color w:val="auto"/>
                <w:szCs w:val="21"/>
              </w:rPr>
              <w:t>PR</w:t>
            </w:r>
            <w:r>
              <w:rPr>
                <w:rFonts w:ascii="宋体" w:hAnsi="宋体" w:eastAsia="宋体" w:cs="Times New Roman"/>
                <w:color w:val="auto"/>
                <w:szCs w:val="21"/>
              </w:rPr>
              <w:t>。</w:t>
            </w:r>
          </w:p>
        </w:tc>
        <w:tc>
          <w:tcPr>
            <w:tcW w:w="2220" w:type="dxa"/>
            <w:vAlign w:val="center"/>
          </w:tcPr>
          <w:p w14:paraId="1ACD7C5B">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赵争艳</w:t>
            </w:r>
          </w:p>
        </w:tc>
        <w:tc>
          <w:tcPr>
            <w:tcW w:w="1908" w:type="dxa"/>
            <w:vAlign w:val="center"/>
          </w:tcPr>
          <w:p w14:paraId="2A618093">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0580-2260728</w:t>
            </w:r>
          </w:p>
          <w:p w14:paraId="2F75B7BD">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13758007280</w:t>
            </w:r>
          </w:p>
        </w:tc>
      </w:tr>
      <w:tr w14:paraId="4CED2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11127731">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中信银行股份有限公司舟山分行</w:t>
            </w:r>
          </w:p>
        </w:tc>
        <w:tc>
          <w:tcPr>
            <w:tcW w:w="3975" w:type="dxa"/>
          </w:tcPr>
          <w:p w14:paraId="344F1EF6">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信银行“政采e贷”产品特点：根据政府采购成交通知书或合同，以政府财政支付资金为主要还款来源，为成交小微企业提供流动资金贷款。产品实现预授信、贷款申请、应收账款质押、授信审批、自助提款等环节的线上化、自动化处理，操作便利，授信额度最高不超过1000万元，贷款期限最长1年，利率低。</w:t>
            </w:r>
          </w:p>
        </w:tc>
        <w:tc>
          <w:tcPr>
            <w:tcW w:w="2220" w:type="dxa"/>
            <w:vAlign w:val="center"/>
          </w:tcPr>
          <w:p w14:paraId="7D85A5F5">
            <w:pPr>
              <w:spacing w:line="240" w:lineRule="exact"/>
              <w:contextualSpacing/>
              <w:jc w:val="center"/>
              <w:rPr>
                <w:rFonts w:hint="eastAsia" w:ascii="宋体" w:hAnsi="宋体" w:eastAsia="宋体" w:cs="Times New Roman"/>
                <w:color w:val="auto"/>
                <w:szCs w:val="21"/>
              </w:rPr>
            </w:pPr>
            <w:r>
              <w:rPr>
                <w:rFonts w:ascii="宋体" w:hAnsi="宋体" w:eastAsia="宋体" w:cs="Times New Roman"/>
                <w:color w:val="auto"/>
                <w:szCs w:val="21"/>
              </w:rPr>
              <w:t>黄丽</w:t>
            </w:r>
          </w:p>
        </w:tc>
        <w:tc>
          <w:tcPr>
            <w:tcW w:w="1908" w:type="dxa"/>
            <w:vAlign w:val="center"/>
          </w:tcPr>
          <w:p w14:paraId="7D3E1F9C">
            <w:pPr>
              <w:spacing w:line="240" w:lineRule="exact"/>
              <w:contextualSpacing/>
              <w:rPr>
                <w:rFonts w:hint="eastAsia" w:ascii="宋体" w:hAnsi="宋体" w:eastAsia="宋体" w:cs="Times New Roman"/>
                <w:color w:val="auto"/>
                <w:szCs w:val="21"/>
              </w:rPr>
            </w:pPr>
            <w:r>
              <w:rPr>
                <w:rFonts w:ascii="宋体" w:hAnsi="宋体" w:eastAsia="宋体" w:cs="Times New Roman"/>
                <w:color w:val="auto"/>
                <w:szCs w:val="21"/>
              </w:rPr>
              <w:t>13905808032</w:t>
            </w:r>
          </w:p>
        </w:tc>
      </w:tr>
      <w:tr w14:paraId="02463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31AFD454">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泰隆银行舟山市分行</w:t>
            </w:r>
          </w:p>
        </w:tc>
        <w:tc>
          <w:tcPr>
            <w:tcW w:w="3975" w:type="dxa"/>
          </w:tcPr>
          <w:p w14:paraId="6D1253C5">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符合我行基本准入，期限对照订单最长不超过1年，额度最高1000万，担保方式享受信用贷款执行，可由成交企业或其实际控制人出面申请，利率最低可至当期LPR ，对于合同期限确实超过一年的，可享受无还本续贷至合同付款日。</w:t>
            </w:r>
          </w:p>
        </w:tc>
        <w:tc>
          <w:tcPr>
            <w:tcW w:w="2220" w:type="dxa"/>
            <w:vAlign w:val="center"/>
          </w:tcPr>
          <w:p w14:paraId="1E90EBAD">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胡亢宇</w:t>
            </w:r>
          </w:p>
        </w:tc>
        <w:tc>
          <w:tcPr>
            <w:tcW w:w="1908" w:type="dxa"/>
            <w:vAlign w:val="center"/>
          </w:tcPr>
          <w:p w14:paraId="3914A30E">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17605868703</w:t>
            </w:r>
          </w:p>
        </w:tc>
      </w:tr>
      <w:tr w14:paraId="096DE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59DD97EC">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中国农业银行股份有限公司舟山分行</w:t>
            </w:r>
          </w:p>
        </w:tc>
        <w:tc>
          <w:tcPr>
            <w:tcW w:w="3975" w:type="dxa"/>
          </w:tcPr>
          <w:p w14:paraId="39F93200">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政采贷”业务原则上不超过政府采购合同实有金额的80%，单户借款额度不超过500万元。借款到期日不晚于合同约定付款日后90天，原则上不超过1年，最长可放宽至2年。应收账款形成前，可采用信用方式用信并追加供应商法定代表人或实际控制人连带责任保证担保；应收账款形成后，信用方式用信需变更为应收账款质押担保。</w:t>
            </w:r>
          </w:p>
        </w:tc>
        <w:tc>
          <w:tcPr>
            <w:tcW w:w="2220" w:type="dxa"/>
            <w:vAlign w:val="center"/>
          </w:tcPr>
          <w:p w14:paraId="3807AD57">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苏华瞻</w:t>
            </w:r>
          </w:p>
        </w:tc>
        <w:tc>
          <w:tcPr>
            <w:tcW w:w="1908" w:type="dxa"/>
            <w:vAlign w:val="center"/>
          </w:tcPr>
          <w:p w14:paraId="3D6ECA46">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13967228926</w:t>
            </w:r>
          </w:p>
        </w:tc>
      </w:tr>
      <w:tr w14:paraId="14654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 w:hRule="atLeast"/>
          <w:jc w:val="center"/>
        </w:trPr>
        <w:tc>
          <w:tcPr>
            <w:tcW w:w="1460" w:type="dxa"/>
            <w:vAlign w:val="center"/>
          </w:tcPr>
          <w:p w14:paraId="7D2723DA">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中国邮政储蓄银行股份有限公司舟山市分行</w:t>
            </w:r>
          </w:p>
        </w:tc>
        <w:tc>
          <w:tcPr>
            <w:tcW w:w="3975" w:type="dxa"/>
          </w:tcPr>
          <w:p w14:paraId="2DD6C6F8">
            <w:pPr>
              <w:tabs>
                <w:tab w:val="left" w:pos="0"/>
              </w:tabs>
              <w:spacing w:line="240" w:lineRule="exact"/>
              <w:rPr>
                <w:rFonts w:hint="eastAsia" w:ascii="宋体" w:hAnsi="宋体" w:eastAsia="宋体" w:cs="Times New Roman"/>
                <w:color w:val="auto"/>
                <w:szCs w:val="21"/>
              </w:rPr>
            </w:pPr>
            <w:r>
              <w:rPr>
                <w:rFonts w:hint="eastAsia" w:ascii="宋体" w:hAnsi="宋体" w:eastAsia="宋体" w:cs="Times New Roman"/>
                <w:color w:val="auto"/>
                <w:szCs w:val="21"/>
              </w:rPr>
              <w:t>符合我行基本准入，授信额度使用期最高为2年，单户授信最高为500万，担保方式享受信用贷款执行，利率最低可至当期LPR ，有无还本续贷，12月份线上产品可以自主自贷。</w:t>
            </w:r>
          </w:p>
        </w:tc>
        <w:tc>
          <w:tcPr>
            <w:tcW w:w="2220" w:type="dxa"/>
            <w:vAlign w:val="center"/>
          </w:tcPr>
          <w:p w14:paraId="79E58A8E">
            <w:pPr>
              <w:spacing w:line="240" w:lineRule="exact"/>
              <w:contextualSpacing/>
              <w:jc w:val="center"/>
              <w:rPr>
                <w:rFonts w:hint="eastAsia" w:ascii="宋体" w:hAnsi="宋体" w:eastAsia="宋体" w:cs="Times New Roman"/>
                <w:color w:val="auto"/>
                <w:szCs w:val="21"/>
              </w:rPr>
            </w:pPr>
            <w:r>
              <w:rPr>
                <w:rFonts w:hint="eastAsia" w:ascii="宋体" w:hAnsi="宋体" w:eastAsia="宋体" w:cs="Times New Roman"/>
                <w:color w:val="auto"/>
                <w:szCs w:val="21"/>
              </w:rPr>
              <w:t>蒋志燕</w:t>
            </w:r>
          </w:p>
        </w:tc>
        <w:tc>
          <w:tcPr>
            <w:tcW w:w="1908" w:type="dxa"/>
            <w:vAlign w:val="center"/>
          </w:tcPr>
          <w:p w14:paraId="730EFE18">
            <w:pPr>
              <w:spacing w:line="240" w:lineRule="exact"/>
              <w:contextualSpacing/>
              <w:rPr>
                <w:rFonts w:hint="eastAsia" w:ascii="宋体" w:hAnsi="宋体" w:eastAsia="宋体" w:cs="Times New Roman"/>
                <w:color w:val="auto"/>
                <w:szCs w:val="21"/>
              </w:rPr>
            </w:pPr>
            <w:r>
              <w:rPr>
                <w:rFonts w:hint="eastAsia" w:ascii="宋体" w:hAnsi="宋体" w:eastAsia="宋体" w:cs="Times New Roman"/>
                <w:color w:val="auto"/>
                <w:szCs w:val="21"/>
              </w:rPr>
              <w:t>13732527321</w:t>
            </w:r>
          </w:p>
        </w:tc>
      </w:tr>
      <w:bookmarkEnd w:id="42"/>
    </w:tbl>
    <w:p w14:paraId="59E49155">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2.一般步骤</w:t>
      </w:r>
    </w:p>
    <w:p w14:paraId="674D52BA">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（1）供应商先与银行对接，办理融资前期手续；</w:t>
      </w:r>
    </w:p>
    <w:p w14:paraId="0418B75C">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（2）供应商中标后，凭中标通知书等材料，向相关合作银行发出融资申请；</w:t>
      </w:r>
    </w:p>
    <w:p w14:paraId="393EEC5E">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（3）银行、供应商线</w:t>
      </w:r>
      <w:r>
        <w:rPr>
          <w:rFonts w:hint="eastAsia" w:ascii="宋体" w:hAnsi="宋体" w:eastAsia="宋体" w:cs="Times New Roman"/>
          <w:color w:val="auto"/>
          <w:szCs w:val="21"/>
        </w:rPr>
        <w:t>上</w:t>
      </w:r>
      <w:r>
        <w:rPr>
          <w:rFonts w:ascii="宋体" w:hAnsi="宋体" w:eastAsia="宋体" w:cs="Times New Roman"/>
          <w:color w:val="auto"/>
          <w:szCs w:val="21"/>
        </w:rPr>
        <w:t>办理审批、放贷事宜。</w:t>
      </w:r>
    </w:p>
    <w:p w14:paraId="2CBB1273">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3.注意事项</w:t>
      </w:r>
    </w:p>
    <w:p w14:paraId="39BF6ADB">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（1）</w:t>
      </w:r>
      <w:r>
        <w:rPr>
          <w:rFonts w:hint="eastAsia" w:ascii="宋体" w:hAnsi="宋体" w:eastAsia="宋体" w:cs="Times New Roman"/>
          <w:color w:val="auto"/>
          <w:szCs w:val="21"/>
        </w:rPr>
        <w:t>中标人</w:t>
      </w:r>
      <w:r>
        <w:rPr>
          <w:rFonts w:ascii="宋体" w:hAnsi="宋体" w:eastAsia="宋体" w:cs="Times New Roman"/>
          <w:color w:val="auto"/>
          <w:szCs w:val="21"/>
        </w:rPr>
        <w:t>需确保政府采购合同的收款账户与融资银行开户账户一致。</w:t>
      </w:r>
    </w:p>
    <w:p w14:paraId="276D4D64">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（2）用于政府采购信用融资的政府采购合同，应当包含如下条款：“第条：政府采购合同贷款</w:t>
      </w:r>
    </w:p>
    <w:p w14:paraId="51F341CF">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本合同同时用于乙方向银行（金融机构）申请政府采购信用贷款。</w:t>
      </w:r>
    </w:p>
    <w:p w14:paraId="04AFBAA8">
      <w:pPr>
        <w:spacing w:line="260" w:lineRule="exact"/>
        <w:ind w:firstLine="555"/>
        <w:rPr>
          <w:rFonts w:hint="eastAsia" w:ascii="宋体" w:hAnsi="宋体" w:eastAsia="宋体" w:cs="Times New Roman"/>
          <w:color w:val="auto"/>
          <w:szCs w:val="21"/>
        </w:rPr>
      </w:pPr>
      <w:r>
        <w:rPr>
          <w:rFonts w:ascii="宋体" w:hAnsi="宋体" w:eastAsia="宋体" w:cs="Times New Roman"/>
          <w:color w:val="auto"/>
          <w:szCs w:val="21"/>
        </w:rPr>
        <w:t>本合同一经签订，原则上不得更改乙方收款账户信息。确须更改的，乙方应取得原合同收款账户开户银行书面同意，否则修改后的合同不予备案，采购资金不予支付。”</w:t>
      </w:r>
    </w:p>
    <w:p w14:paraId="653AC084">
      <w:pPr>
        <w:tabs>
          <w:tab w:val="left" w:pos="2472"/>
        </w:tabs>
        <w:snapToGrid w:val="0"/>
        <w:spacing w:before="120" w:line="312" w:lineRule="auto"/>
        <w:ind w:right="-87"/>
        <w:rPr>
          <w:rFonts w:ascii="Times New Roman" w:hAnsi="Times New Roman" w:eastAsia="黑体" w:cs="Times New Roman"/>
          <w:color w:val="auto"/>
          <w:sz w:val="30"/>
        </w:rPr>
      </w:pPr>
    </w:p>
    <w:p w14:paraId="303479C8">
      <w:pPr>
        <w:tabs>
          <w:tab w:val="left" w:pos="2472"/>
        </w:tabs>
        <w:snapToGrid w:val="0"/>
        <w:spacing w:before="120" w:line="312" w:lineRule="auto"/>
        <w:ind w:right="-87"/>
        <w:jc w:val="center"/>
        <w:rPr>
          <w:rFonts w:ascii="Times New Roman" w:hAnsi="Times New Roman" w:eastAsia="黑体" w:cs="Times New Roman"/>
          <w:color w:val="auto"/>
          <w:sz w:val="30"/>
        </w:rPr>
      </w:pPr>
    </w:p>
    <w:p w14:paraId="12B8E439">
      <w:pPr>
        <w:tabs>
          <w:tab w:val="left" w:pos="2472"/>
        </w:tabs>
        <w:snapToGrid w:val="0"/>
        <w:spacing w:before="120" w:line="312" w:lineRule="auto"/>
        <w:ind w:right="-87"/>
        <w:jc w:val="center"/>
        <w:rPr>
          <w:rFonts w:ascii="Times New Roman" w:hAnsi="Times New Roman" w:eastAsia="黑体" w:cs="Times New Roman"/>
          <w:color w:val="auto"/>
          <w:sz w:val="30"/>
        </w:rPr>
      </w:pPr>
    </w:p>
    <w:p w14:paraId="5AB25665">
      <w:pPr>
        <w:tabs>
          <w:tab w:val="left" w:pos="2472"/>
        </w:tabs>
        <w:snapToGrid w:val="0"/>
        <w:spacing w:before="120" w:line="312" w:lineRule="auto"/>
        <w:ind w:right="-87"/>
        <w:jc w:val="center"/>
        <w:rPr>
          <w:rFonts w:ascii="Times New Roman" w:hAnsi="Times New Roman" w:eastAsia="黑体" w:cs="Times New Roman"/>
          <w:color w:val="auto"/>
          <w:sz w:val="30"/>
        </w:rPr>
      </w:pPr>
    </w:p>
    <w:p w14:paraId="7F4ABA1D">
      <w:pPr>
        <w:tabs>
          <w:tab w:val="left" w:pos="2472"/>
        </w:tabs>
        <w:snapToGrid w:val="0"/>
        <w:spacing w:before="120" w:line="312" w:lineRule="auto"/>
        <w:ind w:right="-87"/>
        <w:jc w:val="center"/>
        <w:rPr>
          <w:rFonts w:ascii="Times New Roman" w:hAnsi="Times New Roman" w:eastAsia="黑体" w:cs="Times New Roman"/>
          <w:color w:val="auto"/>
          <w:sz w:val="30"/>
        </w:rPr>
      </w:pPr>
      <w:r>
        <w:rPr>
          <w:rFonts w:hint="eastAsia" w:ascii="Times New Roman" w:hAnsi="Times New Roman" w:eastAsia="黑体" w:cs="Times New Roman"/>
          <w:color w:val="auto"/>
          <w:sz w:val="30"/>
        </w:rPr>
        <w:t>第六章　投标文件格式</w:t>
      </w:r>
    </w:p>
    <w:p w14:paraId="61D9D2EF">
      <w:pPr>
        <w:tabs>
          <w:tab w:val="left" w:pos="2472"/>
        </w:tabs>
        <w:snapToGrid w:val="0"/>
        <w:spacing w:before="120" w:line="312" w:lineRule="auto"/>
        <w:ind w:right="-87"/>
        <w:jc w:val="center"/>
        <w:rPr>
          <w:rFonts w:ascii="Times New Roman" w:hAnsi="Times New Roman" w:eastAsia="黑体" w:cs="Times New Roman"/>
          <w:color w:val="auto"/>
          <w:sz w:val="30"/>
        </w:rPr>
      </w:pPr>
    </w:p>
    <w:p w14:paraId="160086D2">
      <w:pPr>
        <w:snapToGrid w:val="0"/>
        <w:spacing w:line="360" w:lineRule="auto"/>
        <w:ind w:right="-85"/>
        <w:rPr>
          <w:rFonts w:ascii="Times New Roman" w:hAnsi="Times New Roman" w:eastAsia="宋体" w:cs="Times New Roman"/>
          <w:color w:val="auto"/>
          <w:sz w:val="24"/>
        </w:rPr>
      </w:pPr>
    </w:p>
    <w:p w14:paraId="1D0789FB">
      <w:pPr>
        <w:snapToGrid w:val="0"/>
        <w:spacing w:line="360" w:lineRule="auto"/>
        <w:ind w:right="-85"/>
        <w:rPr>
          <w:rFonts w:ascii="Times New Roman" w:hAnsi="Times New Roman" w:eastAsia="宋体" w:cs="Times New Roman"/>
          <w:color w:val="auto"/>
          <w:sz w:val="24"/>
        </w:rPr>
      </w:pPr>
    </w:p>
    <w:p w14:paraId="165D897B">
      <w:pPr>
        <w:snapToGrid w:val="0"/>
        <w:spacing w:line="360" w:lineRule="auto"/>
        <w:ind w:right="-85"/>
        <w:rPr>
          <w:rFonts w:ascii="Times New Roman" w:hAnsi="Times New Roman" w:eastAsia="宋体" w:cs="Times New Roman"/>
          <w:color w:val="auto"/>
          <w:sz w:val="24"/>
        </w:rPr>
      </w:pPr>
      <w:r>
        <w:rPr>
          <w:rFonts w:hint="eastAsia" w:ascii="Times New Roman" w:hAnsi="Times New Roman" w:eastAsia="宋体" w:cs="Times New Roman"/>
          <w:color w:val="auto"/>
          <w:sz w:val="24"/>
        </w:rPr>
        <w:t>一、</w:t>
      </w:r>
      <w:r>
        <w:rPr>
          <w:rFonts w:hint="eastAsia" w:ascii="Times New Roman" w:hAnsi="Times New Roman" w:eastAsia="宋体" w:cs="Times New Roman"/>
          <w:b/>
          <w:color w:val="auto"/>
          <w:sz w:val="24"/>
        </w:rPr>
        <w:t>备份文件包装封面（格式供参考）</w:t>
      </w:r>
      <w:r>
        <w:rPr>
          <w:rFonts w:hint="eastAsia" w:ascii="Times New Roman" w:hAnsi="Times New Roman" w:eastAsia="宋体" w:cs="Times New Roman"/>
          <w:color w:val="auto"/>
          <w:sz w:val="24"/>
        </w:rPr>
        <w:t>：</w:t>
      </w:r>
    </w:p>
    <w:p w14:paraId="0D7D0021">
      <w:pPr>
        <w:snapToGrid w:val="0"/>
        <w:spacing w:line="360" w:lineRule="auto"/>
        <w:ind w:right="-85"/>
        <w:jc w:val="center"/>
        <w:rPr>
          <w:rFonts w:ascii="Times New Roman" w:hAnsi="Times New Roman" w:eastAsia="宋体" w:cs="Times New Roman"/>
          <w:color w:val="auto"/>
          <w:sz w:val="24"/>
        </w:rPr>
      </w:pPr>
    </w:p>
    <w:p w14:paraId="6B5A2F82">
      <w:pPr>
        <w:snapToGrid w:val="0"/>
        <w:spacing w:line="360" w:lineRule="auto"/>
        <w:ind w:right="-85"/>
        <w:jc w:val="center"/>
        <w:rPr>
          <w:rFonts w:ascii="Times New Roman" w:hAnsi="Times New Roman" w:eastAsia="宋体" w:cs="Times New Roman"/>
          <w:b/>
          <w:color w:val="auto"/>
          <w:sz w:val="44"/>
        </w:rPr>
      </w:pPr>
      <w:r>
        <w:rPr>
          <w:rFonts w:hint="eastAsia" w:ascii="Times New Roman" w:hAnsi="Times New Roman" w:eastAsia="宋体" w:cs="Times New Roman"/>
          <w:b/>
          <w:color w:val="auto"/>
          <w:sz w:val="44"/>
        </w:rPr>
        <w:t>投标文件</w:t>
      </w:r>
    </w:p>
    <w:p w14:paraId="4D6C6A1F">
      <w:pPr>
        <w:snapToGrid w:val="0"/>
        <w:spacing w:line="360" w:lineRule="auto"/>
        <w:ind w:right="-85"/>
        <w:rPr>
          <w:rFonts w:ascii="Times New Roman" w:hAnsi="Times New Roman" w:eastAsia="宋体" w:cs="Times New Roman"/>
          <w:color w:val="auto"/>
          <w:sz w:val="24"/>
        </w:rPr>
      </w:pPr>
    </w:p>
    <w:p w14:paraId="723B8E64">
      <w:pPr>
        <w:snapToGrid w:val="0"/>
        <w:spacing w:line="360" w:lineRule="auto"/>
        <w:ind w:right="-85" w:firstLine="1124" w:firstLineChars="400"/>
        <w:rPr>
          <w:rFonts w:ascii="Times New Roman" w:hAnsi="Times New Roman" w:eastAsia="宋体" w:cs="Times New Roman"/>
          <w:b/>
          <w:color w:val="auto"/>
          <w:sz w:val="28"/>
        </w:rPr>
      </w:pPr>
      <w:r>
        <w:rPr>
          <w:rFonts w:hint="eastAsia" w:ascii="Times New Roman" w:hAnsi="Times New Roman" w:eastAsia="宋体" w:cs="Times New Roman"/>
          <w:b/>
          <w:color w:val="auto"/>
          <w:sz w:val="28"/>
        </w:rPr>
        <w:t>项目名称：</w:t>
      </w:r>
    </w:p>
    <w:p w14:paraId="0274F178">
      <w:pPr>
        <w:snapToGrid w:val="0"/>
        <w:spacing w:line="360" w:lineRule="auto"/>
        <w:ind w:right="-85" w:firstLine="1113" w:firstLineChars="396"/>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项目编号：</w:t>
      </w:r>
    </w:p>
    <w:p w14:paraId="6D7AC0A2">
      <w:pPr>
        <w:snapToGrid w:val="0"/>
        <w:spacing w:line="360" w:lineRule="auto"/>
        <w:ind w:right="-85" w:firstLine="1169" w:firstLineChars="416"/>
        <w:rPr>
          <w:rFonts w:ascii="Times New Roman" w:hAnsi="Times New Roman" w:eastAsia="宋体" w:cs="Times New Roman"/>
          <w:b/>
          <w:color w:val="auto"/>
          <w:sz w:val="28"/>
        </w:rPr>
      </w:pPr>
      <w:r>
        <w:rPr>
          <w:rFonts w:hint="eastAsia" w:ascii="Times New Roman" w:hAnsi="Times New Roman" w:eastAsia="宋体" w:cs="Times New Roman"/>
          <w:b/>
          <w:color w:val="auto"/>
          <w:sz w:val="28"/>
        </w:rPr>
        <w:t>投标人名称：</w:t>
      </w:r>
      <w:r>
        <w:rPr>
          <w:rFonts w:hint="eastAsia" w:ascii="Times New Roman" w:hAnsi="Times New Roman" w:eastAsia="宋体" w:cs="Times New Roman"/>
          <w:b/>
          <w:color w:val="auto"/>
          <w:sz w:val="28"/>
          <w:u w:val="single"/>
        </w:rPr>
        <w:t>（</w:t>
      </w:r>
      <w:r>
        <w:rPr>
          <w:rFonts w:hint="eastAsia" w:ascii="Times New Roman" w:hAnsi="Times New Roman" w:eastAsia="宋体" w:cs="Times New Roman"/>
          <w:b/>
          <w:color w:val="auto"/>
          <w:sz w:val="28"/>
        </w:rPr>
        <w:t>加盖公章）</w:t>
      </w:r>
    </w:p>
    <w:p w14:paraId="3834976F">
      <w:pPr>
        <w:snapToGrid w:val="0"/>
        <w:spacing w:line="360" w:lineRule="auto"/>
        <w:ind w:right="-85" w:firstLine="1169" w:firstLineChars="416"/>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投标人地址：</w:t>
      </w:r>
    </w:p>
    <w:p w14:paraId="63951800">
      <w:pPr>
        <w:snapToGrid w:val="0"/>
        <w:spacing w:line="360" w:lineRule="auto"/>
        <w:ind w:right="-85" w:firstLine="1124" w:firstLineChars="400"/>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投标联系人：电话</w:t>
      </w:r>
    </w:p>
    <w:p w14:paraId="17EF8E8B">
      <w:pPr>
        <w:snapToGrid w:val="0"/>
        <w:spacing w:line="360" w:lineRule="auto"/>
        <w:ind w:right="-85" w:firstLine="1124" w:firstLineChars="400"/>
        <w:rPr>
          <w:rFonts w:ascii="Times New Roman" w:hAnsi="Times New Roman" w:eastAsia="宋体" w:cs="Times New Roman"/>
          <w:b/>
          <w:color w:val="auto"/>
          <w:sz w:val="28"/>
          <w:u w:val="single"/>
        </w:rPr>
      </w:pPr>
      <w:r>
        <w:rPr>
          <w:rFonts w:hint="eastAsia" w:ascii="Times New Roman" w:hAnsi="Times New Roman" w:eastAsia="宋体" w:cs="Times New Roman"/>
          <w:b/>
          <w:color w:val="auto"/>
          <w:sz w:val="28"/>
        </w:rPr>
        <w:t>启封时间：</w:t>
      </w:r>
      <w:r>
        <w:rPr>
          <w:rFonts w:hint="eastAsia" w:ascii="Times New Roman" w:hAnsi="Times New Roman" w:eastAsia="宋体" w:cs="Times New Roman"/>
          <w:b/>
          <w:color w:val="auto"/>
          <w:sz w:val="28"/>
          <w:u w:val="single"/>
        </w:rPr>
        <w:t>在</w:t>
      </w:r>
      <w:r>
        <w:rPr>
          <w:rFonts w:ascii="Times New Roman" w:hAnsi="Times New Roman" w:eastAsia="宋体" w:cs="Times New Roman"/>
          <w:b/>
          <w:color w:val="auto"/>
          <w:sz w:val="28"/>
          <w:u w:val="single"/>
        </w:rPr>
        <w:t>20</w:t>
      </w:r>
      <w:r>
        <w:rPr>
          <w:rFonts w:hint="eastAsia" w:ascii="Times New Roman" w:hAnsi="Times New Roman" w:eastAsia="宋体" w:cs="Times New Roman"/>
          <w:b/>
          <w:color w:val="auto"/>
          <w:sz w:val="28"/>
          <w:u w:val="single"/>
        </w:rPr>
        <w:t>年月日时分之前不得启封</w:t>
      </w:r>
    </w:p>
    <w:p w14:paraId="42D70186">
      <w:pPr>
        <w:snapToGrid w:val="0"/>
        <w:spacing w:line="360" w:lineRule="auto"/>
        <w:ind w:right="-85" w:firstLine="4080" w:firstLineChars="1700"/>
        <w:rPr>
          <w:rFonts w:ascii="Times New Roman" w:hAnsi="Times New Roman" w:eastAsia="宋体" w:cs="Times New Roman"/>
          <w:color w:val="auto"/>
          <w:sz w:val="24"/>
        </w:rPr>
      </w:pPr>
    </w:p>
    <w:p w14:paraId="0DBE5CB4">
      <w:pPr>
        <w:snapToGrid w:val="0"/>
        <w:spacing w:line="360" w:lineRule="auto"/>
        <w:ind w:right="-85" w:firstLine="645"/>
        <w:jc w:val="center"/>
        <w:rPr>
          <w:rFonts w:ascii="Times New Roman" w:hAnsi="Times New Roman" w:eastAsia="宋体" w:cs="Times New Roman"/>
          <w:color w:val="auto"/>
          <w:sz w:val="24"/>
        </w:rPr>
      </w:pPr>
      <w:r>
        <w:rPr>
          <w:rFonts w:hint="eastAsia" w:ascii="Times New Roman" w:hAnsi="Times New Roman" w:eastAsia="宋体" w:cs="Times New Roman"/>
          <w:color w:val="auto"/>
          <w:sz w:val="24"/>
        </w:rPr>
        <w:t>年月日</w:t>
      </w:r>
    </w:p>
    <w:p w14:paraId="2D1B0CFC">
      <w:pPr>
        <w:snapToGrid w:val="0"/>
        <w:spacing w:line="360" w:lineRule="auto"/>
        <w:ind w:right="-85"/>
        <w:outlineLvl w:val="1"/>
        <w:rPr>
          <w:rFonts w:ascii="Times New Roman" w:hAnsi="Times New Roman" w:eastAsia="宋体" w:cs="Times New Roman"/>
          <w:color w:val="auto"/>
          <w:sz w:val="24"/>
          <w:u w:val="single"/>
        </w:rPr>
      </w:pPr>
    </w:p>
    <w:p w14:paraId="082061D6">
      <w:pPr>
        <w:snapToGrid w:val="0"/>
        <w:spacing w:before="120" w:beforeLines="50" w:line="312" w:lineRule="auto"/>
        <w:rPr>
          <w:rFonts w:ascii="Times New Roman" w:hAnsi="Times New Roman" w:eastAsia="宋体" w:cs="Times New Roman"/>
          <w:b/>
          <w:color w:val="auto"/>
          <w:sz w:val="32"/>
        </w:rPr>
      </w:pPr>
    </w:p>
    <w:p w14:paraId="59C2BC47">
      <w:pPr>
        <w:snapToGrid w:val="0"/>
        <w:spacing w:before="120" w:beforeLines="50" w:line="312" w:lineRule="auto"/>
        <w:rPr>
          <w:rFonts w:ascii="Times New Roman" w:hAnsi="Times New Roman" w:eastAsia="宋体" w:cs="Times New Roman"/>
          <w:b/>
          <w:color w:val="auto"/>
          <w:sz w:val="32"/>
        </w:rPr>
      </w:pPr>
    </w:p>
    <w:p w14:paraId="7560EA09">
      <w:pPr>
        <w:snapToGrid w:val="0"/>
        <w:spacing w:before="120" w:beforeLines="50" w:line="312" w:lineRule="auto"/>
        <w:rPr>
          <w:rFonts w:ascii="Times New Roman" w:hAnsi="Times New Roman" w:eastAsia="宋体" w:cs="Times New Roman"/>
          <w:b/>
          <w:color w:val="auto"/>
          <w:sz w:val="32"/>
        </w:rPr>
      </w:pPr>
    </w:p>
    <w:p w14:paraId="4B0372A2">
      <w:pPr>
        <w:snapToGrid w:val="0"/>
        <w:spacing w:before="120" w:beforeLines="50" w:line="312" w:lineRule="auto"/>
        <w:rPr>
          <w:rFonts w:ascii="Times New Roman" w:hAnsi="Times New Roman" w:eastAsia="宋体" w:cs="Times New Roman"/>
          <w:b/>
          <w:color w:val="auto"/>
          <w:sz w:val="32"/>
        </w:rPr>
      </w:pPr>
    </w:p>
    <w:p w14:paraId="57E9A02D">
      <w:pPr>
        <w:pStyle w:val="27"/>
        <w:ind w:firstLine="0" w:firstLineChars="0"/>
        <w:rPr>
          <w:color w:val="auto"/>
        </w:rPr>
      </w:pPr>
    </w:p>
    <w:p w14:paraId="217073C5">
      <w:pPr>
        <w:snapToGrid w:val="0"/>
        <w:spacing w:before="120" w:beforeLines="50" w:line="312" w:lineRule="auto"/>
        <w:rPr>
          <w:rFonts w:ascii="Times New Roman" w:hAnsi="Times New Roman" w:eastAsia="宋体" w:cs="Times New Roman"/>
          <w:b/>
          <w:color w:val="auto"/>
          <w:sz w:val="28"/>
          <w:szCs w:val="28"/>
        </w:rPr>
      </w:pPr>
    </w:p>
    <w:p w14:paraId="30885990">
      <w:pPr>
        <w:snapToGrid w:val="0"/>
        <w:spacing w:before="120" w:beforeLines="50" w:line="312" w:lineRule="auto"/>
        <w:rPr>
          <w:rFonts w:ascii="Times New Roman" w:hAnsi="Times New Roman" w:eastAsia="宋体" w:cs="Times New Roman"/>
          <w:b/>
          <w:color w:val="auto"/>
          <w:sz w:val="28"/>
          <w:szCs w:val="28"/>
        </w:rPr>
      </w:pPr>
    </w:p>
    <w:p w14:paraId="67FFB719">
      <w:pPr>
        <w:snapToGrid w:val="0"/>
        <w:spacing w:before="120" w:beforeLines="50" w:line="312" w:lineRule="auto"/>
        <w:rPr>
          <w:rFonts w:ascii="Times New Roman" w:hAnsi="Times New Roman" w:eastAsia="宋体" w:cs="Times New Roman"/>
          <w:b/>
          <w:color w:val="auto"/>
          <w:sz w:val="28"/>
          <w:szCs w:val="28"/>
        </w:rPr>
      </w:pPr>
    </w:p>
    <w:p w14:paraId="51CA4CDA">
      <w:pPr>
        <w:snapToGrid w:val="0"/>
        <w:spacing w:before="120" w:beforeLines="50" w:line="312" w:lineRule="auto"/>
        <w:rPr>
          <w:rFonts w:ascii="Times New Roman" w:hAnsi="Times New Roman" w:eastAsia="宋体" w:cs="Times New Roman"/>
          <w:b/>
          <w:color w:val="auto"/>
          <w:sz w:val="28"/>
          <w:szCs w:val="28"/>
        </w:rPr>
      </w:pPr>
      <w:r>
        <w:rPr>
          <w:rFonts w:hint="eastAsia" w:ascii="Times New Roman" w:hAnsi="Times New Roman" w:eastAsia="宋体" w:cs="Times New Roman"/>
          <w:b/>
          <w:color w:val="auto"/>
          <w:sz w:val="28"/>
          <w:szCs w:val="28"/>
        </w:rPr>
        <w:t>二、</w:t>
      </w:r>
    </w:p>
    <w:p w14:paraId="53D9E7A0">
      <w:pPr>
        <w:snapToGrid w:val="0"/>
        <w:spacing w:before="120" w:beforeLines="50" w:line="312" w:lineRule="auto"/>
        <w:rPr>
          <w:rFonts w:ascii="Times New Roman" w:hAnsi="Times New Roman" w:eastAsia="宋体" w:cs="Times New Roman"/>
          <w:b/>
          <w:color w:val="auto"/>
          <w:sz w:val="32"/>
        </w:rPr>
      </w:pPr>
    </w:p>
    <w:p w14:paraId="456E2AA8">
      <w:pPr>
        <w:snapToGrid w:val="0"/>
        <w:spacing w:before="120" w:beforeLines="50" w:line="312" w:lineRule="auto"/>
        <w:ind w:firstLine="3678" w:firstLineChars="1145"/>
        <w:rPr>
          <w:rFonts w:ascii="Times New Roman" w:hAnsi="Times New Roman" w:eastAsia="宋体" w:cs="Times New Roman"/>
          <w:b/>
          <w:color w:val="auto"/>
          <w:sz w:val="32"/>
        </w:rPr>
      </w:pPr>
      <w:r>
        <w:rPr>
          <w:rFonts w:hint="eastAsia" w:ascii="Times New Roman" w:hAnsi="Times New Roman" w:eastAsia="宋体" w:cs="Times New Roman"/>
          <w:b/>
          <w:color w:val="auto"/>
          <w:sz w:val="32"/>
        </w:rPr>
        <w:t>开标一览表</w:t>
      </w:r>
    </w:p>
    <w:p w14:paraId="2A4950F3">
      <w:pPr>
        <w:spacing w:line="360" w:lineRule="auto"/>
        <w:rPr>
          <w:rFonts w:ascii="Times New Roman" w:hAnsi="Times New Roman" w:eastAsia="宋体" w:cs="Times New Roman"/>
          <w:b/>
          <w:color w:val="auto"/>
          <w:sz w:val="24"/>
          <w:szCs w:val="24"/>
        </w:rPr>
      </w:pPr>
    </w:p>
    <w:p w14:paraId="02E4EBF3">
      <w:pPr>
        <w:snapToGrid w:val="0"/>
        <w:spacing w:before="50" w:after="50"/>
        <w:rPr>
          <w:rFonts w:ascii="Times New Roman" w:hAnsi="Times New Roman" w:eastAsia="宋体" w:cs="Times New Roman"/>
          <w:color w:val="auto"/>
        </w:rPr>
      </w:pPr>
      <w:r>
        <w:rPr>
          <w:rFonts w:hint="eastAsia" w:ascii="Times New Roman" w:hAnsi="Times New Roman" w:eastAsia="宋体" w:cs="Times New Roman"/>
          <w:color w:val="auto"/>
        </w:rPr>
        <w:t>项目名称：</w:t>
      </w:r>
    </w:p>
    <w:p w14:paraId="5BD83FAD">
      <w:pPr>
        <w:snapToGrid w:val="0"/>
        <w:spacing w:before="50" w:after="50"/>
        <w:rPr>
          <w:rFonts w:ascii="Times New Roman" w:hAnsi="Times New Roman" w:eastAsia="宋体" w:cs="Times New Roman"/>
          <w:color w:val="auto"/>
        </w:rPr>
      </w:pPr>
      <w:r>
        <w:rPr>
          <w:rFonts w:hint="eastAsia" w:ascii="Times New Roman" w:hAnsi="Times New Roman" w:eastAsia="宋体" w:cs="Times New Roman"/>
          <w:color w:val="auto"/>
        </w:rPr>
        <w:t>项目编号：</w:t>
      </w:r>
    </w:p>
    <w:p w14:paraId="2C466F84">
      <w:pPr>
        <w:spacing w:after="120"/>
        <w:ind w:firstLine="7350" w:firstLineChars="3500"/>
        <w:rPr>
          <w:rFonts w:hint="eastAsia" w:ascii="Times New Roman" w:hAnsi="Calibri" w:eastAsia="宋体" w:cs="Times New Roman"/>
          <w:color w:val="auto"/>
          <w:kern w:val="0"/>
          <w:lang w:eastAsia="zh-CN"/>
        </w:rPr>
      </w:pPr>
      <w:r>
        <w:rPr>
          <w:rFonts w:hint="eastAsia" w:ascii="Times New Roman" w:hAnsi="Times New Roman" w:eastAsia="宋体" w:cs="Times New Roman"/>
          <w:color w:val="auto"/>
          <w:kern w:val="0"/>
          <w:szCs w:val="21"/>
        </w:rPr>
        <w:t>单位：元/</w:t>
      </w:r>
      <w:r>
        <w:rPr>
          <w:rFonts w:hint="eastAsia" w:ascii="Times New Roman" w:hAnsi="Times New Roman" w:eastAsia="宋体" w:cs="Times New Roman"/>
          <w:color w:val="auto"/>
          <w:kern w:val="0"/>
          <w:szCs w:val="21"/>
          <w:lang w:val="en-US" w:eastAsia="zh-CN"/>
        </w:rPr>
        <w:t>m³</w:t>
      </w:r>
    </w:p>
    <w:tbl>
      <w:tblPr>
        <w:tblStyle w:val="62"/>
        <w:tblW w:w="932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56"/>
        <w:gridCol w:w="3526"/>
        <w:gridCol w:w="3542"/>
        <w:gridCol w:w="1198"/>
      </w:tblGrid>
      <w:tr w14:paraId="3B49A0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14" w:hRule="atLeast"/>
        </w:trPr>
        <w:tc>
          <w:tcPr>
            <w:tcW w:w="1056" w:type="dxa"/>
            <w:tcBorders>
              <w:top w:val="single" w:color="000000" w:sz="4" w:space="0"/>
              <w:left w:val="single" w:color="000000" w:sz="4" w:space="0"/>
              <w:bottom w:val="single" w:color="000000" w:sz="4" w:space="0"/>
              <w:right w:val="single" w:color="000000" w:sz="4" w:space="0"/>
            </w:tcBorders>
            <w:vAlign w:val="center"/>
          </w:tcPr>
          <w:p w14:paraId="1A09DB41">
            <w:pPr>
              <w:spacing w:line="360" w:lineRule="auto"/>
              <w:jc w:val="center"/>
              <w:rPr>
                <w:rFonts w:hint="eastAsia" w:ascii="宋体" w:hAnsi="宋体" w:eastAsia="宋体" w:cs="仿宋_GB2312"/>
                <w:b/>
                <w:bCs/>
                <w:color w:val="auto"/>
                <w:szCs w:val="21"/>
              </w:rPr>
            </w:pPr>
            <w:r>
              <w:rPr>
                <w:rFonts w:hint="eastAsia" w:ascii="宋体" w:hAnsi="宋体" w:eastAsia="宋体" w:cs="仿宋_GB2312"/>
                <w:b/>
                <w:bCs/>
                <w:color w:val="auto"/>
                <w:szCs w:val="21"/>
              </w:rPr>
              <w:t>序号</w:t>
            </w:r>
          </w:p>
        </w:tc>
        <w:tc>
          <w:tcPr>
            <w:tcW w:w="3526" w:type="dxa"/>
            <w:tcBorders>
              <w:top w:val="single" w:color="000000" w:sz="4" w:space="0"/>
              <w:left w:val="single" w:color="000000" w:sz="4" w:space="0"/>
              <w:bottom w:val="single" w:color="000000" w:sz="4" w:space="0"/>
              <w:right w:val="single" w:color="auto" w:sz="4" w:space="0"/>
            </w:tcBorders>
            <w:vAlign w:val="center"/>
          </w:tcPr>
          <w:p w14:paraId="7C964A58">
            <w:pPr>
              <w:jc w:val="center"/>
              <w:rPr>
                <w:rFonts w:hint="eastAsia" w:ascii="宋体" w:hAnsi="宋体" w:eastAsia="宋体" w:cs="仿宋_GB2312"/>
                <w:b/>
                <w:bCs/>
                <w:color w:val="auto"/>
                <w:szCs w:val="21"/>
              </w:rPr>
            </w:pPr>
            <w:r>
              <w:rPr>
                <w:rFonts w:hint="eastAsia" w:ascii="宋体" w:hAnsi="宋体" w:eastAsia="宋体" w:cs="仿宋_GB2312"/>
                <w:b/>
                <w:bCs/>
                <w:color w:val="auto"/>
                <w:szCs w:val="21"/>
              </w:rPr>
              <w:t>项目名称</w:t>
            </w:r>
          </w:p>
        </w:tc>
        <w:tc>
          <w:tcPr>
            <w:tcW w:w="3542" w:type="dxa"/>
            <w:tcBorders>
              <w:top w:val="single" w:color="000000" w:sz="4" w:space="0"/>
              <w:left w:val="single" w:color="auto" w:sz="4" w:space="0"/>
              <w:bottom w:val="single" w:color="000000" w:sz="4" w:space="0"/>
              <w:right w:val="single" w:color="000000" w:sz="4" w:space="0"/>
            </w:tcBorders>
            <w:vAlign w:val="center"/>
          </w:tcPr>
          <w:p w14:paraId="007EA6C2">
            <w:pPr>
              <w:jc w:val="center"/>
              <w:rPr>
                <w:rFonts w:hint="eastAsia" w:ascii="宋体" w:hAnsi="宋体" w:eastAsia="宋体" w:cs="仿宋_GB2312"/>
                <w:b/>
                <w:bCs/>
                <w:color w:val="auto"/>
                <w:szCs w:val="21"/>
              </w:rPr>
            </w:pPr>
            <w:r>
              <w:rPr>
                <w:rFonts w:hint="eastAsia" w:ascii="宋体" w:hAnsi="宋体" w:eastAsia="宋体" w:cs="仿宋_GB2312"/>
                <w:b/>
                <w:bCs/>
                <w:color w:val="auto"/>
                <w:szCs w:val="21"/>
              </w:rPr>
              <w:t>单价报价</w:t>
            </w:r>
          </w:p>
        </w:tc>
        <w:tc>
          <w:tcPr>
            <w:tcW w:w="1198" w:type="dxa"/>
            <w:tcBorders>
              <w:top w:val="single" w:color="000000" w:sz="4" w:space="0"/>
              <w:left w:val="single" w:color="000000" w:sz="4" w:space="0"/>
              <w:bottom w:val="single" w:color="000000" w:sz="4" w:space="0"/>
              <w:right w:val="single" w:color="000000" w:sz="4" w:space="0"/>
            </w:tcBorders>
            <w:vAlign w:val="center"/>
          </w:tcPr>
          <w:p w14:paraId="1AE63601">
            <w:pPr>
              <w:spacing w:line="360" w:lineRule="auto"/>
              <w:jc w:val="center"/>
              <w:rPr>
                <w:rFonts w:hint="eastAsia" w:ascii="宋体" w:hAnsi="宋体" w:eastAsia="宋体" w:cs="仿宋_GB2312"/>
                <w:b/>
                <w:bCs/>
                <w:color w:val="auto"/>
                <w:szCs w:val="21"/>
              </w:rPr>
            </w:pPr>
            <w:r>
              <w:rPr>
                <w:rFonts w:hint="eastAsia" w:ascii="宋体" w:hAnsi="宋体" w:eastAsia="宋体" w:cs="仿宋_GB2312"/>
                <w:b/>
                <w:bCs/>
                <w:color w:val="auto"/>
                <w:szCs w:val="21"/>
              </w:rPr>
              <w:t>备注</w:t>
            </w:r>
          </w:p>
        </w:tc>
      </w:tr>
      <w:tr w14:paraId="1A5485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12" w:hRule="atLeast"/>
        </w:trPr>
        <w:tc>
          <w:tcPr>
            <w:tcW w:w="1056" w:type="dxa"/>
            <w:tcBorders>
              <w:top w:val="single" w:color="000000" w:sz="4" w:space="0"/>
              <w:left w:val="single" w:color="000000" w:sz="4" w:space="0"/>
              <w:bottom w:val="single" w:color="000000" w:sz="4" w:space="0"/>
              <w:right w:val="single" w:color="000000" w:sz="4" w:space="0"/>
            </w:tcBorders>
            <w:vAlign w:val="center"/>
          </w:tcPr>
          <w:p w14:paraId="4C7B16C5">
            <w:pPr>
              <w:spacing w:line="360" w:lineRule="auto"/>
              <w:jc w:val="center"/>
              <w:rPr>
                <w:rFonts w:hint="eastAsia" w:ascii="宋体" w:hAnsi="宋体" w:eastAsia="宋体" w:cs="仿宋_GB2312"/>
                <w:color w:val="auto"/>
                <w:szCs w:val="21"/>
              </w:rPr>
            </w:pPr>
          </w:p>
        </w:tc>
        <w:tc>
          <w:tcPr>
            <w:tcW w:w="3526" w:type="dxa"/>
            <w:tcBorders>
              <w:left w:val="single" w:color="000000" w:sz="4" w:space="0"/>
              <w:bottom w:val="single" w:color="000000" w:sz="4" w:space="0"/>
              <w:right w:val="single" w:color="auto" w:sz="4" w:space="0"/>
            </w:tcBorders>
            <w:vAlign w:val="center"/>
          </w:tcPr>
          <w:p w14:paraId="535702E1">
            <w:pPr>
              <w:spacing w:line="360" w:lineRule="auto"/>
              <w:jc w:val="center"/>
              <w:rPr>
                <w:rFonts w:hint="eastAsia" w:ascii="宋体" w:hAnsi="宋体" w:eastAsia="宋体" w:cs="仿宋_GB2312"/>
                <w:color w:val="auto"/>
                <w:szCs w:val="21"/>
              </w:rPr>
            </w:pPr>
          </w:p>
        </w:tc>
        <w:tc>
          <w:tcPr>
            <w:tcW w:w="3542" w:type="dxa"/>
            <w:tcBorders>
              <w:top w:val="single" w:color="000000" w:sz="4" w:space="0"/>
              <w:left w:val="single" w:color="auto" w:sz="4" w:space="0"/>
              <w:bottom w:val="single" w:color="000000" w:sz="4" w:space="0"/>
              <w:right w:val="single" w:color="000000" w:sz="4" w:space="0"/>
            </w:tcBorders>
            <w:vAlign w:val="center"/>
          </w:tcPr>
          <w:p w14:paraId="233F09E0">
            <w:pPr>
              <w:spacing w:line="360" w:lineRule="auto"/>
              <w:jc w:val="center"/>
              <w:rPr>
                <w:rFonts w:hint="eastAsia" w:ascii="宋体" w:hAnsi="宋体" w:eastAsia="宋体" w:cs="仿宋_GB2312"/>
                <w:color w:val="auto"/>
                <w:szCs w:val="21"/>
              </w:rPr>
            </w:pPr>
          </w:p>
        </w:tc>
        <w:tc>
          <w:tcPr>
            <w:tcW w:w="1198" w:type="dxa"/>
            <w:tcBorders>
              <w:top w:val="single" w:color="000000" w:sz="4" w:space="0"/>
              <w:left w:val="single" w:color="000000" w:sz="4" w:space="0"/>
              <w:bottom w:val="single" w:color="000000" w:sz="4" w:space="0"/>
              <w:right w:val="single" w:color="000000" w:sz="4" w:space="0"/>
            </w:tcBorders>
            <w:vAlign w:val="center"/>
          </w:tcPr>
          <w:p w14:paraId="68D4D341">
            <w:pPr>
              <w:spacing w:line="360" w:lineRule="auto"/>
              <w:jc w:val="center"/>
              <w:rPr>
                <w:rFonts w:hint="eastAsia" w:ascii="宋体" w:hAnsi="宋体" w:eastAsia="宋体" w:cs="仿宋_GB2312"/>
                <w:color w:val="auto"/>
                <w:szCs w:val="21"/>
              </w:rPr>
            </w:pPr>
          </w:p>
        </w:tc>
      </w:tr>
      <w:tr w14:paraId="75768E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60" w:hRule="atLeast"/>
        </w:trPr>
        <w:tc>
          <w:tcPr>
            <w:tcW w:w="1056" w:type="dxa"/>
            <w:tcBorders>
              <w:top w:val="single" w:color="000000" w:sz="4" w:space="0"/>
              <w:left w:val="single" w:color="000000" w:sz="4" w:space="0"/>
              <w:bottom w:val="single" w:color="000000" w:sz="4" w:space="0"/>
              <w:right w:val="single" w:color="000000" w:sz="4" w:space="0"/>
            </w:tcBorders>
          </w:tcPr>
          <w:p w14:paraId="5C87A6E6">
            <w:pPr>
              <w:spacing w:line="360" w:lineRule="auto"/>
              <w:jc w:val="center"/>
              <w:rPr>
                <w:rFonts w:hint="eastAsia" w:ascii="宋体" w:hAnsi="宋体" w:eastAsia="宋体" w:cs="仿宋_GB2312"/>
                <w:color w:val="auto"/>
                <w:szCs w:val="21"/>
              </w:rPr>
            </w:pPr>
            <w:r>
              <w:rPr>
                <w:rFonts w:hint="eastAsia" w:ascii="宋体" w:hAnsi="宋体" w:eastAsia="宋体" w:cs="仿宋_GB2312"/>
                <w:color w:val="auto"/>
                <w:szCs w:val="21"/>
              </w:rPr>
              <w:t>合计</w:t>
            </w:r>
          </w:p>
        </w:tc>
        <w:tc>
          <w:tcPr>
            <w:tcW w:w="8266" w:type="dxa"/>
            <w:gridSpan w:val="3"/>
            <w:tcBorders>
              <w:top w:val="single" w:color="000000" w:sz="4" w:space="0"/>
              <w:left w:val="single" w:color="000000" w:sz="4" w:space="0"/>
              <w:bottom w:val="single" w:color="000000" w:sz="4" w:space="0"/>
              <w:right w:val="single" w:color="000000" w:sz="4" w:space="0"/>
            </w:tcBorders>
          </w:tcPr>
          <w:p w14:paraId="32D89222">
            <w:pPr>
              <w:spacing w:line="360" w:lineRule="auto"/>
              <w:rPr>
                <w:rFonts w:hint="eastAsia" w:ascii="宋体" w:hAnsi="宋体" w:eastAsia="宋体" w:cs="仿宋_GB2312"/>
                <w:color w:val="auto"/>
                <w:szCs w:val="21"/>
              </w:rPr>
            </w:pPr>
            <w:r>
              <w:rPr>
                <w:rFonts w:hint="eastAsia" w:ascii="宋体" w:hAnsi="宋体" w:eastAsia="宋体" w:cs="仿宋_GB2312"/>
                <w:color w:val="auto"/>
                <w:szCs w:val="21"/>
              </w:rPr>
              <w:t>大写</w:t>
            </w:r>
          </w:p>
        </w:tc>
      </w:tr>
    </w:tbl>
    <w:p w14:paraId="71127FDE">
      <w:pPr>
        <w:snapToGrid w:val="0"/>
        <w:spacing w:line="360" w:lineRule="auto"/>
        <w:ind w:right="-340"/>
        <w:rPr>
          <w:rFonts w:ascii="Times New Roman" w:hAnsi="Times New Roman" w:eastAsia="宋体" w:cs="Times New Roman"/>
          <w:color w:val="auto"/>
        </w:rPr>
      </w:pPr>
    </w:p>
    <w:p w14:paraId="79D3584B">
      <w:pPr>
        <w:snapToGrid w:val="0"/>
        <w:spacing w:line="360" w:lineRule="auto"/>
        <w:ind w:right="-340"/>
        <w:rPr>
          <w:rFonts w:hint="default" w:ascii="Times New Roman" w:hAnsi="Times New Roman" w:eastAsia="宋体" w:cs="Times New Roman"/>
          <w:color w:val="auto"/>
          <w:lang w:val="en-US" w:eastAsia="zh-CN"/>
        </w:rPr>
      </w:pPr>
      <w:r>
        <w:rPr>
          <w:rFonts w:hint="eastAsia" w:ascii="Times New Roman" w:hAnsi="Times New Roman" w:eastAsia="宋体" w:cs="Times New Roman"/>
          <w:color w:val="auto"/>
          <w:lang w:val="en-US" w:eastAsia="zh-CN"/>
        </w:rPr>
        <w:t>注：本项目工程量按实结算</w:t>
      </w:r>
    </w:p>
    <w:p w14:paraId="279962A9">
      <w:pPr>
        <w:snapToGrid w:val="0"/>
        <w:spacing w:line="360" w:lineRule="auto"/>
        <w:ind w:right="-340"/>
        <w:rPr>
          <w:rFonts w:hint="eastAsia" w:ascii="Times New Roman" w:hAnsi="Times New Roman" w:eastAsia="宋体" w:cs="Times New Roman"/>
          <w:color w:val="auto"/>
        </w:rPr>
      </w:pPr>
    </w:p>
    <w:p w14:paraId="254EFAA6">
      <w:pPr>
        <w:snapToGrid w:val="0"/>
        <w:spacing w:line="360" w:lineRule="auto"/>
        <w:ind w:right="-340"/>
        <w:rPr>
          <w:rFonts w:hint="eastAsia" w:ascii="Times New Roman" w:hAnsi="Times New Roman" w:eastAsia="宋体" w:cs="Times New Roman"/>
          <w:color w:val="auto"/>
        </w:rPr>
      </w:pPr>
      <w:r>
        <w:rPr>
          <w:rFonts w:hint="eastAsia" w:ascii="Times New Roman" w:hAnsi="Times New Roman" w:eastAsia="宋体" w:cs="Times New Roman"/>
          <w:color w:val="auto"/>
        </w:rPr>
        <w:t>投标人名称（盖章）：</w:t>
      </w:r>
    </w:p>
    <w:p w14:paraId="20DF05B2">
      <w:pPr>
        <w:snapToGrid w:val="0"/>
        <w:spacing w:line="360" w:lineRule="auto"/>
        <w:ind w:right="-340"/>
        <w:rPr>
          <w:rFonts w:hint="eastAsia" w:ascii="Times New Roman" w:hAnsi="Times New Roman" w:eastAsia="宋体" w:cs="Times New Roman"/>
          <w:color w:val="auto"/>
        </w:rPr>
      </w:pPr>
    </w:p>
    <w:p w14:paraId="775ACB1B">
      <w:pPr>
        <w:snapToGrid w:val="0"/>
        <w:spacing w:line="360" w:lineRule="auto"/>
        <w:ind w:right="-340"/>
        <w:rPr>
          <w:rFonts w:ascii="Times New Roman" w:hAnsi="Times New Roman" w:eastAsia="宋体" w:cs="Times New Roman"/>
          <w:color w:val="auto"/>
        </w:rPr>
      </w:pPr>
      <w:r>
        <w:rPr>
          <w:rFonts w:hint="eastAsia" w:ascii="Times New Roman" w:hAnsi="Times New Roman" w:eastAsia="宋体" w:cs="Times New Roman"/>
          <w:color w:val="auto"/>
        </w:rPr>
        <w:t>日期：年月日</w:t>
      </w:r>
    </w:p>
    <w:p w14:paraId="3A7B1443">
      <w:pPr>
        <w:snapToGrid w:val="0"/>
        <w:spacing w:before="50" w:after="50"/>
        <w:rPr>
          <w:rFonts w:ascii="Times New Roman" w:hAnsi="Times New Roman" w:eastAsia="宋体" w:cs="Times New Roman"/>
          <w:color w:val="auto"/>
          <w:spacing w:val="20"/>
          <w:u w:val="single"/>
        </w:rPr>
      </w:pPr>
    </w:p>
    <w:p w14:paraId="3AC72479">
      <w:pPr>
        <w:spacing w:after="120"/>
        <w:rPr>
          <w:rFonts w:ascii="Times New Roman" w:hAnsi="Times New Roman" w:eastAsia="宋体" w:cs="Times New Roman"/>
          <w:color w:val="auto"/>
        </w:rPr>
      </w:pPr>
    </w:p>
    <w:p w14:paraId="7E4A40CD">
      <w:pPr>
        <w:snapToGrid w:val="0"/>
        <w:spacing w:before="120" w:line="312" w:lineRule="auto"/>
        <w:ind w:right="-341"/>
        <w:jc w:val="center"/>
        <w:rPr>
          <w:rFonts w:ascii="Times New Roman" w:hAnsi="Times New Roman" w:eastAsia="宋体" w:cs="Times New Roman"/>
          <w:b/>
          <w:color w:val="auto"/>
          <w:sz w:val="32"/>
        </w:rPr>
      </w:pPr>
    </w:p>
    <w:p w14:paraId="5109622F">
      <w:pPr>
        <w:snapToGrid w:val="0"/>
        <w:spacing w:before="120" w:line="312" w:lineRule="auto"/>
        <w:ind w:right="-341"/>
        <w:jc w:val="center"/>
        <w:rPr>
          <w:rFonts w:ascii="Times New Roman" w:hAnsi="Times New Roman" w:eastAsia="宋体" w:cs="Times New Roman"/>
          <w:b/>
          <w:color w:val="auto"/>
          <w:sz w:val="32"/>
        </w:rPr>
      </w:pPr>
    </w:p>
    <w:p w14:paraId="4D922AC0">
      <w:pPr>
        <w:snapToGrid w:val="0"/>
        <w:spacing w:before="120" w:line="312" w:lineRule="auto"/>
        <w:ind w:right="-341"/>
        <w:rPr>
          <w:rFonts w:ascii="Times New Roman" w:hAnsi="Times New Roman" w:eastAsia="宋体" w:cs="Times New Roman"/>
          <w:b/>
          <w:color w:val="auto"/>
          <w:sz w:val="32"/>
        </w:rPr>
      </w:pPr>
    </w:p>
    <w:p w14:paraId="3C1865B7">
      <w:pPr>
        <w:snapToGrid w:val="0"/>
        <w:spacing w:before="120" w:line="312" w:lineRule="auto"/>
        <w:ind w:right="-341"/>
        <w:jc w:val="center"/>
        <w:rPr>
          <w:rFonts w:ascii="Times New Roman" w:hAnsi="Times New Roman" w:eastAsia="宋体" w:cs="Times New Roman"/>
          <w:b/>
          <w:color w:val="auto"/>
          <w:sz w:val="32"/>
        </w:rPr>
      </w:pPr>
    </w:p>
    <w:p w14:paraId="76784EFA">
      <w:pPr>
        <w:snapToGrid w:val="0"/>
        <w:spacing w:before="120" w:line="312" w:lineRule="auto"/>
        <w:ind w:right="-341"/>
        <w:jc w:val="center"/>
        <w:rPr>
          <w:rFonts w:ascii="Times New Roman" w:hAnsi="Times New Roman" w:eastAsia="宋体" w:cs="Times New Roman"/>
          <w:b/>
          <w:color w:val="auto"/>
          <w:sz w:val="32"/>
        </w:rPr>
      </w:pPr>
    </w:p>
    <w:p w14:paraId="582980FA">
      <w:pPr>
        <w:snapToGrid w:val="0"/>
        <w:spacing w:before="120" w:line="312" w:lineRule="auto"/>
        <w:ind w:right="-341"/>
        <w:jc w:val="center"/>
        <w:rPr>
          <w:rFonts w:ascii="Times New Roman" w:hAnsi="Times New Roman" w:eastAsia="宋体" w:cs="Times New Roman"/>
          <w:b/>
          <w:color w:val="auto"/>
          <w:sz w:val="32"/>
        </w:rPr>
      </w:pPr>
    </w:p>
    <w:p w14:paraId="0D23ED97">
      <w:pPr>
        <w:snapToGrid w:val="0"/>
        <w:spacing w:before="120" w:line="312" w:lineRule="auto"/>
        <w:ind w:right="-341"/>
        <w:jc w:val="center"/>
        <w:rPr>
          <w:rFonts w:ascii="Times New Roman" w:hAnsi="Times New Roman" w:eastAsia="宋体" w:cs="Times New Roman"/>
          <w:b/>
          <w:color w:val="auto"/>
          <w:sz w:val="32"/>
        </w:rPr>
      </w:pPr>
    </w:p>
    <w:p w14:paraId="7F60A219">
      <w:pPr>
        <w:pStyle w:val="18"/>
        <w:rPr>
          <w:color w:val="auto"/>
        </w:rPr>
      </w:pPr>
    </w:p>
    <w:p w14:paraId="0260649C">
      <w:pPr>
        <w:pStyle w:val="17"/>
        <w:rPr>
          <w:color w:val="auto"/>
        </w:rPr>
      </w:pPr>
    </w:p>
    <w:p w14:paraId="06BEC53F">
      <w:pPr>
        <w:snapToGrid w:val="0"/>
        <w:spacing w:before="120" w:line="312" w:lineRule="auto"/>
        <w:ind w:right="-341"/>
        <w:jc w:val="center"/>
        <w:rPr>
          <w:rFonts w:ascii="Times New Roman" w:hAnsi="Times New Roman" w:eastAsia="宋体" w:cs="Times New Roman"/>
          <w:b/>
          <w:color w:val="auto"/>
          <w:sz w:val="32"/>
        </w:rPr>
      </w:pPr>
      <w:r>
        <w:rPr>
          <w:rFonts w:hint="eastAsia" w:ascii="Times New Roman" w:hAnsi="Times New Roman" w:eastAsia="宋体" w:cs="Times New Roman"/>
          <w:b/>
          <w:color w:val="auto"/>
          <w:sz w:val="32"/>
        </w:rPr>
        <w:t>三、投标报价明细表</w:t>
      </w:r>
    </w:p>
    <w:p w14:paraId="0DB15183">
      <w:pPr>
        <w:snapToGrid w:val="0"/>
        <w:rPr>
          <w:rFonts w:ascii="Times New Roman" w:hAnsi="Times New Roman" w:eastAsia="宋体" w:cs="Times New Roman"/>
          <w:b/>
          <w:color w:val="auto"/>
          <w:sz w:val="28"/>
        </w:rPr>
      </w:pPr>
    </w:p>
    <w:p w14:paraId="30070FB0">
      <w:pPr>
        <w:snapToGrid w:val="0"/>
        <w:rPr>
          <w:rFonts w:ascii="Times New Roman" w:hAnsi="Times New Roman" w:eastAsia="宋体" w:cs="Times New Roman"/>
          <w:color w:val="auto"/>
          <w:szCs w:val="21"/>
        </w:rPr>
      </w:pPr>
      <w:r>
        <w:rPr>
          <w:rFonts w:hint="eastAsia" w:ascii="Times New Roman" w:hAnsi="Times New Roman" w:eastAsia="宋体" w:cs="Times New Roman"/>
          <w:color w:val="auto"/>
          <w:szCs w:val="21"/>
        </w:rPr>
        <w:t>项目名称：                                           金额单位：人民币（元）</w:t>
      </w:r>
    </w:p>
    <w:p w14:paraId="7152C528">
      <w:pPr>
        <w:snapToGrid w:val="0"/>
        <w:spacing w:before="120" w:beforeLines="50" w:after="120"/>
        <w:rPr>
          <w:rFonts w:ascii="Times New Roman" w:hAnsi="Times New Roman" w:eastAsia="宋体" w:cs="Times New Roman"/>
          <w:color w:val="auto"/>
          <w:szCs w:val="21"/>
        </w:rPr>
      </w:pPr>
      <w:r>
        <w:rPr>
          <w:rFonts w:hint="eastAsia" w:ascii="Times New Roman" w:hAnsi="Times New Roman" w:eastAsia="宋体" w:cs="Times New Roman"/>
          <w:color w:val="auto"/>
          <w:szCs w:val="21"/>
        </w:rPr>
        <w:t>项目编号：</w:t>
      </w:r>
    </w:p>
    <w:tbl>
      <w:tblPr>
        <w:tblStyle w:val="62"/>
        <w:tblW w:w="9540" w:type="dxa"/>
        <w:tblInd w:w="-25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88"/>
        <w:gridCol w:w="1990"/>
        <w:gridCol w:w="1080"/>
        <w:gridCol w:w="1440"/>
        <w:gridCol w:w="10"/>
        <w:gridCol w:w="1430"/>
        <w:gridCol w:w="1262"/>
        <w:gridCol w:w="1440"/>
      </w:tblGrid>
      <w:tr w14:paraId="4AAA58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88" w:type="dxa"/>
            <w:tcBorders>
              <w:top w:val="single" w:color="auto" w:sz="4" w:space="0"/>
              <w:left w:val="single" w:color="auto" w:sz="4" w:space="0"/>
              <w:bottom w:val="single" w:color="auto" w:sz="4" w:space="0"/>
              <w:right w:val="single" w:color="auto" w:sz="4" w:space="0"/>
            </w:tcBorders>
            <w:vAlign w:val="center"/>
          </w:tcPr>
          <w:p w14:paraId="10D8A744">
            <w:pPr>
              <w:tabs>
                <w:tab w:val="left" w:pos="1418"/>
              </w:tabs>
              <w:snapToGrid w:val="0"/>
              <w:spacing w:before="50" w:after="50"/>
              <w:jc w:val="center"/>
              <w:rPr>
                <w:rFonts w:ascii="Times New Roman" w:hAnsi="Times New Roman" w:eastAsia="宋体" w:cs="Times New Roman"/>
                <w:color w:val="auto"/>
                <w:spacing w:val="20"/>
              </w:rPr>
            </w:pPr>
            <w:r>
              <w:rPr>
                <w:rFonts w:hint="eastAsia" w:ascii="Times New Roman" w:hAnsi="Times New Roman" w:eastAsia="宋体" w:cs="Times New Roman"/>
                <w:color w:val="auto"/>
              </w:rPr>
              <w:t>序号</w:t>
            </w:r>
          </w:p>
        </w:tc>
        <w:tc>
          <w:tcPr>
            <w:tcW w:w="1990" w:type="dxa"/>
            <w:tcBorders>
              <w:top w:val="single" w:color="auto" w:sz="4" w:space="0"/>
              <w:left w:val="single" w:color="auto" w:sz="4" w:space="0"/>
              <w:bottom w:val="single" w:color="auto" w:sz="4" w:space="0"/>
              <w:right w:val="single" w:color="auto" w:sz="4" w:space="0"/>
            </w:tcBorders>
            <w:vAlign w:val="center"/>
          </w:tcPr>
          <w:p w14:paraId="7DDA5F87">
            <w:pPr>
              <w:tabs>
                <w:tab w:val="left" w:pos="1418"/>
              </w:tabs>
              <w:snapToGrid w:val="0"/>
              <w:spacing w:before="50" w:after="50"/>
              <w:jc w:val="center"/>
              <w:rPr>
                <w:rFonts w:ascii="Times New Roman" w:hAnsi="Times New Roman" w:eastAsia="宋体" w:cs="Times New Roman"/>
                <w:color w:val="auto"/>
                <w:spacing w:val="20"/>
              </w:rPr>
            </w:pPr>
            <w:r>
              <w:rPr>
                <w:rFonts w:hint="eastAsia" w:ascii="Times New Roman" w:hAnsi="Times New Roman" w:eastAsia="宋体" w:cs="Times New Roman"/>
                <w:color w:val="auto"/>
              </w:rPr>
              <w:t>名称</w:t>
            </w:r>
          </w:p>
        </w:tc>
        <w:tc>
          <w:tcPr>
            <w:tcW w:w="1080" w:type="dxa"/>
            <w:tcBorders>
              <w:top w:val="single" w:color="auto" w:sz="4" w:space="0"/>
              <w:left w:val="single" w:color="auto" w:sz="4" w:space="0"/>
              <w:bottom w:val="single" w:color="auto" w:sz="4" w:space="0"/>
              <w:right w:val="single" w:color="auto" w:sz="4" w:space="0"/>
            </w:tcBorders>
            <w:vAlign w:val="center"/>
          </w:tcPr>
          <w:p w14:paraId="6B4E8D30">
            <w:pPr>
              <w:tabs>
                <w:tab w:val="left" w:pos="1418"/>
              </w:tabs>
              <w:snapToGrid w:val="0"/>
              <w:spacing w:before="50" w:after="50"/>
              <w:jc w:val="center"/>
              <w:rPr>
                <w:rFonts w:ascii="Times New Roman" w:hAnsi="Times New Roman" w:eastAsia="宋体" w:cs="Times New Roman"/>
                <w:color w:val="auto"/>
                <w:spacing w:val="-20"/>
                <w:kern w:val="0"/>
              </w:rPr>
            </w:pPr>
          </w:p>
        </w:tc>
        <w:tc>
          <w:tcPr>
            <w:tcW w:w="1440" w:type="dxa"/>
            <w:tcBorders>
              <w:top w:val="single" w:color="auto" w:sz="4" w:space="0"/>
              <w:left w:val="single" w:color="auto" w:sz="4" w:space="0"/>
              <w:bottom w:val="single" w:color="auto" w:sz="4" w:space="0"/>
              <w:right w:val="single" w:color="auto" w:sz="4" w:space="0"/>
            </w:tcBorders>
            <w:vAlign w:val="center"/>
          </w:tcPr>
          <w:p w14:paraId="4E18A00E">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vAlign w:val="center"/>
          </w:tcPr>
          <w:p w14:paraId="7496F4DB">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vAlign w:val="center"/>
          </w:tcPr>
          <w:p w14:paraId="1602F5D5">
            <w:pPr>
              <w:tabs>
                <w:tab w:val="left" w:pos="1418"/>
              </w:tabs>
              <w:snapToGrid w:val="0"/>
              <w:spacing w:before="50" w:after="50"/>
              <w:jc w:val="center"/>
              <w:rPr>
                <w:rFonts w:ascii="Times New Roman" w:hAnsi="Times New Roman" w:eastAsia="宋体" w:cs="Times New Roman"/>
                <w:color w:val="auto"/>
                <w:spacing w:val="20"/>
              </w:rPr>
            </w:pPr>
            <w:r>
              <w:rPr>
                <w:rFonts w:hint="eastAsia" w:ascii="Times New Roman" w:hAnsi="Times New Roman" w:eastAsia="宋体" w:cs="Times New Roman"/>
                <w:color w:val="auto"/>
              </w:rPr>
              <w:t>单价</w:t>
            </w:r>
          </w:p>
        </w:tc>
        <w:tc>
          <w:tcPr>
            <w:tcW w:w="1440" w:type="dxa"/>
            <w:tcBorders>
              <w:top w:val="single" w:color="auto" w:sz="4" w:space="0"/>
              <w:left w:val="single" w:color="auto" w:sz="4" w:space="0"/>
              <w:bottom w:val="single" w:color="auto" w:sz="4" w:space="0"/>
              <w:right w:val="single" w:color="auto" w:sz="4" w:space="0"/>
            </w:tcBorders>
            <w:vAlign w:val="center"/>
          </w:tcPr>
          <w:p w14:paraId="32DD185A">
            <w:pPr>
              <w:tabs>
                <w:tab w:val="left" w:pos="1418"/>
              </w:tabs>
              <w:snapToGrid w:val="0"/>
              <w:spacing w:before="50" w:after="50"/>
              <w:jc w:val="center"/>
              <w:rPr>
                <w:rFonts w:ascii="Times New Roman" w:hAnsi="Times New Roman" w:eastAsia="宋体" w:cs="Times New Roman"/>
                <w:color w:val="auto"/>
                <w:spacing w:val="20"/>
              </w:rPr>
            </w:pPr>
            <w:r>
              <w:rPr>
                <w:rFonts w:hint="eastAsia" w:ascii="Times New Roman" w:hAnsi="Times New Roman" w:eastAsia="宋体" w:cs="Times New Roman"/>
                <w:color w:val="auto"/>
              </w:rPr>
              <w:t>合价</w:t>
            </w:r>
          </w:p>
        </w:tc>
      </w:tr>
      <w:tr w14:paraId="275107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88" w:type="dxa"/>
            <w:tcBorders>
              <w:top w:val="single" w:color="auto" w:sz="4" w:space="0"/>
              <w:left w:val="single" w:color="auto" w:sz="4" w:space="0"/>
              <w:bottom w:val="single" w:color="auto" w:sz="4" w:space="0"/>
              <w:right w:val="single" w:color="auto" w:sz="4" w:space="0"/>
            </w:tcBorders>
          </w:tcPr>
          <w:p w14:paraId="457E06B9">
            <w:pPr>
              <w:tabs>
                <w:tab w:val="left" w:pos="1418"/>
              </w:tabs>
              <w:snapToGrid w:val="0"/>
              <w:spacing w:before="50" w:after="50"/>
              <w:jc w:val="center"/>
              <w:rPr>
                <w:rFonts w:ascii="Times New Roman" w:hAnsi="Times New Roman" w:eastAsia="宋体" w:cs="Times New Roman"/>
                <w:color w:val="auto"/>
                <w:spacing w:val="20"/>
              </w:rPr>
            </w:pPr>
          </w:p>
        </w:tc>
        <w:tc>
          <w:tcPr>
            <w:tcW w:w="1990" w:type="dxa"/>
            <w:tcBorders>
              <w:top w:val="single" w:color="auto" w:sz="4" w:space="0"/>
              <w:left w:val="single" w:color="auto" w:sz="4" w:space="0"/>
              <w:bottom w:val="single" w:color="auto" w:sz="4" w:space="0"/>
              <w:right w:val="single" w:color="auto" w:sz="4" w:space="0"/>
            </w:tcBorders>
          </w:tcPr>
          <w:p w14:paraId="0776628A">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70939EEB">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01426B94">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4D4ECB56">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582A1D88">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0627774C">
            <w:pPr>
              <w:tabs>
                <w:tab w:val="left" w:pos="1418"/>
              </w:tabs>
              <w:snapToGrid w:val="0"/>
              <w:spacing w:before="50" w:after="50"/>
              <w:jc w:val="center"/>
              <w:rPr>
                <w:rFonts w:ascii="Times New Roman" w:hAnsi="Times New Roman" w:eastAsia="宋体" w:cs="Times New Roman"/>
                <w:color w:val="auto"/>
                <w:spacing w:val="20"/>
              </w:rPr>
            </w:pPr>
          </w:p>
        </w:tc>
      </w:tr>
      <w:tr w14:paraId="3B0D34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88" w:type="dxa"/>
            <w:tcBorders>
              <w:top w:val="single" w:color="auto" w:sz="4" w:space="0"/>
              <w:left w:val="single" w:color="auto" w:sz="4" w:space="0"/>
              <w:bottom w:val="single" w:color="auto" w:sz="4" w:space="0"/>
              <w:right w:val="single" w:color="auto" w:sz="4" w:space="0"/>
            </w:tcBorders>
          </w:tcPr>
          <w:p w14:paraId="7AC22E8B">
            <w:pPr>
              <w:tabs>
                <w:tab w:val="left" w:pos="1418"/>
              </w:tabs>
              <w:snapToGrid w:val="0"/>
              <w:spacing w:before="50" w:after="50"/>
              <w:jc w:val="center"/>
              <w:rPr>
                <w:rFonts w:ascii="Times New Roman" w:hAnsi="Times New Roman" w:eastAsia="宋体" w:cs="Times New Roman"/>
                <w:color w:val="auto"/>
                <w:spacing w:val="20"/>
              </w:rPr>
            </w:pPr>
          </w:p>
        </w:tc>
        <w:tc>
          <w:tcPr>
            <w:tcW w:w="1990" w:type="dxa"/>
            <w:tcBorders>
              <w:top w:val="single" w:color="auto" w:sz="4" w:space="0"/>
              <w:left w:val="single" w:color="auto" w:sz="4" w:space="0"/>
              <w:bottom w:val="single" w:color="auto" w:sz="4" w:space="0"/>
              <w:right w:val="single" w:color="auto" w:sz="4" w:space="0"/>
            </w:tcBorders>
          </w:tcPr>
          <w:p w14:paraId="2BE3C992">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6825DCEC">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23A21E4A">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32A8A55B">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7C7B6DE1">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00B2D5AD">
            <w:pPr>
              <w:tabs>
                <w:tab w:val="left" w:pos="1418"/>
              </w:tabs>
              <w:snapToGrid w:val="0"/>
              <w:spacing w:before="50" w:after="50"/>
              <w:jc w:val="center"/>
              <w:rPr>
                <w:rFonts w:ascii="Times New Roman" w:hAnsi="Times New Roman" w:eastAsia="宋体" w:cs="Times New Roman"/>
                <w:color w:val="auto"/>
                <w:spacing w:val="20"/>
              </w:rPr>
            </w:pPr>
          </w:p>
        </w:tc>
      </w:tr>
      <w:tr w14:paraId="33A5DD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88" w:type="dxa"/>
            <w:tcBorders>
              <w:top w:val="single" w:color="auto" w:sz="4" w:space="0"/>
              <w:left w:val="single" w:color="auto" w:sz="4" w:space="0"/>
              <w:bottom w:val="single" w:color="auto" w:sz="4" w:space="0"/>
              <w:right w:val="single" w:color="auto" w:sz="4" w:space="0"/>
            </w:tcBorders>
          </w:tcPr>
          <w:p w14:paraId="1D9A2F92">
            <w:pPr>
              <w:tabs>
                <w:tab w:val="left" w:pos="1418"/>
              </w:tabs>
              <w:snapToGrid w:val="0"/>
              <w:spacing w:before="50" w:after="50"/>
              <w:jc w:val="center"/>
              <w:rPr>
                <w:rFonts w:ascii="Times New Roman" w:hAnsi="Times New Roman" w:eastAsia="宋体" w:cs="Times New Roman"/>
                <w:color w:val="auto"/>
                <w:spacing w:val="20"/>
              </w:rPr>
            </w:pPr>
          </w:p>
        </w:tc>
        <w:tc>
          <w:tcPr>
            <w:tcW w:w="1990" w:type="dxa"/>
            <w:tcBorders>
              <w:top w:val="single" w:color="auto" w:sz="4" w:space="0"/>
              <w:left w:val="single" w:color="auto" w:sz="4" w:space="0"/>
              <w:bottom w:val="single" w:color="auto" w:sz="4" w:space="0"/>
              <w:right w:val="single" w:color="auto" w:sz="4" w:space="0"/>
            </w:tcBorders>
          </w:tcPr>
          <w:p w14:paraId="410BB650">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59B7EF0B">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5C76A627">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7AA20250">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6923E9D9">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36CA772B">
            <w:pPr>
              <w:tabs>
                <w:tab w:val="left" w:pos="1418"/>
              </w:tabs>
              <w:snapToGrid w:val="0"/>
              <w:spacing w:before="50" w:after="50"/>
              <w:jc w:val="center"/>
              <w:rPr>
                <w:rFonts w:ascii="Times New Roman" w:hAnsi="Times New Roman" w:eastAsia="宋体" w:cs="Times New Roman"/>
                <w:color w:val="auto"/>
                <w:spacing w:val="20"/>
              </w:rPr>
            </w:pPr>
          </w:p>
        </w:tc>
      </w:tr>
      <w:tr w14:paraId="76BAEC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88" w:type="dxa"/>
            <w:tcBorders>
              <w:top w:val="single" w:color="auto" w:sz="4" w:space="0"/>
              <w:left w:val="single" w:color="auto" w:sz="4" w:space="0"/>
              <w:bottom w:val="single" w:color="auto" w:sz="4" w:space="0"/>
              <w:right w:val="single" w:color="auto" w:sz="4" w:space="0"/>
            </w:tcBorders>
          </w:tcPr>
          <w:p w14:paraId="43131D77">
            <w:pPr>
              <w:tabs>
                <w:tab w:val="left" w:pos="1418"/>
              </w:tabs>
              <w:snapToGrid w:val="0"/>
              <w:spacing w:before="50" w:after="50"/>
              <w:jc w:val="center"/>
              <w:rPr>
                <w:rFonts w:ascii="Times New Roman" w:hAnsi="Times New Roman" w:eastAsia="宋体" w:cs="Times New Roman"/>
                <w:color w:val="auto"/>
                <w:spacing w:val="20"/>
              </w:rPr>
            </w:pPr>
          </w:p>
        </w:tc>
        <w:tc>
          <w:tcPr>
            <w:tcW w:w="1990" w:type="dxa"/>
            <w:tcBorders>
              <w:top w:val="single" w:color="auto" w:sz="4" w:space="0"/>
              <w:left w:val="single" w:color="auto" w:sz="4" w:space="0"/>
              <w:bottom w:val="single" w:color="auto" w:sz="4" w:space="0"/>
              <w:right w:val="single" w:color="auto" w:sz="4" w:space="0"/>
            </w:tcBorders>
          </w:tcPr>
          <w:p w14:paraId="03D02109">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1B4FF339">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7950168A">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51C0E2D8">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523053DC">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2FD930C6">
            <w:pPr>
              <w:tabs>
                <w:tab w:val="left" w:pos="1418"/>
              </w:tabs>
              <w:snapToGrid w:val="0"/>
              <w:spacing w:before="50" w:after="50"/>
              <w:jc w:val="center"/>
              <w:rPr>
                <w:rFonts w:ascii="Times New Roman" w:hAnsi="Times New Roman" w:eastAsia="宋体" w:cs="Times New Roman"/>
                <w:color w:val="auto"/>
                <w:spacing w:val="20"/>
              </w:rPr>
            </w:pPr>
          </w:p>
        </w:tc>
      </w:tr>
      <w:tr w14:paraId="7E208A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88" w:type="dxa"/>
            <w:tcBorders>
              <w:top w:val="single" w:color="auto" w:sz="4" w:space="0"/>
              <w:left w:val="single" w:color="auto" w:sz="4" w:space="0"/>
              <w:bottom w:val="single" w:color="auto" w:sz="4" w:space="0"/>
              <w:right w:val="single" w:color="auto" w:sz="4" w:space="0"/>
            </w:tcBorders>
          </w:tcPr>
          <w:p w14:paraId="0E262EB3">
            <w:pPr>
              <w:tabs>
                <w:tab w:val="left" w:pos="1418"/>
              </w:tabs>
              <w:snapToGrid w:val="0"/>
              <w:spacing w:before="50" w:after="50"/>
              <w:jc w:val="center"/>
              <w:rPr>
                <w:rFonts w:ascii="Times New Roman" w:hAnsi="Times New Roman" w:eastAsia="宋体" w:cs="Times New Roman"/>
                <w:color w:val="auto"/>
                <w:spacing w:val="20"/>
              </w:rPr>
            </w:pPr>
          </w:p>
        </w:tc>
        <w:tc>
          <w:tcPr>
            <w:tcW w:w="1990" w:type="dxa"/>
            <w:tcBorders>
              <w:top w:val="single" w:color="auto" w:sz="4" w:space="0"/>
              <w:left w:val="single" w:color="auto" w:sz="4" w:space="0"/>
              <w:bottom w:val="single" w:color="auto" w:sz="4" w:space="0"/>
              <w:right w:val="single" w:color="auto" w:sz="4" w:space="0"/>
            </w:tcBorders>
          </w:tcPr>
          <w:p w14:paraId="64007B38">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7CB3B43F">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68ECA8A5">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587A936F">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12568BC0">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091FC388">
            <w:pPr>
              <w:tabs>
                <w:tab w:val="left" w:pos="1418"/>
              </w:tabs>
              <w:snapToGrid w:val="0"/>
              <w:spacing w:before="50" w:after="50"/>
              <w:jc w:val="center"/>
              <w:rPr>
                <w:rFonts w:ascii="Times New Roman" w:hAnsi="Times New Roman" w:eastAsia="宋体" w:cs="Times New Roman"/>
                <w:color w:val="auto"/>
                <w:spacing w:val="20"/>
              </w:rPr>
            </w:pPr>
          </w:p>
        </w:tc>
      </w:tr>
      <w:tr w14:paraId="414D06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88" w:type="dxa"/>
            <w:tcBorders>
              <w:top w:val="single" w:color="auto" w:sz="4" w:space="0"/>
              <w:left w:val="single" w:color="auto" w:sz="4" w:space="0"/>
              <w:bottom w:val="single" w:color="auto" w:sz="4" w:space="0"/>
              <w:right w:val="single" w:color="auto" w:sz="4" w:space="0"/>
            </w:tcBorders>
          </w:tcPr>
          <w:p w14:paraId="687B8F4F">
            <w:pPr>
              <w:tabs>
                <w:tab w:val="left" w:pos="1418"/>
              </w:tabs>
              <w:snapToGrid w:val="0"/>
              <w:spacing w:before="50" w:after="50"/>
              <w:jc w:val="center"/>
              <w:rPr>
                <w:rFonts w:ascii="Times New Roman" w:hAnsi="Times New Roman" w:eastAsia="宋体" w:cs="Times New Roman"/>
                <w:color w:val="auto"/>
                <w:spacing w:val="20"/>
              </w:rPr>
            </w:pPr>
          </w:p>
        </w:tc>
        <w:tc>
          <w:tcPr>
            <w:tcW w:w="1990" w:type="dxa"/>
            <w:tcBorders>
              <w:top w:val="single" w:color="auto" w:sz="4" w:space="0"/>
              <w:left w:val="single" w:color="auto" w:sz="4" w:space="0"/>
              <w:bottom w:val="single" w:color="auto" w:sz="4" w:space="0"/>
              <w:right w:val="single" w:color="auto" w:sz="4" w:space="0"/>
            </w:tcBorders>
          </w:tcPr>
          <w:p w14:paraId="6A09636C">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3FA80DB1">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706162A9">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06431A3A">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5223015A">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3234C457">
            <w:pPr>
              <w:tabs>
                <w:tab w:val="left" w:pos="1418"/>
              </w:tabs>
              <w:snapToGrid w:val="0"/>
              <w:spacing w:before="50" w:after="50"/>
              <w:jc w:val="center"/>
              <w:rPr>
                <w:rFonts w:ascii="Times New Roman" w:hAnsi="Times New Roman" w:eastAsia="宋体" w:cs="Times New Roman"/>
                <w:color w:val="auto"/>
                <w:spacing w:val="20"/>
              </w:rPr>
            </w:pPr>
          </w:p>
        </w:tc>
      </w:tr>
      <w:tr w14:paraId="361813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88" w:type="dxa"/>
            <w:tcBorders>
              <w:top w:val="single" w:color="auto" w:sz="4" w:space="0"/>
              <w:left w:val="single" w:color="auto" w:sz="4" w:space="0"/>
              <w:bottom w:val="single" w:color="auto" w:sz="4" w:space="0"/>
              <w:right w:val="single" w:color="auto" w:sz="4" w:space="0"/>
            </w:tcBorders>
          </w:tcPr>
          <w:p w14:paraId="68A0BAC1">
            <w:pPr>
              <w:tabs>
                <w:tab w:val="left" w:pos="1418"/>
              </w:tabs>
              <w:snapToGrid w:val="0"/>
              <w:spacing w:before="50" w:after="50"/>
              <w:jc w:val="center"/>
              <w:rPr>
                <w:rFonts w:ascii="Times New Roman" w:hAnsi="Times New Roman" w:eastAsia="宋体" w:cs="Times New Roman"/>
                <w:color w:val="auto"/>
                <w:spacing w:val="20"/>
              </w:rPr>
            </w:pPr>
          </w:p>
        </w:tc>
        <w:tc>
          <w:tcPr>
            <w:tcW w:w="1990" w:type="dxa"/>
            <w:tcBorders>
              <w:top w:val="single" w:color="auto" w:sz="4" w:space="0"/>
              <w:left w:val="single" w:color="auto" w:sz="4" w:space="0"/>
              <w:bottom w:val="single" w:color="auto" w:sz="4" w:space="0"/>
              <w:right w:val="single" w:color="auto" w:sz="4" w:space="0"/>
            </w:tcBorders>
          </w:tcPr>
          <w:p w14:paraId="2AF6B68E">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48BD5F51">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38B1A38C">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318F4484">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5AF8C601">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14612AEA">
            <w:pPr>
              <w:tabs>
                <w:tab w:val="left" w:pos="1418"/>
              </w:tabs>
              <w:snapToGrid w:val="0"/>
              <w:spacing w:before="50" w:after="50"/>
              <w:jc w:val="center"/>
              <w:rPr>
                <w:rFonts w:ascii="Times New Roman" w:hAnsi="Times New Roman" w:eastAsia="宋体" w:cs="Times New Roman"/>
                <w:color w:val="auto"/>
                <w:spacing w:val="20"/>
              </w:rPr>
            </w:pPr>
          </w:p>
        </w:tc>
      </w:tr>
      <w:tr w14:paraId="5B3D85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9" w:hRule="atLeast"/>
        </w:trPr>
        <w:tc>
          <w:tcPr>
            <w:tcW w:w="888" w:type="dxa"/>
            <w:tcBorders>
              <w:top w:val="single" w:color="auto" w:sz="4" w:space="0"/>
              <w:left w:val="single" w:color="auto" w:sz="4" w:space="0"/>
              <w:bottom w:val="single" w:color="auto" w:sz="4" w:space="0"/>
              <w:right w:val="single" w:color="auto" w:sz="4" w:space="0"/>
            </w:tcBorders>
          </w:tcPr>
          <w:p w14:paraId="6707A432">
            <w:pPr>
              <w:tabs>
                <w:tab w:val="left" w:pos="1418"/>
              </w:tabs>
              <w:snapToGrid w:val="0"/>
              <w:spacing w:before="50" w:after="50"/>
              <w:jc w:val="center"/>
              <w:rPr>
                <w:rFonts w:ascii="Times New Roman" w:hAnsi="Times New Roman" w:eastAsia="宋体" w:cs="Times New Roman"/>
                <w:color w:val="auto"/>
                <w:spacing w:val="20"/>
              </w:rPr>
            </w:pPr>
          </w:p>
        </w:tc>
        <w:tc>
          <w:tcPr>
            <w:tcW w:w="1990" w:type="dxa"/>
            <w:tcBorders>
              <w:top w:val="single" w:color="auto" w:sz="4" w:space="0"/>
              <w:left w:val="single" w:color="auto" w:sz="4" w:space="0"/>
              <w:bottom w:val="single" w:color="auto" w:sz="4" w:space="0"/>
              <w:right w:val="single" w:color="auto" w:sz="4" w:space="0"/>
            </w:tcBorders>
          </w:tcPr>
          <w:p w14:paraId="5C4E3F4D">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7B01F604">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320B18CC">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7F485234">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60B373C1">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075F2293">
            <w:pPr>
              <w:tabs>
                <w:tab w:val="left" w:pos="1418"/>
              </w:tabs>
              <w:snapToGrid w:val="0"/>
              <w:spacing w:before="50" w:after="50"/>
              <w:jc w:val="center"/>
              <w:rPr>
                <w:rFonts w:ascii="Times New Roman" w:hAnsi="Times New Roman" w:eastAsia="宋体" w:cs="Times New Roman"/>
                <w:color w:val="auto"/>
                <w:spacing w:val="20"/>
              </w:rPr>
            </w:pPr>
          </w:p>
        </w:tc>
      </w:tr>
      <w:tr w14:paraId="518D3D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51" w:hRule="atLeast"/>
        </w:trPr>
        <w:tc>
          <w:tcPr>
            <w:tcW w:w="888" w:type="dxa"/>
            <w:tcBorders>
              <w:top w:val="single" w:color="auto" w:sz="4" w:space="0"/>
              <w:left w:val="single" w:color="auto" w:sz="4" w:space="0"/>
              <w:bottom w:val="single" w:color="auto" w:sz="4" w:space="0"/>
              <w:right w:val="single" w:color="auto" w:sz="4" w:space="0"/>
            </w:tcBorders>
          </w:tcPr>
          <w:p w14:paraId="2D71B4E7">
            <w:pPr>
              <w:tabs>
                <w:tab w:val="left" w:pos="1418"/>
              </w:tabs>
              <w:snapToGrid w:val="0"/>
              <w:spacing w:before="50" w:after="50"/>
              <w:jc w:val="center"/>
              <w:rPr>
                <w:rFonts w:ascii="Times New Roman" w:hAnsi="Times New Roman" w:eastAsia="宋体" w:cs="Times New Roman"/>
                <w:color w:val="auto"/>
                <w:spacing w:val="20"/>
              </w:rPr>
            </w:pPr>
          </w:p>
        </w:tc>
        <w:tc>
          <w:tcPr>
            <w:tcW w:w="1990" w:type="dxa"/>
            <w:tcBorders>
              <w:top w:val="single" w:color="auto" w:sz="4" w:space="0"/>
              <w:left w:val="single" w:color="auto" w:sz="4" w:space="0"/>
              <w:bottom w:val="single" w:color="auto" w:sz="4" w:space="0"/>
              <w:right w:val="single" w:color="auto" w:sz="4" w:space="0"/>
            </w:tcBorders>
          </w:tcPr>
          <w:p w14:paraId="28A3CDF0">
            <w:pPr>
              <w:tabs>
                <w:tab w:val="left" w:pos="1418"/>
              </w:tabs>
              <w:snapToGrid w:val="0"/>
              <w:spacing w:before="50" w:after="50"/>
              <w:jc w:val="center"/>
              <w:rPr>
                <w:rFonts w:ascii="Times New Roman" w:hAnsi="Times New Roman" w:eastAsia="宋体" w:cs="Times New Roman"/>
                <w:color w:val="auto"/>
                <w:spacing w:val="20"/>
              </w:rPr>
            </w:pPr>
            <w:r>
              <w:rPr>
                <w:rFonts w:ascii="Times New Roman" w:hAnsi="Times New Roman" w:eastAsia="宋体" w:cs="Times New Roman"/>
                <w:color w:val="auto"/>
                <w:spacing w:val="20"/>
              </w:rPr>
              <w:t>……</w:t>
            </w:r>
          </w:p>
        </w:tc>
        <w:tc>
          <w:tcPr>
            <w:tcW w:w="1080" w:type="dxa"/>
            <w:tcBorders>
              <w:top w:val="single" w:color="auto" w:sz="4" w:space="0"/>
              <w:left w:val="single" w:color="auto" w:sz="4" w:space="0"/>
              <w:bottom w:val="single" w:color="auto" w:sz="4" w:space="0"/>
              <w:right w:val="single" w:color="auto" w:sz="4" w:space="0"/>
            </w:tcBorders>
          </w:tcPr>
          <w:p w14:paraId="4823ADE0">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10A514ED">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7ECBD4EF">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287A67F5">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4C488F42">
            <w:pPr>
              <w:tabs>
                <w:tab w:val="left" w:pos="1418"/>
              </w:tabs>
              <w:snapToGrid w:val="0"/>
              <w:spacing w:before="50" w:after="50"/>
              <w:jc w:val="center"/>
              <w:rPr>
                <w:rFonts w:ascii="Times New Roman" w:hAnsi="Times New Roman" w:eastAsia="宋体" w:cs="Times New Roman"/>
                <w:color w:val="auto"/>
                <w:spacing w:val="20"/>
              </w:rPr>
            </w:pPr>
          </w:p>
        </w:tc>
      </w:tr>
      <w:tr w14:paraId="1D06F4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5" w:hRule="atLeast"/>
        </w:trPr>
        <w:tc>
          <w:tcPr>
            <w:tcW w:w="888" w:type="dxa"/>
            <w:tcBorders>
              <w:top w:val="single" w:color="auto" w:sz="4" w:space="0"/>
              <w:left w:val="single" w:color="auto" w:sz="4" w:space="0"/>
              <w:bottom w:val="single" w:color="auto" w:sz="4" w:space="0"/>
              <w:right w:val="single" w:color="auto" w:sz="4" w:space="0"/>
            </w:tcBorders>
          </w:tcPr>
          <w:p w14:paraId="09ABD3E3">
            <w:pPr>
              <w:tabs>
                <w:tab w:val="left" w:pos="1418"/>
              </w:tabs>
              <w:snapToGrid w:val="0"/>
              <w:spacing w:before="50" w:after="50"/>
              <w:jc w:val="center"/>
              <w:rPr>
                <w:rFonts w:ascii="Times New Roman" w:hAnsi="Times New Roman" w:eastAsia="宋体" w:cs="Times New Roman"/>
                <w:color w:val="auto"/>
                <w:spacing w:val="20"/>
              </w:rPr>
            </w:pPr>
          </w:p>
        </w:tc>
        <w:tc>
          <w:tcPr>
            <w:tcW w:w="1990" w:type="dxa"/>
            <w:tcBorders>
              <w:top w:val="single" w:color="auto" w:sz="4" w:space="0"/>
              <w:left w:val="single" w:color="auto" w:sz="4" w:space="0"/>
              <w:bottom w:val="single" w:color="auto" w:sz="4" w:space="0"/>
              <w:right w:val="single" w:color="auto" w:sz="4" w:space="0"/>
            </w:tcBorders>
          </w:tcPr>
          <w:p w14:paraId="788BE596">
            <w:pPr>
              <w:tabs>
                <w:tab w:val="left" w:pos="1418"/>
              </w:tabs>
              <w:snapToGrid w:val="0"/>
              <w:spacing w:before="50" w:after="50"/>
              <w:jc w:val="center"/>
              <w:rPr>
                <w:rFonts w:ascii="Times New Roman" w:hAnsi="Times New Roman" w:eastAsia="宋体" w:cs="Times New Roman"/>
                <w:color w:val="auto"/>
                <w:spacing w:val="20"/>
              </w:rPr>
            </w:pPr>
          </w:p>
        </w:tc>
        <w:tc>
          <w:tcPr>
            <w:tcW w:w="1080" w:type="dxa"/>
            <w:tcBorders>
              <w:top w:val="single" w:color="auto" w:sz="4" w:space="0"/>
              <w:left w:val="single" w:color="auto" w:sz="4" w:space="0"/>
              <w:bottom w:val="single" w:color="auto" w:sz="4" w:space="0"/>
              <w:right w:val="single" w:color="auto" w:sz="4" w:space="0"/>
            </w:tcBorders>
          </w:tcPr>
          <w:p w14:paraId="0DEC7D26">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1BE9E429">
            <w:pPr>
              <w:tabs>
                <w:tab w:val="left" w:pos="1418"/>
              </w:tabs>
              <w:snapToGrid w:val="0"/>
              <w:spacing w:before="50" w:after="50"/>
              <w:jc w:val="center"/>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47B636BB">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647FF38A">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394C1334">
            <w:pPr>
              <w:tabs>
                <w:tab w:val="left" w:pos="1418"/>
              </w:tabs>
              <w:snapToGrid w:val="0"/>
              <w:spacing w:before="50" w:after="50"/>
              <w:jc w:val="center"/>
              <w:rPr>
                <w:rFonts w:ascii="Times New Roman" w:hAnsi="Times New Roman" w:eastAsia="宋体" w:cs="Times New Roman"/>
                <w:color w:val="auto"/>
                <w:spacing w:val="20"/>
              </w:rPr>
            </w:pPr>
          </w:p>
        </w:tc>
      </w:tr>
      <w:tr w14:paraId="00393A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540" w:type="dxa"/>
            <w:gridSpan w:val="8"/>
            <w:tcBorders>
              <w:top w:val="single" w:color="auto" w:sz="4" w:space="0"/>
              <w:left w:val="single" w:color="auto" w:sz="4" w:space="0"/>
              <w:bottom w:val="single" w:color="auto" w:sz="4" w:space="0"/>
              <w:right w:val="single" w:color="auto" w:sz="4" w:space="0"/>
            </w:tcBorders>
          </w:tcPr>
          <w:p w14:paraId="5B87A37A">
            <w:pPr>
              <w:tabs>
                <w:tab w:val="left" w:pos="1418"/>
              </w:tabs>
              <w:snapToGrid w:val="0"/>
              <w:spacing w:before="50" w:after="50"/>
              <w:jc w:val="center"/>
              <w:rPr>
                <w:rFonts w:ascii="Times New Roman" w:hAnsi="Times New Roman" w:eastAsia="宋体" w:cs="Times New Roman"/>
                <w:color w:val="auto"/>
                <w:spacing w:val="20"/>
              </w:rPr>
            </w:pPr>
          </w:p>
        </w:tc>
      </w:tr>
      <w:tr w14:paraId="13E76A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88" w:type="dxa"/>
            <w:tcBorders>
              <w:top w:val="single" w:color="auto" w:sz="4" w:space="0"/>
              <w:left w:val="single" w:color="auto" w:sz="4" w:space="0"/>
              <w:bottom w:val="single" w:color="auto" w:sz="4" w:space="0"/>
              <w:right w:val="single" w:color="auto" w:sz="4" w:space="0"/>
            </w:tcBorders>
          </w:tcPr>
          <w:p w14:paraId="64BAACE0">
            <w:pPr>
              <w:tabs>
                <w:tab w:val="left" w:pos="1418"/>
              </w:tabs>
              <w:snapToGrid w:val="0"/>
              <w:spacing w:before="50" w:after="50"/>
              <w:jc w:val="center"/>
              <w:rPr>
                <w:rFonts w:ascii="Times New Roman" w:hAnsi="Times New Roman" w:eastAsia="宋体" w:cs="Times New Roman"/>
                <w:color w:val="auto"/>
                <w:spacing w:val="20"/>
              </w:rPr>
            </w:pPr>
          </w:p>
        </w:tc>
        <w:tc>
          <w:tcPr>
            <w:tcW w:w="4510" w:type="dxa"/>
            <w:gridSpan w:val="3"/>
            <w:tcBorders>
              <w:top w:val="single" w:color="auto" w:sz="4" w:space="0"/>
              <w:left w:val="single" w:color="auto" w:sz="4" w:space="0"/>
              <w:bottom w:val="single" w:color="auto" w:sz="4" w:space="0"/>
              <w:right w:val="single" w:color="auto" w:sz="4" w:space="0"/>
            </w:tcBorders>
          </w:tcPr>
          <w:p w14:paraId="4A787FE8">
            <w:pPr>
              <w:tabs>
                <w:tab w:val="left" w:pos="1418"/>
              </w:tabs>
              <w:snapToGrid w:val="0"/>
              <w:spacing w:before="50" w:after="50"/>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266EE3CF">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763FD31C">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67A89889">
            <w:pPr>
              <w:tabs>
                <w:tab w:val="left" w:pos="1418"/>
              </w:tabs>
              <w:snapToGrid w:val="0"/>
              <w:spacing w:before="50" w:after="50"/>
              <w:jc w:val="center"/>
              <w:rPr>
                <w:rFonts w:ascii="Times New Roman" w:hAnsi="Times New Roman" w:eastAsia="宋体" w:cs="Times New Roman"/>
                <w:color w:val="auto"/>
                <w:spacing w:val="20"/>
              </w:rPr>
            </w:pPr>
          </w:p>
        </w:tc>
      </w:tr>
      <w:tr w14:paraId="1A8EFD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88" w:type="dxa"/>
            <w:tcBorders>
              <w:top w:val="single" w:color="auto" w:sz="4" w:space="0"/>
              <w:left w:val="single" w:color="auto" w:sz="4" w:space="0"/>
              <w:bottom w:val="single" w:color="auto" w:sz="4" w:space="0"/>
              <w:right w:val="single" w:color="auto" w:sz="4" w:space="0"/>
            </w:tcBorders>
          </w:tcPr>
          <w:p w14:paraId="48290764">
            <w:pPr>
              <w:tabs>
                <w:tab w:val="left" w:pos="1418"/>
              </w:tabs>
              <w:snapToGrid w:val="0"/>
              <w:spacing w:before="50" w:after="50"/>
              <w:jc w:val="center"/>
              <w:rPr>
                <w:rFonts w:ascii="Times New Roman" w:hAnsi="Times New Roman" w:eastAsia="宋体" w:cs="Times New Roman"/>
                <w:color w:val="auto"/>
                <w:spacing w:val="20"/>
              </w:rPr>
            </w:pPr>
          </w:p>
        </w:tc>
        <w:tc>
          <w:tcPr>
            <w:tcW w:w="4510" w:type="dxa"/>
            <w:gridSpan w:val="3"/>
            <w:tcBorders>
              <w:top w:val="single" w:color="auto" w:sz="4" w:space="0"/>
              <w:left w:val="single" w:color="auto" w:sz="4" w:space="0"/>
              <w:bottom w:val="single" w:color="auto" w:sz="4" w:space="0"/>
              <w:right w:val="single" w:color="auto" w:sz="4" w:space="0"/>
            </w:tcBorders>
          </w:tcPr>
          <w:p w14:paraId="5E22EB84">
            <w:pPr>
              <w:tabs>
                <w:tab w:val="left" w:pos="1418"/>
              </w:tabs>
              <w:snapToGrid w:val="0"/>
              <w:spacing w:before="50" w:after="50"/>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4A6BA217">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6E1D0D4C">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5ACCDA33">
            <w:pPr>
              <w:tabs>
                <w:tab w:val="left" w:pos="1418"/>
              </w:tabs>
              <w:snapToGrid w:val="0"/>
              <w:spacing w:before="50" w:after="50"/>
              <w:jc w:val="center"/>
              <w:rPr>
                <w:rFonts w:ascii="Times New Roman" w:hAnsi="Times New Roman" w:eastAsia="宋体" w:cs="Times New Roman"/>
                <w:color w:val="auto"/>
                <w:spacing w:val="20"/>
              </w:rPr>
            </w:pPr>
          </w:p>
        </w:tc>
      </w:tr>
      <w:tr w14:paraId="1F68A0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888" w:type="dxa"/>
            <w:tcBorders>
              <w:top w:val="single" w:color="auto" w:sz="4" w:space="0"/>
              <w:left w:val="single" w:color="auto" w:sz="4" w:space="0"/>
              <w:bottom w:val="single" w:color="auto" w:sz="4" w:space="0"/>
              <w:right w:val="single" w:color="auto" w:sz="4" w:space="0"/>
            </w:tcBorders>
          </w:tcPr>
          <w:p w14:paraId="527403F3">
            <w:pPr>
              <w:tabs>
                <w:tab w:val="left" w:pos="1418"/>
              </w:tabs>
              <w:snapToGrid w:val="0"/>
              <w:spacing w:before="50" w:after="50"/>
              <w:jc w:val="center"/>
              <w:rPr>
                <w:rFonts w:ascii="Times New Roman" w:hAnsi="Times New Roman" w:eastAsia="宋体" w:cs="Times New Roman"/>
                <w:color w:val="auto"/>
                <w:spacing w:val="20"/>
              </w:rPr>
            </w:pPr>
          </w:p>
        </w:tc>
        <w:tc>
          <w:tcPr>
            <w:tcW w:w="4510" w:type="dxa"/>
            <w:gridSpan w:val="3"/>
            <w:tcBorders>
              <w:top w:val="single" w:color="auto" w:sz="4" w:space="0"/>
              <w:left w:val="single" w:color="auto" w:sz="4" w:space="0"/>
              <w:bottom w:val="single" w:color="auto" w:sz="4" w:space="0"/>
              <w:right w:val="single" w:color="auto" w:sz="4" w:space="0"/>
            </w:tcBorders>
          </w:tcPr>
          <w:p w14:paraId="6260CA0F">
            <w:pPr>
              <w:tabs>
                <w:tab w:val="left" w:pos="1418"/>
              </w:tabs>
              <w:snapToGrid w:val="0"/>
              <w:spacing w:before="50" w:after="50"/>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243F5A80">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498C8CB8">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71AA8464">
            <w:pPr>
              <w:tabs>
                <w:tab w:val="left" w:pos="1418"/>
              </w:tabs>
              <w:snapToGrid w:val="0"/>
              <w:spacing w:before="50" w:after="50"/>
              <w:jc w:val="center"/>
              <w:rPr>
                <w:rFonts w:ascii="Times New Roman" w:hAnsi="Times New Roman" w:eastAsia="宋体" w:cs="Times New Roman"/>
                <w:color w:val="auto"/>
                <w:spacing w:val="20"/>
              </w:rPr>
            </w:pPr>
          </w:p>
        </w:tc>
      </w:tr>
      <w:tr w14:paraId="4F8616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2" w:hRule="atLeast"/>
        </w:trPr>
        <w:tc>
          <w:tcPr>
            <w:tcW w:w="888" w:type="dxa"/>
            <w:tcBorders>
              <w:top w:val="single" w:color="auto" w:sz="4" w:space="0"/>
              <w:left w:val="single" w:color="auto" w:sz="4" w:space="0"/>
              <w:bottom w:val="single" w:color="auto" w:sz="4" w:space="0"/>
              <w:right w:val="single" w:color="auto" w:sz="4" w:space="0"/>
            </w:tcBorders>
          </w:tcPr>
          <w:p w14:paraId="0557148B">
            <w:pPr>
              <w:tabs>
                <w:tab w:val="left" w:pos="1418"/>
              </w:tabs>
              <w:snapToGrid w:val="0"/>
              <w:spacing w:before="50" w:after="50"/>
              <w:jc w:val="center"/>
              <w:rPr>
                <w:rFonts w:ascii="Times New Roman" w:hAnsi="Times New Roman" w:eastAsia="宋体" w:cs="Times New Roman"/>
                <w:color w:val="auto"/>
                <w:spacing w:val="20"/>
              </w:rPr>
            </w:pPr>
          </w:p>
        </w:tc>
        <w:tc>
          <w:tcPr>
            <w:tcW w:w="4510" w:type="dxa"/>
            <w:gridSpan w:val="3"/>
            <w:tcBorders>
              <w:top w:val="single" w:color="auto" w:sz="4" w:space="0"/>
              <w:left w:val="single" w:color="auto" w:sz="4" w:space="0"/>
              <w:bottom w:val="single" w:color="auto" w:sz="4" w:space="0"/>
              <w:right w:val="single" w:color="auto" w:sz="4" w:space="0"/>
            </w:tcBorders>
          </w:tcPr>
          <w:p w14:paraId="0A488162">
            <w:pPr>
              <w:tabs>
                <w:tab w:val="left" w:pos="1418"/>
              </w:tabs>
              <w:snapToGrid w:val="0"/>
              <w:spacing w:before="50" w:after="50"/>
              <w:rPr>
                <w:rFonts w:ascii="Times New Roman" w:hAnsi="Times New Roman" w:eastAsia="宋体" w:cs="Times New Roman"/>
                <w:color w:val="auto"/>
                <w:spacing w:val="20"/>
              </w:rPr>
            </w:pPr>
          </w:p>
        </w:tc>
        <w:tc>
          <w:tcPr>
            <w:tcW w:w="1440" w:type="dxa"/>
            <w:gridSpan w:val="2"/>
            <w:tcBorders>
              <w:top w:val="single" w:color="auto" w:sz="4" w:space="0"/>
              <w:left w:val="single" w:color="auto" w:sz="4" w:space="0"/>
              <w:bottom w:val="single" w:color="auto" w:sz="4" w:space="0"/>
              <w:right w:val="single" w:color="auto" w:sz="4" w:space="0"/>
            </w:tcBorders>
          </w:tcPr>
          <w:p w14:paraId="3C175B74">
            <w:pPr>
              <w:tabs>
                <w:tab w:val="left" w:pos="1418"/>
              </w:tabs>
              <w:snapToGrid w:val="0"/>
              <w:spacing w:before="50" w:after="50"/>
              <w:jc w:val="center"/>
              <w:rPr>
                <w:rFonts w:ascii="Times New Roman" w:hAnsi="Times New Roman" w:eastAsia="宋体" w:cs="Times New Roman"/>
                <w:color w:val="auto"/>
                <w:spacing w:val="20"/>
              </w:rPr>
            </w:pPr>
          </w:p>
        </w:tc>
        <w:tc>
          <w:tcPr>
            <w:tcW w:w="1262" w:type="dxa"/>
            <w:tcBorders>
              <w:top w:val="single" w:color="auto" w:sz="4" w:space="0"/>
              <w:left w:val="single" w:color="auto" w:sz="4" w:space="0"/>
              <w:bottom w:val="single" w:color="auto" w:sz="4" w:space="0"/>
              <w:right w:val="single" w:color="auto" w:sz="4" w:space="0"/>
            </w:tcBorders>
          </w:tcPr>
          <w:p w14:paraId="436E447F">
            <w:pPr>
              <w:tabs>
                <w:tab w:val="left" w:pos="1418"/>
              </w:tabs>
              <w:snapToGrid w:val="0"/>
              <w:spacing w:before="50" w:after="50"/>
              <w:jc w:val="center"/>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50823B8C">
            <w:pPr>
              <w:tabs>
                <w:tab w:val="left" w:pos="1418"/>
              </w:tabs>
              <w:snapToGrid w:val="0"/>
              <w:spacing w:before="50" w:after="50"/>
              <w:jc w:val="center"/>
              <w:rPr>
                <w:rFonts w:ascii="Times New Roman" w:hAnsi="Times New Roman" w:eastAsia="宋体" w:cs="Times New Roman"/>
                <w:color w:val="auto"/>
                <w:spacing w:val="20"/>
              </w:rPr>
            </w:pPr>
          </w:p>
        </w:tc>
      </w:tr>
      <w:tr w14:paraId="141EB3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88" w:type="dxa"/>
            <w:tcBorders>
              <w:top w:val="single" w:color="auto" w:sz="4" w:space="0"/>
              <w:left w:val="single" w:color="auto" w:sz="4" w:space="0"/>
              <w:bottom w:val="single" w:color="auto" w:sz="4" w:space="0"/>
              <w:right w:val="single" w:color="auto" w:sz="4" w:space="0"/>
            </w:tcBorders>
          </w:tcPr>
          <w:p w14:paraId="7AB3CEE6">
            <w:pPr>
              <w:tabs>
                <w:tab w:val="left" w:pos="1418"/>
              </w:tabs>
              <w:snapToGrid w:val="0"/>
              <w:spacing w:before="50" w:after="50"/>
              <w:jc w:val="center"/>
              <w:rPr>
                <w:rFonts w:ascii="Times New Roman" w:hAnsi="Times New Roman" w:eastAsia="宋体" w:cs="Times New Roman"/>
                <w:color w:val="auto"/>
                <w:spacing w:val="20"/>
              </w:rPr>
            </w:pPr>
          </w:p>
        </w:tc>
        <w:tc>
          <w:tcPr>
            <w:tcW w:w="4520" w:type="dxa"/>
            <w:gridSpan w:val="4"/>
            <w:tcBorders>
              <w:top w:val="single" w:color="auto" w:sz="4" w:space="0"/>
              <w:left w:val="single" w:color="auto" w:sz="4" w:space="0"/>
              <w:bottom w:val="single" w:color="auto" w:sz="4" w:space="0"/>
              <w:right w:val="single" w:color="auto" w:sz="4" w:space="0"/>
            </w:tcBorders>
          </w:tcPr>
          <w:p w14:paraId="57C3CDAF">
            <w:pPr>
              <w:tabs>
                <w:tab w:val="left" w:pos="1418"/>
              </w:tabs>
              <w:snapToGrid w:val="0"/>
              <w:spacing w:before="50" w:after="50"/>
              <w:rPr>
                <w:rFonts w:ascii="Times New Roman" w:hAnsi="Times New Roman" w:eastAsia="宋体" w:cs="Times New Roman"/>
                <w:color w:val="auto"/>
                <w:spacing w:val="20"/>
              </w:rPr>
            </w:pPr>
          </w:p>
        </w:tc>
        <w:tc>
          <w:tcPr>
            <w:tcW w:w="2692" w:type="dxa"/>
            <w:gridSpan w:val="2"/>
            <w:tcBorders>
              <w:top w:val="single" w:color="auto" w:sz="4" w:space="0"/>
              <w:left w:val="single" w:color="auto" w:sz="4" w:space="0"/>
              <w:bottom w:val="single" w:color="auto" w:sz="4" w:space="0"/>
              <w:right w:val="single" w:color="auto" w:sz="4" w:space="0"/>
            </w:tcBorders>
          </w:tcPr>
          <w:p w14:paraId="43AD830C">
            <w:pPr>
              <w:tabs>
                <w:tab w:val="left" w:pos="1418"/>
              </w:tabs>
              <w:snapToGrid w:val="0"/>
              <w:spacing w:before="50" w:after="50"/>
              <w:ind w:left="8"/>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69F089F5">
            <w:pPr>
              <w:tabs>
                <w:tab w:val="left" w:pos="1418"/>
              </w:tabs>
              <w:snapToGrid w:val="0"/>
              <w:spacing w:before="50" w:after="50"/>
              <w:jc w:val="center"/>
              <w:rPr>
                <w:rFonts w:ascii="Times New Roman" w:hAnsi="Times New Roman" w:eastAsia="宋体" w:cs="Times New Roman"/>
                <w:color w:val="auto"/>
                <w:spacing w:val="20"/>
              </w:rPr>
            </w:pPr>
          </w:p>
        </w:tc>
      </w:tr>
      <w:tr w14:paraId="4ACBA2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88" w:type="dxa"/>
            <w:tcBorders>
              <w:top w:val="single" w:color="auto" w:sz="4" w:space="0"/>
              <w:left w:val="single" w:color="auto" w:sz="4" w:space="0"/>
              <w:bottom w:val="single" w:color="auto" w:sz="4" w:space="0"/>
              <w:right w:val="single" w:color="auto" w:sz="4" w:space="0"/>
            </w:tcBorders>
          </w:tcPr>
          <w:p w14:paraId="3BD30E30">
            <w:pPr>
              <w:tabs>
                <w:tab w:val="left" w:pos="1418"/>
              </w:tabs>
              <w:snapToGrid w:val="0"/>
              <w:spacing w:before="50" w:after="50"/>
              <w:jc w:val="center"/>
              <w:rPr>
                <w:rFonts w:ascii="Times New Roman" w:hAnsi="Times New Roman" w:eastAsia="宋体" w:cs="Times New Roman"/>
                <w:color w:val="auto"/>
                <w:spacing w:val="20"/>
              </w:rPr>
            </w:pPr>
          </w:p>
        </w:tc>
        <w:tc>
          <w:tcPr>
            <w:tcW w:w="4520" w:type="dxa"/>
            <w:gridSpan w:val="4"/>
            <w:tcBorders>
              <w:top w:val="single" w:color="auto" w:sz="4" w:space="0"/>
              <w:left w:val="single" w:color="auto" w:sz="4" w:space="0"/>
              <w:bottom w:val="single" w:color="auto" w:sz="4" w:space="0"/>
              <w:right w:val="single" w:color="auto" w:sz="4" w:space="0"/>
            </w:tcBorders>
          </w:tcPr>
          <w:p w14:paraId="3D248143">
            <w:pPr>
              <w:tabs>
                <w:tab w:val="left" w:pos="1418"/>
              </w:tabs>
              <w:snapToGrid w:val="0"/>
              <w:spacing w:before="50" w:after="50"/>
              <w:rPr>
                <w:rFonts w:ascii="Times New Roman" w:hAnsi="Times New Roman" w:eastAsia="宋体" w:cs="Times New Roman"/>
                <w:color w:val="auto"/>
                <w:spacing w:val="20"/>
              </w:rPr>
            </w:pPr>
          </w:p>
        </w:tc>
        <w:tc>
          <w:tcPr>
            <w:tcW w:w="2692" w:type="dxa"/>
            <w:gridSpan w:val="2"/>
            <w:tcBorders>
              <w:top w:val="single" w:color="auto" w:sz="4" w:space="0"/>
              <w:left w:val="single" w:color="auto" w:sz="4" w:space="0"/>
              <w:bottom w:val="single" w:color="auto" w:sz="4" w:space="0"/>
              <w:right w:val="single" w:color="auto" w:sz="4" w:space="0"/>
            </w:tcBorders>
          </w:tcPr>
          <w:p w14:paraId="28323D94">
            <w:pPr>
              <w:tabs>
                <w:tab w:val="left" w:pos="1418"/>
              </w:tabs>
              <w:snapToGrid w:val="0"/>
              <w:spacing w:before="50" w:after="50"/>
              <w:ind w:left="8"/>
              <w:rPr>
                <w:rFonts w:ascii="Times New Roman" w:hAnsi="Times New Roman" w:eastAsia="宋体" w:cs="Times New Roman"/>
                <w:color w:val="auto"/>
                <w:spacing w:val="20"/>
              </w:rPr>
            </w:pPr>
          </w:p>
        </w:tc>
        <w:tc>
          <w:tcPr>
            <w:tcW w:w="1440" w:type="dxa"/>
            <w:tcBorders>
              <w:top w:val="single" w:color="auto" w:sz="4" w:space="0"/>
              <w:left w:val="single" w:color="auto" w:sz="4" w:space="0"/>
              <w:bottom w:val="single" w:color="auto" w:sz="4" w:space="0"/>
              <w:right w:val="single" w:color="auto" w:sz="4" w:space="0"/>
            </w:tcBorders>
          </w:tcPr>
          <w:p w14:paraId="00C9FFCF">
            <w:pPr>
              <w:tabs>
                <w:tab w:val="left" w:pos="1418"/>
              </w:tabs>
              <w:snapToGrid w:val="0"/>
              <w:spacing w:before="50" w:after="50"/>
              <w:jc w:val="center"/>
              <w:rPr>
                <w:rFonts w:ascii="Times New Roman" w:hAnsi="Times New Roman" w:eastAsia="宋体" w:cs="Times New Roman"/>
                <w:color w:val="auto"/>
                <w:spacing w:val="20"/>
              </w:rPr>
            </w:pPr>
          </w:p>
        </w:tc>
      </w:tr>
      <w:tr w14:paraId="1BBFCA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5408" w:type="dxa"/>
            <w:gridSpan w:val="5"/>
            <w:tcBorders>
              <w:top w:val="single" w:color="auto" w:sz="4" w:space="0"/>
              <w:left w:val="single" w:color="auto" w:sz="4" w:space="0"/>
              <w:bottom w:val="single" w:color="auto" w:sz="4" w:space="0"/>
              <w:right w:val="single" w:color="auto" w:sz="4" w:space="0"/>
            </w:tcBorders>
          </w:tcPr>
          <w:p w14:paraId="0CEB7BAD">
            <w:pPr>
              <w:tabs>
                <w:tab w:val="left" w:pos="1418"/>
              </w:tabs>
              <w:snapToGrid w:val="0"/>
              <w:spacing w:before="50" w:after="50"/>
              <w:jc w:val="center"/>
              <w:rPr>
                <w:rFonts w:ascii="Times New Roman" w:hAnsi="Times New Roman" w:eastAsia="宋体" w:cs="Times New Roman"/>
                <w:color w:val="auto"/>
                <w:spacing w:val="20"/>
              </w:rPr>
            </w:pPr>
          </w:p>
        </w:tc>
        <w:tc>
          <w:tcPr>
            <w:tcW w:w="4132" w:type="dxa"/>
            <w:gridSpan w:val="3"/>
            <w:tcBorders>
              <w:top w:val="single" w:color="auto" w:sz="4" w:space="0"/>
              <w:left w:val="nil"/>
              <w:bottom w:val="single" w:color="auto" w:sz="4" w:space="0"/>
              <w:right w:val="single" w:color="auto" w:sz="4" w:space="0"/>
            </w:tcBorders>
          </w:tcPr>
          <w:p w14:paraId="2E2719D7">
            <w:pPr>
              <w:tabs>
                <w:tab w:val="left" w:pos="1418"/>
              </w:tabs>
              <w:snapToGrid w:val="0"/>
              <w:spacing w:before="50" w:after="50"/>
              <w:jc w:val="center"/>
              <w:rPr>
                <w:rFonts w:ascii="Times New Roman" w:hAnsi="Times New Roman" w:eastAsia="宋体" w:cs="Times New Roman"/>
                <w:color w:val="auto"/>
                <w:spacing w:val="20"/>
              </w:rPr>
            </w:pPr>
          </w:p>
        </w:tc>
      </w:tr>
      <w:tr w14:paraId="70EC0C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9540" w:type="dxa"/>
            <w:gridSpan w:val="8"/>
            <w:tcBorders>
              <w:top w:val="single" w:color="auto" w:sz="4" w:space="0"/>
              <w:left w:val="single" w:color="auto" w:sz="4" w:space="0"/>
              <w:bottom w:val="single" w:color="auto" w:sz="4" w:space="0"/>
              <w:right w:val="single" w:color="auto" w:sz="4" w:space="0"/>
            </w:tcBorders>
          </w:tcPr>
          <w:p w14:paraId="33539100">
            <w:pPr>
              <w:tabs>
                <w:tab w:val="left" w:pos="1418"/>
              </w:tabs>
              <w:snapToGrid w:val="0"/>
              <w:spacing w:before="50" w:after="50"/>
              <w:rPr>
                <w:rFonts w:ascii="Times New Roman" w:hAnsi="Times New Roman" w:eastAsia="宋体" w:cs="Times New Roman"/>
                <w:color w:val="auto"/>
                <w:spacing w:val="20"/>
              </w:rPr>
            </w:pPr>
            <w:r>
              <w:rPr>
                <w:rFonts w:hint="eastAsia" w:ascii="Times New Roman" w:hAnsi="Times New Roman" w:eastAsia="宋体" w:cs="Times New Roman"/>
                <w:color w:val="auto"/>
                <w:spacing w:val="20"/>
              </w:rPr>
              <w:t>合计（大写）</w:t>
            </w:r>
          </w:p>
        </w:tc>
      </w:tr>
    </w:tbl>
    <w:p w14:paraId="33811686">
      <w:pPr>
        <w:snapToGrid w:val="0"/>
        <w:rPr>
          <w:rFonts w:ascii="Times New Roman" w:hAnsi="Times New Roman" w:eastAsia="宋体" w:cs="Times New Roman"/>
          <w:color w:val="auto"/>
        </w:rPr>
      </w:pPr>
    </w:p>
    <w:p w14:paraId="71741A4D">
      <w:pPr>
        <w:snapToGrid w:val="0"/>
        <w:spacing w:before="50" w:after="50"/>
        <w:rPr>
          <w:rFonts w:hint="eastAsia" w:ascii="Times New Roman" w:hAnsi="Times New Roman" w:eastAsia="宋体" w:cs="Times New Roman"/>
          <w:color w:val="auto"/>
        </w:rPr>
      </w:pPr>
      <w:r>
        <w:rPr>
          <w:rFonts w:hint="eastAsia" w:ascii="Times New Roman" w:hAnsi="Times New Roman" w:eastAsia="宋体" w:cs="Times New Roman"/>
          <w:color w:val="auto"/>
          <w:lang w:val="en-US" w:eastAsia="zh-CN"/>
        </w:rPr>
        <w:t>注：本项目工程量按实结算</w:t>
      </w:r>
    </w:p>
    <w:p w14:paraId="7F286257">
      <w:pPr>
        <w:snapToGrid w:val="0"/>
        <w:spacing w:before="50" w:after="50"/>
        <w:rPr>
          <w:rFonts w:hint="eastAsia" w:ascii="Times New Roman" w:hAnsi="Times New Roman" w:eastAsia="宋体" w:cs="Times New Roman"/>
          <w:color w:val="auto"/>
        </w:rPr>
      </w:pPr>
    </w:p>
    <w:p w14:paraId="35902DDC">
      <w:pPr>
        <w:snapToGrid w:val="0"/>
        <w:spacing w:before="50" w:after="50"/>
        <w:rPr>
          <w:rFonts w:ascii="Times New Roman" w:hAnsi="Times New Roman" w:eastAsia="宋体" w:cs="Times New Roman"/>
          <w:color w:val="auto"/>
        </w:rPr>
      </w:pPr>
      <w:r>
        <w:rPr>
          <w:rFonts w:hint="eastAsia" w:ascii="Times New Roman" w:hAnsi="Times New Roman" w:eastAsia="宋体" w:cs="Times New Roman"/>
          <w:color w:val="auto"/>
        </w:rPr>
        <w:t>投标人名称（盖章）：</w:t>
      </w:r>
    </w:p>
    <w:p w14:paraId="569DCB72">
      <w:pPr>
        <w:snapToGrid w:val="0"/>
        <w:spacing w:before="50" w:after="50"/>
        <w:rPr>
          <w:rFonts w:ascii="Times New Roman" w:hAnsi="Times New Roman" w:eastAsia="宋体" w:cs="Times New Roman"/>
          <w:color w:val="auto"/>
        </w:rPr>
      </w:pPr>
    </w:p>
    <w:p w14:paraId="5694453F">
      <w:pPr>
        <w:snapToGrid w:val="0"/>
        <w:spacing w:before="50" w:after="50"/>
        <w:rPr>
          <w:rFonts w:ascii="Times New Roman" w:hAnsi="Times New Roman" w:eastAsia="宋体" w:cs="Times New Roman"/>
          <w:color w:val="auto"/>
        </w:rPr>
      </w:pPr>
    </w:p>
    <w:p w14:paraId="35706206">
      <w:pPr>
        <w:snapToGrid w:val="0"/>
        <w:spacing w:before="50" w:after="50"/>
        <w:rPr>
          <w:rFonts w:ascii="Times New Roman" w:hAnsi="Times New Roman" w:eastAsia="宋体" w:cs="Times New Roman"/>
          <w:color w:val="auto"/>
          <w:spacing w:val="20"/>
          <w:u w:val="single"/>
        </w:rPr>
      </w:pPr>
      <w:r>
        <w:rPr>
          <w:rFonts w:hint="eastAsia" w:ascii="Times New Roman" w:hAnsi="Times New Roman" w:eastAsia="宋体" w:cs="Times New Roman"/>
          <w:color w:val="auto"/>
          <w:spacing w:val="20"/>
        </w:rPr>
        <w:t>日期：</w:t>
      </w:r>
    </w:p>
    <w:p w14:paraId="48DDB699">
      <w:pPr>
        <w:snapToGrid w:val="0"/>
        <w:spacing w:before="50" w:after="50"/>
        <w:rPr>
          <w:rFonts w:ascii="Times New Roman" w:hAnsi="Times New Roman" w:eastAsia="宋体" w:cs="Times New Roman"/>
          <w:color w:val="auto"/>
        </w:rPr>
      </w:pPr>
    </w:p>
    <w:p w14:paraId="08E25843">
      <w:pPr>
        <w:snapToGrid w:val="0"/>
        <w:spacing w:before="120" w:line="312" w:lineRule="auto"/>
        <w:ind w:right="-341"/>
        <w:rPr>
          <w:rFonts w:ascii="Times New Roman" w:hAnsi="Times New Roman" w:eastAsia="宋体" w:cs="Times New Roman"/>
          <w:b/>
          <w:color w:val="auto"/>
          <w:sz w:val="32"/>
        </w:rPr>
      </w:pPr>
    </w:p>
    <w:p w14:paraId="764E1B25">
      <w:pPr>
        <w:snapToGrid w:val="0"/>
        <w:spacing w:before="120" w:line="312" w:lineRule="auto"/>
        <w:ind w:right="-341"/>
        <w:rPr>
          <w:rFonts w:ascii="Times New Roman" w:hAnsi="Times New Roman" w:eastAsia="宋体" w:cs="Times New Roman"/>
          <w:b/>
          <w:color w:val="auto"/>
          <w:sz w:val="32"/>
        </w:rPr>
      </w:pPr>
    </w:p>
    <w:p w14:paraId="135D283B">
      <w:pPr>
        <w:snapToGrid w:val="0"/>
        <w:spacing w:before="120" w:line="312" w:lineRule="auto"/>
        <w:ind w:right="-341"/>
        <w:rPr>
          <w:rFonts w:ascii="Times New Roman" w:hAnsi="Times New Roman" w:eastAsia="宋体" w:cs="Times New Roman"/>
          <w:b/>
          <w:color w:val="auto"/>
          <w:sz w:val="28"/>
          <w:szCs w:val="28"/>
        </w:rPr>
      </w:pPr>
    </w:p>
    <w:p w14:paraId="354DD8EF">
      <w:pPr>
        <w:pStyle w:val="61"/>
        <w:rPr>
          <w:color w:val="auto"/>
        </w:rPr>
      </w:pPr>
    </w:p>
    <w:p w14:paraId="422891B0">
      <w:pPr>
        <w:snapToGrid w:val="0"/>
        <w:spacing w:before="120" w:line="312" w:lineRule="auto"/>
        <w:ind w:right="-341"/>
        <w:jc w:val="center"/>
        <w:rPr>
          <w:rFonts w:ascii="Times New Roman" w:hAnsi="Times New Roman" w:eastAsia="宋体" w:cs="Times New Roman"/>
          <w:b/>
          <w:color w:val="auto"/>
          <w:sz w:val="32"/>
        </w:rPr>
      </w:pPr>
      <w:r>
        <w:rPr>
          <w:rFonts w:hint="eastAsia" w:ascii="Times New Roman" w:hAnsi="Times New Roman" w:eastAsia="宋体" w:cs="Times New Roman"/>
          <w:b/>
          <w:color w:val="auto"/>
          <w:sz w:val="32"/>
        </w:rPr>
        <w:t>四、投标函</w:t>
      </w:r>
    </w:p>
    <w:p w14:paraId="519FBF29">
      <w:pPr>
        <w:snapToGrid w:val="0"/>
        <w:spacing w:line="312" w:lineRule="auto"/>
        <w:ind w:right="-341"/>
        <w:rPr>
          <w:rFonts w:ascii="Times New Roman" w:hAnsi="Times New Roman" w:eastAsia="宋体" w:cs="Times New Roman"/>
          <w:color w:val="auto"/>
        </w:rPr>
      </w:pPr>
    </w:p>
    <w:p w14:paraId="37ABE0A6">
      <w:pPr>
        <w:snapToGrid w:val="0"/>
        <w:spacing w:line="312" w:lineRule="auto"/>
        <w:ind w:right="-341"/>
        <w:rPr>
          <w:rFonts w:ascii="Times New Roman" w:hAnsi="Times New Roman" w:eastAsia="宋体" w:cs="Times New Roman"/>
          <w:color w:val="auto"/>
        </w:rPr>
      </w:pPr>
      <w:r>
        <w:rPr>
          <w:rFonts w:hint="eastAsia" w:ascii="Times New Roman" w:hAnsi="Times New Roman" w:eastAsia="宋体" w:cs="Times New Roman"/>
          <w:color w:val="auto"/>
        </w:rPr>
        <w:t>致：</w:t>
      </w:r>
      <w:r>
        <w:rPr>
          <w:rFonts w:ascii="Times New Roman" w:hAnsi="Times New Roman" w:eastAsia="宋体" w:cs="Times New Roman"/>
          <w:color w:val="auto"/>
        </w:rPr>
        <w:t>_</w:t>
      </w:r>
      <w:r>
        <w:rPr>
          <w:rFonts w:hint="eastAsia" w:ascii="Times New Roman" w:hAnsi="Times New Roman" w:eastAsia="宋体" w:cs="Times New Roman"/>
          <w:color w:val="auto"/>
          <w:u w:val="single"/>
        </w:rPr>
        <w:t>深圳市国信招标有限公司</w:t>
      </w:r>
      <w:r>
        <w:rPr>
          <w:rFonts w:ascii="Times New Roman" w:hAnsi="Times New Roman" w:eastAsia="宋体" w:cs="Times New Roman"/>
          <w:color w:val="auto"/>
        </w:rPr>
        <w:t>_</w:t>
      </w:r>
      <w:r>
        <w:rPr>
          <w:rFonts w:hint="eastAsia" w:ascii="Times New Roman" w:hAnsi="Times New Roman" w:eastAsia="宋体" w:cs="Times New Roman"/>
          <w:color w:val="auto"/>
        </w:rPr>
        <w:t>：</w:t>
      </w:r>
    </w:p>
    <w:p w14:paraId="4E8305CA">
      <w:pPr>
        <w:snapToGrid w:val="0"/>
        <w:spacing w:line="312" w:lineRule="auto"/>
        <w:ind w:right="-341" w:firstLine="480"/>
        <w:rPr>
          <w:rFonts w:ascii="Times New Roman" w:hAnsi="Times New Roman" w:eastAsia="宋体" w:cs="Times New Roman"/>
          <w:color w:val="auto"/>
          <w:szCs w:val="21"/>
        </w:rPr>
      </w:pPr>
      <w:r>
        <w:rPr>
          <w:rFonts w:hint="eastAsia" w:ascii="Times New Roman" w:hAnsi="Times New Roman" w:eastAsia="宋体" w:cs="Times New Roman"/>
          <w:color w:val="auto"/>
        </w:rPr>
        <w:t>根据贵方为</w:t>
      </w:r>
      <w:r>
        <w:rPr>
          <w:rFonts w:hint="eastAsia" w:ascii="Times New Roman" w:hAnsi="Times New Roman" w:eastAsia="宋体" w:cs="Times New Roman"/>
          <w:color w:val="auto"/>
          <w:u w:val="single"/>
        </w:rPr>
        <w:t xml:space="preserve">               </w:t>
      </w:r>
      <w:r>
        <w:rPr>
          <w:rFonts w:hint="eastAsia" w:ascii="Times New Roman" w:hAnsi="Times New Roman" w:eastAsia="宋体" w:cs="Times New Roman"/>
          <w:color w:val="auto"/>
        </w:rPr>
        <w:t>项目的招标公告（项目编号：</w:t>
      </w:r>
      <w:r>
        <w:rPr>
          <w:rFonts w:ascii="Times New Roman" w:hAnsi="Times New Roman" w:eastAsia="宋体" w:cs="Times New Roman"/>
          <w:color w:val="auto"/>
        </w:rPr>
        <w:t>____</w:t>
      </w:r>
      <w:r>
        <w:rPr>
          <w:rFonts w:ascii="Times New Roman" w:hAnsi="Times New Roman" w:eastAsia="宋体" w:cs="Times New Roman"/>
          <w:color w:val="auto"/>
          <w:u w:val="single"/>
        </w:rPr>
        <w:t>__</w:t>
      </w:r>
      <w:r>
        <w:rPr>
          <w:rFonts w:ascii="Times New Roman" w:hAnsi="Times New Roman" w:eastAsia="宋体" w:cs="Times New Roman"/>
          <w:color w:val="auto"/>
        </w:rPr>
        <w:t>_</w:t>
      </w:r>
      <w:r>
        <w:rPr>
          <w:rFonts w:hint="eastAsia" w:ascii="Times New Roman" w:hAnsi="Times New Roman" w:eastAsia="宋体" w:cs="Times New Roman"/>
          <w:color w:val="auto"/>
        </w:rPr>
        <w:t>），</w:t>
      </w:r>
      <w:r>
        <w:rPr>
          <w:rFonts w:hint="eastAsia" w:ascii="Times New Roman" w:hAnsi="Times New Roman" w:eastAsia="宋体" w:cs="Times New Roman"/>
          <w:color w:val="auto"/>
          <w:spacing w:val="-4"/>
          <w:kern w:val="0"/>
          <w:szCs w:val="21"/>
        </w:rPr>
        <w:t>同意如下：</w:t>
      </w:r>
    </w:p>
    <w:p w14:paraId="1AF90F15">
      <w:pPr>
        <w:widowControl/>
        <w:spacing w:line="360" w:lineRule="auto"/>
        <w:ind w:right="-341" w:firstLine="387" w:firstLineChars="192"/>
        <w:rPr>
          <w:rFonts w:ascii="Times New Roman" w:hAnsi="Times New Roman" w:eastAsia="宋体" w:cs="Times New Roman"/>
          <w:color w:val="auto"/>
          <w:spacing w:val="-4"/>
          <w:kern w:val="0"/>
          <w:szCs w:val="21"/>
        </w:rPr>
      </w:pPr>
      <w:r>
        <w:rPr>
          <w:rFonts w:ascii="Times New Roman" w:hAnsi="Times New Roman" w:eastAsia="宋体" w:cs="Times New Roman"/>
          <w:color w:val="auto"/>
          <w:spacing w:val="-4"/>
          <w:kern w:val="0"/>
          <w:szCs w:val="21"/>
        </w:rPr>
        <w:t>1.</w:t>
      </w:r>
      <w:r>
        <w:rPr>
          <w:rFonts w:hint="eastAsia" w:ascii="Times New Roman" w:hAnsi="Times New Roman" w:eastAsia="宋体" w:cs="Times New Roman"/>
          <w:color w:val="auto"/>
          <w:spacing w:val="-4"/>
          <w:kern w:val="0"/>
          <w:szCs w:val="21"/>
        </w:rPr>
        <w:t>我方已详细审查了采购文件的全部内容及其相关补充文件</w:t>
      </w:r>
      <w:r>
        <w:rPr>
          <w:rFonts w:hint="eastAsia" w:ascii="Times New Roman" w:hAnsi="Times New Roman" w:eastAsia="宋体" w:cs="Times New Roman"/>
          <w:b/>
          <w:color w:val="auto"/>
          <w:spacing w:val="-4"/>
          <w:kern w:val="0"/>
          <w:szCs w:val="21"/>
        </w:rPr>
        <w:t>（如有）</w:t>
      </w:r>
      <w:r>
        <w:rPr>
          <w:rFonts w:hint="eastAsia" w:ascii="Times New Roman" w:hAnsi="Times New Roman" w:eastAsia="宋体" w:cs="Times New Roman"/>
          <w:color w:val="auto"/>
          <w:spacing w:val="-4"/>
          <w:kern w:val="0"/>
          <w:szCs w:val="21"/>
        </w:rPr>
        <w:t>，并完全清晰理解全部内容及相关的补充文件</w:t>
      </w:r>
      <w:r>
        <w:rPr>
          <w:rFonts w:hint="eastAsia" w:ascii="Times New Roman" w:hAnsi="Times New Roman" w:eastAsia="宋体" w:cs="Times New Roman"/>
          <w:b/>
          <w:color w:val="auto"/>
          <w:spacing w:val="-4"/>
          <w:kern w:val="0"/>
          <w:szCs w:val="21"/>
        </w:rPr>
        <w:t>（如有）</w:t>
      </w:r>
      <w:r>
        <w:rPr>
          <w:rFonts w:hint="eastAsia" w:ascii="Times New Roman" w:hAnsi="Times New Roman" w:eastAsia="宋体" w:cs="Times New Roman"/>
          <w:color w:val="auto"/>
          <w:spacing w:val="-4"/>
          <w:kern w:val="0"/>
          <w:szCs w:val="21"/>
        </w:rPr>
        <w:t>，不存在任何误解之处，同意放弃提出异议和质疑的权利。</w:t>
      </w:r>
    </w:p>
    <w:p w14:paraId="0349436C">
      <w:pPr>
        <w:snapToGrid w:val="0"/>
        <w:spacing w:line="360" w:lineRule="auto"/>
        <w:ind w:right="-341" w:firstLine="404" w:firstLineChars="200"/>
        <w:rPr>
          <w:rFonts w:ascii="Times New Roman" w:hAnsi="Times New Roman" w:eastAsia="宋体" w:cs="Times New Roman"/>
          <w:color w:val="auto"/>
          <w:spacing w:val="-4"/>
          <w:szCs w:val="21"/>
        </w:rPr>
      </w:pPr>
      <w:r>
        <w:rPr>
          <w:rFonts w:ascii="Times New Roman" w:hAnsi="Times New Roman" w:eastAsia="宋体" w:cs="Times New Roman"/>
          <w:color w:val="auto"/>
          <w:spacing w:val="-4"/>
          <w:szCs w:val="21"/>
        </w:rPr>
        <w:t>2.</w:t>
      </w:r>
      <w:r>
        <w:rPr>
          <w:rFonts w:hint="eastAsia" w:ascii="Times New Roman" w:hAnsi="Times New Roman" w:eastAsia="宋体" w:cs="Times New Roman"/>
          <w:color w:val="auto"/>
          <w:spacing w:val="-4"/>
          <w:szCs w:val="21"/>
        </w:rPr>
        <w:t>我方遵守《中华人民共和国政府采购法》及相关法律法规的规定。同意采购文件中所提到的无效标条款，并服从有关开标会议纪律。否则，同意被废除投标资格。</w:t>
      </w:r>
    </w:p>
    <w:p w14:paraId="0ACD67A3">
      <w:pPr>
        <w:spacing w:line="360" w:lineRule="auto"/>
        <w:ind w:right="-341" w:firstLine="404" w:firstLineChars="200"/>
        <w:rPr>
          <w:rFonts w:ascii="Times New Roman" w:hAnsi="Times New Roman" w:eastAsia="宋体" w:cs="Times New Roman"/>
          <w:color w:val="auto"/>
          <w:spacing w:val="-4"/>
          <w:szCs w:val="21"/>
        </w:rPr>
      </w:pPr>
      <w:r>
        <w:rPr>
          <w:rFonts w:ascii="Times New Roman" w:hAnsi="Times New Roman" w:eastAsia="宋体" w:cs="Times New Roman"/>
          <w:color w:val="auto"/>
          <w:spacing w:val="-4"/>
          <w:szCs w:val="21"/>
        </w:rPr>
        <w:t>3.</w:t>
      </w:r>
      <w:r>
        <w:rPr>
          <w:rFonts w:hint="eastAsia" w:ascii="Times New Roman" w:hAnsi="Times New Roman" w:eastAsia="宋体" w:cs="Times New Roman"/>
          <w:color w:val="auto"/>
          <w:spacing w:val="-4"/>
          <w:szCs w:val="21"/>
        </w:rPr>
        <w:t>我方所提供的一次性投标产品报价均具充分的合理性和准确性，保证不存在低于成本的恶意报价行为，同时清楚理解到报价最低并非意味着必定获得合同授予资格。</w:t>
      </w:r>
    </w:p>
    <w:p w14:paraId="3D517F2D">
      <w:pPr>
        <w:spacing w:line="360" w:lineRule="auto"/>
        <w:ind w:right="-341" w:firstLine="404" w:firstLineChars="200"/>
        <w:rPr>
          <w:rFonts w:ascii="Times New Roman" w:hAnsi="Times New Roman" w:eastAsia="宋体" w:cs="Times New Roman"/>
          <w:color w:val="auto"/>
          <w:spacing w:val="-4"/>
          <w:szCs w:val="21"/>
        </w:rPr>
      </w:pPr>
      <w:r>
        <w:rPr>
          <w:rFonts w:ascii="Times New Roman" w:hAnsi="Times New Roman" w:eastAsia="宋体" w:cs="Times New Roman"/>
          <w:color w:val="auto"/>
          <w:spacing w:val="-4"/>
          <w:szCs w:val="21"/>
        </w:rPr>
        <w:t>4.</w:t>
      </w:r>
      <w:r>
        <w:rPr>
          <w:rFonts w:hint="eastAsia" w:ascii="Times New Roman" w:hAnsi="Times New Roman" w:eastAsia="宋体" w:cs="Times New Roman"/>
          <w:color w:val="auto"/>
          <w:spacing w:val="-4"/>
          <w:szCs w:val="21"/>
        </w:rPr>
        <w:t>投标有效期为自开标之日起</w:t>
      </w:r>
      <w:r>
        <w:rPr>
          <w:rFonts w:ascii="Times New Roman" w:hAnsi="Times New Roman" w:eastAsia="宋体" w:cs="Times New Roman"/>
          <w:color w:val="auto"/>
          <w:spacing w:val="-4"/>
          <w:szCs w:val="21"/>
        </w:rPr>
        <w:t>9</w:t>
      </w:r>
      <w:r>
        <w:rPr>
          <w:rFonts w:ascii="Times New Roman" w:hAnsi="Times New Roman" w:eastAsia="宋体" w:cs="Times New Roman"/>
          <w:color w:val="auto"/>
          <w:spacing w:val="-4"/>
          <w:szCs w:val="21"/>
          <w:u w:val="single"/>
        </w:rPr>
        <w:t>0</w:t>
      </w:r>
      <w:r>
        <w:rPr>
          <w:rFonts w:hint="eastAsia" w:ascii="Times New Roman" w:hAnsi="Times New Roman" w:eastAsia="宋体" w:cs="Times New Roman"/>
          <w:color w:val="auto"/>
          <w:spacing w:val="-4"/>
          <w:szCs w:val="21"/>
        </w:rPr>
        <w:t>天内，如在投标有效期内撤回投标，我方同意被废除投标资格。</w:t>
      </w:r>
    </w:p>
    <w:p w14:paraId="6162328E">
      <w:pPr>
        <w:spacing w:line="360" w:lineRule="auto"/>
        <w:ind w:right="-341" w:firstLine="404" w:firstLineChars="200"/>
        <w:rPr>
          <w:rFonts w:ascii="Times New Roman" w:hAnsi="Times New Roman" w:eastAsia="宋体" w:cs="Times New Roman"/>
          <w:color w:val="auto"/>
          <w:spacing w:val="-4"/>
          <w:szCs w:val="21"/>
        </w:rPr>
      </w:pPr>
      <w:r>
        <w:rPr>
          <w:rFonts w:ascii="Times New Roman" w:hAnsi="Times New Roman" w:eastAsia="宋体" w:cs="Times New Roman"/>
          <w:color w:val="auto"/>
          <w:spacing w:val="-4"/>
          <w:szCs w:val="21"/>
        </w:rPr>
        <w:t>5.</w:t>
      </w:r>
      <w:r>
        <w:rPr>
          <w:rFonts w:hint="eastAsia" w:ascii="Times New Roman" w:hAnsi="Times New Roman" w:eastAsia="宋体" w:cs="Times New Roman"/>
          <w:color w:val="auto"/>
          <w:spacing w:val="-4"/>
          <w:szCs w:val="21"/>
        </w:rPr>
        <w:t>我方承诺</w:t>
      </w:r>
      <w:r>
        <w:rPr>
          <w:rFonts w:hint="eastAsia" w:ascii="Times New Roman" w:hAnsi="Times New Roman" w:eastAsia="宋体" w:cs="Times New Roman"/>
          <w:color w:val="auto"/>
          <w:szCs w:val="21"/>
        </w:rPr>
        <w:t>参加政府采购活动前</w:t>
      </w:r>
      <w:r>
        <w:rPr>
          <w:rFonts w:ascii="Times New Roman" w:hAnsi="Times New Roman" w:eastAsia="宋体" w:cs="Times New Roman"/>
          <w:color w:val="auto"/>
          <w:szCs w:val="21"/>
        </w:rPr>
        <w:t>3</w:t>
      </w:r>
      <w:r>
        <w:rPr>
          <w:rFonts w:hint="eastAsia" w:ascii="Times New Roman" w:hAnsi="Times New Roman" w:eastAsia="宋体" w:cs="Times New Roman"/>
          <w:color w:val="auto"/>
          <w:szCs w:val="21"/>
        </w:rPr>
        <w:t>年内在经营活动中没有重大违法记录和依法缴纳了税收</w:t>
      </w:r>
      <w:r>
        <w:rPr>
          <w:rFonts w:hint="eastAsia" w:ascii="Times New Roman" w:hAnsi="Times New Roman" w:eastAsia="宋体" w:cs="Times New Roman"/>
          <w:color w:val="auto"/>
          <w:spacing w:val="-4"/>
          <w:szCs w:val="21"/>
        </w:rPr>
        <w:t>（投标截止时间进行计算）。</w:t>
      </w:r>
    </w:p>
    <w:p w14:paraId="7DCA40B6">
      <w:pPr>
        <w:spacing w:line="360" w:lineRule="auto"/>
        <w:ind w:right="-341" w:firstLine="404" w:firstLineChars="200"/>
        <w:rPr>
          <w:rFonts w:ascii="Times New Roman" w:hAnsi="Times New Roman" w:eastAsia="宋体" w:cs="Times New Roman"/>
          <w:color w:val="auto"/>
          <w:szCs w:val="21"/>
        </w:rPr>
      </w:pPr>
      <w:r>
        <w:rPr>
          <w:rFonts w:ascii="Times New Roman" w:hAnsi="Times New Roman" w:eastAsia="宋体" w:cs="Times New Roman"/>
          <w:color w:val="auto"/>
          <w:spacing w:val="-4"/>
          <w:szCs w:val="21"/>
        </w:rPr>
        <w:t>6.</w:t>
      </w:r>
      <w:r>
        <w:rPr>
          <w:rFonts w:hint="eastAsia" w:ascii="Times New Roman" w:hAnsi="Times New Roman" w:eastAsia="宋体" w:cs="Times New Roman"/>
          <w:color w:val="auto"/>
          <w:spacing w:val="-4"/>
          <w:szCs w:val="21"/>
        </w:rPr>
        <w:t>我方承诺具备本项目</w:t>
      </w:r>
      <w:r>
        <w:rPr>
          <w:rFonts w:hint="eastAsia" w:ascii="Times New Roman" w:hAnsi="Times New Roman" w:eastAsia="宋体" w:cs="Times New Roman"/>
          <w:color w:val="auto"/>
          <w:szCs w:val="21"/>
        </w:rPr>
        <w:t>履行合同所必需的设备和专业技术能力</w:t>
      </w:r>
    </w:p>
    <w:p w14:paraId="0412EA68">
      <w:pPr>
        <w:spacing w:line="360" w:lineRule="auto"/>
        <w:ind w:right="-341" w:firstLine="404" w:firstLineChars="200"/>
        <w:rPr>
          <w:rFonts w:ascii="Times New Roman" w:hAnsi="Times New Roman" w:eastAsia="宋体" w:cs="Times New Roman"/>
          <w:color w:val="auto"/>
          <w:spacing w:val="-4"/>
          <w:szCs w:val="21"/>
        </w:rPr>
      </w:pPr>
      <w:r>
        <w:rPr>
          <w:rFonts w:ascii="Times New Roman" w:hAnsi="Times New Roman" w:eastAsia="宋体" w:cs="Times New Roman"/>
          <w:color w:val="auto"/>
          <w:spacing w:val="-4"/>
          <w:szCs w:val="21"/>
        </w:rPr>
        <w:t>7.</w:t>
      </w:r>
      <w:r>
        <w:rPr>
          <w:rFonts w:hint="eastAsia" w:ascii="Times New Roman" w:hAnsi="Times New Roman" w:eastAsia="宋体" w:cs="Times New Roman"/>
          <w:color w:val="auto"/>
          <w:spacing w:val="-4"/>
          <w:szCs w:val="21"/>
        </w:rPr>
        <w:t>我方承诺所提供的一切投标文件经已认真严格审核，内容均为全面真实、准确有效且毫无保留，绝无任何遗漏、虚假、伪造和夸大的成份，若出现违背诚实信用和无如实告知之处，同意被废除投标资格和相关的处罚。</w:t>
      </w:r>
    </w:p>
    <w:p w14:paraId="77EE6B1F">
      <w:pPr>
        <w:spacing w:line="360" w:lineRule="auto"/>
        <w:ind w:right="-341" w:firstLine="404" w:firstLineChars="200"/>
        <w:rPr>
          <w:rFonts w:ascii="Times New Roman" w:hAnsi="Times New Roman" w:eastAsia="宋体" w:cs="Times New Roman"/>
          <w:color w:val="auto"/>
          <w:spacing w:val="-4"/>
          <w:szCs w:val="21"/>
        </w:rPr>
      </w:pPr>
      <w:r>
        <w:rPr>
          <w:rFonts w:ascii="Times New Roman" w:hAnsi="Times New Roman" w:eastAsia="宋体" w:cs="Times New Roman"/>
          <w:color w:val="auto"/>
          <w:spacing w:val="-4"/>
          <w:szCs w:val="21"/>
        </w:rPr>
        <w:t>8.</w:t>
      </w:r>
      <w:r>
        <w:rPr>
          <w:rFonts w:hint="eastAsia" w:ascii="Times New Roman" w:hAnsi="Times New Roman" w:eastAsia="宋体" w:cs="Times New Roman"/>
          <w:color w:val="auto"/>
          <w:spacing w:val="-4"/>
          <w:szCs w:val="21"/>
        </w:rPr>
        <w:t>我方承诺至开标之日止，未被</w:t>
      </w:r>
      <w:r>
        <w:rPr>
          <w:rFonts w:ascii="Times New Roman" w:hAnsi="Times New Roman" w:eastAsia="宋体" w:cs="Times New Roman"/>
          <w:color w:val="auto"/>
          <w:spacing w:val="-4"/>
          <w:szCs w:val="21"/>
        </w:rPr>
        <w:t>“</w:t>
      </w:r>
      <w:r>
        <w:rPr>
          <w:rFonts w:hint="eastAsia" w:ascii="Times New Roman" w:hAnsi="Times New Roman" w:eastAsia="宋体" w:cs="Times New Roman"/>
          <w:color w:val="auto"/>
          <w:spacing w:val="-4"/>
          <w:szCs w:val="21"/>
        </w:rPr>
        <w:t>信用中国</w:t>
      </w:r>
      <w:r>
        <w:rPr>
          <w:rFonts w:ascii="Times New Roman" w:hAnsi="Times New Roman" w:eastAsia="宋体" w:cs="Times New Roman"/>
          <w:color w:val="auto"/>
          <w:spacing w:val="-4"/>
          <w:szCs w:val="21"/>
        </w:rPr>
        <w:t>”</w:t>
      </w:r>
      <w:r>
        <w:rPr>
          <w:rFonts w:hint="eastAsia" w:ascii="Times New Roman" w:hAnsi="Times New Roman" w:eastAsia="宋体" w:cs="Times New Roman"/>
          <w:color w:val="auto"/>
          <w:spacing w:val="-4"/>
          <w:szCs w:val="21"/>
        </w:rPr>
        <w:t>（</w:t>
      </w:r>
      <w:r>
        <w:rPr>
          <w:rFonts w:ascii="Times New Roman" w:hAnsi="Times New Roman" w:eastAsia="宋体" w:cs="Times New Roman"/>
          <w:color w:val="auto"/>
          <w:spacing w:val="-4"/>
          <w:szCs w:val="21"/>
        </w:rPr>
        <w:t>www.creditchina.gov.cn</w:t>
      </w:r>
      <w:r>
        <w:rPr>
          <w:rFonts w:hint="eastAsia" w:ascii="Times New Roman" w:hAnsi="Times New Roman" w:eastAsia="宋体" w:cs="Times New Roman"/>
          <w:color w:val="auto"/>
          <w:spacing w:val="-4"/>
          <w:szCs w:val="21"/>
        </w:rPr>
        <w:t>）、中国政府采购网（</w:t>
      </w:r>
      <w:r>
        <w:rPr>
          <w:rFonts w:ascii="Times New Roman" w:hAnsi="Times New Roman" w:eastAsia="宋体" w:cs="Times New Roman"/>
          <w:color w:val="auto"/>
          <w:spacing w:val="-4"/>
          <w:szCs w:val="21"/>
        </w:rPr>
        <w:t>www.ccgp.gov.cn</w:t>
      </w:r>
      <w:r>
        <w:rPr>
          <w:rFonts w:hint="eastAsia" w:ascii="Times New Roman" w:hAnsi="Times New Roman" w:eastAsia="宋体" w:cs="Times New Roman"/>
          <w:color w:val="auto"/>
          <w:spacing w:val="-4"/>
          <w:szCs w:val="21"/>
        </w:rPr>
        <w:t>）列入失信被执行人、重大税收违法案件当事人名单、政府采购严重违法失信行为记录名单。</w:t>
      </w:r>
    </w:p>
    <w:p w14:paraId="507D542A">
      <w:pPr>
        <w:snapToGrid w:val="0"/>
        <w:spacing w:line="360" w:lineRule="auto"/>
        <w:ind w:right="-341" w:firstLine="420" w:firstLineChars="200"/>
        <w:rPr>
          <w:rFonts w:ascii="Times New Roman" w:hAnsi="Times New Roman" w:eastAsia="宋体" w:cs="Times New Roman"/>
          <w:color w:val="auto"/>
        </w:rPr>
      </w:pPr>
      <w:r>
        <w:rPr>
          <w:rFonts w:ascii="Times New Roman" w:hAnsi="Times New Roman" w:eastAsia="宋体" w:cs="Times New Roman"/>
          <w:color w:val="auto"/>
        </w:rPr>
        <w:t>9.</w:t>
      </w:r>
      <w:r>
        <w:rPr>
          <w:rFonts w:hint="eastAsia" w:ascii="Times New Roman" w:hAnsi="Times New Roman" w:eastAsia="宋体" w:cs="Times New Roman"/>
          <w:color w:val="auto"/>
        </w:rPr>
        <w:t>与本投标有关的一切正式往来信函请寄：</w:t>
      </w:r>
    </w:p>
    <w:p w14:paraId="65C54CD4">
      <w:pPr>
        <w:snapToGrid w:val="0"/>
        <w:spacing w:line="312" w:lineRule="auto"/>
        <w:ind w:right="-341"/>
        <w:rPr>
          <w:rFonts w:ascii="Times New Roman" w:hAnsi="Times New Roman" w:eastAsia="宋体" w:cs="Times New Roman"/>
          <w:color w:val="auto"/>
        </w:rPr>
      </w:pPr>
      <w:r>
        <w:rPr>
          <w:rFonts w:hint="eastAsia" w:ascii="Times New Roman" w:hAnsi="Times New Roman" w:eastAsia="宋体" w:cs="Times New Roman"/>
          <w:color w:val="auto"/>
        </w:rPr>
        <w:t>地址：</w:t>
      </w:r>
      <w:r>
        <w:rPr>
          <w:rFonts w:ascii="Times New Roman" w:hAnsi="Times New Roman" w:eastAsia="宋体" w:cs="Times New Roman"/>
          <w:color w:val="auto"/>
        </w:rPr>
        <w:t>__________</w:t>
      </w:r>
      <w:r>
        <w:rPr>
          <w:rFonts w:ascii="Times New Roman" w:hAnsi="Times New Roman" w:eastAsia="宋体" w:cs="Times New Roman"/>
          <w:color w:val="auto"/>
          <w:u w:val="single"/>
        </w:rPr>
        <w:t>_</w:t>
      </w:r>
      <w:r>
        <w:rPr>
          <w:rFonts w:ascii="Times New Roman" w:hAnsi="Times New Roman" w:eastAsia="宋体" w:cs="Times New Roman"/>
          <w:color w:val="auto"/>
        </w:rPr>
        <w:t>____</w:t>
      </w:r>
      <w:r>
        <w:rPr>
          <w:rFonts w:hint="eastAsia" w:ascii="Times New Roman" w:hAnsi="Times New Roman" w:eastAsia="宋体" w:cs="Times New Roman"/>
          <w:color w:val="auto"/>
        </w:rPr>
        <w:t>邮编：</w:t>
      </w:r>
      <w:r>
        <w:rPr>
          <w:rFonts w:ascii="Times New Roman" w:hAnsi="Times New Roman" w:eastAsia="宋体" w:cs="Times New Roman"/>
          <w:color w:val="auto"/>
        </w:rPr>
        <w:t>__________</w:t>
      </w:r>
      <w:r>
        <w:rPr>
          <w:rFonts w:hint="eastAsia" w:ascii="Times New Roman" w:hAnsi="Times New Roman" w:eastAsia="宋体" w:cs="Times New Roman"/>
          <w:color w:val="auto"/>
        </w:rPr>
        <w:t>电话：</w:t>
      </w:r>
      <w:r>
        <w:rPr>
          <w:rFonts w:ascii="Times New Roman" w:hAnsi="Times New Roman" w:eastAsia="宋体" w:cs="Times New Roman"/>
          <w:color w:val="auto"/>
        </w:rPr>
        <w:t>______________</w:t>
      </w:r>
    </w:p>
    <w:p w14:paraId="5E6223E6">
      <w:pPr>
        <w:snapToGrid w:val="0"/>
        <w:spacing w:line="312" w:lineRule="auto"/>
        <w:ind w:right="-341"/>
        <w:rPr>
          <w:rFonts w:ascii="Times New Roman" w:hAnsi="Times New Roman" w:eastAsia="宋体" w:cs="Times New Roman"/>
          <w:color w:val="auto"/>
        </w:rPr>
      </w:pPr>
      <w:r>
        <w:rPr>
          <w:rFonts w:hint="eastAsia" w:ascii="Times New Roman" w:hAnsi="Times New Roman" w:eastAsia="宋体" w:cs="Times New Roman"/>
          <w:color w:val="auto"/>
        </w:rPr>
        <w:t>传真：</w:t>
      </w:r>
      <w:r>
        <w:rPr>
          <w:rFonts w:ascii="Times New Roman" w:hAnsi="Times New Roman" w:eastAsia="宋体" w:cs="Times New Roman"/>
          <w:color w:val="auto"/>
        </w:rPr>
        <w:t>______________</w:t>
      </w:r>
      <w:r>
        <w:rPr>
          <w:rFonts w:hint="eastAsia" w:ascii="Times New Roman" w:hAnsi="Times New Roman" w:eastAsia="宋体" w:cs="Times New Roman"/>
          <w:color w:val="auto"/>
        </w:rPr>
        <w:t>投标人代表姓名</w:t>
      </w:r>
      <w:r>
        <w:rPr>
          <w:rFonts w:ascii="Times New Roman" w:hAnsi="Times New Roman" w:eastAsia="宋体" w:cs="Times New Roman"/>
          <w:color w:val="auto"/>
        </w:rPr>
        <w:t>___________</w:t>
      </w:r>
      <w:r>
        <w:rPr>
          <w:rFonts w:hint="eastAsia" w:ascii="Times New Roman" w:hAnsi="Times New Roman" w:eastAsia="宋体" w:cs="Times New Roman"/>
          <w:color w:val="auto"/>
        </w:rPr>
        <w:t>职务：</w:t>
      </w:r>
      <w:r>
        <w:rPr>
          <w:rFonts w:ascii="Times New Roman" w:hAnsi="Times New Roman" w:eastAsia="宋体" w:cs="Times New Roman"/>
          <w:color w:val="auto"/>
        </w:rPr>
        <w:t>_____________</w:t>
      </w:r>
    </w:p>
    <w:p w14:paraId="4A6AB3FB">
      <w:pPr>
        <w:snapToGrid w:val="0"/>
        <w:spacing w:line="312" w:lineRule="auto"/>
        <w:ind w:right="-341"/>
        <w:rPr>
          <w:rFonts w:ascii="Times New Roman" w:hAnsi="Times New Roman" w:eastAsia="宋体" w:cs="Times New Roman"/>
          <w:color w:val="auto"/>
        </w:rPr>
      </w:pPr>
      <w:r>
        <w:rPr>
          <w:rFonts w:hint="eastAsia" w:ascii="Times New Roman" w:hAnsi="Times New Roman" w:eastAsia="宋体" w:cs="Times New Roman"/>
          <w:color w:val="auto"/>
        </w:rPr>
        <w:t>投标人名称</w:t>
      </w:r>
      <w:r>
        <w:rPr>
          <w:rFonts w:ascii="Times New Roman" w:hAnsi="Times New Roman" w:eastAsia="宋体" w:cs="Times New Roman"/>
          <w:color w:val="auto"/>
        </w:rPr>
        <w:t>(</w:t>
      </w:r>
      <w:r>
        <w:rPr>
          <w:rFonts w:hint="eastAsia" w:ascii="Times New Roman" w:hAnsi="Times New Roman" w:eastAsia="宋体" w:cs="Times New Roman"/>
          <w:color w:val="auto"/>
        </w:rPr>
        <w:t>公章</w:t>
      </w:r>
      <w:r>
        <w:rPr>
          <w:rFonts w:ascii="Times New Roman" w:hAnsi="Times New Roman" w:eastAsia="宋体" w:cs="Times New Roman"/>
          <w:color w:val="auto"/>
        </w:rPr>
        <w:t>):___________________</w:t>
      </w:r>
    </w:p>
    <w:p w14:paraId="7595A4AB">
      <w:pPr>
        <w:snapToGrid w:val="0"/>
        <w:spacing w:line="312" w:lineRule="auto"/>
        <w:ind w:right="-341"/>
        <w:rPr>
          <w:rFonts w:ascii="Times New Roman" w:hAnsi="Times New Roman" w:eastAsia="宋体" w:cs="Times New Roman"/>
          <w:color w:val="auto"/>
        </w:rPr>
      </w:pPr>
      <w:r>
        <w:rPr>
          <w:rFonts w:hint="eastAsia" w:ascii="Times New Roman" w:hAnsi="Times New Roman" w:eastAsia="宋体" w:cs="Times New Roman"/>
          <w:color w:val="auto"/>
        </w:rPr>
        <w:t>开户银行：银行账号：</w:t>
      </w:r>
    </w:p>
    <w:p w14:paraId="5A9B54C6">
      <w:pPr>
        <w:snapToGrid w:val="0"/>
        <w:ind w:right="-341"/>
        <w:rPr>
          <w:rFonts w:ascii="Times New Roman" w:hAnsi="Times New Roman" w:eastAsia="宋体" w:cs="Times New Roman"/>
          <w:color w:val="auto"/>
        </w:rPr>
      </w:pPr>
    </w:p>
    <w:p w14:paraId="4E87C082">
      <w:pPr>
        <w:snapToGrid w:val="0"/>
        <w:spacing w:before="120" w:line="312" w:lineRule="auto"/>
        <w:ind w:right="-341" w:firstLine="2940" w:firstLineChars="1400"/>
        <w:rPr>
          <w:rFonts w:ascii="Times New Roman" w:hAnsi="Times New Roman" w:eastAsia="宋体" w:cs="Times New Roman"/>
          <w:color w:val="auto"/>
        </w:rPr>
      </w:pPr>
      <w:r>
        <w:rPr>
          <w:rFonts w:hint="eastAsia" w:ascii="Times New Roman" w:hAnsi="Times New Roman" w:eastAsia="宋体" w:cs="Times New Roman"/>
          <w:color w:val="auto"/>
        </w:rPr>
        <w:t>日期</w:t>
      </w:r>
      <w:r>
        <w:rPr>
          <w:rFonts w:ascii="Times New Roman" w:hAnsi="Times New Roman" w:eastAsia="宋体" w:cs="Times New Roman"/>
          <w:color w:val="auto"/>
        </w:rPr>
        <w:t>:_____</w:t>
      </w:r>
      <w:r>
        <w:rPr>
          <w:rFonts w:hint="eastAsia" w:ascii="Times New Roman" w:hAnsi="Times New Roman" w:eastAsia="宋体" w:cs="Times New Roman"/>
          <w:color w:val="auto"/>
        </w:rPr>
        <w:t>年</w:t>
      </w:r>
      <w:r>
        <w:rPr>
          <w:rFonts w:ascii="Times New Roman" w:hAnsi="Times New Roman" w:eastAsia="宋体" w:cs="Times New Roman"/>
          <w:color w:val="auto"/>
        </w:rPr>
        <w:t>___</w:t>
      </w:r>
      <w:r>
        <w:rPr>
          <w:rFonts w:hint="eastAsia" w:ascii="Times New Roman" w:hAnsi="Times New Roman" w:eastAsia="宋体" w:cs="Times New Roman"/>
          <w:color w:val="auto"/>
        </w:rPr>
        <w:t>月</w:t>
      </w:r>
      <w:r>
        <w:rPr>
          <w:rFonts w:ascii="Times New Roman" w:hAnsi="Times New Roman" w:eastAsia="宋体" w:cs="Times New Roman"/>
          <w:color w:val="auto"/>
        </w:rPr>
        <w:t>___</w:t>
      </w:r>
      <w:r>
        <w:rPr>
          <w:rFonts w:hint="eastAsia" w:ascii="Times New Roman" w:hAnsi="Times New Roman" w:eastAsia="宋体" w:cs="Times New Roman"/>
          <w:color w:val="auto"/>
        </w:rPr>
        <w:t>日</w:t>
      </w:r>
    </w:p>
    <w:p w14:paraId="59393716">
      <w:pPr>
        <w:snapToGrid w:val="0"/>
        <w:spacing w:line="312" w:lineRule="auto"/>
        <w:ind w:right="-341"/>
        <w:jc w:val="left"/>
        <w:rPr>
          <w:rFonts w:ascii="Times New Roman" w:hAnsi="Times New Roman" w:eastAsia="宋体" w:cs="Times New Roman"/>
          <w:b/>
          <w:color w:val="auto"/>
          <w:sz w:val="24"/>
        </w:rPr>
      </w:pPr>
      <w:r>
        <w:rPr>
          <w:rFonts w:ascii="Times New Roman" w:hAnsi="Times New Roman" w:eastAsia="宋体" w:cs="Times New Roman"/>
          <w:color w:val="auto"/>
          <w:kern w:val="0"/>
        </w:rPr>
        <w:br w:type="page"/>
      </w:r>
    </w:p>
    <w:p w14:paraId="3E7ADDAC">
      <w:pPr>
        <w:snapToGrid w:val="0"/>
        <w:spacing w:before="120" w:line="312" w:lineRule="auto"/>
        <w:ind w:right="-341"/>
        <w:jc w:val="center"/>
        <w:rPr>
          <w:rFonts w:ascii="Times New Roman" w:hAnsi="Times New Roman" w:eastAsia="宋体" w:cs="Times New Roman"/>
          <w:b/>
          <w:color w:val="auto"/>
          <w:sz w:val="32"/>
        </w:rPr>
      </w:pPr>
    </w:p>
    <w:p w14:paraId="5659587D">
      <w:pPr>
        <w:snapToGrid w:val="0"/>
        <w:spacing w:before="120" w:beforeLines="50" w:after="50"/>
        <w:jc w:val="center"/>
        <w:rPr>
          <w:rFonts w:ascii="Times New Roman" w:hAnsi="Times New Roman" w:eastAsia="宋体" w:cs="Times New Roman"/>
          <w:b/>
          <w:color w:val="auto"/>
          <w:sz w:val="32"/>
          <w:szCs w:val="32"/>
        </w:rPr>
      </w:pPr>
      <w:r>
        <w:rPr>
          <w:rFonts w:hint="eastAsia" w:ascii="Times New Roman" w:hAnsi="Times New Roman" w:eastAsia="宋体" w:cs="Times New Roman"/>
          <w:b/>
          <w:color w:val="auto"/>
          <w:sz w:val="32"/>
          <w:szCs w:val="32"/>
        </w:rPr>
        <w:t>五、声明函</w:t>
      </w:r>
    </w:p>
    <w:p w14:paraId="188DDCD4">
      <w:pPr>
        <w:snapToGrid w:val="0"/>
        <w:spacing w:before="120" w:beforeLines="50" w:after="50" w:line="360" w:lineRule="auto"/>
        <w:rPr>
          <w:rFonts w:ascii="Times New Roman" w:hAnsi="Times New Roman" w:eastAsia="宋体" w:cs="Times New Roman"/>
          <w:color w:val="auto"/>
          <w:szCs w:val="21"/>
        </w:rPr>
      </w:pPr>
    </w:p>
    <w:p w14:paraId="6AC068D3">
      <w:pPr>
        <w:snapToGrid w:val="0"/>
        <w:spacing w:before="120" w:beforeLines="50" w:after="50" w:line="360" w:lineRule="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致：</w:t>
      </w:r>
      <w:r>
        <w:rPr>
          <w:rFonts w:ascii="Times New Roman" w:hAnsi="Times New Roman" w:eastAsia="宋体" w:cs="Times New Roman"/>
          <w:color w:val="auto"/>
          <w:szCs w:val="21"/>
        </w:rPr>
        <w:t>_</w:t>
      </w:r>
      <w:r>
        <w:rPr>
          <w:rFonts w:hint="eastAsia" w:ascii="Times New Roman" w:hAnsi="Times New Roman" w:eastAsia="宋体" w:cs="Times New Roman"/>
          <w:color w:val="auto"/>
          <w:u w:val="single"/>
        </w:rPr>
        <w:t>深圳市国信招标有限公司</w:t>
      </w:r>
      <w:r>
        <w:rPr>
          <w:rFonts w:ascii="Times New Roman" w:hAnsi="Times New Roman" w:eastAsia="宋体" w:cs="Times New Roman"/>
          <w:color w:val="auto"/>
        </w:rPr>
        <w:t>_</w:t>
      </w:r>
      <w:r>
        <w:rPr>
          <w:rFonts w:hint="eastAsia" w:ascii="Times New Roman" w:hAnsi="Times New Roman" w:eastAsia="宋体" w:cs="Times New Roman"/>
          <w:color w:val="auto"/>
          <w:szCs w:val="21"/>
        </w:rPr>
        <w:t>：</w:t>
      </w:r>
    </w:p>
    <w:p w14:paraId="0B01D9A7">
      <w:pPr>
        <w:spacing w:after="120"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我方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中标</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签订合同），我方对此无任何异议。</w:t>
      </w:r>
    </w:p>
    <w:p w14:paraId="12758ADD">
      <w:pPr>
        <w:spacing w:after="120"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特此声明！</w:t>
      </w:r>
    </w:p>
    <w:p w14:paraId="3BD6F6BD">
      <w:pPr>
        <w:spacing w:after="120"/>
        <w:ind w:firstLine="480"/>
        <w:rPr>
          <w:rFonts w:ascii="Times New Roman" w:hAnsi="Times New Roman" w:eastAsia="宋体" w:cs="Times New Roman"/>
          <w:color w:val="auto"/>
        </w:rPr>
      </w:pPr>
    </w:p>
    <w:p w14:paraId="2DFBC469">
      <w:pPr>
        <w:snapToGrid w:val="0"/>
        <w:spacing w:before="120" w:beforeLines="50"/>
        <w:ind w:firstLine="200"/>
        <w:rPr>
          <w:rFonts w:ascii="Times New Roman" w:hAnsi="Times New Roman" w:eastAsia="宋体" w:cs="Times New Roman"/>
          <w:color w:val="auto"/>
        </w:rPr>
      </w:pPr>
    </w:p>
    <w:p w14:paraId="41B92B72">
      <w:pPr>
        <w:snapToGrid w:val="0"/>
        <w:spacing w:before="50" w:after="50"/>
        <w:rPr>
          <w:rFonts w:ascii="Times New Roman" w:hAnsi="Times New Roman" w:eastAsia="宋体" w:cs="Times New Roman"/>
          <w:color w:val="auto"/>
        </w:rPr>
      </w:pPr>
    </w:p>
    <w:p w14:paraId="3E3EC428">
      <w:pPr>
        <w:snapToGrid w:val="0"/>
        <w:ind w:left="2" w:right="-817" w:rightChars="-389"/>
        <w:rPr>
          <w:rFonts w:ascii="Times New Roman" w:hAnsi="Times New Roman" w:eastAsia="宋体" w:cs="Times New Roman"/>
          <w:color w:val="auto"/>
        </w:rPr>
      </w:pPr>
    </w:p>
    <w:p w14:paraId="40217890">
      <w:pPr>
        <w:snapToGrid w:val="0"/>
        <w:spacing w:before="50" w:line="312" w:lineRule="auto"/>
        <w:jc w:val="left"/>
        <w:rPr>
          <w:rFonts w:ascii="Times New Roman" w:hAnsi="Times New Roman" w:eastAsia="宋体" w:cs="Times New Roman"/>
          <w:b/>
          <w:color w:val="auto"/>
          <w:spacing w:val="20"/>
          <w:sz w:val="28"/>
        </w:rPr>
      </w:pPr>
      <w:r>
        <w:rPr>
          <w:rFonts w:hint="eastAsia" w:ascii="Times New Roman" w:hAnsi="Times New Roman" w:eastAsia="宋体" w:cs="Times New Roman"/>
          <w:color w:val="auto"/>
        </w:rPr>
        <w:t>投标人名称（盖章）：日期：</w:t>
      </w:r>
    </w:p>
    <w:p w14:paraId="553E658D">
      <w:pPr>
        <w:snapToGrid w:val="0"/>
        <w:spacing w:before="120" w:beforeLines="50"/>
        <w:ind w:firstLine="200"/>
        <w:jc w:val="right"/>
        <w:rPr>
          <w:rFonts w:ascii="Times New Roman" w:hAnsi="Times New Roman" w:eastAsia="宋体" w:cs="Times New Roman"/>
          <w:color w:val="auto"/>
          <w:szCs w:val="24"/>
        </w:rPr>
      </w:pPr>
    </w:p>
    <w:p w14:paraId="6C2A226B">
      <w:pPr>
        <w:snapToGrid w:val="0"/>
        <w:spacing w:before="120" w:beforeLines="50" w:after="50"/>
        <w:ind w:firstLine="482" w:firstLineChars="200"/>
        <w:jc w:val="left"/>
        <w:rPr>
          <w:rFonts w:ascii="Times New Roman" w:hAnsi="Times New Roman" w:eastAsia="宋体" w:cs="Times New Roman"/>
          <w:b/>
          <w:bCs/>
          <w:color w:val="auto"/>
          <w:sz w:val="24"/>
        </w:rPr>
      </w:pPr>
    </w:p>
    <w:p w14:paraId="0BF84A55">
      <w:pPr>
        <w:snapToGrid w:val="0"/>
        <w:spacing w:before="120" w:beforeLines="50"/>
        <w:ind w:left="5250" w:firstLine="200"/>
        <w:jc w:val="right"/>
        <w:rPr>
          <w:rFonts w:ascii="Times New Roman" w:hAnsi="Times New Roman" w:eastAsia="宋体" w:cs="Times New Roman"/>
          <w:color w:val="auto"/>
          <w:szCs w:val="24"/>
        </w:rPr>
      </w:pPr>
    </w:p>
    <w:p w14:paraId="717971FE">
      <w:pPr>
        <w:snapToGrid w:val="0"/>
        <w:spacing w:before="120" w:line="312" w:lineRule="auto"/>
        <w:ind w:right="-341"/>
        <w:jc w:val="center"/>
        <w:rPr>
          <w:rFonts w:ascii="Times New Roman" w:hAnsi="Times New Roman" w:eastAsia="宋体" w:cs="Times New Roman"/>
          <w:b/>
          <w:color w:val="auto"/>
          <w:sz w:val="32"/>
        </w:rPr>
      </w:pPr>
    </w:p>
    <w:p w14:paraId="38EFD829">
      <w:pPr>
        <w:snapToGrid w:val="0"/>
        <w:spacing w:before="120" w:line="312" w:lineRule="auto"/>
        <w:ind w:right="-341"/>
        <w:jc w:val="center"/>
        <w:rPr>
          <w:rFonts w:ascii="Times New Roman" w:hAnsi="Times New Roman" w:eastAsia="宋体" w:cs="Times New Roman"/>
          <w:b/>
          <w:color w:val="auto"/>
          <w:sz w:val="32"/>
        </w:rPr>
      </w:pPr>
    </w:p>
    <w:p w14:paraId="20D2A9C5">
      <w:pPr>
        <w:snapToGrid w:val="0"/>
        <w:spacing w:before="120" w:line="312" w:lineRule="auto"/>
        <w:ind w:right="-341"/>
        <w:jc w:val="center"/>
        <w:rPr>
          <w:rFonts w:ascii="Times New Roman" w:hAnsi="Times New Roman" w:eastAsia="宋体" w:cs="Times New Roman"/>
          <w:b/>
          <w:color w:val="auto"/>
          <w:sz w:val="32"/>
        </w:rPr>
      </w:pPr>
    </w:p>
    <w:p w14:paraId="4EF919BB">
      <w:pPr>
        <w:snapToGrid w:val="0"/>
        <w:spacing w:before="120" w:line="312" w:lineRule="auto"/>
        <w:ind w:right="-341"/>
        <w:jc w:val="center"/>
        <w:rPr>
          <w:rFonts w:ascii="Times New Roman" w:hAnsi="Times New Roman" w:eastAsia="宋体" w:cs="Times New Roman"/>
          <w:b/>
          <w:color w:val="auto"/>
          <w:sz w:val="32"/>
        </w:rPr>
      </w:pPr>
    </w:p>
    <w:p w14:paraId="725AF744">
      <w:pPr>
        <w:snapToGrid w:val="0"/>
        <w:spacing w:line="312" w:lineRule="auto"/>
        <w:jc w:val="left"/>
        <w:rPr>
          <w:rFonts w:ascii="Times New Roman" w:hAnsi="Times New Roman" w:eastAsia="宋体" w:cs="Times New Roman"/>
          <w:b/>
          <w:color w:val="auto"/>
          <w:sz w:val="32"/>
        </w:rPr>
      </w:pPr>
    </w:p>
    <w:p w14:paraId="70340036">
      <w:pPr>
        <w:snapToGrid w:val="0"/>
        <w:spacing w:line="312" w:lineRule="auto"/>
        <w:jc w:val="left"/>
        <w:rPr>
          <w:rFonts w:ascii="Times New Roman" w:hAnsi="Times New Roman" w:eastAsia="宋体" w:cs="Times New Roman"/>
          <w:b/>
          <w:color w:val="auto"/>
          <w:sz w:val="32"/>
        </w:rPr>
      </w:pPr>
    </w:p>
    <w:p w14:paraId="615A2EEE">
      <w:pPr>
        <w:snapToGrid w:val="0"/>
        <w:spacing w:line="312" w:lineRule="auto"/>
        <w:jc w:val="left"/>
        <w:rPr>
          <w:rFonts w:ascii="Times New Roman" w:hAnsi="Times New Roman" w:eastAsia="宋体" w:cs="Times New Roman"/>
          <w:b/>
          <w:color w:val="auto"/>
          <w:sz w:val="32"/>
        </w:rPr>
      </w:pPr>
    </w:p>
    <w:p w14:paraId="28BBC527">
      <w:pPr>
        <w:snapToGrid w:val="0"/>
        <w:spacing w:line="312" w:lineRule="auto"/>
        <w:jc w:val="left"/>
        <w:rPr>
          <w:rFonts w:ascii="Times New Roman" w:hAnsi="Times New Roman" w:eastAsia="宋体" w:cs="Times New Roman"/>
          <w:b/>
          <w:color w:val="auto"/>
          <w:sz w:val="32"/>
        </w:rPr>
      </w:pPr>
    </w:p>
    <w:p w14:paraId="442D0761">
      <w:pPr>
        <w:snapToGrid w:val="0"/>
        <w:spacing w:line="312" w:lineRule="auto"/>
        <w:jc w:val="left"/>
        <w:rPr>
          <w:rFonts w:ascii="Times New Roman" w:hAnsi="Times New Roman" w:eastAsia="宋体" w:cs="Times New Roman"/>
          <w:b/>
          <w:color w:val="auto"/>
          <w:sz w:val="32"/>
        </w:rPr>
      </w:pPr>
    </w:p>
    <w:p w14:paraId="579F3EB4">
      <w:pPr>
        <w:snapToGrid w:val="0"/>
        <w:spacing w:line="312" w:lineRule="auto"/>
        <w:jc w:val="left"/>
        <w:rPr>
          <w:rFonts w:ascii="Times New Roman" w:hAnsi="Times New Roman" w:eastAsia="宋体" w:cs="Times New Roman"/>
          <w:b/>
          <w:color w:val="auto"/>
          <w:sz w:val="32"/>
        </w:rPr>
      </w:pPr>
    </w:p>
    <w:p w14:paraId="470E76E8">
      <w:pPr>
        <w:snapToGrid w:val="0"/>
        <w:spacing w:line="312" w:lineRule="auto"/>
        <w:jc w:val="left"/>
        <w:rPr>
          <w:rFonts w:ascii="Times New Roman" w:hAnsi="Times New Roman" w:eastAsia="宋体" w:cs="Times New Roman"/>
          <w:b/>
          <w:color w:val="auto"/>
          <w:sz w:val="24"/>
        </w:rPr>
      </w:pPr>
    </w:p>
    <w:p w14:paraId="78FA214A">
      <w:pPr>
        <w:snapToGrid w:val="0"/>
        <w:spacing w:line="312" w:lineRule="auto"/>
        <w:jc w:val="left"/>
        <w:rPr>
          <w:rFonts w:ascii="Times New Roman" w:hAnsi="Times New Roman" w:eastAsia="宋体" w:cs="Times New Roman"/>
          <w:b/>
          <w:color w:val="auto"/>
          <w:sz w:val="24"/>
        </w:rPr>
      </w:pPr>
    </w:p>
    <w:p w14:paraId="13A02E14">
      <w:pPr>
        <w:jc w:val="center"/>
        <w:rPr>
          <w:rFonts w:ascii="Times New Roman" w:hAnsi="Times New Roman" w:eastAsia="宋体" w:cs="Times New Roman"/>
          <w:b/>
          <w:color w:val="auto"/>
          <w:spacing w:val="20"/>
          <w:sz w:val="28"/>
        </w:rPr>
      </w:pPr>
    </w:p>
    <w:p w14:paraId="516BF6E7">
      <w:pPr>
        <w:jc w:val="center"/>
        <w:rPr>
          <w:rFonts w:ascii="Times New Roman" w:hAnsi="Times New Roman" w:eastAsia="宋体" w:cs="Times New Roman"/>
          <w:color w:val="auto"/>
          <w:sz w:val="30"/>
          <w:szCs w:val="30"/>
        </w:rPr>
      </w:pPr>
      <w:r>
        <w:rPr>
          <w:rFonts w:hint="eastAsia" w:ascii="Times New Roman" w:hAnsi="Times New Roman" w:eastAsia="宋体" w:cs="Times New Roman"/>
          <w:b/>
          <w:color w:val="auto"/>
          <w:spacing w:val="20"/>
          <w:sz w:val="28"/>
        </w:rPr>
        <w:t>六、</w:t>
      </w:r>
      <w:r>
        <w:rPr>
          <w:rFonts w:hint="eastAsia" w:ascii="Times New Roman" w:hAnsi="Times New Roman" w:eastAsia="宋体" w:cs="Times New Roman"/>
          <w:b/>
          <w:bCs/>
          <w:color w:val="auto"/>
          <w:sz w:val="30"/>
          <w:szCs w:val="30"/>
        </w:rPr>
        <w:t>廉政承诺书</w:t>
      </w:r>
    </w:p>
    <w:p w14:paraId="025CF750">
      <w:pPr>
        <w:rPr>
          <w:rFonts w:ascii="Times New Roman" w:hAnsi="Times New Roman" w:eastAsia="宋体" w:cs="Times New Roman"/>
          <w:b/>
          <w:bCs/>
          <w:color w:val="auto"/>
          <w:sz w:val="28"/>
          <w:szCs w:val="28"/>
        </w:rPr>
      </w:pPr>
    </w:p>
    <w:p w14:paraId="7A7BD28C">
      <w:pPr>
        <w:rPr>
          <w:rFonts w:ascii="Times New Roman" w:hAnsi="Times New Roman" w:eastAsia="宋体" w:cs="Times New Roman"/>
          <w:b/>
          <w:bCs/>
          <w:color w:val="auto"/>
          <w:szCs w:val="21"/>
        </w:rPr>
      </w:pPr>
      <w:r>
        <w:rPr>
          <w:rFonts w:hint="eastAsia" w:ascii="Times New Roman" w:hAnsi="Times New Roman" w:eastAsia="宋体" w:cs="Times New Roman"/>
          <w:b/>
          <w:bCs/>
          <w:color w:val="auto"/>
          <w:szCs w:val="21"/>
        </w:rPr>
        <w:t>致：</w:t>
      </w:r>
      <w:r>
        <w:rPr>
          <w:rFonts w:hint="eastAsia" w:ascii="Times New Roman" w:hAnsi="Times New Roman" w:eastAsia="宋体" w:cs="Times New Roman"/>
          <w:b/>
          <w:bCs/>
          <w:color w:val="auto"/>
          <w:szCs w:val="21"/>
          <w:u w:val="single"/>
        </w:rPr>
        <w:t>深圳市国信招标有限公司</w:t>
      </w:r>
      <w:r>
        <w:rPr>
          <w:rFonts w:hint="eastAsia" w:ascii="Times New Roman" w:hAnsi="Times New Roman" w:eastAsia="宋体" w:cs="Times New Roman"/>
          <w:b/>
          <w:bCs/>
          <w:color w:val="auto"/>
          <w:szCs w:val="21"/>
        </w:rPr>
        <w:t>：</w:t>
      </w:r>
    </w:p>
    <w:p w14:paraId="6798D493">
      <w:pPr>
        <w:spacing w:line="360" w:lineRule="auto"/>
        <w:ind w:firstLine="420" w:firstLineChars="200"/>
        <w:rPr>
          <w:rFonts w:ascii="Times New Roman" w:hAnsi="Times New Roman" w:eastAsia="宋体" w:cs="Times New Roman"/>
          <w:color w:val="auto"/>
          <w:szCs w:val="21"/>
        </w:rPr>
      </w:pPr>
    </w:p>
    <w:p w14:paraId="482893D0">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我单位响应你单位项目招标要求参加投标，在这次投标过程中和中标后，我们将严格遵守国家法律法规要求，并郑重承诺</w:t>
      </w:r>
      <w:r>
        <w:rPr>
          <w:rFonts w:ascii="Times New Roman" w:hAnsi="Times New Roman" w:eastAsia="宋体" w:cs="Times New Roman"/>
          <w:color w:val="auto"/>
          <w:szCs w:val="21"/>
        </w:rPr>
        <w:t>:</w:t>
      </w:r>
    </w:p>
    <w:p w14:paraId="753833F9">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一、不向项目有关人员及部门赠送礼金礼物、有价证券、回扣以及中介费、介绍费、咨询费等好处费。</w:t>
      </w:r>
    </w:p>
    <w:p w14:paraId="22E91D45">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二、不为项目有关人员及部门报销应由你方单位或个人支付的费用</w:t>
      </w:r>
      <w:r>
        <w:rPr>
          <w:rFonts w:ascii="Times New Roman" w:hAnsi="Times New Roman" w:eastAsia="宋体" w:cs="Times New Roman"/>
          <w:color w:val="auto"/>
          <w:szCs w:val="21"/>
        </w:rPr>
        <w:t>;</w:t>
      </w:r>
    </w:p>
    <w:p w14:paraId="21B24CE7">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三、不向项目有关人员及部门提供有可能影响公正的宴请和健身娱乐等活动</w:t>
      </w:r>
      <w:r>
        <w:rPr>
          <w:rFonts w:ascii="Times New Roman" w:hAnsi="Times New Roman" w:eastAsia="宋体" w:cs="Times New Roman"/>
          <w:color w:val="auto"/>
          <w:szCs w:val="21"/>
        </w:rPr>
        <w:t>;</w:t>
      </w:r>
    </w:p>
    <w:p w14:paraId="67D10CAD">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四、不为项目有关人员及部门出国</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境</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、旅游等提供方便；</w:t>
      </w:r>
    </w:p>
    <w:p w14:paraId="1C458376">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五、不为项目有关人员个人装修住房、婚丧嫁娶、配偶子女工作安排等提供好处</w:t>
      </w:r>
      <w:r>
        <w:rPr>
          <w:rFonts w:ascii="Times New Roman" w:hAnsi="Times New Roman" w:eastAsia="宋体" w:cs="Times New Roman"/>
          <w:color w:val="auto"/>
          <w:szCs w:val="21"/>
        </w:rPr>
        <w:t>;</w:t>
      </w:r>
    </w:p>
    <w:p w14:paraId="472DC690">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六、严格遵守政府采购法、民法典等法律，诚实守信，合法经营，坚决抵制各种违法违纪行为。</w:t>
      </w:r>
    </w:p>
    <w:p w14:paraId="2D891698">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如违反上述承诺，你单位有权立即取消我单位投标、中标资格，有权拒绝我单位在一定时期内进入你单位进行项目建设或其他经营活动，并通报政府采购监管部门，由此引起的相应损失均由我单位承担。</w:t>
      </w:r>
    </w:p>
    <w:p w14:paraId="484A28A1">
      <w:pPr>
        <w:rPr>
          <w:rFonts w:ascii="Times New Roman" w:hAnsi="Times New Roman" w:eastAsia="宋体" w:cs="Times New Roman"/>
          <w:color w:val="auto"/>
          <w:szCs w:val="21"/>
        </w:rPr>
      </w:pPr>
    </w:p>
    <w:p w14:paraId="096AB137">
      <w:pPr>
        <w:rPr>
          <w:rFonts w:ascii="Times New Roman" w:hAnsi="Times New Roman" w:eastAsia="宋体" w:cs="Times New Roman"/>
          <w:color w:val="auto"/>
          <w:szCs w:val="21"/>
        </w:rPr>
      </w:pPr>
    </w:p>
    <w:p w14:paraId="39889551">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盖章</w:t>
      </w:r>
      <w:r>
        <w:rPr>
          <w:rFonts w:ascii="Times New Roman" w:hAnsi="Times New Roman" w:eastAsia="宋体" w:cs="Times New Roman"/>
          <w:color w:val="auto"/>
          <w:szCs w:val="21"/>
        </w:rPr>
        <w:t>)</w:t>
      </w:r>
    </w:p>
    <w:p w14:paraId="2E60A6FE">
      <w:pPr>
        <w:rPr>
          <w:rFonts w:ascii="Times New Roman" w:hAnsi="Times New Roman" w:eastAsia="宋体" w:cs="Times New Roman"/>
          <w:color w:val="auto"/>
          <w:szCs w:val="21"/>
        </w:rPr>
      </w:pPr>
    </w:p>
    <w:p w14:paraId="0D854B2A">
      <w:pPr>
        <w:rPr>
          <w:rFonts w:ascii="Times New Roman" w:hAnsi="Times New Roman" w:eastAsia="宋体" w:cs="Times New Roman"/>
          <w:color w:val="auto"/>
          <w:szCs w:val="21"/>
        </w:rPr>
      </w:pPr>
    </w:p>
    <w:p w14:paraId="25BA2151">
      <w:pPr>
        <w:rPr>
          <w:rFonts w:ascii="Times New Roman" w:hAnsi="Times New Roman" w:eastAsia="宋体" w:cs="Times New Roman"/>
          <w:color w:val="auto"/>
          <w:szCs w:val="21"/>
        </w:rPr>
      </w:pPr>
    </w:p>
    <w:p w14:paraId="4069F749">
      <w:pPr>
        <w:rPr>
          <w:rFonts w:ascii="Times New Roman" w:hAnsi="Times New Roman" w:eastAsia="宋体" w:cs="Times New Roman"/>
          <w:color w:val="auto"/>
          <w:szCs w:val="21"/>
        </w:rPr>
      </w:pPr>
    </w:p>
    <w:p w14:paraId="4259DF68">
      <w:pPr>
        <w:rPr>
          <w:rFonts w:ascii="Times New Roman" w:hAnsi="Times New Roman" w:eastAsia="宋体" w:cs="Times New Roman"/>
          <w:color w:val="auto"/>
          <w:szCs w:val="21"/>
        </w:rPr>
      </w:pPr>
    </w:p>
    <w:p w14:paraId="6222FA0E">
      <w:pPr>
        <w:rPr>
          <w:rFonts w:ascii="Times New Roman" w:hAnsi="Times New Roman" w:eastAsia="宋体" w:cs="Times New Roman"/>
          <w:color w:val="auto"/>
          <w:szCs w:val="21"/>
        </w:rPr>
      </w:pPr>
      <w:r>
        <w:rPr>
          <w:rFonts w:hint="eastAsia" w:ascii="Times New Roman" w:hAnsi="Times New Roman" w:eastAsia="宋体" w:cs="Times New Roman"/>
          <w:color w:val="auto"/>
          <w:szCs w:val="21"/>
        </w:rPr>
        <w:t>日期</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年月日</w:t>
      </w:r>
    </w:p>
    <w:p w14:paraId="6534ECB9">
      <w:pPr>
        <w:snapToGrid w:val="0"/>
        <w:spacing w:before="50" w:line="312" w:lineRule="auto"/>
        <w:jc w:val="left"/>
        <w:rPr>
          <w:rFonts w:ascii="Times New Roman" w:hAnsi="Times New Roman" w:eastAsia="宋体" w:cs="Times New Roman"/>
          <w:b/>
          <w:color w:val="auto"/>
          <w:spacing w:val="20"/>
          <w:sz w:val="28"/>
        </w:rPr>
      </w:pPr>
    </w:p>
    <w:p w14:paraId="14A6C6AF">
      <w:pPr>
        <w:snapToGrid w:val="0"/>
        <w:spacing w:before="120" w:line="312" w:lineRule="auto"/>
        <w:ind w:right="-341"/>
        <w:rPr>
          <w:rFonts w:ascii="Times New Roman" w:hAnsi="Times New Roman" w:eastAsia="宋体" w:cs="Times New Roman"/>
          <w:b/>
          <w:color w:val="auto"/>
          <w:sz w:val="28"/>
          <w:szCs w:val="28"/>
        </w:rPr>
      </w:pPr>
    </w:p>
    <w:p w14:paraId="7096223F">
      <w:pPr>
        <w:snapToGrid w:val="0"/>
        <w:spacing w:before="120" w:line="312" w:lineRule="auto"/>
        <w:ind w:right="-341"/>
        <w:rPr>
          <w:rFonts w:ascii="Times New Roman" w:hAnsi="Times New Roman" w:eastAsia="宋体" w:cs="Times New Roman"/>
          <w:b/>
          <w:color w:val="auto"/>
          <w:sz w:val="28"/>
          <w:szCs w:val="28"/>
        </w:rPr>
      </w:pPr>
    </w:p>
    <w:p w14:paraId="100082D6">
      <w:pPr>
        <w:snapToGrid w:val="0"/>
        <w:spacing w:before="120" w:line="312" w:lineRule="auto"/>
        <w:ind w:right="-341"/>
        <w:rPr>
          <w:rFonts w:ascii="Times New Roman" w:hAnsi="Times New Roman" w:eastAsia="宋体" w:cs="Times New Roman"/>
          <w:b/>
          <w:color w:val="auto"/>
          <w:sz w:val="28"/>
          <w:szCs w:val="28"/>
        </w:rPr>
      </w:pPr>
    </w:p>
    <w:p w14:paraId="57EE9881">
      <w:pPr>
        <w:snapToGrid w:val="0"/>
        <w:spacing w:before="120" w:line="312" w:lineRule="auto"/>
        <w:ind w:right="-341"/>
        <w:rPr>
          <w:rFonts w:ascii="Times New Roman" w:hAnsi="Times New Roman" w:eastAsia="宋体" w:cs="Times New Roman"/>
          <w:b/>
          <w:color w:val="auto"/>
          <w:sz w:val="28"/>
          <w:szCs w:val="28"/>
        </w:rPr>
      </w:pPr>
    </w:p>
    <w:p w14:paraId="298EF380">
      <w:pPr>
        <w:snapToGrid w:val="0"/>
        <w:spacing w:before="120" w:line="312" w:lineRule="auto"/>
        <w:ind w:right="-341"/>
        <w:rPr>
          <w:rFonts w:ascii="Times New Roman" w:hAnsi="Times New Roman" w:eastAsia="宋体" w:cs="Times New Roman"/>
          <w:b/>
          <w:color w:val="auto"/>
          <w:sz w:val="28"/>
          <w:szCs w:val="28"/>
        </w:rPr>
      </w:pPr>
    </w:p>
    <w:p w14:paraId="1AE63490">
      <w:pPr>
        <w:snapToGrid w:val="0"/>
        <w:spacing w:before="120" w:line="312" w:lineRule="auto"/>
        <w:ind w:right="-341"/>
        <w:rPr>
          <w:rFonts w:ascii="Times New Roman" w:hAnsi="Times New Roman" w:eastAsia="宋体" w:cs="Times New Roman"/>
          <w:b/>
          <w:color w:val="auto"/>
          <w:sz w:val="28"/>
          <w:szCs w:val="28"/>
        </w:rPr>
      </w:pPr>
    </w:p>
    <w:p w14:paraId="647C863D">
      <w:pPr>
        <w:snapToGrid w:val="0"/>
        <w:spacing w:before="120" w:line="312" w:lineRule="auto"/>
        <w:ind w:right="-341"/>
        <w:rPr>
          <w:rFonts w:hint="eastAsia" w:ascii="宋体" w:hAnsi="宋体" w:eastAsia="宋体" w:cs="宋体"/>
          <w:b/>
          <w:color w:val="auto"/>
          <w:kern w:val="0"/>
          <w:sz w:val="28"/>
          <w:szCs w:val="28"/>
        </w:rPr>
      </w:pPr>
      <w:r>
        <w:rPr>
          <w:rFonts w:hint="eastAsia" w:ascii="Times New Roman" w:hAnsi="Times New Roman" w:eastAsia="宋体" w:cs="Times New Roman"/>
          <w:b/>
          <w:color w:val="auto"/>
          <w:sz w:val="28"/>
          <w:szCs w:val="28"/>
        </w:rPr>
        <w:t>七、</w:t>
      </w:r>
    </w:p>
    <w:p w14:paraId="52EB9A2D">
      <w:pPr>
        <w:snapToGrid w:val="0"/>
        <w:spacing w:line="360" w:lineRule="auto"/>
        <w:ind w:right="-341"/>
        <w:jc w:val="center"/>
        <w:rPr>
          <w:rFonts w:hint="eastAsia" w:ascii="宋体" w:hAnsi="宋体" w:eastAsia="宋体" w:cs="宋体"/>
          <w:b/>
          <w:color w:val="auto"/>
          <w:kern w:val="0"/>
          <w:sz w:val="28"/>
          <w:szCs w:val="28"/>
        </w:rPr>
      </w:pPr>
    </w:p>
    <w:p w14:paraId="2CD327E0">
      <w:pPr>
        <w:snapToGrid w:val="0"/>
        <w:spacing w:line="360" w:lineRule="auto"/>
        <w:ind w:right="-341"/>
        <w:jc w:val="center"/>
        <w:rPr>
          <w:rFonts w:hint="eastAsia" w:ascii="宋体" w:hAnsi="宋体" w:eastAsia="宋体" w:cs="宋体"/>
          <w:b/>
          <w:color w:val="auto"/>
          <w:kern w:val="0"/>
          <w:sz w:val="28"/>
          <w:szCs w:val="28"/>
        </w:rPr>
      </w:pPr>
      <w:r>
        <w:rPr>
          <w:rFonts w:hint="eastAsia" w:ascii="宋体" w:hAnsi="宋体" w:eastAsia="宋体" w:cs="宋体"/>
          <w:b/>
          <w:color w:val="auto"/>
          <w:kern w:val="0"/>
          <w:sz w:val="28"/>
          <w:szCs w:val="28"/>
        </w:rPr>
        <w:t>中小企业声明函（工程、服务）</w:t>
      </w:r>
    </w:p>
    <w:p w14:paraId="382CFB25">
      <w:pPr>
        <w:snapToGrid w:val="0"/>
        <w:spacing w:line="360" w:lineRule="auto"/>
        <w:ind w:right="-341"/>
        <w:rPr>
          <w:rFonts w:hint="eastAsia" w:ascii="宋体" w:hAnsi="宋体" w:eastAsia="宋体" w:cs="宋体"/>
          <w:color w:val="auto"/>
          <w:kern w:val="0"/>
          <w:szCs w:val="21"/>
        </w:rPr>
      </w:pPr>
    </w:p>
    <w:p w14:paraId="3E54CFCA">
      <w:pPr>
        <w:snapToGrid w:val="0"/>
        <w:spacing w:line="360" w:lineRule="auto"/>
        <w:ind w:right="-341"/>
        <w:rPr>
          <w:rFonts w:hint="eastAsia" w:ascii="宋体" w:hAnsi="宋体" w:eastAsia="宋体" w:cs="宋体"/>
          <w:color w:val="auto"/>
          <w:kern w:val="0"/>
          <w:szCs w:val="21"/>
        </w:rPr>
      </w:pPr>
    </w:p>
    <w:p w14:paraId="012AC9CD">
      <w:pPr>
        <w:snapToGrid w:val="0"/>
        <w:spacing w:line="360" w:lineRule="auto"/>
        <w:ind w:right="-341"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本公司（联合体）郑重声明，根据《政府采购促进中小企业发展管理办法》（财库﹝2020﹞46号）的规定，本公司（联合体）参加（单位名称）的（项目名称）采购活动，服务全部由符合政策要求的中小企业承接。相关企业（含联合体中的中小企业、签订分包意向协议的中小企业）的具体情况如下：</w:t>
      </w:r>
    </w:p>
    <w:p w14:paraId="5562CFC8">
      <w:pPr>
        <w:snapToGrid w:val="0"/>
        <w:spacing w:line="360" w:lineRule="auto"/>
        <w:ind w:right="-341"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1.（标的名称），属于（采购文件中明确的所属行业）；承建（承接）企业为（企业名称），从业人员人，营业收入为万元，资产总额为万元，属于（中型企业、小型企业、微型企业）；</w:t>
      </w:r>
    </w:p>
    <w:p w14:paraId="051BD22F">
      <w:pPr>
        <w:snapToGrid w:val="0"/>
        <w:spacing w:line="360" w:lineRule="auto"/>
        <w:ind w:right="-341"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2.（标的名称），属于（采购文件中明确的所属行业）；承建（承接）企业为（企业名称），从业人员人，营业收入为万元，资产总额为万元，属于（中型企业、小型企业、微型企业）；</w:t>
      </w:r>
    </w:p>
    <w:p w14:paraId="25B9D87F">
      <w:pPr>
        <w:snapToGrid w:val="0"/>
        <w:spacing w:line="360" w:lineRule="auto"/>
        <w:ind w:right="-341"/>
        <w:rPr>
          <w:rFonts w:hint="eastAsia" w:ascii="宋体" w:hAnsi="宋体" w:eastAsia="宋体" w:cs="宋体"/>
          <w:color w:val="auto"/>
          <w:kern w:val="0"/>
          <w:szCs w:val="21"/>
        </w:rPr>
      </w:pPr>
      <w:r>
        <w:rPr>
          <w:rFonts w:hint="eastAsia" w:ascii="宋体" w:hAnsi="宋体" w:eastAsia="宋体" w:cs="宋体"/>
          <w:color w:val="auto"/>
          <w:kern w:val="0"/>
          <w:szCs w:val="21"/>
        </w:rPr>
        <w:t>……</w:t>
      </w:r>
    </w:p>
    <w:p w14:paraId="7F0156F8">
      <w:pPr>
        <w:snapToGrid w:val="0"/>
        <w:spacing w:line="360" w:lineRule="auto"/>
        <w:ind w:right="-341"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以上企业，不属于大企业的分支机构，不存在控股股东为大企业的情形，也不存在与大企业的负责人为同一人的情形。</w:t>
      </w:r>
    </w:p>
    <w:p w14:paraId="008F96E0">
      <w:pPr>
        <w:snapToGrid w:val="0"/>
        <w:spacing w:line="360" w:lineRule="auto"/>
        <w:ind w:right="-341" w:firstLine="420" w:firstLineChars="200"/>
        <w:rPr>
          <w:rFonts w:hint="eastAsia" w:ascii="宋体" w:hAnsi="宋体" w:eastAsia="宋体" w:cs="宋体"/>
          <w:color w:val="auto"/>
          <w:kern w:val="0"/>
          <w:szCs w:val="21"/>
        </w:rPr>
      </w:pPr>
      <w:r>
        <w:rPr>
          <w:rFonts w:hint="eastAsia" w:ascii="宋体" w:hAnsi="宋体" w:eastAsia="宋体" w:cs="宋体"/>
          <w:color w:val="auto"/>
          <w:kern w:val="0"/>
          <w:szCs w:val="21"/>
        </w:rPr>
        <w:t>本企业对上述声明内容的真实性负责。如有虚假，将依法承担相应责任。</w:t>
      </w:r>
    </w:p>
    <w:p w14:paraId="58769A38">
      <w:pPr>
        <w:snapToGrid w:val="0"/>
        <w:spacing w:line="360" w:lineRule="auto"/>
        <w:ind w:right="-341"/>
        <w:rPr>
          <w:rFonts w:hint="eastAsia" w:ascii="宋体" w:hAnsi="宋体" w:eastAsia="宋体" w:cs="宋体"/>
          <w:color w:val="auto"/>
          <w:kern w:val="0"/>
          <w:szCs w:val="21"/>
        </w:rPr>
      </w:pPr>
    </w:p>
    <w:p w14:paraId="7B31C9F3">
      <w:pPr>
        <w:snapToGrid w:val="0"/>
        <w:spacing w:line="360" w:lineRule="auto"/>
        <w:ind w:right="-341"/>
        <w:rPr>
          <w:rFonts w:hint="eastAsia" w:ascii="宋体" w:hAnsi="宋体" w:eastAsia="宋体" w:cs="宋体"/>
          <w:color w:val="auto"/>
          <w:kern w:val="0"/>
          <w:szCs w:val="21"/>
        </w:rPr>
      </w:pPr>
      <w:r>
        <w:rPr>
          <w:rFonts w:hint="eastAsia" w:ascii="宋体" w:hAnsi="宋体" w:eastAsia="宋体" w:cs="宋体"/>
          <w:color w:val="auto"/>
          <w:kern w:val="0"/>
          <w:szCs w:val="21"/>
        </w:rPr>
        <w:t>企业名称（盖章）：</w:t>
      </w:r>
    </w:p>
    <w:p w14:paraId="5DDBB027">
      <w:pPr>
        <w:snapToGrid w:val="0"/>
        <w:spacing w:line="360" w:lineRule="auto"/>
        <w:ind w:right="-341"/>
        <w:jc w:val="left"/>
        <w:rPr>
          <w:rFonts w:hint="eastAsia" w:ascii="宋体" w:hAnsi="宋体" w:eastAsia="宋体" w:cs="宋体"/>
          <w:color w:val="auto"/>
          <w:kern w:val="0"/>
          <w:szCs w:val="21"/>
        </w:rPr>
      </w:pPr>
    </w:p>
    <w:p w14:paraId="6509A922">
      <w:pPr>
        <w:snapToGrid w:val="0"/>
        <w:spacing w:line="360" w:lineRule="auto"/>
        <w:ind w:right="-341"/>
        <w:jc w:val="left"/>
        <w:rPr>
          <w:rFonts w:ascii="Times New Roman" w:hAnsi="Times New Roman" w:eastAsia="宋体" w:cs="Times New Roman"/>
          <w:color w:val="auto"/>
        </w:rPr>
      </w:pPr>
      <w:r>
        <w:rPr>
          <w:rFonts w:hint="eastAsia" w:ascii="宋体" w:hAnsi="宋体" w:eastAsia="宋体" w:cs="宋体"/>
          <w:color w:val="auto"/>
          <w:kern w:val="0"/>
          <w:szCs w:val="21"/>
        </w:rPr>
        <w:t>日期：</w:t>
      </w:r>
    </w:p>
    <w:p w14:paraId="4F6B6E63">
      <w:pPr>
        <w:widowControl/>
        <w:spacing w:line="360" w:lineRule="auto"/>
        <w:jc w:val="left"/>
        <w:rPr>
          <w:rFonts w:ascii="Times New Roman" w:hAnsi="Times New Roman" w:eastAsia="宋体" w:cs="Times New Roman"/>
          <w:color w:val="auto"/>
          <w:kern w:val="0"/>
        </w:rPr>
        <w:sectPr>
          <w:pgSz w:w="11906" w:h="16838"/>
          <w:pgMar w:top="1304" w:right="1531" w:bottom="1304" w:left="1531" w:header="1134" w:footer="1304" w:gutter="0"/>
          <w:cols w:space="720" w:num="1"/>
        </w:sectPr>
      </w:pPr>
    </w:p>
    <w:p w14:paraId="7EB5F5E7">
      <w:pPr>
        <w:snapToGrid w:val="0"/>
        <w:spacing w:line="360" w:lineRule="auto"/>
        <w:ind w:right="-341"/>
        <w:rPr>
          <w:rFonts w:ascii="Times New Roman" w:hAnsi="Times New Roman" w:eastAsia="宋体" w:cs="Times New Roman"/>
          <w:color w:val="auto"/>
        </w:rPr>
      </w:pPr>
    </w:p>
    <w:p w14:paraId="00DACC45">
      <w:pPr>
        <w:spacing w:after="120"/>
        <w:rPr>
          <w:rFonts w:ascii="Times New Roman" w:hAnsi="Times New Roman" w:eastAsia="宋体" w:cs="Times New Roman"/>
          <w:color w:val="auto"/>
        </w:rPr>
      </w:pPr>
    </w:p>
    <w:p w14:paraId="2983F569">
      <w:pPr>
        <w:spacing w:line="360" w:lineRule="auto"/>
        <w:ind w:firstLine="3132" w:firstLineChars="1300"/>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监狱企业声明函</w:t>
      </w:r>
    </w:p>
    <w:p w14:paraId="512E2B8E">
      <w:pPr>
        <w:spacing w:line="360" w:lineRule="auto"/>
        <w:ind w:firstLine="2640" w:firstLineChars="1100"/>
        <w:rPr>
          <w:rFonts w:ascii="Times New Roman" w:hAnsi="Times New Roman" w:eastAsia="宋体" w:cs="Times New Roman"/>
          <w:color w:val="auto"/>
          <w:sz w:val="24"/>
          <w:szCs w:val="24"/>
        </w:rPr>
      </w:pPr>
      <w:r>
        <w:rPr>
          <w:rFonts w:hint="eastAsia" w:ascii="Times New Roman" w:hAnsi="Times New Roman" w:eastAsia="宋体" w:cs="Times New Roman"/>
          <w:color w:val="auto"/>
          <w:sz w:val="24"/>
          <w:szCs w:val="24"/>
        </w:rPr>
        <w:t>【非监狱企业不用提供】</w:t>
      </w:r>
    </w:p>
    <w:p w14:paraId="5FFB2D24">
      <w:pPr>
        <w:spacing w:line="360" w:lineRule="auto"/>
        <w:ind w:firstLine="480"/>
        <w:rPr>
          <w:rFonts w:ascii="Times New Roman" w:hAnsi="Times New Roman" w:eastAsia="宋体" w:cs="Times New Roman"/>
          <w:color w:val="auto"/>
          <w:szCs w:val="21"/>
        </w:rPr>
      </w:pPr>
    </w:p>
    <w:p w14:paraId="6C43021F">
      <w:pPr>
        <w:spacing w:line="360" w:lineRule="auto"/>
        <w:ind w:firstLine="525" w:firstLineChars="250"/>
        <w:rPr>
          <w:rFonts w:ascii="Times New Roman" w:hAnsi="Times New Roman" w:eastAsia="宋体" w:cs="Times New Roman"/>
          <w:color w:val="auto"/>
          <w:szCs w:val="21"/>
        </w:rPr>
      </w:pPr>
      <w:r>
        <w:rPr>
          <w:rFonts w:hint="eastAsia" w:ascii="Times New Roman" w:hAnsi="Times New Roman" w:eastAsia="宋体" w:cs="Times New Roman"/>
          <w:color w:val="auto"/>
          <w:szCs w:val="21"/>
        </w:rPr>
        <w:t>监狱企业参加政府采购活动时，应当提供由省级以上监狱管理本企业郑重声明，根据《关于政府采购支持监狱企业发展有关问题的通知》（财库</w:t>
      </w:r>
      <w:r>
        <w:rPr>
          <w:rFonts w:ascii="Times New Roman" w:hAnsi="Times New Roman" w:eastAsia="宋体" w:cs="Times New Roman"/>
          <w:color w:val="auto"/>
          <w:szCs w:val="21"/>
        </w:rPr>
        <w:t>[2014]68</w:t>
      </w:r>
      <w:r>
        <w:rPr>
          <w:rFonts w:hint="eastAsia" w:ascii="Times New Roman" w:hAnsi="Times New Roman" w:eastAsia="宋体" w:cs="Times New Roman"/>
          <w:color w:val="auto"/>
          <w:szCs w:val="21"/>
        </w:rPr>
        <w:t>号）的规定，本企业为监狱企业。</w:t>
      </w:r>
    </w:p>
    <w:p w14:paraId="6123B289">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根据上述标准，我企业属于监狱企业的理由为：。</w:t>
      </w:r>
    </w:p>
    <w:p w14:paraId="6C012676">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本企业为参加（项目名称：）（项目编号：）采购活动提供本企业的产品。</w:t>
      </w:r>
    </w:p>
    <w:p w14:paraId="602A008C">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本企业对上述声明的真实性负责。如有虚假，将依法承担相应责任。</w:t>
      </w:r>
    </w:p>
    <w:p w14:paraId="2C6C412F">
      <w:pPr>
        <w:spacing w:line="360" w:lineRule="auto"/>
        <w:ind w:firstLine="480"/>
        <w:rPr>
          <w:rFonts w:ascii="Times New Roman" w:hAnsi="Times New Roman" w:eastAsia="宋体" w:cs="Times New Roman"/>
          <w:color w:val="auto"/>
          <w:szCs w:val="21"/>
        </w:rPr>
      </w:pPr>
    </w:p>
    <w:p w14:paraId="6F092C05">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投标人名称（盖章）：</w:t>
      </w:r>
    </w:p>
    <w:p w14:paraId="6361A1F4">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日期：年月日</w:t>
      </w:r>
    </w:p>
    <w:p w14:paraId="6A8C7B21">
      <w:pPr>
        <w:spacing w:line="360" w:lineRule="auto"/>
        <w:ind w:firstLine="480"/>
        <w:rPr>
          <w:rFonts w:ascii="Times New Roman" w:hAnsi="Times New Roman" w:eastAsia="宋体" w:cs="Times New Roman"/>
          <w:color w:val="auto"/>
          <w:szCs w:val="21"/>
        </w:rPr>
      </w:pPr>
    </w:p>
    <w:p w14:paraId="676A3A68">
      <w:pPr>
        <w:spacing w:line="360" w:lineRule="auto"/>
        <w:ind w:firstLine="480"/>
        <w:rPr>
          <w:rFonts w:ascii="Times New Roman" w:hAnsi="Times New Roman" w:eastAsia="宋体" w:cs="Times New Roman"/>
          <w:color w:val="auto"/>
          <w:szCs w:val="21"/>
        </w:rPr>
      </w:pPr>
    </w:p>
    <w:p w14:paraId="2F7CD4EC">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投标人为监狱企业的提供此函。</w:t>
      </w:r>
    </w:p>
    <w:p w14:paraId="2BDC5878">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局、戒毒管理局（含新疆生产建设兵团）出具的属于监狱企业的证明文件。</w:t>
      </w:r>
    </w:p>
    <w:p w14:paraId="248A9335">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1C53782">
      <w:pPr>
        <w:spacing w:line="360" w:lineRule="auto"/>
        <w:ind w:firstLine="480"/>
        <w:rPr>
          <w:rFonts w:ascii="Times New Roman" w:hAnsi="Times New Roman" w:eastAsia="宋体" w:cs="Times New Roman"/>
          <w:color w:val="auto"/>
          <w:szCs w:val="21"/>
        </w:rPr>
      </w:pPr>
    </w:p>
    <w:p w14:paraId="72A3568E">
      <w:pPr>
        <w:spacing w:line="360" w:lineRule="auto"/>
        <w:ind w:firstLine="480"/>
        <w:rPr>
          <w:rFonts w:ascii="Times New Roman" w:hAnsi="Times New Roman" w:eastAsia="宋体" w:cs="Times New Roman"/>
          <w:color w:val="auto"/>
          <w:szCs w:val="21"/>
        </w:rPr>
      </w:pPr>
    </w:p>
    <w:p w14:paraId="630A737F">
      <w:pPr>
        <w:spacing w:line="360" w:lineRule="auto"/>
        <w:ind w:firstLine="480"/>
        <w:rPr>
          <w:rFonts w:ascii="Times New Roman" w:hAnsi="Times New Roman" w:eastAsia="宋体" w:cs="Times New Roman"/>
          <w:color w:val="auto"/>
          <w:szCs w:val="21"/>
        </w:rPr>
      </w:pPr>
    </w:p>
    <w:p w14:paraId="625F23B1">
      <w:pPr>
        <w:spacing w:line="360" w:lineRule="auto"/>
        <w:ind w:firstLine="480"/>
        <w:rPr>
          <w:rFonts w:ascii="Times New Roman" w:hAnsi="Times New Roman" w:eastAsia="宋体" w:cs="Times New Roman"/>
          <w:color w:val="auto"/>
          <w:szCs w:val="21"/>
        </w:rPr>
      </w:pPr>
    </w:p>
    <w:p w14:paraId="6AE689CC">
      <w:pPr>
        <w:spacing w:line="360" w:lineRule="auto"/>
        <w:ind w:firstLine="480"/>
        <w:rPr>
          <w:rFonts w:ascii="Times New Roman" w:hAnsi="Times New Roman" w:eastAsia="宋体" w:cs="Times New Roman"/>
          <w:color w:val="auto"/>
          <w:szCs w:val="21"/>
        </w:rPr>
      </w:pPr>
    </w:p>
    <w:p w14:paraId="6D744C5D">
      <w:pPr>
        <w:spacing w:line="360" w:lineRule="auto"/>
        <w:ind w:firstLine="480"/>
        <w:rPr>
          <w:rFonts w:ascii="Times New Roman" w:hAnsi="Times New Roman" w:eastAsia="宋体" w:cs="Times New Roman"/>
          <w:color w:val="auto"/>
          <w:szCs w:val="21"/>
        </w:rPr>
      </w:pPr>
    </w:p>
    <w:p w14:paraId="1EA66767">
      <w:pPr>
        <w:spacing w:line="360" w:lineRule="auto"/>
        <w:ind w:firstLine="480"/>
        <w:rPr>
          <w:rFonts w:ascii="Times New Roman" w:hAnsi="Times New Roman" w:eastAsia="宋体" w:cs="Times New Roman"/>
          <w:color w:val="auto"/>
          <w:szCs w:val="21"/>
        </w:rPr>
      </w:pPr>
    </w:p>
    <w:p w14:paraId="5FE422EE">
      <w:pPr>
        <w:spacing w:line="360" w:lineRule="auto"/>
        <w:ind w:firstLine="480"/>
        <w:rPr>
          <w:rFonts w:ascii="Times New Roman" w:hAnsi="Times New Roman" w:eastAsia="宋体" w:cs="Times New Roman"/>
          <w:color w:val="auto"/>
          <w:szCs w:val="21"/>
        </w:rPr>
      </w:pPr>
    </w:p>
    <w:p w14:paraId="1054032C">
      <w:pPr>
        <w:spacing w:line="360" w:lineRule="auto"/>
        <w:ind w:firstLine="480"/>
        <w:rPr>
          <w:rFonts w:ascii="Times New Roman" w:hAnsi="Times New Roman" w:eastAsia="宋体" w:cs="Times New Roman"/>
          <w:color w:val="auto"/>
          <w:szCs w:val="21"/>
        </w:rPr>
      </w:pPr>
    </w:p>
    <w:p w14:paraId="300A5537">
      <w:pPr>
        <w:spacing w:line="360" w:lineRule="auto"/>
        <w:ind w:firstLine="480"/>
        <w:rPr>
          <w:rFonts w:ascii="Times New Roman" w:hAnsi="Times New Roman" w:eastAsia="宋体" w:cs="Times New Roman"/>
          <w:color w:val="auto"/>
          <w:szCs w:val="21"/>
        </w:rPr>
      </w:pPr>
    </w:p>
    <w:p w14:paraId="2F05FBB7">
      <w:pPr>
        <w:spacing w:line="360" w:lineRule="auto"/>
        <w:ind w:firstLine="480"/>
        <w:rPr>
          <w:rFonts w:ascii="Times New Roman" w:hAnsi="Times New Roman" w:eastAsia="宋体" w:cs="Times New Roman"/>
          <w:color w:val="auto"/>
          <w:szCs w:val="21"/>
        </w:rPr>
      </w:pPr>
    </w:p>
    <w:p w14:paraId="21E509BE">
      <w:pPr>
        <w:spacing w:line="360" w:lineRule="auto"/>
        <w:ind w:firstLine="480"/>
        <w:rPr>
          <w:rFonts w:ascii="Times New Roman" w:hAnsi="Times New Roman" w:eastAsia="宋体" w:cs="Times New Roman"/>
          <w:color w:val="auto"/>
          <w:szCs w:val="21"/>
        </w:rPr>
      </w:pPr>
    </w:p>
    <w:p w14:paraId="57C1DDCC">
      <w:pPr>
        <w:spacing w:line="360" w:lineRule="auto"/>
        <w:ind w:firstLine="480"/>
        <w:rPr>
          <w:rFonts w:ascii="Times New Roman" w:hAnsi="Times New Roman" w:eastAsia="宋体" w:cs="Times New Roman"/>
          <w:color w:val="auto"/>
          <w:szCs w:val="21"/>
        </w:rPr>
      </w:pPr>
    </w:p>
    <w:p w14:paraId="6565303F">
      <w:pPr>
        <w:spacing w:line="360" w:lineRule="auto"/>
        <w:rPr>
          <w:rFonts w:ascii="Times New Roman" w:hAnsi="Times New Roman" w:eastAsia="宋体" w:cs="Times New Roman"/>
          <w:b/>
          <w:color w:val="auto"/>
          <w:sz w:val="24"/>
          <w:szCs w:val="24"/>
        </w:rPr>
      </w:pPr>
    </w:p>
    <w:p w14:paraId="45E9FFDA">
      <w:pPr>
        <w:spacing w:line="360" w:lineRule="auto"/>
        <w:jc w:val="center"/>
        <w:rPr>
          <w:rFonts w:ascii="Times New Roman" w:hAnsi="Times New Roman" w:eastAsia="宋体" w:cs="Times New Roman"/>
          <w:b/>
          <w:color w:val="auto"/>
          <w:sz w:val="24"/>
          <w:szCs w:val="24"/>
        </w:rPr>
      </w:pPr>
    </w:p>
    <w:p w14:paraId="01BBCD95">
      <w:pPr>
        <w:spacing w:line="360" w:lineRule="auto"/>
        <w:jc w:val="center"/>
        <w:rPr>
          <w:rFonts w:ascii="Times New Roman" w:hAnsi="Times New Roman" w:eastAsia="宋体" w:cs="Times New Roman"/>
          <w:b/>
          <w:color w:val="auto"/>
          <w:sz w:val="24"/>
          <w:szCs w:val="24"/>
        </w:rPr>
      </w:pPr>
      <w:r>
        <w:rPr>
          <w:rFonts w:hint="eastAsia" w:ascii="Times New Roman" w:hAnsi="Times New Roman" w:eastAsia="宋体" w:cs="Times New Roman"/>
          <w:b/>
          <w:color w:val="auto"/>
          <w:sz w:val="24"/>
          <w:szCs w:val="24"/>
        </w:rPr>
        <w:t>残疾人福利性单位声明函</w:t>
      </w:r>
    </w:p>
    <w:p w14:paraId="3709DE91">
      <w:pPr>
        <w:spacing w:line="360" w:lineRule="auto"/>
        <w:ind w:firstLine="2835" w:firstLineChars="1350"/>
        <w:rPr>
          <w:rFonts w:ascii="Times New Roman" w:hAnsi="Times New Roman" w:eastAsia="宋体" w:cs="Times New Roman"/>
          <w:color w:val="auto"/>
          <w:szCs w:val="21"/>
        </w:rPr>
      </w:pPr>
      <w:r>
        <w:rPr>
          <w:rFonts w:hint="eastAsia" w:ascii="Times New Roman" w:hAnsi="Times New Roman" w:eastAsia="宋体" w:cs="Times New Roman"/>
          <w:color w:val="auto"/>
          <w:szCs w:val="21"/>
        </w:rPr>
        <w:t>【非残疾人福利性单位不用提供】</w:t>
      </w:r>
    </w:p>
    <w:p w14:paraId="7CD1B52F">
      <w:pPr>
        <w:spacing w:line="360" w:lineRule="auto"/>
        <w:rPr>
          <w:rFonts w:ascii="Times New Roman" w:hAnsi="Times New Roman" w:eastAsia="宋体" w:cs="Times New Roman"/>
          <w:color w:val="auto"/>
          <w:szCs w:val="21"/>
        </w:rPr>
      </w:pPr>
    </w:p>
    <w:p w14:paraId="1427DFE1">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本单位郑重声明，根据《财政部民政部中国残疾人联合会关于促进残疾人就业政府采购政策的通知》（财库〔</w:t>
      </w:r>
      <w:r>
        <w:rPr>
          <w:rFonts w:ascii="Times New Roman" w:hAnsi="Times New Roman" w:eastAsia="宋体" w:cs="Times New Roman"/>
          <w:color w:val="auto"/>
          <w:szCs w:val="21"/>
        </w:rPr>
        <w:t>2017</w:t>
      </w:r>
      <w:r>
        <w:rPr>
          <w:rFonts w:hint="eastAsia" w:ascii="Times New Roman" w:hAnsi="Times New Roman" w:eastAsia="宋体" w:cs="Times New Roman"/>
          <w:color w:val="auto"/>
          <w:szCs w:val="21"/>
        </w:rPr>
        <w:t>〕</w:t>
      </w:r>
      <w:r>
        <w:rPr>
          <w:rFonts w:ascii="Times New Roman" w:hAnsi="Times New Roman" w:eastAsia="宋体" w:cs="Times New Roman"/>
          <w:color w:val="auto"/>
          <w:szCs w:val="21"/>
        </w:rPr>
        <w:t>141</w:t>
      </w:r>
      <w:r>
        <w:rPr>
          <w:rFonts w:hint="eastAsia" w:ascii="Times New Roman" w:hAnsi="Times New Roman" w:eastAsia="宋体" w:cs="Times New Roman"/>
          <w:color w:val="auto"/>
          <w:szCs w:val="21"/>
        </w:rPr>
        <w:t>号）的规定，本单位为符合条件的残疾人福利性单位，且本单位参加（采购人名称）单位的（项目名称）项目采购活动提供本单位制造的货物（由本单位承担工程</w:t>
      </w:r>
      <w:r>
        <w:rPr>
          <w:rFonts w:ascii="Times New Roman" w:hAnsi="Times New Roman" w:eastAsia="宋体" w:cs="Times New Roman"/>
          <w:color w:val="auto"/>
          <w:szCs w:val="21"/>
        </w:rPr>
        <w:t>/</w:t>
      </w:r>
      <w:r>
        <w:rPr>
          <w:rFonts w:hint="eastAsia" w:ascii="Times New Roman" w:hAnsi="Times New Roman" w:eastAsia="宋体" w:cs="Times New Roman"/>
          <w:color w:val="auto"/>
          <w:szCs w:val="21"/>
        </w:rPr>
        <w:t>提供服务），或者提供其他残疾人福利性单位制造的货物（不包括使用非残疾人福利性单位注册商标的货物）。</w:t>
      </w:r>
    </w:p>
    <w:p w14:paraId="114D498C">
      <w:pPr>
        <w:spacing w:line="360" w:lineRule="auto"/>
        <w:ind w:firstLine="420" w:firstLineChars="200"/>
        <w:rPr>
          <w:rFonts w:ascii="Times New Roman" w:hAnsi="Times New Roman" w:eastAsia="宋体" w:cs="Times New Roman"/>
          <w:color w:val="auto"/>
          <w:szCs w:val="21"/>
        </w:rPr>
      </w:pPr>
      <w:r>
        <w:rPr>
          <w:rFonts w:hint="eastAsia" w:ascii="Times New Roman" w:hAnsi="Times New Roman" w:eastAsia="宋体" w:cs="Times New Roman"/>
          <w:color w:val="auto"/>
          <w:szCs w:val="21"/>
        </w:rPr>
        <w:t>本单位对上述声明的真实性负责。如有虚假，将依法承担相应责任。</w:t>
      </w:r>
    </w:p>
    <w:p w14:paraId="120144E6">
      <w:pPr>
        <w:spacing w:line="360" w:lineRule="auto"/>
        <w:rPr>
          <w:rFonts w:ascii="Times New Roman" w:hAnsi="Times New Roman" w:eastAsia="宋体" w:cs="Times New Roman"/>
          <w:color w:val="auto"/>
          <w:szCs w:val="21"/>
        </w:rPr>
      </w:pPr>
    </w:p>
    <w:p w14:paraId="7547B958">
      <w:pPr>
        <w:spacing w:line="360" w:lineRule="auto"/>
        <w:rPr>
          <w:rFonts w:ascii="Times New Roman" w:hAnsi="Times New Roman" w:eastAsia="宋体" w:cs="Times New Roman"/>
          <w:color w:val="auto"/>
          <w:szCs w:val="21"/>
        </w:rPr>
      </w:pPr>
    </w:p>
    <w:p w14:paraId="52B8B0A5">
      <w:pPr>
        <w:spacing w:line="360" w:lineRule="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投标人名称（盖章）：</w:t>
      </w:r>
    </w:p>
    <w:p w14:paraId="6D74EA3D">
      <w:pPr>
        <w:spacing w:line="360" w:lineRule="auto"/>
        <w:rPr>
          <w:rFonts w:ascii="Times New Roman" w:hAnsi="Times New Roman" w:eastAsia="宋体" w:cs="Times New Roman"/>
          <w:color w:val="auto"/>
          <w:szCs w:val="21"/>
        </w:rPr>
      </w:pPr>
      <w:r>
        <w:rPr>
          <w:rFonts w:hint="eastAsia" w:ascii="Times New Roman" w:hAnsi="Times New Roman" w:eastAsia="宋体" w:cs="Times New Roman"/>
          <w:color w:val="auto"/>
          <w:szCs w:val="21"/>
        </w:rPr>
        <w:t>日期：年月日</w:t>
      </w:r>
    </w:p>
    <w:p w14:paraId="3F303661">
      <w:pPr>
        <w:spacing w:line="360" w:lineRule="auto"/>
        <w:ind w:firstLine="480"/>
        <w:rPr>
          <w:rFonts w:ascii="Times New Roman" w:hAnsi="Times New Roman" w:eastAsia="宋体" w:cs="Times New Roman"/>
          <w:color w:val="auto"/>
          <w:szCs w:val="21"/>
        </w:rPr>
      </w:pPr>
      <w:r>
        <w:rPr>
          <w:rFonts w:hint="eastAsia" w:ascii="Times New Roman" w:hAnsi="Times New Roman" w:eastAsia="宋体" w:cs="Times New Roman"/>
          <w:color w:val="auto"/>
          <w:szCs w:val="21"/>
        </w:rPr>
        <w:t>说明：投标人为残疾人福利性单位的提供此函。</w:t>
      </w:r>
    </w:p>
    <w:p w14:paraId="5D324568">
      <w:pPr>
        <w:snapToGrid w:val="0"/>
        <w:spacing w:line="360" w:lineRule="auto"/>
        <w:ind w:right="-341"/>
        <w:rPr>
          <w:rFonts w:ascii="Times New Roman" w:hAnsi="Times New Roman" w:eastAsia="宋体" w:cs="Times New Roman"/>
          <w:color w:val="auto"/>
        </w:rPr>
      </w:pPr>
    </w:p>
    <w:p w14:paraId="2B6E978E">
      <w:pPr>
        <w:snapToGrid w:val="0"/>
        <w:spacing w:line="360" w:lineRule="auto"/>
        <w:ind w:right="-341"/>
        <w:rPr>
          <w:rFonts w:ascii="Times New Roman" w:hAnsi="Times New Roman" w:eastAsia="宋体" w:cs="Times New Roman"/>
          <w:color w:val="auto"/>
        </w:rPr>
      </w:pPr>
    </w:p>
    <w:p w14:paraId="001891B3">
      <w:pPr>
        <w:snapToGrid w:val="0"/>
        <w:spacing w:line="360" w:lineRule="auto"/>
        <w:ind w:right="-341"/>
        <w:rPr>
          <w:rFonts w:ascii="Times New Roman" w:hAnsi="Times New Roman" w:eastAsia="宋体" w:cs="Times New Roman"/>
          <w:color w:val="auto"/>
        </w:rPr>
      </w:pPr>
    </w:p>
    <w:p w14:paraId="3E9760B8">
      <w:pPr>
        <w:snapToGrid w:val="0"/>
        <w:spacing w:line="360" w:lineRule="auto"/>
        <w:ind w:right="-341"/>
        <w:rPr>
          <w:rFonts w:ascii="Times New Roman" w:hAnsi="Times New Roman" w:eastAsia="宋体" w:cs="Times New Roman"/>
          <w:color w:val="auto"/>
        </w:rPr>
      </w:pPr>
    </w:p>
    <w:p w14:paraId="507C9FF3">
      <w:pPr>
        <w:snapToGrid w:val="0"/>
        <w:spacing w:line="312" w:lineRule="auto"/>
        <w:ind w:right="-341"/>
        <w:rPr>
          <w:rFonts w:ascii="Times New Roman" w:hAnsi="Times New Roman" w:eastAsia="宋体" w:cs="Times New Roman"/>
          <w:b/>
          <w:color w:val="auto"/>
        </w:rPr>
      </w:pPr>
    </w:p>
    <w:p w14:paraId="69B4638B">
      <w:pPr>
        <w:snapToGrid w:val="0"/>
        <w:spacing w:line="312" w:lineRule="auto"/>
        <w:ind w:right="-341"/>
        <w:rPr>
          <w:rFonts w:ascii="Times New Roman" w:hAnsi="Times New Roman" w:eastAsia="宋体" w:cs="Times New Roman"/>
          <w:b/>
          <w:color w:val="auto"/>
        </w:rPr>
      </w:pPr>
    </w:p>
    <w:p w14:paraId="05509400">
      <w:pPr>
        <w:snapToGrid w:val="0"/>
        <w:spacing w:line="312" w:lineRule="auto"/>
        <w:ind w:right="-341"/>
        <w:rPr>
          <w:rFonts w:ascii="Times New Roman" w:hAnsi="Times New Roman" w:eastAsia="宋体" w:cs="Times New Roman"/>
          <w:b/>
          <w:color w:val="auto"/>
        </w:rPr>
      </w:pPr>
    </w:p>
    <w:p w14:paraId="06EF0928">
      <w:pPr>
        <w:snapToGrid w:val="0"/>
        <w:spacing w:line="312" w:lineRule="auto"/>
        <w:ind w:right="-341"/>
        <w:rPr>
          <w:rFonts w:ascii="Times New Roman" w:hAnsi="Times New Roman" w:eastAsia="宋体" w:cs="Times New Roman"/>
          <w:b/>
          <w:color w:val="auto"/>
        </w:rPr>
      </w:pPr>
    </w:p>
    <w:p w14:paraId="0222E471">
      <w:pPr>
        <w:snapToGrid w:val="0"/>
        <w:spacing w:line="312" w:lineRule="auto"/>
        <w:ind w:right="-341"/>
        <w:rPr>
          <w:rFonts w:ascii="Times New Roman" w:hAnsi="Times New Roman" w:eastAsia="宋体" w:cs="Times New Roman"/>
          <w:b/>
          <w:color w:val="auto"/>
        </w:rPr>
      </w:pPr>
    </w:p>
    <w:p w14:paraId="0570676B">
      <w:pPr>
        <w:snapToGrid w:val="0"/>
        <w:spacing w:line="312" w:lineRule="auto"/>
        <w:ind w:right="-341"/>
        <w:rPr>
          <w:rFonts w:ascii="Times New Roman" w:hAnsi="Times New Roman" w:eastAsia="宋体" w:cs="Times New Roman"/>
          <w:b/>
          <w:color w:val="auto"/>
        </w:rPr>
      </w:pPr>
    </w:p>
    <w:p w14:paraId="08ED7473">
      <w:pPr>
        <w:snapToGrid w:val="0"/>
        <w:spacing w:line="312" w:lineRule="auto"/>
        <w:ind w:right="-341"/>
        <w:rPr>
          <w:rFonts w:ascii="Times New Roman" w:hAnsi="Times New Roman" w:eastAsia="宋体" w:cs="Times New Roman"/>
          <w:b/>
          <w:color w:val="auto"/>
        </w:rPr>
      </w:pPr>
    </w:p>
    <w:p w14:paraId="63CD3C2D">
      <w:pPr>
        <w:snapToGrid w:val="0"/>
        <w:spacing w:before="120" w:line="312" w:lineRule="auto"/>
        <w:ind w:right="-341"/>
        <w:rPr>
          <w:rFonts w:ascii="Times New Roman" w:hAnsi="Times New Roman" w:eastAsia="宋体" w:cs="Times New Roman"/>
          <w:b/>
          <w:color w:val="auto"/>
          <w:sz w:val="32"/>
        </w:rPr>
      </w:pPr>
    </w:p>
    <w:p w14:paraId="1ACC72AC">
      <w:pPr>
        <w:rPr>
          <w:rFonts w:ascii="Times New Roman" w:hAnsi="Times New Roman" w:eastAsia="宋体" w:cs="Times New Roman"/>
          <w:color w:val="auto"/>
          <w:sz w:val="18"/>
          <w:szCs w:val="24"/>
        </w:rPr>
      </w:pPr>
    </w:p>
    <w:p w14:paraId="26E8F3B9">
      <w:pPr>
        <w:spacing w:after="120"/>
        <w:rPr>
          <w:rFonts w:ascii="Times New Roman" w:hAnsi="Times New Roman" w:eastAsia="宋体" w:cs="Times New Roman"/>
          <w:color w:val="auto"/>
        </w:rPr>
      </w:pPr>
    </w:p>
    <w:p w14:paraId="4BDB30DC">
      <w:pPr>
        <w:snapToGrid w:val="0"/>
        <w:spacing w:before="50" w:line="312" w:lineRule="auto"/>
        <w:jc w:val="left"/>
        <w:rPr>
          <w:rFonts w:ascii="Times New Roman" w:hAnsi="Times New Roman" w:eastAsia="宋体" w:cs="Times New Roman"/>
          <w:b/>
          <w:color w:val="auto"/>
          <w:spacing w:val="20"/>
          <w:sz w:val="28"/>
        </w:rPr>
      </w:pPr>
    </w:p>
    <w:p w14:paraId="66919E68">
      <w:pPr>
        <w:snapToGrid w:val="0"/>
        <w:spacing w:before="50" w:line="312" w:lineRule="auto"/>
        <w:jc w:val="center"/>
        <w:rPr>
          <w:rFonts w:ascii="Times New Roman" w:hAnsi="Times New Roman" w:eastAsia="宋体" w:cs="Times New Roman"/>
          <w:b/>
          <w:color w:val="auto"/>
          <w:sz w:val="24"/>
        </w:rPr>
      </w:pPr>
    </w:p>
    <w:p w14:paraId="462CA162">
      <w:pPr>
        <w:snapToGrid w:val="0"/>
        <w:spacing w:before="50" w:line="312" w:lineRule="auto"/>
        <w:jc w:val="center"/>
        <w:rPr>
          <w:rFonts w:ascii="Times New Roman" w:hAnsi="Times New Roman" w:eastAsia="宋体" w:cs="Times New Roman"/>
          <w:b/>
          <w:color w:val="auto"/>
          <w:sz w:val="24"/>
        </w:rPr>
      </w:pPr>
    </w:p>
    <w:p w14:paraId="08378639">
      <w:pPr>
        <w:snapToGrid w:val="0"/>
        <w:spacing w:before="50" w:line="312" w:lineRule="auto"/>
        <w:jc w:val="center"/>
        <w:rPr>
          <w:rFonts w:ascii="Times New Roman" w:hAnsi="Times New Roman" w:eastAsia="宋体" w:cs="Times New Roman"/>
          <w:b/>
          <w:color w:val="auto"/>
          <w:sz w:val="24"/>
        </w:rPr>
      </w:pPr>
    </w:p>
    <w:p w14:paraId="59828F54">
      <w:pPr>
        <w:snapToGrid w:val="0"/>
        <w:spacing w:before="50" w:line="312" w:lineRule="auto"/>
        <w:jc w:val="center"/>
        <w:rPr>
          <w:rFonts w:ascii="Times New Roman" w:hAnsi="Times New Roman" w:eastAsia="宋体" w:cs="Times New Roman"/>
          <w:b/>
          <w:color w:val="auto"/>
          <w:sz w:val="24"/>
        </w:rPr>
      </w:pPr>
    </w:p>
    <w:p w14:paraId="6D58488D">
      <w:pPr>
        <w:snapToGrid w:val="0"/>
        <w:spacing w:before="50" w:line="312" w:lineRule="auto"/>
        <w:jc w:val="center"/>
        <w:rPr>
          <w:rFonts w:ascii="Times New Roman" w:hAnsi="Times New Roman" w:eastAsia="宋体" w:cs="Times New Roman"/>
          <w:b/>
          <w:color w:val="auto"/>
          <w:sz w:val="24"/>
        </w:rPr>
      </w:pPr>
    </w:p>
    <w:p w14:paraId="0B8439A5">
      <w:pPr>
        <w:snapToGrid w:val="0"/>
        <w:spacing w:before="50" w:line="312" w:lineRule="auto"/>
        <w:jc w:val="center"/>
        <w:rPr>
          <w:rFonts w:ascii="Times New Roman" w:hAnsi="Times New Roman" w:eastAsia="宋体" w:cs="Times New Roman"/>
          <w:b/>
          <w:color w:val="auto"/>
          <w:sz w:val="24"/>
        </w:rPr>
      </w:pPr>
    </w:p>
    <w:p w14:paraId="397B8617">
      <w:pPr>
        <w:snapToGrid w:val="0"/>
        <w:spacing w:before="50" w:line="312" w:lineRule="auto"/>
        <w:rPr>
          <w:rFonts w:ascii="Times New Roman" w:hAnsi="Times New Roman" w:eastAsia="宋体" w:cs="Times New Roman"/>
          <w:b/>
          <w:color w:val="auto"/>
          <w:sz w:val="24"/>
        </w:rPr>
      </w:pPr>
    </w:p>
    <w:p w14:paraId="043BCDC1">
      <w:pPr>
        <w:snapToGrid w:val="0"/>
        <w:spacing w:before="50" w:line="312" w:lineRule="auto"/>
        <w:jc w:val="center"/>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八、商务响应表：</w:t>
      </w:r>
    </w:p>
    <w:p w14:paraId="79479250">
      <w:pPr>
        <w:snapToGrid w:val="0"/>
        <w:spacing w:before="50" w:line="312" w:lineRule="auto"/>
        <w:jc w:val="center"/>
        <w:rPr>
          <w:rFonts w:ascii="Times New Roman" w:hAnsi="Times New Roman" w:eastAsia="宋体" w:cs="Times New Roman"/>
          <w:b/>
          <w:color w:val="auto"/>
          <w:sz w:val="24"/>
        </w:rPr>
      </w:pPr>
    </w:p>
    <w:p w14:paraId="3A4FF5BB">
      <w:pPr>
        <w:snapToGrid w:val="0"/>
        <w:spacing w:line="312" w:lineRule="auto"/>
        <w:rPr>
          <w:rFonts w:ascii="Times New Roman" w:hAnsi="Times New Roman" w:eastAsia="宋体" w:cs="Times New Roman"/>
          <w:color w:val="auto"/>
        </w:rPr>
      </w:pPr>
      <w:r>
        <w:rPr>
          <w:rFonts w:hint="eastAsia" w:ascii="Times New Roman" w:hAnsi="Times New Roman" w:eastAsia="宋体" w:cs="Times New Roman"/>
          <w:color w:val="auto"/>
        </w:rPr>
        <w:t>项目名称：</w:t>
      </w:r>
    </w:p>
    <w:p w14:paraId="3E1C244D">
      <w:pPr>
        <w:snapToGrid w:val="0"/>
        <w:spacing w:line="312" w:lineRule="auto"/>
        <w:rPr>
          <w:rFonts w:ascii="Times New Roman" w:hAnsi="Times New Roman" w:eastAsia="宋体" w:cs="Times New Roman"/>
          <w:color w:val="auto"/>
        </w:rPr>
      </w:pPr>
      <w:r>
        <w:rPr>
          <w:rFonts w:hint="eastAsia" w:ascii="Times New Roman" w:hAnsi="Times New Roman" w:eastAsia="宋体" w:cs="Times New Roman"/>
          <w:color w:val="auto"/>
        </w:rPr>
        <w:t>项目编号：</w:t>
      </w:r>
    </w:p>
    <w:tbl>
      <w:tblPr>
        <w:tblStyle w:val="62"/>
        <w:tblW w:w="906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48"/>
        <w:gridCol w:w="3240"/>
        <w:gridCol w:w="1260"/>
        <w:gridCol w:w="3020"/>
      </w:tblGrid>
      <w:tr w14:paraId="28C11C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548" w:type="dxa"/>
            <w:tcBorders>
              <w:top w:val="single" w:color="auto" w:sz="4" w:space="0"/>
              <w:left w:val="single" w:color="auto" w:sz="4" w:space="0"/>
              <w:bottom w:val="single" w:color="auto" w:sz="4" w:space="0"/>
              <w:right w:val="single" w:color="auto" w:sz="4" w:space="0"/>
            </w:tcBorders>
            <w:vAlign w:val="center"/>
          </w:tcPr>
          <w:p w14:paraId="57470876">
            <w:pPr>
              <w:snapToGrid w:val="0"/>
              <w:spacing w:before="120" w:beforeLines="50" w:line="312" w:lineRule="auto"/>
              <w:jc w:val="center"/>
              <w:rPr>
                <w:rFonts w:ascii="Times New Roman" w:hAnsi="Times New Roman" w:eastAsia="宋体" w:cs="Times New Roman"/>
                <w:b/>
                <w:color w:val="auto"/>
              </w:rPr>
            </w:pPr>
            <w:r>
              <w:rPr>
                <w:rFonts w:hint="eastAsia" w:ascii="Times New Roman" w:hAnsi="Times New Roman" w:eastAsia="宋体" w:cs="Times New Roman"/>
                <w:b/>
                <w:color w:val="auto"/>
              </w:rPr>
              <w:t>项目</w:t>
            </w:r>
          </w:p>
        </w:tc>
        <w:tc>
          <w:tcPr>
            <w:tcW w:w="3240" w:type="dxa"/>
            <w:tcBorders>
              <w:top w:val="single" w:color="auto" w:sz="4" w:space="0"/>
              <w:left w:val="single" w:color="auto" w:sz="4" w:space="0"/>
              <w:bottom w:val="single" w:color="auto" w:sz="4" w:space="0"/>
              <w:right w:val="single" w:color="auto" w:sz="4" w:space="0"/>
            </w:tcBorders>
            <w:vAlign w:val="center"/>
          </w:tcPr>
          <w:p w14:paraId="184162A0">
            <w:pPr>
              <w:snapToGrid w:val="0"/>
              <w:spacing w:before="120" w:beforeLines="50" w:line="312" w:lineRule="auto"/>
              <w:jc w:val="center"/>
              <w:rPr>
                <w:rFonts w:ascii="Times New Roman" w:hAnsi="Times New Roman" w:eastAsia="宋体" w:cs="Times New Roman"/>
                <w:b/>
                <w:color w:val="auto"/>
              </w:rPr>
            </w:pPr>
            <w:r>
              <w:rPr>
                <w:rFonts w:hint="eastAsia" w:ascii="Times New Roman" w:hAnsi="Times New Roman" w:eastAsia="宋体" w:cs="Times New Roman"/>
                <w:b/>
                <w:color w:val="auto"/>
              </w:rPr>
              <w:t>招标文件要求</w:t>
            </w:r>
          </w:p>
        </w:tc>
        <w:tc>
          <w:tcPr>
            <w:tcW w:w="1260" w:type="dxa"/>
            <w:tcBorders>
              <w:top w:val="single" w:color="auto" w:sz="4" w:space="0"/>
              <w:left w:val="single" w:color="auto" w:sz="4" w:space="0"/>
              <w:bottom w:val="single" w:color="auto" w:sz="4" w:space="0"/>
              <w:right w:val="single" w:color="auto" w:sz="4" w:space="0"/>
            </w:tcBorders>
            <w:vAlign w:val="center"/>
          </w:tcPr>
          <w:p w14:paraId="4116238D">
            <w:pPr>
              <w:snapToGrid w:val="0"/>
              <w:spacing w:before="120" w:beforeLines="50" w:line="312" w:lineRule="auto"/>
              <w:jc w:val="center"/>
              <w:rPr>
                <w:rFonts w:ascii="Times New Roman" w:hAnsi="Times New Roman" w:eastAsia="宋体" w:cs="Times New Roman"/>
                <w:b/>
                <w:color w:val="auto"/>
              </w:rPr>
            </w:pPr>
            <w:r>
              <w:rPr>
                <w:rFonts w:hint="eastAsia" w:ascii="Times New Roman" w:hAnsi="Times New Roman" w:eastAsia="宋体" w:cs="Times New Roman"/>
                <w:b/>
                <w:color w:val="auto"/>
              </w:rPr>
              <w:t>是否响应</w:t>
            </w:r>
          </w:p>
        </w:tc>
        <w:tc>
          <w:tcPr>
            <w:tcW w:w="3020" w:type="dxa"/>
            <w:tcBorders>
              <w:top w:val="single" w:color="auto" w:sz="4" w:space="0"/>
              <w:left w:val="single" w:color="auto" w:sz="4" w:space="0"/>
              <w:bottom w:val="single" w:color="auto" w:sz="4" w:space="0"/>
              <w:right w:val="single" w:color="auto" w:sz="4" w:space="0"/>
            </w:tcBorders>
            <w:vAlign w:val="center"/>
          </w:tcPr>
          <w:p w14:paraId="3558E042">
            <w:pPr>
              <w:snapToGrid w:val="0"/>
              <w:spacing w:before="120" w:beforeLines="50" w:line="312" w:lineRule="auto"/>
              <w:jc w:val="center"/>
              <w:rPr>
                <w:rFonts w:ascii="Times New Roman" w:hAnsi="Times New Roman" w:eastAsia="宋体" w:cs="Times New Roman"/>
                <w:b/>
                <w:color w:val="auto"/>
              </w:rPr>
            </w:pPr>
            <w:r>
              <w:rPr>
                <w:rFonts w:hint="eastAsia" w:ascii="Times New Roman" w:hAnsi="Times New Roman" w:eastAsia="宋体" w:cs="Times New Roman"/>
                <w:b/>
                <w:color w:val="auto"/>
              </w:rPr>
              <w:t>投标人的承诺或说明</w:t>
            </w:r>
          </w:p>
        </w:tc>
      </w:tr>
      <w:tr w14:paraId="136D40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9" w:hRule="atLeast"/>
        </w:trPr>
        <w:tc>
          <w:tcPr>
            <w:tcW w:w="1548" w:type="dxa"/>
            <w:tcBorders>
              <w:top w:val="single" w:color="auto" w:sz="4" w:space="0"/>
              <w:left w:val="single" w:color="auto" w:sz="4" w:space="0"/>
              <w:bottom w:val="single" w:color="auto" w:sz="4" w:space="0"/>
              <w:right w:val="single" w:color="auto" w:sz="4" w:space="0"/>
            </w:tcBorders>
          </w:tcPr>
          <w:p w14:paraId="281A3C67">
            <w:pPr>
              <w:snapToGrid w:val="0"/>
              <w:spacing w:before="120" w:beforeLines="50" w:line="312" w:lineRule="auto"/>
              <w:rPr>
                <w:rFonts w:ascii="Times New Roman" w:hAnsi="Times New Roman" w:eastAsia="宋体" w:cs="Times New Roman"/>
                <w:color w:val="auto"/>
                <w:sz w:val="24"/>
              </w:rPr>
            </w:pPr>
          </w:p>
        </w:tc>
        <w:tc>
          <w:tcPr>
            <w:tcW w:w="3240" w:type="dxa"/>
            <w:tcBorders>
              <w:top w:val="single" w:color="auto" w:sz="4" w:space="0"/>
              <w:left w:val="single" w:color="auto" w:sz="4" w:space="0"/>
              <w:bottom w:val="single" w:color="auto" w:sz="4" w:space="0"/>
              <w:right w:val="single" w:color="auto" w:sz="4" w:space="0"/>
            </w:tcBorders>
          </w:tcPr>
          <w:p w14:paraId="334C4F78">
            <w:pPr>
              <w:snapToGrid w:val="0"/>
              <w:spacing w:before="120" w:beforeLines="50" w:after="360" w:line="312" w:lineRule="auto"/>
              <w:rPr>
                <w:rFonts w:ascii="Times New Roman" w:hAnsi="Times New Roman" w:eastAsia="宋体" w:cs="Times New Roman"/>
                <w:b/>
                <w:bCs/>
                <w:color w:val="auto"/>
                <w:kern w:val="44"/>
                <w:sz w:val="24"/>
                <w:szCs w:val="20"/>
              </w:rPr>
            </w:pPr>
          </w:p>
        </w:tc>
        <w:tc>
          <w:tcPr>
            <w:tcW w:w="1260" w:type="dxa"/>
            <w:tcBorders>
              <w:top w:val="single" w:color="auto" w:sz="4" w:space="0"/>
              <w:left w:val="single" w:color="auto" w:sz="4" w:space="0"/>
              <w:bottom w:val="single" w:color="auto" w:sz="4" w:space="0"/>
              <w:right w:val="single" w:color="auto" w:sz="4" w:space="0"/>
            </w:tcBorders>
          </w:tcPr>
          <w:p w14:paraId="27D28EA1">
            <w:pPr>
              <w:snapToGrid w:val="0"/>
              <w:spacing w:before="120" w:beforeLines="50" w:after="360" w:line="312" w:lineRule="auto"/>
              <w:rPr>
                <w:rFonts w:ascii="Times New Roman" w:hAnsi="Times New Roman" w:eastAsia="宋体" w:cs="Times New Roman"/>
                <w:b/>
                <w:bCs/>
                <w:color w:val="auto"/>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1F4CB28A">
            <w:pPr>
              <w:snapToGrid w:val="0"/>
              <w:spacing w:before="120" w:beforeLines="50" w:after="360" w:line="312" w:lineRule="auto"/>
              <w:rPr>
                <w:rFonts w:ascii="Times New Roman" w:hAnsi="Times New Roman" w:eastAsia="宋体" w:cs="Times New Roman"/>
                <w:b/>
                <w:bCs/>
                <w:color w:val="auto"/>
                <w:kern w:val="44"/>
                <w:sz w:val="24"/>
                <w:szCs w:val="20"/>
              </w:rPr>
            </w:pPr>
          </w:p>
        </w:tc>
      </w:tr>
      <w:tr w14:paraId="74A64F0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9" w:hRule="atLeast"/>
        </w:trPr>
        <w:tc>
          <w:tcPr>
            <w:tcW w:w="1548" w:type="dxa"/>
            <w:tcBorders>
              <w:top w:val="single" w:color="auto" w:sz="4" w:space="0"/>
              <w:left w:val="single" w:color="auto" w:sz="4" w:space="0"/>
              <w:bottom w:val="single" w:color="auto" w:sz="4" w:space="0"/>
              <w:right w:val="single" w:color="auto" w:sz="4" w:space="0"/>
            </w:tcBorders>
            <w:vAlign w:val="center"/>
          </w:tcPr>
          <w:p w14:paraId="28A64245">
            <w:pPr>
              <w:widowControl/>
              <w:tabs>
                <w:tab w:val="left" w:pos="420"/>
                <w:tab w:val="left" w:pos="1418"/>
              </w:tabs>
              <w:overflowPunct w:val="0"/>
              <w:autoSpaceDE w:val="0"/>
              <w:autoSpaceDN w:val="0"/>
              <w:adjustRightInd w:val="0"/>
              <w:snapToGrid w:val="0"/>
              <w:spacing w:line="312" w:lineRule="auto"/>
              <w:jc w:val="center"/>
              <w:textAlignment w:val="baseline"/>
              <w:rPr>
                <w:rFonts w:ascii="Times New Roman" w:hAnsi="Times New Roman" w:eastAsia="宋体" w:cs="Times New Roman"/>
                <w:color w:val="auto"/>
                <w:kern w:val="0"/>
                <w:sz w:val="24"/>
              </w:rPr>
            </w:pPr>
          </w:p>
        </w:tc>
        <w:tc>
          <w:tcPr>
            <w:tcW w:w="3240" w:type="dxa"/>
            <w:tcBorders>
              <w:top w:val="single" w:color="auto" w:sz="4" w:space="0"/>
              <w:left w:val="single" w:color="auto" w:sz="4" w:space="0"/>
              <w:bottom w:val="single" w:color="auto" w:sz="4" w:space="0"/>
              <w:right w:val="single" w:color="auto" w:sz="4" w:space="0"/>
            </w:tcBorders>
          </w:tcPr>
          <w:p w14:paraId="13D75848">
            <w:pPr>
              <w:snapToGrid w:val="0"/>
              <w:spacing w:before="120" w:beforeLines="50" w:line="312" w:lineRule="auto"/>
              <w:rPr>
                <w:rFonts w:ascii="Times New Roman" w:hAnsi="Times New Roman" w:eastAsia="宋体" w:cs="Times New Roman"/>
                <w:color w:val="auto"/>
                <w:sz w:val="24"/>
              </w:rPr>
            </w:pPr>
          </w:p>
        </w:tc>
        <w:tc>
          <w:tcPr>
            <w:tcW w:w="1260" w:type="dxa"/>
            <w:tcBorders>
              <w:top w:val="single" w:color="auto" w:sz="4" w:space="0"/>
              <w:left w:val="single" w:color="auto" w:sz="4" w:space="0"/>
              <w:bottom w:val="single" w:color="auto" w:sz="4" w:space="0"/>
              <w:right w:val="single" w:color="auto" w:sz="4" w:space="0"/>
            </w:tcBorders>
          </w:tcPr>
          <w:p w14:paraId="2F49FA32">
            <w:pPr>
              <w:snapToGrid w:val="0"/>
              <w:spacing w:before="120" w:beforeLines="50" w:after="360" w:line="312" w:lineRule="auto"/>
              <w:rPr>
                <w:rFonts w:ascii="Times New Roman" w:hAnsi="Times New Roman" w:eastAsia="宋体" w:cs="Times New Roman"/>
                <w:b/>
                <w:bCs/>
                <w:color w:val="auto"/>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73B2CFD9">
            <w:pPr>
              <w:snapToGrid w:val="0"/>
              <w:spacing w:before="120" w:beforeLines="50" w:after="360" w:line="312" w:lineRule="auto"/>
              <w:rPr>
                <w:rFonts w:ascii="Times New Roman" w:hAnsi="Times New Roman" w:eastAsia="宋体" w:cs="Times New Roman"/>
                <w:b/>
                <w:bCs/>
                <w:color w:val="auto"/>
                <w:kern w:val="44"/>
                <w:sz w:val="24"/>
                <w:szCs w:val="20"/>
              </w:rPr>
            </w:pPr>
          </w:p>
        </w:tc>
      </w:tr>
      <w:tr w14:paraId="6A562D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1" w:hRule="atLeast"/>
        </w:trPr>
        <w:tc>
          <w:tcPr>
            <w:tcW w:w="1548" w:type="dxa"/>
            <w:tcBorders>
              <w:top w:val="single" w:color="auto" w:sz="4" w:space="0"/>
              <w:left w:val="single" w:color="auto" w:sz="4" w:space="0"/>
              <w:bottom w:val="single" w:color="auto" w:sz="4" w:space="0"/>
              <w:right w:val="single" w:color="auto" w:sz="4" w:space="0"/>
            </w:tcBorders>
            <w:vAlign w:val="center"/>
          </w:tcPr>
          <w:p w14:paraId="42E929EF">
            <w:pPr>
              <w:snapToGrid w:val="0"/>
              <w:spacing w:line="312" w:lineRule="auto"/>
              <w:jc w:val="center"/>
              <w:rPr>
                <w:rFonts w:ascii="Times New Roman" w:hAnsi="Times New Roman" w:eastAsia="宋体" w:cs="Times New Roman"/>
                <w:color w:val="auto"/>
                <w:sz w:val="24"/>
              </w:rPr>
            </w:pPr>
          </w:p>
        </w:tc>
        <w:tc>
          <w:tcPr>
            <w:tcW w:w="3240" w:type="dxa"/>
            <w:tcBorders>
              <w:top w:val="single" w:color="auto" w:sz="4" w:space="0"/>
              <w:left w:val="single" w:color="auto" w:sz="4" w:space="0"/>
              <w:bottom w:val="single" w:color="auto" w:sz="4" w:space="0"/>
              <w:right w:val="single" w:color="auto" w:sz="4" w:space="0"/>
            </w:tcBorders>
          </w:tcPr>
          <w:p w14:paraId="50954897">
            <w:pPr>
              <w:snapToGrid w:val="0"/>
              <w:spacing w:before="120" w:beforeLines="50" w:line="312" w:lineRule="auto"/>
              <w:rPr>
                <w:rFonts w:ascii="Times New Roman" w:hAnsi="Times New Roman" w:eastAsia="宋体" w:cs="Times New Roman"/>
                <w:color w:val="auto"/>
                <w:sz w:val="24"/>
              </w:rPr>
            </w:pPr>
          </w:p>
        </w:tc>
        <w:tc>
          <w:tcPr>
            <w:tcW w:w="1260" w:type="dxa"/>
            <w:tcBorders>
              <w:top w:val="single" w:color="auto" w:sz="4" w:space="0"/>
              <w:left w:val="single" w:color="auto" w:sz="4" w:space="0"/>
              <w:bottom w:val="single" w:color="auto" w:sz="4" w:space="0"/>
              <w:right w:val="single" w:color="auto" w:sz="4" w:space="0"/>
            </w:tcBorders>
          </w:tcPr>
          <w:p w14:paraId="12B47510">
            <w:pPr>
              <w:snapToGrid w:val="0"/>
              <w:spacing w:before="120" w:beforeLines="50" w:after="360" w:line="312" w:lineRule="auto"/>
              <w:ind w:left="43"/>
              <w:rPr>
                <w:rFonts w:ascii="Times New Roman" w:hAnsi="Times New Roman" w:eastAsia="宋体" w:cs="Times New Roman"/>
                <w:b/>
                <w:bCs/>
                <w:color w:val="auto"/>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22689AA2">
            <w:pPr>
              <w:snapToGrid w:val="0"/>
              <w:spacing w:before="120" w:beforeLines="50" w:after="360" w:line="312" w:lineRule="auto"/>
              <w:ind w:left="43"/>
              <w:rPr>
                <w:rFonts w:ascii="Times New Roman" w:hAnsi="Times New Roman" w:eastAsia="宋体" w:cs="Times New Roman"/>
                <w:b/>
                <w:bCs/>
                <w:color w:val="auto"/>
                <w:kern w:val="44"/>
                <w:sz w:val="24"/>
                <w:szCs w:val="20"/>
              </w:rPr>
            </w:pPr>
          </w:p>
        </w:tc>
      </w:tr>
      <w:tr w14:paraId="541130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0" w:hRule="atLeast"/>
        </w:trPr>
        <w:tc>
          <w:tcPr>
            <w:tcW w:w="1548" w:type="dxa"/>
            <w:tcBorders>
              <w:top w:val="single" w:color="auto" w:sz="4" w:space="0"/>
              <w:left w:val="single" w:color="auto" w:sz="4" w:space="0"/>
              <w:bottom w:val="single" w:color="auto" w:sz="4" w:space="0"/>
              <w:right w:val="single" w:color="auto" w:sz="4" w:space="0"/>
            </w:tcBorders>
            <w:vAlign w:val="center"/>
          </w:tcPr>
          <w:p w14:paraId="5DD80BAA">
            <w:pPr>
              <w:snapToGrid w:val="0"/>
              <w:spacing w:line="312" w:lineRule="auto"/>
              <w:jc w:val="center"/>
              <w:rPr>
                <w:rFonts w:ascii="Times New Roman" w:hAnsi="Times New Roman" w:eastAsia="宋体" w:cs="Times New Roman"/>
                <w:color w:val="auto"/>
                <w:sz w:val="24"/>
              </w:rPr>
            </w:pPr>
          </w:p>
        </w:tc>
        <w:tc>
          <w:tcPr>
            <w:tcW w:w="3240" w:type="dxa"/>
            <w:tcBorders>
              <w:top w:val="single" w:color="auto" w:sz="4" w:space="0"/>
              <w:left w:val="single" w:color="auto" w:sz="4" w:space="0"/>
              <w:bottom w:val="single" w:color="auto" w:sz="4" w:space="0"/>
              <w:right w:val="single" w:color="auto" w:sz="4" w:space="0"/>
            </w:tcBorders>
          </w:tcPr>
          <w:p w14:paraId="0EDC3E29">
            <w:pPr>
              <w:snapToGrid w:val="0"/>
              <w:spacing w:before="120" w:beforeLines="50" w:line="312" w:lineRule="auto"/>
              <w:rPr>
                <w:rFonts w:ascii="Times New Roman" w:hAnsi="Times New Roman" w:eastAsia="宋体" w:cs="Times New Roman"/>
                <w:color w:val="auto"/>
                <w:sz w:val="24"/>
              </w:rPr>
            </w:pPr>
          </w:p>
        </w:tc>
        <w:tc>
          <w:tcPr>
            <w:tcW w:w="1260" w:type="dxa"/>
            <w:tcBorders>
              <w:top w:val="single" w:color="auto" w:sz="4" w:space="0"/>
              <w:left w:val="single" w:color="auto" w:sz="4" w:space="0"/>
              <w:bottom w:val="single" w:color="auto" w:sz="4" w:space="0"/>
              <w:right w:val="single" w:color="auto" w:sz="4" w:space="0"/>
            </w:tcBorders>
          </w:tcPr>
          <w:p w14:paraId="6B2A08D9">
            <w:pPr>
              <w:snapToGrid w:val="0"/>
              <w:spacing w:before="120" w:beforeLines="50" w:after="360" w:line="312" w:lineRule="auto"/>
              <w:rPr>
                <w:rFonts w:ascii="Times New Roman" w:hAnsi="Times New Roman" w:eastAsia="宋体" w:cs="Times New Roman"/>
                <w:b/>
                <w:bCs/>
                <w:color w:val="auto"/>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715F8518">
            <w:pPr>
              <w:snapToGrid w:val="0"/>
              <w:spacing w:before="120" w:beforeLines="50" w:after="360" w:line="312" w:lineRule="auto"/>
              <w:rPr>
                <w:rFonts w:ascii="Times New Roman" w:hAnsi="Times New Roman" w:eastAsia="宋体" w:cs="Times New Roman"/>
                <w:b/>
                <w:bCs/>
                <w:color w:val="auto"/>
                <w:kern w:val="44"/>
                <w:sz w:val="24"/>
                <w:szCs w:val="20"/>
              </w:rPr>
            </w:pPr>
          </w:p>
        </w:tc>
      </w:tr>
      <w:tr w14:paraId="5F79CE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48" w:type="dxa"/>
            <w:tcBorders>
              <w:top w:val="single" w:color="auto" w:sz="4" w:space="0"/>
              <w:left w:val="single" w:color="auto" w:sz="4" w:space="0"/>
              <w:bottom w:val="single" w:color="auto" w:sz="4" w:space="0"/>
              <w:right w:val="single" w:color="auto" w:sz="4" w:space="0"/>
            </w:tcBorders>
          </w:tcPr>
          <w:p w14:paraId="6F15F1FB">
            <w:pPr>
              <w:snapToGrid w:val="0"/>
              <w:spacing w:before="120" w:beforeLines="50" w:line="312" w:lineRule="auto"/>
              <w:rPr>
                <w:rFonts w:ascii="Times New Roman" w:hAnsi="Times New Roman" w:eastAsia="宋体" w:cs="Times New Roman"/>
                <w:color w:val="auto"/>
                <w:sz w:val="24"/>
              </w:rPr>
            </w:pPr>
          </w:p>
        </w:tc>
        <w:tc>
          <w:tcPr>
            <w:tcW w:w="3240" w:type="dxa"/>
            <w:tcBorders>
              <w:top w:val="single" w:color="auto" w:sz="4" w:space="0"/>
              <w:left w:val="single" w:color="auto" w:sz="4" w:space="0"/>
              <w:bottom w:val="single" w:color="auto" w:sz="4" w:space="0"/>
              <w:right w:val="single" w:color="auto" w:sz="4" w:space="0"/>
            </w:tcBorders>
          </w:tcPr>
          <w:p w14:paraId="5125D8AA">
            <w:pPr>
              <w:snapToGrid w:val="0"/>
              <w:spacing w:before="120" w:beforeLines="50" w:after="360" w:line="312" w:lineRule="auto"/>
              <w:rPr>
                <w:rFonts w:ascii="Times New Roman" w:hAnsi="Times New Roman" w:eastAsia="宋体" w:cs="Times New Roman"/>
                <w:b/>
                <w:bCs/>
                <w:color w:val="auto"/>
                <w:kern w:val="44"/>
                <w:sz w:val="24"/>
                <w:szCs w:val="20"/>
              </w:rPr>
            </w:pPr>
          </w:p>
        </w:tc>
        <w:tc>
          <w:tcPr>
            <w:tcW w:w="1260" w:type="dxa"/>
            <w:tcBorders>
              <w:top w:val="single" w:color="auto" w:sz="4" w:space="0"/>
              <w:left w:val="single" w:color="auto" w:sz="4" w:space="0"/>
              <w:bottom w:val="single" w:color="auto" w:sz="4" w:space="0"/>
              <w:right w:val="single" w:color="auto" w:sz="4" w:space="0"/>
            </w:tcBorders>
          </w:tcPr>
          <w:p w14:paraId="63278AD9">
            <w:pPr>
              <w:snapToGrid w:val="0"/>
              <w:spacing w:before="120" w:beforeLines="50" w:after="360" w:line="312" w:lineRule="auto"/>
              <w:rPr>
                <w:rFonts w:ascii="Times New Roman" w:hAnsi="Times New Roman" w:eastAsia="宋体" w:cs="Times New Roman"/>
                <w:b/>
                <w:bCs/>
                <w:color w:val="auto"/>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4957243E">
            <w:pPr>
              <w:snapToGrid w:val="0"/>
              <w:spacing w:before="120" w:beforeLines="50" w:after="360" w:line="312" w:lineRule="auto"/>
              <w:rPr>
                <w:rFonts w:ascii="Times New Roman" w:hAnsi="Times New Roman" w:eastAsia="宋体" w:cs="Times New Roman"/>
                <w:b/>
                <w:bCs/>
                <w:color w:val="auto"/>
                <w:kern w:val="44"/>
                <w:sz w:val="24"/>
                <w:szCs w:val="20"/>
              </w:rPr>
            </w:pPr>
          </w:p>
        </w:tc>
      </w:tr>
      <w:tr w14:paraId="15CBE6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548" w:type="dxa"/>
            <w:tcBorders>
              <w:top w:val="single" w:color="auto" w:sz="4" w:space="0"/>
              <w:left w:val="single" w:color="auto" w:sz="4" w:space="0"/>
              <w:bottom w:val="single" w:color="auto" w:sz="4" w:space="0"/>
              <w:right w:val="single" w:color="auto" w:sz="4" w:space="0"/>
            </w:tcBorders>
          </w:tcPr>
          <w:p w14:paraId="53D69A4E">
            <w:pPr>
              <w:snapToGrid w:val="0"/>
              <w:spacing w:before="120" w:beforeLines="50" w:line="312" w:lineRule="auto"/>
              <w:rPr>
                <w:rFonts w:ascii="Times New Roman" w:hAnsi="Times New Roman" w:eastAsia="宋体" w:cs="Times New Roman"/>
                <w:color w:val="auto"/>
                <w:sz w:val="24"/>
              </w:rPr>
            </w:pPr>
          </w:p>
        </w:tc>
        <w:tc>
          <w:tcPr>
            <w:tcW w:w="3240" w:type="dxa"/>
            <w:tcBorders>
              <w:top w:val="single" w:color="auto" w:sz="4" w:space="0"/>
              <w:left w:val="single" w:color="auto" w:sz="4" w:space="0"/>
              <w:bottom w:val="single" w:color="auto" w:sz="4" w:space="0"/>
              <w:right w:val="single" w:color="auto" w:sz="4" w:space="0"/>
            </w:tcBorders>
          </w:tcPr>
          <w:p w14:paraId="2B96B748">
            <w:pPr>
              <w:snapToGrid w:val="0"/>
              <w:spacing w:before="120" w:beforeLines="50" w:after="360" w:line="312" w:lineRule="auto"/>
              <w:rPr>
                <w:rFonts w:ascii="Times New Roman" w:hAnsi="Times New Roman" w:eastAsia="宋体" w:cs="Times New Roman"/>
                <w:b/>
                <w:bCs/>
                <w:color w:val="auto"/>
                <w:kern w:val="44"/>
                <w:sz w:val="24"/>
                <w:szCs w:val="20"/>
              </w:rPr>
            </w:pPr>
          </w:p>
        </w:tc>
        <w:tc>
          <w:tcPr>
            <w:tcW w:w="1260" w:type="dxa"/>
            <w:tcBorders>
              <w:top w:val="single" w:color="auto" w:sz="4" w:space="0"/>
              <w:left w:val="single" w:color="auto" w:sz="4" w:space="0"/>
              <w:bottom w:val="single" w:color="auto" w:sz="4" w:space="0"/>
              <w:right w:val="single" w:color="auto" w:sz="4" w:space="0"/>
            </w:tcBorders>
          </w:tcPr>
          <w:p w14:paraId="721CC5D5">
            <w:pPr>
              <w:snapToGrid w:val="0"/>
              <w:spacing w:before="120" w:beforeLines="50" w:after="360" w:line="312" w:lineRule="auto"/>
              <w:rPr>
                <w:rFonts w:ascii="Times New Roman" w:hAnsi="Times New Roman" w:eastAsia="宋体" w:cs="Times New Roman"/>
                <w:b/>
                <w:bCs/>
                <w:color w:val="auto"/>
                <w:kern w:val="44"/>
                <w:sz w:val="24"/>
                <w:szCs w:val="20"/>
              </w:rPr>
            </w:pPr>
          </w:p>
        </w:tc>
        <w:tc>
          <w:tcPr>
            <w:tcW w:w="3020" w:type="dxa"/>
            <w:tcBorders>
              <w:top w:val="single" w:color="auto" w:sz="4" w:space="0"/>
              <w:left w:val="single" w:color="auto" w:sz="4" w:space="0"/>
              <w:bottom w:val="single" w:color="auto" w:sz="4" w:space="0"/>
              <w:right w:val="single" w:color="auto" w:sz="4" w:space="0"/>
            </w:tcBorders>
          </w:tcPr>
          <w:p w14:paraId="446D2215">
            <w:pPr>
              <w:snapToGrid w:val="0"/>
              <w:spacing w:before="120" w:beforeLines="50" w:after="360" w:line="312" w:lineRule="auto"/>
              <w:rPr>
                <w:rFonts w:ascii="Times New Roman" w:hAnsi="Times New Roman" w:eastAsia="宋体" w:cs="Times New Roman"/>
                <w:b/>
                <w:bCs/>
                <w:color w:val="auto"/>
                <w:kern w:val="44"/>
                <w:sz w:val="24"/>
                <w:szCs w:val="20"/>
              </w:rPr>
            </w:pPr>
          </w:p>
        </w:tc>
      </w:tr>
    </w:tbl>
    <w:p w14:paraId="05C028AC">
      <w:pPr>
        <w:snapToGrid w:val="0"/>
        <w:spacing w:line="312" w:lineRule="auto"/>
        <w:ind w:left="642" w:hanging="642"/>
        <w:rPr>
          <w:rFonts w:ascii="Times New Roman" w:hAnsi="Times New Roman" w:eastAsia="宋体" w:cs="Times New Roman"/>
          <w:b/>
          <w:color w:val="auto"/>
          <w:spacing w:val="20"/>
          <w:kern w:val="0"/>
          <w:sz w:val="28"/>
          <w:szCs w:val="20"/>
        </w:rPr>
      </w:pPr>
    </w:p>
    <w:p w14:paraId="392A8C5B">
      <w:pPr>
        <w:widowControl/>
        <w:spacing w:line="312" w:lineRule="auto"/>
        <w:jc w:val="left"/>
        <w:rPr>
          <w:rFonts w:ascii="Times New Roman" w:hAnsi="Times New Roman" w:eastAsia="宋体" w:cs="Times New Roman"/>
          <w:color w:val="auto"/>
          <w:kern w:val="0"/>
          <w:sz w:val="24"/>
        </w:rPr>
        <w:sectPr>
          <w:pgSz w:w="11906" w:h="16838"/>
          <w:pgMar w:top="1304" w:right="1531" w:bottom="1304" w:left="1531" w:header="1304" w:footer="1304" w:gutter="0"/>
          <w:cols w:space="720" w:num="1"/>
        </w:sectPr>
      </w:pPr>
    </w:p>
    <w:p w14:paraId="4ADCE8E6">
      <w:pPr>
        <w:snapToGrid w:val="0"/>
        <w:spacing w:before="50" w:after="120" w:afterLines="50" w:line="312" w:lineRule="auto"/>
        <w:jc w:val="left"/>
        <w:rPr>
          <w:rFonts w:ascii="Times New Roman" w:hAnsi="Times New Roman" w:eastAsia="宋体" w:cs="Times New Roman"/>
          <w:color w:val="auto"/>
          <w:sz w:val="24"/>
        </w:rPr>
      </w:pPr>
      <w:r>
        <w:rPr>
          <w:rFonts w:hint="eastAsia" w:ascii="Times New Roman" w:hAnsi="Times New Roman" w:eastAsia="宋体" w:cs="Times New Roman"/>
          <w:b/>
          <w:color w:val="auto"/>
          <w:sz w:val="24"/>
        </w:rPr>
        <w:t>九、投标人的类似案例的业绩证明文件：</w:t>
      </w:r>
    </w:p>
    <w:p w14:paraId="7EF0E6B4">
      <w:pPr>
        <w:snapToGrid w:val="0"/>
        <w:spacing w:line="312" w:lineRule="auto"/>
        <w:ind w:left="420" w:hanging="420" w:hangingChars="200"/>
        <w:rPr>
          <w:rFonts w:ascii="Times New Roman" w:hAnsi="Times New Roman" w:eastAsia="宋体" w:cs="Times New Roman"/>
          <w:color w:val="auto"/>
          <w:sz w:val="24"/>
        </w:rPr>
      </w:pPr>
      <w:r>
        <w:rPr>
          <w:rFonts w:hint="eastAsia" w:ascii="Times New Roman" w:hAnsi="Times New Roman" w:eastAsia="宋体" w:cs="Times New Roman"/>
          <w:color w:val="auto"/>
        </w:rPr>
        <w:t>投标人同类项目实施情况一览表格式：（投标人同类项目合同复印件</w:t>
      </w:r>
      <w:r>
        <w:rPr>
          <w:rFonts w:hint="eastAsia" w:ascii="Times New Roman" w:hAnsi="Times New Roman" w:eastAsia="宋体" w:cs="Times New Roman"/>
          <w:color w:val="auto"/>
          <w:lang w:eastAsia="zh-CN"/>
        </w:rPr>
        <w:t>，</w:t>
      </w:r>
      <w:r>
        <w:rPr>
          <w:rFonts w:hint="eastAsia" w:ascii="Times New Roman" w:hAnsi="Times New Roman" w:eastAsia="宋体" w:cs="Times New Roman"/>
          <w:color w:val="auto"/>
        </w:rPr>
        <w:t>格式</w:t>
      </w:r>
      <w:r>
        <w:rPr>
          <w:rFonts w:hint="eastAsia" w:ascii="Times New Roman" w:hAnsi="Times New Roman" w:eastAsia="宋体" w:cs="Times New Roman"/>
          <w:color w:val="auto"/>
          <w:lang w:val="en-US" w:eastAsia="zh-CN"/>
        </w:rPr>
        <w:t>可</w:t>
      </w:r>
      <w:r>
        <w:rPr>
          <w:rFonts w:hint="eastAsia" w:ascii="Times New Roman" w:hAnsi="Times New Roman" w:eastAsia="宋体" w:cs="Times New Roman"/>
          <w:color w:val="auto"/>
        </w:rPr>
        <w:t>自拟）</w:t>
      </w:r>
    </w:p>
    <w:tbl>
      <w:tblPr>
        <w:tblStyle w:val="62"/>
        <w:tblW w:w="1447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6"/>
        <w:gridCol w:w="3419"/>
        <w:gridCol w:w="4810"/>
        <w:gridCol w:w="3624"/>
      </w:tblGrid>
      <w:tr w14:paraId="3D7339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7" w:hRule="atLeast"/>
        </w:trPr>
        <w:tc>
          <w:tcPr>
            <w:tcW w:w="2626" w:type="dxa"/>
            <w:vMerge w:val="restart"/>
            <w:tcBorders>
              <w:top w:val="single" w:color="auto" w:sz="4" w:space="0"/>
              <w:left w:val="single" w:color="auto" w:sz="4" w:space="0"/>
              <w:bottom w:val="single" w:color="auto" w:sz="4" w:space="0"/>
              <w:right w:val="single" w:color="auto" w:sz="4" w:space="0"/>
            </w:tcBorders>
            <w:vAlign w:val="center"/>
          </w:tcPr>
          <w:p w14:paraId="7838228C">
            <w:pPr>
              <w:snapToGrid w:val="0"/>
              <w:spacing w:line="312"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采购单位名称</w:t>
            </w:r>
          </w:p>
        </w:tc>
        <w:tc>
          <w:tcPr>
            <w:tcW w:w="3419" w:type="dxa"/>
            <w:vMerge w:val="restart"/>
            <w:tcBorders>
              <w:top w:val="single" w:color="auto" w:sz="4" w:space="0"/>
              <w:left w:val="single" w:color="auto" w:sz="4" w:space="0"/>
              <w:bottom w:val="single" w:color="auto" w:sz="4" w:space="0"/>
              <w:right w:val="single" w:color="auto" w:sz="4" w:space="0"/>
            </w:tcBorders>
            <w:vAlign w:val="center"/>
          </w:tcPr>
          <w:p w14:paraId="5FD70977">
            <w:pPr>
              <w:snapToGrid w:val="0"/>
              <w:spacing w:line="312"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项目名称</w:t>
            </w:r>
          </w:p>
        </w:tc>
        <w:tc>
          <w:tcPr>
            <w:tcW w:w="4810" w:type="dxa"/>
            <w:vMerge w:val="restart"/>
            <w:tcBorders>
              <w:top w:val="single" w:color="auto" w:sz="4" w:space="0"/>
              <w:left w:val="single" w:color="auto" w:sz="4" w:space="0"/>
              <w:bottom w:val="single" w:color="auto" w:sz="4" w:space="0"/>
              <w:right w:val="single" w:color="auto" w:sz="4" w:space="0"/>
            </w:tcBorders>
            <w:vAlign w:val="center"/>
          </w:tcPr>
          <w:p w14:paraId="7B60F0C6">
            <w:pPr>
              <w:snapToGrid w:val="0"/>
              <w:spacing w:line="312"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合同金额</w:t>
            </w:r>
          </w:p>
          <w:p w14:paraId="296459D4">
            <w:pPr>
              <w:snapToGrid w:val="0"/>
              <w:spacing w:line="312"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（万元）</w:t>
            </w:r>
          </w:p>
        </w:tc>
        <w:tc>
          <w:tcPr>
            <w:tcW w:w="3624" w:type="dxa"/>
            <w:vMerge w:val="restart"/>
            <w:tcBorders>
              <w:top w:val="single" w:color="auto" w:sz="4" w:space="0"/>
              <w:left w:val="single" w:color="auto" w:sz="4" w:space="0"/>
              <w:bottom w:val="single" w:color="auto" w:sz="4" w:space="0"/>
              <w:right w:val="single" w:color="auto" w:sz="4" w:space="0"/>
            </w:tcBorders>
            <w:vAlign w:val="center"/>
          </w:tcPr>
          <w:p w14:paraId="78038334">
            <w:pPr>
              <w:snapToGrid w:val="0"/>
              <w:spacing w:line="312"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采购单位联系人及</w:t>
            </w:r>
          </w:p>
          <w:p w14:paraId="1C71332D">
            <w:pPr>
              <w:snapToGrid w:val="0"/>
              <w:spacing w:line="312" w:lineRule="auto"/>
              <w:jc w:val="center"/>
              <w:rPr>
                <w:rFonts w:ascii="Times New Roman" w:hAnsi="Times New Roman" w:eastAsia="宋体" w:cs="Times New Roman"/>
                <w:color w:val="auto"/>
                <w:szCs w:val="21"/>
              </w:rPr>
            </w:pPr>
            <w:r>
              <w:rPr>
                <w:rFonts w:hint="eastAsia" w:ascii="Times New Roman" w:hAnsi="Times New Roman" w:eastAsia="宋体" w:cs="Times New Roman"/>
                <w:color w:val="auto"/>
                <w:szCs w:val="21"/>
              </w:rPr>
              <w:t>联系电话</w:t>
            </w:r>
          </w:p>
        </w:tc>
      </w:tr>
      <w:tr w14:paraId="16F6C4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6" w:hRule="atLeast"/>
        </w:trPr>
        <w:tc>
          <w:tcPr>
            <w:tcW w:w="2626" w:type="dxa"/>
            <w:vMerge w:val="continue"/>
            <w:tcBorders>
              <w:top w:val="single" w:color="auto" w:sz="4" w:space="0"/>
              <w:left w:val="single" w:color="auto" w:sz="4" w:space="0"/>
              <w:bottom w:val="single" w:color="auto" w:sz="4" w:space="0"/>
              <w:right w:val="single" w:color="auto" w:sz="4" w:space="0"/>
            </w:tcBorders>
            <w:vAlign w:val="center"/>
          </w:tcPr>
          <w:p w14:paraId="07008F65">
            <w:pPr>
              <w:widowControl/>
              <w:jc w:val="left"/>
              <w:rPr>
                <w:rFonts w:ascii="Times New Roman" w:hAnsi="Times New Roman" w:eastAsia="宋体" w:cs="Times New Roman"/>
                <w:color w:val="auto"/>
                <w:szCs w:val="21"/>
              </w:rPr>
            </w:pPr>
          </w:p>
        </w:tc>
        <w:tc>
          <w:tcPr>
            <w:tcW w:w="3419" w:type="dxa"/>
            <w:vMerge w:val="continue"/>
            <w:tcBorders>
              <w:top w:val="single" w:color="auto" w:sz="4" w:space="0"/>
              <w:left w:val="single" w:color="auto" w:sz="4" w:space="0"/>
              <w:bottom w:val="single" w:color="auto" w:sz="4" w:space="0"/>
              <w:right w:val="single" w:color="auto" w:sz="4" w:space="0"/>
            </w:tcBorders>
            <w:vAlign w:val="center"/>
          </w:tcPr>
          <w:p w14:paraId="506380DF">
            <w:pPr>
              <w:widowControl/>
              <w:jc w:val="left"/>
              <w:rPr>
                <w:rFonts w:ascii="Times New Roman" w:hAnsi="Times New Roman" w:eastAsia="宋体" w:cs="Times New Roman"/>
                <w:color w:val="auto"/>
                <w:szCs w:val="21"/>
              </w:rPr>
            </w:pPr>
          </w:p>
        </w:tc>
        <w:tc>
          <w:tcPr>
            <w:tcW w:w="4810" w:type="dxa"/>
            <w:vMerge w:val="continue"/>
            <w:tcBorders>
              <w:top w:val="single" w:color="auto" w:sz="4" w:space="0"/>
              <w:left w:val="single" w:color="auto" w:sz="4" w:space="0"/>
              <w:bottom w:val="single" w:color="auto" w:sz="4" w:space="0"/>
              <w:right w:val="single" w:color="auto" w:sz="4" w:space="0"/>
            </w:tcBorders>
            <w:vAlign w:val="center"/>
          </w:tcPr>
          <w:p w14:paraId="5EBBF863">
            <w:pPr>
              <w:widowControl/>
              <w:jc w:val="left"/>
              <w:rPr>
                <w:rFonts w:ascii="Times New Roman" w:hAnsi="Times New Roman" w:eastAsia="宋体" w:cs="Times New Roman"/>
                <w:color w:val="auto"/>
                <w:szCs w:val="21"/>
              </w:rPr>
            </w:pPr>
          </w:p>
        </w:tc>
        <w:tc>
          <w:tcPr>
            <w:tcW w:w="3624" w:type="dxa"/>
            <w:vMerge w:val="continue"/>
            <w:tcBorders>
              <w:top w:val="single" w:color="auto" w:sz="4" w:space="0"/>
              <w:left w:val="single" w:color="auto" w:sz="4" w:space="0"/>
              <w:bottom w:val="single" w:color="auto" w:sz="4" w:space="0"/>
              <w:right w:val="single" w:color="auto" w:sz="4" w:space="0"/>
            </w:tcBorders>
            <w:vAlign w:val="center"/>
          </w:tcPr>
          <w:p w14:paraId="3602D235">
            <w:pPr>
              <w:widowControl/>
              <w:jc w:val="left"/>
              <w:rPr>
                <w:rFonts w:ascii="Times New Roman" w:hAnsi="Times New Roman" w:eastAsia="宋体" w:cs="Times New Roman"/>
                <w:color w:val="auto"/>
                <w:szCs w:val="21"/>
              </w:rPr>
            </w:pPr>
          </w:p>
        </w:tc>
      </w:tr>
      <w:tr w14:paraId="12ABF8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2626" w:type="dxa"/>
            <w:tcBorders>
              <w:top w:val="single" w:color="auto" w:sz="4" w:space="0"/>
              <w:left w:val="single" w:color="auto" w:sz="4" w:space="0"/>
              <w:bottom w:val="single" w:color="auto" w:sz="4" w:space="0"/>
              <w:right w:val="single" w:color="auto" w:sz="4" w:space="0"/>
            </w:tcBorders>
          </w:tcPr>
          <w:p w14:paraId="6BA6CB81">
            <w:pPr>
              <w:snapToGrid w:val="0"/>
              <w:spacing w:line="312" w:lineRule="auto"/>
              <w:jc w:val="left"/>
              <w:rPr>
                <w:rFonts w:ascii="Times New Roman" w:hAnsi="Times New Roman" w:eastAsia="宋体" w:cs="Times New Roman"/>
                <w:color w:val="auto"/>
                <w:szCs w:val="21"/>
              </w:rPr>
            </w:pPr>
          </w:p>
        </w:tc>
        <w:tc>
          <w:tcPr>
            <w:tcW w:w="3419" w:type="dxa"/>
            <w:tcBorders>
              <w:top w:val="single" w:color="auto" w:sz="4" w:space="0"/>
              <w:left w:val="single" w:color="auto" w:sz="4" w:space="0"/>
              <w:bottom w:val="single" w:color="auto" w:sz="4" w:space="0"/>
              <w:right w:val="single" w:color="auto" w:sz="4" w:space="0"/>
            </w:tcBorders>
          </w:tcPr>
          <w:p w14:paraId="371FE859">
            <w:pPr>
              <w:snapToGrid w:val="0"/>
              <w:spacing w:line="312" w:lineRule="auto"/>
              <w:jc w:val="left"/>
              <w:rPr>
                <w:rFonts w:ascii="Times New Roman" w:hAnsi="Times New Roman" w:eastAsia="宋体" w:cs="Times New Roman"/>
                <w:color w:val="auto"/>
                <w:szCs w:val="21"/>
              </w:rPr>
            </w:pPr>
          </w:p>
        </w:tc>
        <w:tc>
          <w:tcPr>
            <w:tcW w:w="4810" w:type="dxa"/>
            <w:tcBorders>
              <w:top w:val="single" w:color="auto" w:sz="4" w:space="0"/>
              <w:left w:val="single" w:color="auto" w:sz="4" w:space="0"/>
              <w:bottom w:val="single" w:color="auto" w:sz="4" w:space="0"/>
              <w:right w:val="single" w:color="auto" w:sz="4" w:space="0"/>
            </w:tcBorders>
          </w:tcPr>
          <w:p w14:paraId="7C2D7A8B">
            <w:pPr>
              <w:snapToGrid w:val="0"/>
              <w:spacing w:line="312" w:lineRule="auto"/>
              <w:jc w:val="left"/>
              <w:rPr>
                <w:rFonts w:ascii="Times New Roman" w:hAnsi="Times New Roman" w:eastAsia="宋体" w:cs="Times New Roman"/>
                <w:color w:val="auto"/>
                <w:szCs w:val="21"/>
              </w:rPr>
            </w:pPr>
          </w:p>
        </w:tc>
        <w:tc>
          <w:tcPr>
            <w:tcW w:w="3624" w:type="dxa"/>
            <w:tcBorders>
              <w:top w:val="single" w:color="auto" w:sz="4" w:space="0"/>
              <w:left w:val="single" w:color="auto" w:sz="4" w:space="0"/>
              <w:bottom w:val="single" w:color="auto" w:sz="4" w:space="0"/>
              <w:right w:val="single" w:color="auto" w:sz="4" w:space="0"/>
            </w:tcBorders>
          </w:tcPr>
          <w:p w14:paraId="46897C24">
            <w:pPr>
              <w:snapToGrid w:val="0"/>
              <w:spacing w:line="312" w:lineRule="auto"/>
              <w:jc w:val="left"/>
              <w:rPr>
                <w:rFonts w:ascii="Times New Roman" w:hAnsi="Times New Roman" w:eastAsia="宋体" w:cs="Times New Roman"/>
                <w:color w:val="auto"/>
                <w:szCs w:val="21"/>
              </w:rPr>
            </w:pPr>
          </w:p>
        </w:tc>
      </w:tr>
      <w:tr w14:paraId="0BF46F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6" w:type="dxa"/>
            <w:tcBorders>
              <w:top w:val="single" w:color="auto" w:sz="4" w:space="0"/>
              <w:left w:val="single" w:color="auto" w:sz="4" w:space="0"/>
              <w:bottom w:val="single" w:color="auto" w:sz="4" w:space="0"/>
              <w:right w:val="single" w:color="auto" w:sz="4" w:space="0"/>
            </w:tcBorders>
          </w:tcPr>
          <w:p w14:paraId="028E4651">
            <w:pPr>
              <w:snapToGrid w:val="0"/>
              <w:spacing w:before="50" w:after="120" w:afterLines="50" w:line="312" w:lineRule="auto"/>
              <w:jc w:val="left"/>
              <w:rPr>
                <w:rFonts w:ascii="Times New Roman" w:hAnsi="Times New Roman" w:eastAsia="宋体" w:cs="Times New Roman"/>
                <w:color w:val="auto"/>
                <w:sz w:val="24"/>
              </w:rPr>
            </w:pPr>
          </w:p>
        </w:tc>
        <w:tc>
          <w:tcPr>
            <w:tcW w:w="3419" w:type="dxa"/>
            <w:tcBorders>
              <w:top w:val="single" w:color="auto" w:sz="4" w:space="0"/>
              <w:left w:val="single" w:color="auto" w:sz="4" w:space="0"/>
              <w:bottom w:val="single" w:color="auto" w:sz="4" w:space="0"/>
              <w:right w:val="single" w:color="auto" w:sz="4" w:space="0"/>
            </w:tcBorders>
          </w:tcPr>
          <w:p w14:paraId="46760928">
            <w:pPr>
              <w:snapToGrid w:val="0"/>
              <w:spacing w:before="600" w:after="120" w:afterLines="50" w:line="312" w:lineRule="auto"/>
              <w:jc w:val="left"/>
              <w:rPr>
                <w:rFonts w:ascii="Times New Roman" w:hAnsi="Times New Roman" w:eastAsia="宋体" w:cs="Times New Roman"/>
                <w:b/>
                <w:bCs/>
                <w:color w:val="auto"/>
                <w:kern w:val="44"/>
                <w:sz w:val="24"/>
                <w:szCs w:val="20"/>
              </w:rPr>
            </w:pPr>
          </w:p>
        </w:tc>
        <w:tc>
          <w:tcPr>
            <w:tcW w:w="4810" w:type="dxa"/>
            <w:tcBorders>
              <w:top w:val="single" w:color="auto" w:sz="4" w:space="0"/>
              <w:left w:val="single" w:color="auto" w:sz="4" w:space="0"/>
              <w:bottom w:val="single" w:color="auto" w:sz="4" w:space="0"/>
              <w:right w:val="single" w:color="auto" w:sz="4" w:space="0"/>
            </w:tcBorders>
          </w:tcPr>
          <w:p w14:paraId="57402B91">
            <w:pPr>
              <w:snapToGrid w:val="0"/>
              <w:spacing w:before="600" w:after="120" w:afterLines="50" w:line="312" w:lineRule="auto"/>
              <w:jc w:val="left"/>
              <w:rPr>
                <w:rFonts w:ascii="Times New Roman" w:hAnsi="Times New Roman" w:eastAsia="宋体" w:cs="Times New Roman"/>
                <w:b/>
                <w:bCs/>
                <w:color w:val="auto"/>
                <w:kern w:val="44"/>
                <w:sz w:val="24"/>
                <w:szCs w:val="20"/>
              </w:rPr>
            </w:pPr>
          </w:p>
        </w:tc>
        <w:tc>
          <w:tcPr>
            <w:tcW w:w="3624" w:type="dxa"/>
            <w:tcBorders>
              <w:top w:val="single" w:color="auto" w:sz="4" w:space="0"/>
              <w:left w:val="single" w:color="auto" w:sz="4" w:space="0"/>
              <w:bottom w:val="single" w:color="auto" w:sz="4" w:space="0"/>
              <w:right w:val="single" w:color="auto" w:sz="4" w:space="0"/>
            </w:tcBorders>
          </w:tcPr>
          <w:p w14:paraId="0F557CDA">
            <w:pPr>
              <w:snapToGrid w:val="0"/>
              <w:spacing w:before="600" w:after="120" w:afterLines="50" w:line="312" w:lineRule="auto"/>
              <w:jc w:val="left"/>
              <w:rPr>
                <w:rFonts w:ascii="Times New Roman" w:hAnsi="Times New Roman" w:eastAsia="宋体" w:cs="Times New Roman"/>
                <w:b/>
                <w:bCs/>
                <w:color w:val="auto"/>
                <w:kern w:val="44"/>
                <w:sz w:val="24"/>
                <w:szCs w:val="20"/>
              </w:rPr>
            </w:pPr>
          </w:p>
        </w:tc>
      </w:tr>
      <w:tr w14:paraId="03D3B6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6" w:type="dxa"/>
            <w:tcBorders>
              <w:top w:val="single" w:color="auto" w:sz="4" w:space="0"/>
              <w:left w:val="single" w:color="auto" w:sz="4" w:space="0"/>
              <w:bottom w:val="single" w:color="auto" w:sz="4" w:space="0"/>
              <w:right w:val="single" w:color="auto" w:sz="4" w:space="0"/>
            </w:tcBorders>
          </w:tcPr>
          <w:p w14:paraId="25A237EA">
            <w:pPr>
              <w:snapToGrid w:val="0"/>
              <w:spacing w:before="50" w:after="120" w:afterLines="50" w:line="312" w:lineRule="auto"/>
              <w:jc w:val="left"/>
              <w:rPr>
                <w:rFonts w:ascii="Times New Roman" w:hAnsi="Times New Roman" w:eastAsia="宋体" w:cs="Times New Roman"/>
                <w:color w:val="auto"/>
                <w:sz w:val="24"/>
              </w:rPr>
            </w:pPr>
          </w:p>
        </w:tc>
        <w:tc>
          <w:tcPr>
            <w:tcW w:w="3419" w:type="dxa"/>
            <w:tcBorders>
              <w:top w:val="single" w:color="auto" w:sz="4" w:space="0"/>
              <w:left w:val="single" w:color="auto" w:sz="4" w:space="0"/>
              <w:bottom w:val="single" w:color="auto" w:sz="4" w:space="0"/>
              <w:right w:val="single" w:color="auto" w:sz="4" w:space="0"/>
            </w:tcBorders>
          </w:tcPr>
          <w:p w14:paraId="50155049">
            <w:pPr>
              <w:snapToGrid w:val="0"/>
              <w:spacing w:before="600" w:after="120" w:afterLines="50" w:line="312" w:lineRule="auto"/>
              <w:jc w:val="left"/>
              <w:rPr>
                <w:rFonts w:ascii="Times New Roman" w:hAnsi="Times New Roman" w:eastAsia="宋体" w:cs="Times New Roman"/>
                <w:b/>
                <w:bCs/>
                <w:color w:val="auto"/>
                <w:kern w:val="44"/>
                <w:sz w:val="24"/>
                <w:szCs w:val="20"/>
              </w:rPr>
            </w:pPr>
          </w:p>
        </w:tc>
        <w:tc>
          <w:tcPr>
            <w:tcW w:w="4810" w:type="dxa"/>
            <w:tcBorders>
              <w:top w:val="single" w:color="auto" w:sz="4" w:space="0"/>
              <w:left w:val="single" w:color="auto" w:sz="4" w:space="0"/>
              <w:bottom w:val="single" w:color="auto" w:sz="4" w:space="0"/>
              <w:right w:val="single" w:color="auto" w:sz="4" w:space="0"/>
            </w:tcBorders>
          </w:tcPr>
          <w:p w14:paraId="793BC59D">
            <w:pPr>
              <w:snapToGrid w:val="0"/>
              <w:spacing w:before="600" w:after="120" w:afterLines="50" w:line="312" w:lineRule="auto"/>
              <w:jc w:val="left"/>
              <w:rPr>
                <w:rFonts w:ascii="Times New Roman" w:hAnsi="Times New Roman" w:eastAsia="宋体" w:cs="Times New Roman"/>
                <w:b/>
                <w:bCs/>
                <w:color w:val="auto"/>
                <w:kern w:val="44"/>
                <w:sz w:val="24"/>
                <w:szCs w:val="20"/>
              </w:rPr>
            </w:pPr>
          </w:p>
        </w:tc>
        <w:tc>
          <w:tcPr>
            <w:tcW w:w="3624" w:type="dxa"/>
            <w:tcBorders>
              <w:top w:val="single" w:color="auto" w:sz="4" w:space="0"/>
              <w:left w:val="single" w:color="auto" w:sz="4" w:space="0"/>
              <w:bottom w:val="single" w:color="auto" w:sz="4" w:space="0"/>
              <w:right w:val="single" w:color="auto" w:sz="4" w:space="0"/>
            </w:tcBorders>
          </w:tcPr>
          <w:p w14:paraId="63BF4DCB">
            <w:pPr>
              <w:snapToGrid w:val="0"/>
              <w:spacing w:before="600" w:after="120" w:afterLines="50" w:line="312" w:lineRule="auto"/>
              <w:jc w:val="left"/>
              <w:rPr>
                <w:rFonts w:ascii="Times New Roman" w:hAnsi="Times New Roman" w:eastAsia="宋体" w:cs="Times New Roman"/>
                <w:b/>
                <w:bCs/>
                <w:color w:val="auto"/>
                <w:kern w:val="44"/>
                <w:sz w:val="24"/>
                <w:szCs w:val="20"/>
              </w:rPr>
            </w:pPr>
          </w:p>
        </w:tc>
      </w:tr>
      <w:tr w14:paraId="158B9F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6" w:type="dxa"/>
            <w:tcBorders>
              <w:top w:val="single" w:color="auto" w:sz="4" w:space="0"/>
              <w:left w:val="single" w:color="auto" w:sz="4" w:space="0"/>
              <w:bottom w:val="single" w:color="auto" w:sz="4" w:space="0"/>
              <w:right w:val="single" w:color="auto" w:sz="4" w:space="0"/>
            </w:tcBorders>
          </w:tcPr>
          <w:p w14:paraId="174F86EA">
            <w:pPr>
              <w:snapToGrid w:val="0"/>
              <w:spacing w:before="50" w:after="120" w:afterLines="50" w:line="312" w:lineRule="auto"/>
              <w:jc w:val="left"/>
              <w:rPr>
                <w:rFonts w:ascii="Times New Roman" w:hAnsi="Times New Roman" w:eastAsia="宋体" w:cs="Times New Roman"/>
                <w:color w:val="auto"/>
                <w:sz w:val="24"/>
              </w:rPr>
            </w:pPr>
          </w:p>
        </w:tc>
        <w:tc>
          <w:tcPr>
            <w:tcW w:w="3419" w:type="dxa"/>
            <w:tcBorders>
              <w:top w:val="single" w:color="auto" w:sz="4" w:space="0"/>
              <w:left w:val="single" w:color="auto" w:sz="4" w:space="0"/>
              <w:bottom w:val="single" w:color="auto" w:sz="4" w:space="0"/>
              <w:right w:val="single" w:color="auto" w:sz="4" w:space="0"/>
            </w:tcBorders>
          </w:tcPr>
          <w:p w14:paraId="75C07736">
            <w:pPr>
              <w:snapToGrid w:val="0"/>
              <w:spacing w:before="600" w:after="120" w:afterLines="50" w:line="312" w:lineRule="auto"/>
              <w:jc w:val="left"/>
              <w:rPr>
                <w:rFonts w:ascii="Times New Roman" w:hAnsi="Times New Roman" w:eastAsia="宋体" w:cs="Times New Roman"/>
                <w:b/>
                <w:bCs/>
                <w:color w:val="auto"/>
                <w:kern w:val="44"/>
                <w:sz w:val="24"/>
                <w:szCs w:val="20"/>
              </w:rPr>
            </w:pPr>
          </w:p>
        </w:tc>
        <w:tc>
          <w:tcPr>
            <w:tcW w:w="4810" w:type="dxa"/>
            <w:tcBorders>
              <w:top w:val="single" w:color="auto" w:sz="4" w:space="0"/>
              <w:left w:val="single" w:color="auto" w:sz="4" w:space="0"/>
              <w:bottom w:val="single" w:color="auto" w:sz="4" w:space="0"/>
              <w:right w:val="single" w:color="auto" w:sz="4" w:space="0"/>
            </w:tcBorders>
          </w:tcPr>
          <w:p w14:paraId="7C15B310">
            <w:pPr>
              <w:snapToGrid w:val="0"/>
              <w:spacing w:before="600" w:after="120" w:afterLines="50" w:line="312" w:lineRule="auto"/>
              <w:jc w:val="left"/>
              <w:rPr>
                <w:rFonts w:ascii="Times New Roman" w:hAnsi="Times New Roman" w:eastAsia="宋体" w:cs="Times New Roman"/>
                <w:b/>
                <w:bCs/>
                <w:color w:val="auto"/>
                <w:kern w:val="44"/>
                <w:sz w:val="24"/>
                <w:szCs w:val="20"/>
              </w:rPr>
            </w:pPr>
          </w:p>
        </w:tc>
        <w:tc>
          <w:tcPr>
            <w:tcW w:w="3624" w:type="dxa"/>
            <w:tcBorders>
              <w:top w:val="single" w:color="auto" w:sz="4" w:space="0"/>
              <w:left w:val="single" w:color="auto" w:sz="4" w:space="0"/>
              <w:bottom w:val="single" w:color="auto" w:sz="4" w:space="0"/>
              <w:right w:val="single" w:color="auto" w:sz="4" w:space="0"/>
            </w:tcBorders>
          </w:tcPr>
          <w:p w14:paraId="241D5977">
            <w:pPr>
              <w:snapToGrid w:val="0"/>
              <w:spacing w:before="600" w:after="120" w:afterLines="50" w:line="312" w:lineRule="auto"/>
              <w:jc w:val="left"/>
              <w:rPr>
                <w:rFonts w:ascii="Times New Roman" w:hAnsi="Times New Roman" w:eastAsia="宋体" w:cs="Times New Roman"/>
                <w:b/>
                <w:bCs/>
                <w:color w:val="auto"/>
                <w:kern w:val="44"/>
                <w:sz w:val="24"/>
                <w:szCs w:val="20"/>
              </w:rPr>
            </w:pPr>
          </w:p>
        </w:tc>
      </w:tr>
      <w:tr w14:paraId="73B3EC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6" w:type="dxa"/>
            <w:tcBorders>
              <w:top w:val="single" w:color="auto" w:sz="4" w:space="0"/>
              <w:left w:val="single" w:color="auto" w:sz="4" w:space="0"/>
              <w:bottom w:val="single" w:color="auto" w:sz="4" w:space="0"/>
              <w:right w:val="single" w:color="auto" w:sz="4" w:space="0"/>
            </w:tcBorders>
          </w:tcPr>
          <w:p w14:paraId="20095156">
            <w:pPr>
              <w:snapToGrid w:val="0"/>
              <w:spacing w:before="50" w:after="120" w:afterLines="50" w:line="312" w:lineRule="auto"/>
              <w:jc w:val="left"/>
              <w:rPr>
                <w:rFonts w:ascii="Times New Roman" w:hAnsi="Times New Roman" w:eastAsia="宋体" w:cs="Times New Roman"/>
                <w:color w:val="auto"/>
                <w:sz w:val="24"/>
              </w:rPr>
            </w:pPr>
          </w:p>
        </w:tc>
        <w:tc>
          <w:tcPr>
            <w:tcW w:w="3419" w:type="dxa"/>
            <w:tcBorders>
              <w:top w:val="single" w:color="auto" w:sz="4" w:space="0"/>
              <w:left w:val="single" w:color="auto" w:sz="4" w:space="0"/>
              <w:bottom w:val="single" w:color="auto" w:sz="4" w:space="0"/>
              <w:right w:val="single" w:color="auto" w:sz="4" w:space="0"/>
            </w:tcBorders>
          </w:tcPr>
          <w:p w14:paraId="57422805">
            <w:pPr>
              <w:snapToGrid w:val="0"/>
              <w:spacing w:before="600" w:after="120" w:afterLines="50" w:line="312" w:lineRule="auto"/>
              <w:jc w:val="left"/>
              <w:rPr>
                <w:rFonts w:ascii="Times New Roman" w:hAnsi="Times New Roman" w:eastAsia="宋体" w:cs="Times New Roman"/>
                <w:b/>
                <w:bCs/>
                <w:color w:val="auto"/>
                <w:kern w:val="44"/>
                <w:sz w:val="24"/>
                <w:szCs w:val="20"/>
              </w:rPr>
            </w:pPr>
          </w:p>
        </w:tc>
        <w:tc>
          <w:tcPr>
            <w:tcW w:w="4810" w:type="dxa"/>
            <w:tcBorders>
              <w:top w:val="single" w:color="auto" w:sz="4" w:space="0"/>
              <w:left w:val="single" w:color="auto" w:sz="4" w:space="0"/>
              <w:bottom w:val="single" w:color="auto" w:sz="4" w:space="0"/>
              <w:right w:val="single" w:color="auto" w:sz="4" w:space="0"/>
            </w:tcBorders>
          </w:tcPr>
          <w:p w14:paraId="75EE18D8">
            <w:pPr>
              <w:snapToGrid w:val="0"/>
              <w:spacing w:before="600" w:after="120" w:afterLines="50" w:line="312" w:lineRule="auto"/>
              <w:jc w:val="left"/>
              <w:rPr>
                <w:rFonts w:ascii="Times New Roman" w:hAnsi="Times New Roman" w:eastAsia="宋体" w:cs="Times New Roman"/>
                <w:b/>
                <w:bCs/>
                <w:color w:val="auto"/>
                <w:kern w:val="44"/>
                <w:sz w:val="24"/>
                <w:szCs w:val="20"/>
              </w:rPr>
            </w:pPr>
          </w:p>
        </w:tc>
        <w:tc>
          <w:tcPr>
            <w:tcW w:w="3624" w:type="dxa"/>
            <w:tcBorders>
              <w:top w:val="single" w:color="auto" w:sz="4" w:space="0"/>
              <w:left w:val="single" w:color="auto" w:sz="4" w:space="0"/>
              <w:bottom w:val="single" w:color="auto" w:sz="4" w:space="0"/>
              <w:right w:val="single" w:color="auto" w:sz="4" w:space="0"/>
            </w:tcBorders>
          </w:tcPr>
          <w:p w14:paraId="743AAD7B">
            <w:pPr>
              <w:snapToGrid w:val="0"/>
              <w:spacing w:before="600" w:after="120" w:afterLines="50" w:line="312" w:lineRule="auto"/>
              <w:jc w:val="left"/>
              <w:rPr>
                <w:rFonts w:ascii="Times New Roman" w:hAnsi="Times New Roman" w:eastAsia="宋体" w:cs="Times New Roman"/>
                <w:b/>
                <w:bCs/>
                <w:color w:val="auto"/>
                <w:kern w:val="44"/>
                <w:sz w:val="24"/>
                <w:szCs w:val="20"/>
              </w:rPr>
            </w:pPr>
          </w:p>
        </w:tc>
      </w:tr>
    </w:tbl>
    <w:p w14:paraId="4F5D4A3F">
      <w:pPr>
        <w:snapToGrid w:val="0"/>
        <w:spacing w:before="152" w:after="160" w:line="312" w:lineRule="auto"/>
        <w:rPr>
          <w:rFonts w:ascii="Times New Roman" w:hAnsi="Times New Roman" w:eastAsia="宋体" w:cs="Times New Roman"/>
          <w:color w:val="auto"/>
          <w:kern w:val="0"/>
          <w:sz w:val="20"/>
          <w:szCs w:val="20"/>
        </w:rPr>
      </w:pPr>
    </w:p>
    <w:p w14:paraId="46765B68">
      <w:pPr>
        <w:snapToGrid w:val="0"/>
        <w:spacing w:before="50" w:after="50"/>
        <w:rPr>
          <w:rFonts w:ascii="Times New Roman" w:hAnsi="Times New Roman" w:eastAsia="宋体" w:cs="Times New Roman"/>
          <w:color w:val="auto"/>
        </w:rPr>
      </w:pPr>
    </w:p>
    <w:p w14:paraId="045C2C1D">
      <w:pPr>
        <w:snapToGrid w:val="0"/>
        <w:ind w:left="2" w:right="-817" w:rightChars="-389"/>
        <w:rPr>
          <w:rFonts w:ascii="Times New Roman" w:hAnsi="Times New Roman" w:eastAsia="宋体" w:cs="Times New Roman"/>
          <w:color w:val="auto"/>
        </w:rPr>
      </w:pPr>
    </w:p>
    <w:p w14:paraId="0AF7D46D">
      <w:pPr>
        <w:snapToGrid w:val="0"/>
        <w:spacing w:before="50" w:line="312" w:lineRule="auto"/>
        <w:jc w:val="left"/>
        <w:rPr>
          <w:rFonts w:ascii="Times New Roman" w:hAnsi="Times New Roman" w:eastAsia="宋体" w:cs="Times New Roman"/>
          <w:color w:val="auto"/>
          <w:kern w:val="0"/>
          <w:sz w:val="30"/>
        </w:rPr>
        <w:sectPr>
          <w:pgSz w:w="16838" w:h="11906" w:orient="landscape"/>
          <w:pgMar w:top="1418" w:right="1361" w:bottom="924" w:left="1134" w:header="851" w:footer="992" w:gutter="0"/>
          <w:cols w:space="720" w:num="1"/>
        </w:sectPr>
      </w:pPr>
      <w:r>
        <w:rPr>
          <w:rFonts w:hint="eastAsia" w:ascii="Times New Roman" w:hAnsi="Times New Roman" w:eastAsia="宋体" w:cs="Times New Roman"/>
          <w:color w:val="auto"/>
        </w:rPr>
        <w:t>投标人名称（盖章）：年月日</w:t>
      </w:r>
    </w:p>
    <w:p w14:paraId="785E2C1E">
      <w:pPr>
        <w:snapToGrid w:val="0"/>
        <w:spacing w:before="156" w:beforeLines="50" w:after="50" w:line="312" w:lineRule="auto"/>
        <w:rPr>
          <w:rFonts w:ascii="Times New Roman" w:hAnsi="Times New Roman" w:eastAsia="宋体" w:cs="Times New Roman"/>
          <w:b/>
          <w:color w:val="auto"/>
          <w:sz w:val="24"/>
        </w:rPr>
      </w:pPr>
      <w:r>
        <w:rPr>
          <w:rFonts w:hint="eastAsia" w:ascii="Times New Roman" w:hAnsi="Times New Roman" w:eastAsia="宋体" w:cs="Times New Roman"/>
          <w:b/>
          <w:color w:val="auto"/>
          <w:sz w:val="24"/>
        </w:rPr>
        <w:t>十、</w:t>
      </w:r>
    </w:p>
    <w:p w14:paraId="29D4DA77">
      <w:pPr>
        <w:snapToGrid w:val="0"/>
        <w:spacing w:before="156" w:beforeLines="50" w:after="50" w:line="312" w:lineRule="auto"/>
        <w:jc w:val="center"/>
        <w:rPr>
          <w:rFonts w:ascii="Times New Roman" w:hAnsi="Times New Roman" w:eastAsia="宋体" w:cs="Times New Roman"/>
          <w:b/>
          <w:color w:val="auto"/>
          <w:sz w:val="24"/>
        </w:rPr>
      </w:pPr>
      <w:r>
        <w:rPr>
          <w:rFonts w:hint="eastAsia" w:ascii="Times New Roman" w:hAnsi="Times New Roman" w:eastAsia="宋体" w:cs="Times New Roman"/>
          <w:b/>
          <w:color w:val="auto"/>
          <w:sz w:val="24"/>
        </w:rPr>
        <w:t>项目实施人员（主要从业人员及其技术资格）一览表</w:t>
      </w:r>
    </w:p>
    <w:p w14:paraId="107CBA05">
      <w:pPr>
        <w:snapToGrid w:val="0"/>
        <w:spacing w:before="156" w:beforeLines="50" w:after="50" w:line="312" w:lineRule="auto"/>
        <w:rPr>
          <w:rFonts w:ascii="Times New Roman" w:hAnsi="Times New Roman" w:eastAsia="宋体" w:cs="Times New Roman"/>
          <w:color w:val="auto"/>
        </w:rPr>
      </w:pPr>
    </w:p>
    <w:p w14:paraId="2CAE1010">
      <w:pPr>
        <w:snapToGrid w:val="0"/>
        <w:spacing w:line="312" w:lineRule="auto"/>
        <w:rPr>
          <w:rFonts w:ascii="Times New Roman" w:hAnsi="Times New Roman" w:eastAsia="宋体" w:cs="Times New Roman"/>
          <w:color w:val="auto"/>
        </w:rPr>
      </w:pPr>
      <w:r>
        <w:rPr>
          <w:rFonts w:hint="eastAsia" w:ascii="Times New Roman" w:hAnsi="Times New Roman" w:eastAsia="宋体" w:cs="Times New Roman"/>
          <w:color w:val="auto"/>
        </w:rPr>
        <w:t>项目名称：</w:t>
      </w:r>
    </w:p>
    <w:p w14:paraId="2B9CF68D">
      <w:pPr>
        <w:snapToGrid w:val="0"/>
        <w:spacing w:line="312" w:lineRule="auto"/>
        <w:rPr>
          <w:rFonts w:ascii="Times New Roman" w:hAnsi="Times New Roman" w:eastAsia="宋体" w:cs="Times New Roman"/>
          <w:color w:val="auto"/>
        </w:rPr>
      </w:pPr>
      <w:r>
        <w:rPr>
          <w:rFonts w:hint="eastAsia" w:ascii="Times New Roman" w:hAnsi="Times New Roman" w:eastAsia="宋体" w:cs="Times New Roman"/>
          <w:color w:val="auto"/>
        </w:rPr>
        <w:t>项目编号：</w:t>
      </w:r>
    </w:p>
    <w:tbl>
      <w:tblPr>
        <w:tblStyle w:val="62"/>
        <w:tblW w:w="9248" w:type="dxa"/>
        <w:tblInd w:w="-14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04"/>
        <w:gridCol w:w="1004"/>
        <w:gridCol w:w="1662"/>
        <w:gridCol w:w="1260"/>
        <w:gridCol w:w="1619"/>
        <w:gridCol w:w="2699"/>
      </w:tblGrid>
      <w:tr w14:paraId="2D3ED8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vAlign w:val="bottom"/>
          </w:tcPr>
          <w:p w14:paraId="3829CE70">
            <w:pPr>
              <w:snapToGrid w:val="0"/>
              <w:spacing w:before="156" w:beforeLines="50" w:after="50" w:line="312" w:lineRule="auto"/>
              <w:rPr>
                <w:rFonts w:ascii="Times New Roman" w:hAnsi="Times New Roman" w:eastAsia="宋体" w:cs="Times New Roman"/>
                <w:color w:val="auto"/>
              </w:rPr>
            </w:pPr>
            <w:r>
              <w:rPr>
                <w:rFonts w:hint="eastAsia" w:ascii="Times New Roman" w:hAnsi="Times New Roman" w:eastAsia="宋体" w:cs="Times New Roman"/>
                <w:color w:val="auto"/>
              </w:rPr>
              <w:t>姓名</w:t>
            </w:r>
          </w:p>
        </w:tc>
        <w:tc>
          <w:tcPr>
            <w:tcW w:w="1004" w:type="dxa"/>
            <w:tcBorders>
              <w:top w:val="single" w:color="auto" w:sz="4" w:space="0"/>
              <w:left w:val="single" w:color="auto" w:sz="4" w:space="0"/>
              <w:bottom w:val="single" w:color="auto" w:sz="4" w:space="0"/>
              <w:right w:val="single" w:color="auto" w:sz="4" w:space="0"/>
            </w:tcBorders>
            <w:vAlign w:val="bottom"/>
          </w:tcPr>
          <w:p w14:paraId="0FE4EBD6">
            <w:pPr>
              <w:snapToGrid w:val="0"/>
              <w:spacing w:before="156" w:beforeLines="50" w:after="50" w:line="312" w:lineRule="auto"/>
              <w:rPr>
                <w:rFonts w:ascii="Times New Roman" w:hAnsi="Times New Roman" w:eastAsia="宋体" w:cs="Times New Roman"/>
                <w:color w:val="auto"/>
              </w:rPr>
            </w:pPr>
            <w:r>
              <w:rPr>
                <w:rFonts w:hint="eastAsia" w:ascii="Times New Roman" w:hAnsi="Times New Roman" w:eastAsia="宋体" w:cs="Times New Roman"/>
                <w:color w:val="auto"/>
              </w:rPr>
              <w:t>职务</w:t>
            </w:r>
          </w:p>
        </w:tc>
        <w:tc>
          <w:tcPr>
            <w:tcW w:w="1662" w:type="dxa"/>
            <w:tcBorders>
              <w:top w:val="single" w:color="auto" w:sz="4" w:space="0"/>
              <w:left w:val="single" w:color="auto" w:sz="4" w:space="0"/>
              <w:bottom w:val="single" w:color="auto" w:sz="4" w:space="0"/>
              <w:right w:val="single" w:color="auto" w:sz="4" w:space="0"/>
            </w:tcBorders>
            <w:vAlign w:val="bottom"/>
          </w:tcPr>
          <w:p w14:paraId="3D766970">
            <w:pPr>
              <w:snapToGrid w:val="0"/>
              <w:spacing w:before="156" w:beforeLines="50" w:after="50" w:line="312" w:lineRule="auto"/>
              <w:jc w:val="center"/>
              <w:rPr>
                <w:rFonts w:ascii="Times New Roman" w:hAnsi="Times New Roman" w:eastAsia="宋体" w:cs="Times New Roman"/>
                <w:color w:val="auto"/>
              </w:rPr>
            </w:pPr>
            <w:r>
              <w:rPr>
                <w:rFonts w:hint="eastAsia" w:ascii="Times New Roman" w:hAnsi="Times New Roman" w:eastAsia="宋体" w:cs="Times New Roman"/>
                <w:color w:val="auto"/>
              </w:rPr>
              <w:t>专业技术资格</w:t>
            </w:r>
          </w:p>
        </w:tc>
        <w:tc>
          <w:tcPr>
            <w:tcW w:w="1260" w:type="dxa"/>
            <w:tcBorders>
              <w:top w:val="single" w:color="auto" w:sz="4" w:space="0"/>
              <w:left w:val="single" w:color="auto" w:sz="4" w:space="0"/>
              <w:bottom w:val="single" w:color="auto" w:sz="4" w:space="0"/>
              <w:right w:val="single" w:color="auto" w:sz="4" w:space="0"/>
            </w:tcBorders>
            <w:vAlign w:val="bottom"/>
          </w:tcPr>
          <w:p w14:paraId="36DE9492">
            <w:pPr>
              <w:snapToGrid w:val="0"/>
              <w:spacing w:before="156" w:beforeLines="50" w:after="50" w:line="312" w:lineRule="auto"/>
              <w:rPr>
                <w:rFonts w:ascii="Times New Roman" w:hAnsi="Times New Roman" w:eastAsia="宋体" w:cs="Times New Roman"/>
                <w:color w:val="auto"/>
              </w:rPr>
            </w:pPr>
            <w:r>
              <w:rPr>
                <w:rFonts w:hint="eastAsia" w:ascii="Times New Roman" w:hAnsi="Times New Roman" w:eastAsia="宋体" w:cs="Times New Roman"/>
                <w:color w:val="auto"/>
              </w:rPr>
              <w:t>证书编号</w:t>
            </w:r>
          </w:p>
        </w:tc>
        <w:tc>
          <w:tcPr>
            <w:tcW w:w="1619" w:type="dxa"/>
            <w:tcBorders>
              <w:top w:val="single" w:color="auto" w:sz="4" w:space="0"/>
              <w:left w:val="single" w:color="auto" w:sz="4" w:space="0"/>
              <w:bottom w:val="single" w:color="auto" w:sz="4" w:space="0"/>
              <w:right w:val="single" w:color="auto" w:sz="4" w:space="0"/>
            </w:tcBorders>
            <w:vAlign w:val="bottom"/>
          </w:tcPr>
          <w:p w14:paraId="4D47CC31">
            <w:pPr>
              <w:snapToGrid w:val="0"/>
              <w:spacing w:before="156" w:beforeLines="50" w:after="50" w:line="312" w:lineRule="auto"/>
              <w:rPr>
                <w:rFonts w:ascii="Times New Roman" w:hAnsi="Times New Roman" w:eastAsia="宋体" w:cs="Times New Roman"/>
                <w:color w:val="auto"/>
              </w:rPr>
            </w:pPr>
            <w:r>
              <w:rPr>
                <w:rFonts w:hint="eastAsia" w:ascii="Times New Roman" w:hAnsi="Times New Roman" w:eastAsia="宋体" w:cs="Times New Roman"/>
                <w:color w:val="auto"/>
              </w:rPr>
              <w:t>参加本单位工作时间</w:t>
            </w:r>
          </w:p>
        </w:tc>
        <w:tc>
          <w:tcPr>
            <w:tcW w:w="2699" w:type="dxa"/>
            <w:tcBorders>
              <w:top w:val="single" w:color="auto" w:sz="4" w:space="0"/>
              <w:left w:val="single" w:color="auto" w:sz="4" w:space="0"/>
              <w:bottom w:val="single" w:color="auto" w:sz="4" w:space="0"/>
              <w:right w:val="single" w:color="auto" w:sz="4" w:space="0"/>
            </w:tcBorders>
            <w:vAlign w:val="bottom"/>
          </w:tcPr>
          <w:p w14:paraId="6DDDC3DA">
            <w:pPr>
              <w:snapToGrid w:val="0"/>
              <w:spacing w:before="156" w:beforeLines="50" w:after="50" w:line="312" w:lineRule="auto"/>
              <w:rPr>
                <w:rFonts w:ascii="Times New Roman" w:hAnsi="Times New Roman" w:eastAsia="宋体" w:cs="Times New Roman"/>
                <w:color w:val="auto"/>
              </w:rPr>
            </w:pPr>
            <w:r>
              <w:rPr>
                <w:rFonts w:hint="eastAsia" w:ascii="Times New Roman" w:hAnsi="Times New Roman" w:eastAsia="宋体" w:cs="Times New Roman"/>
                <w:color w:val="auto"/>
              </w:rPr>
              <w:t>劳动合同编号</w:t>
            </w:r>
          </w:p>
        </w:tc>
      </w:tr>
      <w:tr w14:paraId="0AE4C9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2C28C41C">
            <w:pPr>
              <w:snapToGrid w:val="0"/>
              <w:spacing w:before="156"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204048AE">
            <w:pPr>
              <w:snapToGrid w:val="0"/>
              <w:spacing w:before="156"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3BBD9ABB">
            <w:pPr>
              <w:snapToGrid w:val="0"/>
              <w:spacing w:before="156"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721BA953">
            <w:pPr>
              <w:snapToGrid w:val="0"/>
              <w:spacing w:before="156"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64881670">
            <w:pPr>
              <w:snapToGrid w:val="0"/>
              <w:spacing w:before="156"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2361122D">
            <w:pPr>
              <w:snapToGrid w:val="0"/>
              <w:spacing w:before="156" w:beforeLines="50" w:after="120" w:line="312" w:lineRule="auto"/>
              <w:rPr>
                <w:rFonts w:ascii="Times New Roman" w:hAnsi="Times New Roman" w:eastAsia="宋体" w:cs="Times New Roman"/>
                <w:b/>
                <w:bCs/>
                <w:color w:val="auto"/>
                <w:sz w:val="24"/>
                <w:szCs w:val="36"/>
              </w:rPr>
            </w:pPr>
          </w:p>
        </w:tc>
      </w:tr>
      <w:tr w14:paraId="2E79F2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5AE4AC54">
            <w:pPr>
              <w:snapToGrid w:val="0"/>
              <w:spacing w:before="156"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38E71CC5">
            <w:pPr>
              <w:snapToGrid w:val="0"/>
              <w:spacing w:before="156"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67CB4192">
            <w:pPr>
              <w:snapToGrid w:val="0"/>
              <w:spacing w:before="156"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12DF4ED1">
            <w:pPr>
              <w:snapToGrid w:val="0"/>
              <w:spacing w:before="156"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50434595">
            <w:pPr>
              <w:snapToGrid w:val="0"/>
              <w:spacing w:before="156"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4410B0D7">
            <w:pPr>
              <w:snapToGrid w:val="0"/>
              <w:spacing w:before="156" w:beforeLines="50" w:after="120" w:line="312" w:lineRule="auto"/>
              <w:rPr>
                <w:rFonts w:ascii="Times New Roman" w:hAnsi="Times New Roman" w:eastAsia="宋体" w:cs="Times New Roman"/>
                <w:b/>
                <w:bCs/>
                <w:color w:val="auto"/>
                <w:sz w:val="24"/>
                <w:szCs w:val="36"/>
              </w:rPr>
            </w:pPr>
          </w:p>
        </w:tc>
      </w:tr>
      <w:tr w14:paraId="52E522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5E31267">
            <w:pPr>
              <w:snapToGrid w:val="0"/>
              <w:spacing w:before="156"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04E07234">
            <w:pPr>
              <w:snapToGrid w:val="0"/>
              <w:spacing w:before="156"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570B6817">
            <w:pPr>
              <w:snapToGrid w:val="0"/>
              <w:spacing w:before="156" w:beforeLines="50" w:after="120" w:line="312" w:lineRule="auto"/>
              <w:ind w:left="5250" w:leftChars="2500"/>
              <w:rPr>
                <w:rFonts w:ascii="Times New Roman" w:hAnsi="Times New Roman" w:eastAsia="宋体" w:cs="Times New Roman"/>
                <w:b/>
                <w:bCs/>
                <w:color w:val="auto"/>
                <w:kern w:val="0"/>
                <w:sz w:val="24"/>
                <w:szCs w:val="36"/>
              </w:rPr>
            </w:pPr>
          </w:p>
        </w:tc>
        <w:tc>
          <w:tcPr>
            <w:tcW w:w="1260" w:type="dxa"/>
            <w:tcBorders>
              <w:top w:val="single" w:color="auto" w:sz="4" w:space="0"/>
              <w:left w:val="single" w:color="auto" w:sz="4" w:space="0"/>
              <w:bottom w:val="single" w:color="auto" w:sz="4" w:space="0"/>
              <w:right w:val="single" w:color="auto" w:sz="4" w:space="0"/>
            </w:tcBorders>
          </w:tcPr>
          <w:p w14:paraId="028EA9F6">
            <w:pPr>
              <w:snapToGrid w:val="0"/>
              <w:spacing w:before="156"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4312205B">
            <w:pPr>
              <w:snapToGrid w:val="0"/>
              <w:spacing w:before="156"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17B12632">
            <w:pPr>
              <w:snapToGrid w:val="0"/>
              <w:spacing w:before="156" w:beforeLines="50" w:after="120" w:line="312" w:lineRule="auto"/>
              <w:rPr>
                <w:rFonts w:ascii="Times New Roman" w:hAnsi="Times New Roman" w:eastAsia="宋体" w:cs="Times New Roman"/>
                <w:b/>
                <w:bCs/>
                <w:color w:val="auto"/>
                <w:sz w:val="24"/>
                <w:szCs w:val="36"/>
              </w:rPr>
            </w:pPr>
          </w:p>
        </w:tc>
      </w:tr>
      <w:tr w14:paraId="0C142A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6270E782">
            <w:pPr>
              <w:snapToGrid w:val="0"/>
              <w:spacing w:before="156"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5E7E323B">
            <w:pPr>
              <w:snapToGrid w:val="0"/>
              <w:spacing w:before="156"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1E6F9999">
            <w:pPr>
              <w:snapToGrid w:val="0"/>
              <w:spacing w:before="156"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3BF1F577">
            <w:pPr>
              <w:snapToGrid w:val="0"/>
              <w:spacing w:before="156"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5E0F8AE0">
            <w:pPr>
              <w:snapToGrid w:val="0"/>
              <w:spacing w:before="156"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0E702BD5">
            <w:pPr>
              <w:snapToGrid w:val="0"/>
              <w:spacing w:before="156" w:beforeLines="50" w:after="120" w:line="312" w:lineRule="auto"/>
              <w:rPr>
                <w:rFonts w:ascii="Times New Roman" w:hAnsi="Times New Roman" w:eastAsia="宋体" w:cs="Times New Roman"/>
                <w:b/>
                <w:bCs/>
                <w:color w:val="auto"/>
                <w:sz w:val="24"/>
                <w:szCs w:val="36"/>
              </w:rPr>
            </w:pPr>
          </w:p>
        </w:tc>
      </w:tr>
      <w:tr w14:paraId="53232E0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26551AE9">
            <w:pPr>
              <w:snapToGrid w:val="0"/>
              <w:spacing w:before="156"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0A479674">
            <w:pPr>
              <w:snapToGrid w:val="0"/>
              <w:spacing w:before="156"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1925ADEC">
            <w:pPr>
              <w:snapToGrid w:val="0"/>
              <w:spacing w:before="156"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61371B95">
            <w:pPr>
              <w:snapToGrid w:val="0"/>
              <w:spacing w:before="156"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4B08F0F7">
            <w:pPr>
              <w:snapToGrid w:val="0"/>
              <w:spacing w:before="156"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1C4015EF">
            <w:pPr>
              <w:snapToGrid w:val="0"/>
              <w:spacing w:before="156" w:beforeLines="50" w:after="120" w:line="312" w:lineRule="auto"/>
              <w:rPr>
                <w:rFonts w:ascii="Times New Roman" w:hAnsi="Times New Roman" w:eastAsia="宋体" w:cs="Times New Roman"/>
                <w:b/>
                <w:bCs/>
                <w:color w:val="auto"/>
                <w:sz w:val="24"/>
                <w:szCs w:val="36"/>
              </w:rPr>
            </w:pPr>
          </w:p>
        </w:tc>
      </w:tr>
      <w:tr w14:paraId="28F7CF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7B136CCD">
            <w:pPr>
              <w:snapToGrid w:val="0"/>
              <w:spacing w:before="156"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44137B8E">
            <w:pPr>
              <w:snapToGrid w:val="0"/>
              <w:spacing w:before="156"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4CB4EF15">
            <w:pPr>
              <w:snapToGrid w:val="0"/>
              <w:spacing w:before="156"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7F071CED">
            <w:pPr>
              <w:snapToGrid w:val="0"/>
              <w:spacing w:before="156"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342D23E0">
            <w:pPr>
              <w:snapToGrid w:val="0"/>
              <w:spacing w:before="156"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417F54D5">
            <w:pPr>
              <w:snapToGrid w:val="0"/>
              <w:spacing w:before="156" w:beforeLines="50" w:after="120" w:line="312" w:lineRule="auto"/>
              <w:rPr>
                <w:rFonts w:ascii="Times New Roman" w:hAnsi="Times New Roman" w:eastAsia="宋体" w:cs="Times New Roman"/>
                <w:b/>
                <w:bCs/>
                <w:color w:val="auto"/>
                <w:sz w:val="24"/>
                <w:szCs w:val="36"/>
              </w:rPr>
            </w:pPr>
          </w:p>
        </w:tc>
      </w:tr>
      <w:tr w14:paraId="07E07B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7252E884">
            <w:pPr>
              <w:snapToGrid w:val="0"/>
              <w:spacing w:before="156"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7005865F">
            <w:pPr>
              <w:snapToGrid w:val="0"/>
              <w:spacing w:before="156"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0070B418">
            <w:pPr>
              <w:snapToGrid w:val="0"/>
              <w:spacing w:before="156"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7E8FE933">
            <w:pPr>
              <w:snapToGrid w:val="0"/>
              <w:spacing w:before="156"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4F9F69E9">
            <w:pPr>
              <w:snapToGrid w:val="0"/>
              <w:spacing w:before="156"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2F853740">
            <w:pPr>
              <w:snapToGrid w:val="0"/>
              <w:spacing w:before="156" w:beforeLines="50" w:after="120" w:line="312" w:lineRule="auto"/>
              <w:rPr>
                <w:rFonts w:ascii="Times New Roman" w:hAnsi="Times New Roman" w:eastAsia="宋体" w:cs="Times New Roman"/>
                <w:b/>
                <w:bCs/>
                <w:color w:val="auto"/>
                <w:sz w:val="24"/>
                <w:szCs w:val="36"/>
              </w:rPr>
            </w:pPr>
          </w:p>
        </w:tc>
      </w:tr>
      <w:tr w14:paraId="59115F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3627F1B6">
            <w:pPr>
              <w:snapToGrid w:val="0"/>
              <w:spacing w:before="156"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10169273">
            <w:pPr>
              <w:snapToGrid w:val="0"/>
              <w:spacing w:before="156"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6070F8FB">
            <w:pPr>
              <w:snapToGrid w:val="0"/>
              <w:spacing w:before="156"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661D7AB6">
            <w:pPr>
              <w:snapToGrid w:val="0"/>
              <w:spacing w:before="156"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60810FB1">
            <w:pPr>
              <w:snapToGrid w:val="0"/>
              <w:spacing w:before="156"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25D8FBE9">
            <w:pPr>
              <w:snapToGrid w:val="0"/>
              <w:spacing w:before="156" w:beforeLines="50" w:after="120" w:line="312" w:lineRule="auto"/>
              <w:rPr>
                <w:rFonts w:ascii="Times New Roman" w:hAnsi="Times New Roman" w:eastAsia="宋体" w:cs="Times New Roman"/>
                <w:b/>
                <w:bCs/>
                <w:color w:val="auto"/>
                <w:sz w:val="24"/>
                <w:szCs w:val="36"/>
              </w:rPr>
            </w:pPr>
          </w:p>
        </w:tc>
      </w:tr>
      <w:tr w14:paraId="2F2826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04" w:type="dxa"/>
            <w:tcBorders>
              <w:top w:val="single" w:color="auto" w:sz="4" w:space="0"/>
              <w:left w:val="single" w:color="auto" w:sz="4" w:space="0"/>
              <w:bottom w:val="single" w:color="auto" w:sz="4" w:space="0"/>
              <w:right w:val="single" w:color="auto" w:sz="4" w:space="0"/>
            </w:tcBorders>
          </w:tcPr>
          <w:p w14:paraId="764D939F">
            <w:pPr>
              <w:snapToGrid w:val="0"/>
              <w:spacing w:before="156" w:beforeLines="50" w:after="50" w:line="312" w:lineRule="auto"/>
              <w:rPr>
                <w:rFonts w:ascii="Times New Roman" w:hAnsi="Times New Roman" w:eastAsia="宋体" w:cs="Times New Roman"/>
                <w:color w:val="auto"/>
                <w:sz w:val="24"/>
              </w:rPr>
            </w:pPr>
          </w:p>
        </w:tc>
        <w:tc>
          <w:tcPr>
            <w:tcW w:w="1004" w:type="dxa"/>
            <w:tcBorders>
              <w:top w:val="single" w:color="auto" w:sz="4" w:space="0"/>
              <w:left w:val="single" w:color="auto" w:sz="4" w:space="0"/>
              <w:bottom w:val="single" w:color="auto" w:sz="4" w:space="0"/>
              <w:right w:val="single" w:color="auto" w:sz="4" w:space="0"/>
            </w:tcBorders>
          </w:tcPr>
          <w:p w14:paraId="04B7639F">
            <w:pPr>
              <w:snapToGrid w:val="0"/>
              <w:spacing w:before="156" w:beforeLines="50" w:after="120" w:line="312" w:lineRule="auto"/>
              <w:rPr>
                <w:rFonts w:ascii="Times New Roman" w:hAnsi="Times New Roman" w:eastAsia="宋体" w:cs="Times New Roman"/>
                <w:b/>
                <w:bCs/>
                <w:color w:val="auto"/>
                <w:sz w:val="24"/>
                <w:szCs w:val="36"/>
              </w:rPr>
            </w:pPr>
          </w:p>
        </w:tc>
        <w:tc>
          <w:tcPr>
            <w:tcW w:w="1662" w:type="dxa"/>
            <w:tcBorders>
              <w:top w:val="single" w:color="auto" w:sz="4" w:space="0"/>
              <w:left w:val="single" w:color="auto" w:sz="4" w:space="0"/>
              <w:bottom w:val="single" w:color="auto" w:sz="4" w:space="0"/>
              <w:right w:val="single" w:color="auto" w:sz="4" w:space="0"/>
            </w:tcBorders>
          </w:tcPr>
          <w:p w14:paraId="5FF283AE">
            <w:pPr>
              <w:snapToGrid w:val="0"/>
              <w:spacing w:before="156" w:beforeLines="50" w:after="120" w:line="312" w:lineRule="auto"/>
              <w:rPr>
                <w:rFonts w:ascii="Times New Roman" w:hAnsi="Times New Roman" w:eastAsia="宋体" w:cs="Times New Roman"/>
                <w:b/>
                <w:bCs/>
                <w:color w:val="auto"/>
                <w:sz w:val="24"/>
                <w:szCs w:val="36"/>
              </w:rPr>
            </w:pPr>
          </w:p>
        </w:tc>
        <w:tc>
          <w:tcPr>
            <w:tcW w:w="1260" w:type="dxa"/>
            <w:tcBorders>
              <w:top w:val="single" w:color="auto" w:sz="4" w:space="0"/>
              <w:left w:val="single" w:color="auto" w:sz="4" w:space="0"/>
              <w:bottom w:val="single" w:color="auto" w:sz="4" w:space="0"/>
              <w:right w:val="single" w:color="auto" w:sz="4" w:space="0"/>
            </w:tcBorders>
          </w:tcPr>
          <w:p w14:paraId="4BD0331B">
            <w:pPr>
              <w:snapToGrid w:val="0"/>
              <w:spacing w:before="156" w:beforeLines="50" w:after="120" w:line="312" w:lineRule="auto"/>
              <w:rPr>
                <w:rFonts w:ascii="Times New Roman" w:hAnsi="Times New Roman" w:eastAsia="宋体" w:cs="Times New Roman"/>
                <w:b/>
                <w:bCs/>
                <w:color w:val="auto"/>
                <w:sz w:val="24"/>
                <w:szCs w:val="36"/>
              </w:rPr>
            </w:pPr>
          </w:p>
        </w:tc>
        <w:tc>
          <w:tcPr>
            <w:tcW w:w="1619" w:type="dxa"/>
            <w:tcBorders>
              <w:top w:val="single" w:color="auto" w:sz="4" w:space="0"/>
              <w:left w:val="single" w:color="auto" w:sz="4" w:space="0"/>
              <w:bottom w:val="single" w:color="auto" w:sz="4" w:space="0"/>
              <w:right w:val="single" w:color="auto" w:sz="4" w:space="0"/>
            </w:tcBorders>
          </w:tcPr>
          <w:p w14:paraId="6DDD9178">
            <w:pPr>
              <w:snapToGrid w:val="0"/>
              <w:spacing w:before="156" w:beforeLines="50" w:after="120" w:line="312" w:lineRule="auto"/>
              <w:rPr>
                <w:rFonts w:ascii="Times New Roman" w:hAnsi="Times New Roman" w:eastAsia="宋体" w:cs="Times New Roman"/>
                <w:b/>
                <w:bCs/>
                <w:color w:val="auto"/>
                <w:sz w:val="24"/>
                <w:szCs w:val="36"/>
              </w:rPr>
            </w:pPr>
          </w:p>
        </w:tc>
        <w:tc>
          <w:tcPr>
            <w:tcW w:w="2699" w:type="dxa"/>
            <w:tcBorders>
              <w:top w:val="single" w:color="auto" w:sz="4" w:space="0"/>
              <w:left w:val="single" w:color="auto" w:sz="4" w:space="0"/>
              <w:bottom w:val="single" w:color="auto" w:sz="4" w:space="0"/>
              <w:right w:val="single" w:color="auto" w:sz="4" w:space="0"/>
            </w:tcBorders>
          </w:tcPr>
          <w:p w14:paraId="53797CA9">
            <w:pPr>
              <w:snapToGrid w:val="0"/>
              <w:spacing w:before="156" w:beforeLines="50" w:after="120" w:line="312" w:lineRule="auto"/>
              <w:rPr>
                <w:rFonts w:ascii="Times New Roman" w:hAnsi="Times New Roman" w:eastAsia="宋体" w:cs="Times New Roman"/>
                <w:b/>
                <w:bCs/>
                <w:color w:val="auto"/>
                <w:sz w:val="24"/>
                <w:szCs w:val="36"/>
              </w:rPr>
            </w:pPr>
          </w:p>
        </w:tc>
      </w:tr>
    </w:tbl>
    <w:p w14:paraId="5DD61D56">
      <w:pPr>
        <w:snapToGrid w:val="0"/>
        <w:spacing w:before="50" w:after="156" w:afterLines="50" w:line="312" w:lineRule="auto"/>
        <w:jc w:val="left"/>
        <w:rPr>
          <w:rFonts w:ascii="Times New Roman" w:hAnsi="Times New Roman" w:eastAsia="宋体" w:cs="Times New Roman"/>
          <w:color w:val="auto"/>
        </w:rPr>
      </w:pPr>
      <w:r>
        <w:rPr>
          <w:rFonts w:hint="eastAsia" w:ascii="Times New Roman" w:hAnsi="Times New Roman" w:eastAsia="宋体" w:cs="Times New Roman"/>
          <w:color w:val="auto"/>
        </w:rPr>
        <w:t>注：在填写时，如本表格不适合投标单位的实际情况，可根据本表格式自行划表填写。</w:t>
      </w:r>
    </w:p>
    <w:p w14:paraId="29F28D82">
      <w:pPr>
        <w:snapToGrid w:val="0"/>
        <w:spacing w:before="50" w:after="50" w:line="312" w:lineRule="auto"/>
        <w:rPr>
          <w:rFonts w:ascii="Times New Roman" w:hAnsi="Times New Roman" w:eastAsia="宋体" w:cs="Times New Roman"/>
          <w:color w:val="auto"/>
          <w:spacing w:val="20"/>
          <w:sz w:val="24"/>
        </w:rPr>
      </w:pPr>
    </w:p>
    <w:p w14:paraId="0FDB5925">
      <w:pPr>
        <w:snapToGrid w:val="0"/>
        <w:spacing w:before="50" w:after="50" w:line="312" w:lineRule="auto"/>
        <w:rPr>
          <w:rFonts w:ascii="Times New Roman" w:hAnsi="Times New Roman" w:eastAsia="宋体" w:cs="Times New Roman"/>
          <w:color w:val="auto"/>
          <w:spacing w:val="20"/>
          <w:sz w:val="24"/>
        </w:rPr>
      </w:pPr>
    </w:p>
    <w:p w14:paraId="0A3DD3BD">
      <w:pPr>
        <w:snapToGrid w:val="0"/>
        <w:ind w:left="2" w:right="-817" w:rightChars="-389"/>
        <w:rPr>
          <w:rFonts w:ascii="Times New Roman" w:hAnsi="Times New Roman" w:eastAsia="宋体" w:cs="Times New Roman"/>
          <w:color w:val="auto"/>
        </w:rPr>
      </w:pPr>
    </w:p>
    <w:p w14:paraId="0A893EB4">
      <w:pPr>
        <w:snapToGrid w:val="0"/>
        <w:spacing w:before="50" w:after="156" w:afterLines="50" w:line="312" w:lineRule="auto"/>
        <w:jc w:val="left"/>
        <w:rPr>
          <w:rFonts w:ascii="Times New Roman" w:hAnsi="Times New Roman" w:eastAsia="宋体" w:cs="Times New Roman"/>
          <w:color w:val="auto"/>
          <w:spacing w:val="20"/>
          <w:sz w:val="24"/>
          <w:u w:val="single"/>
        </w:rPr>
      </w:pPr>
      <w:r>
        <w:rPr>
          <w:rFonts w:hint="eastAsia" w:ascii="Times New Roman" w:hAnsi="Times New Roman" w:eastAsia="宋体" w:cs="Times New Roman"/>
          <w:color w:val="auto"/>
        </w:rPr>
        <w:t>投标人名称（盖章）：</w:t>
      </w:r>
      <w:r>
        <w:rPr>
          <w:rFonts w:hint="eastAsia" w:ascii="Times New Roman" w:hAnsi="Times New Roman" w:eastAsia="宋体" w:cs="Times New Roman"/>
          <w:color w:val="auto"/>
          <w:spacing w:val="20"/>
          <w:sz w:val="24"/>
        </w:rPr>
        <w:t>日期：</w:t>
      </w:r>
    </w:p>
    <w:p w14:paraId="56F0A309">
      <w:pPr>
        <w:snapToGrid w:val="0"/>
        <w:spacing w:before="50" w:after="156" w:afterLines="50" w:line="312" w:lineRule="auto"/>
        <w:jc w:val="left"/>
        <w:rPr>
          <w:rFonts w:ascii="Times New Roman" w:hAnsi="Times New Roman" w:eastAsia="宋体" w:cs="Times New Roman"/>
          <w:color w:val="auto"/>
          <w:sz w:val="24"/>
        </w:rPr>
      </w:pPr>
    </w:p>
    <w:p w14:paraId="6629899E">
      <w:pPr>
        <w:snapToGrid w:val="0"/>
        <w:spacing w:before="50" w:after="156" w:afterLines="50" w:line="312" w:lineRule="auto"/>
        <w:jc w:val="left"/>
        <w:rPr>
          <w:rFonts w:ascii="Times New Roman" w:hAnsi="Times New Roman" w:eastAsia="宋体" w:cs="Times New Roman"/>
          <w:color w:val="auto"/>
          <w:sz w:val="24"/>
        </w:rPr>
      </w:pPr>
    </w:p>
    <w:p w14:paraId="1E550CBA">
      <w:pPr>
        <w:snapToGrid w:val="0"/>
        <w:spacing w:before="50" w:after="156" w:afterLines="50" w:line="312" w:lineRule="auto"/>
        <w:jc w:val="left"/>
        <w:rPr>
          <w:rFonts w:ascii="Times New Roman" w:hAnsi="Times New Roman" w:eastAsia="宋体" w:cs="Times New Roman"/>
          <w:color w:val="auto"/>
          <w:sz w:val="24"/>
        </w:rPr>
      </w:pPr>
    </w:p>
    <w:p w14:paraId="0341BD87">
      <w:pPr>
        <w:snapToGrid w:val="0"/>
        <w:spacing w:before="50" w:after="156" w:afterLines="50"/>
        <w:jc w:val="left"/>
        <w:rPr>
          <w:rFonts w:ascii="Times New Roman" w:hAnsi="Times New Roman" w:eastAsia="宋体" w:cs="Times New Roman"/>
          <w:b/>
          <w:color w:val="auto"/>
          <w:sz w:val="24"/>
        </w:rPr>
      </w:pPr>
    </w:p>
    <w:p w14:paraId="3AEED75F">
      <w:pPr>
        <w:snapToGrid w:val="0"/>
        <w:spacing w:before="50" w:after="156" w:afterLines="50"/>
        <w:jc w:val="left"/>
        <w:rPr>
          <w:rFonts w:ascii="Times New Roman" w:hAnsi="Times New Roman" w:eastAsia="宋体" w:cs="Times New Roman"/>
          <w:b/>
          <w:color w:val="auto"/>
          <w:sz w:val="24"/>
        </w:rPr>
      </w:pPr>
    </w:p>
    <w:p w14:paraId="19B55A64">
      <w:pPr>
        <w:snapToGrid w:val="0"/>
        <w:spacing w:before="50" w:after="156" w:afterLines="50"/>
        <w:ind w:firstLine="210" w:firstLineChars="100"/>
        <w:jc w:val="left"/>
        <w:rPr>
          <w:rFonts w:hint="eastAsia" w:ascii="宋体" w:hAnsi="宋体" w:eastAsia="宋体" w:cs="Times New Roman"/>
          <w:b/>
          <w:color w:val="auto"/>
          <w:sz w:val="24"/>
        </w:rPr>
      </w:pPr>
      <w:r>
        <w:rPr>
          <w:rFonts w:hint="eastAsia" w:ascii="宋体" w:hAnsi="宋体" w:eastAsia="宋体" w:cs="Times New Roman"/>
          <w:color w:val="auto"/>
        </w:rPr>
        <w:br w:type="page"/>
      </w:r>
      <w:r>
        <w:rPr>
          <w:rFonts w:hint="eastAsia" w:ascii="宋体" w:hAnsi="宋体" w:eastAsia="宋体" w:cs="Times New Roman"/>
          <w:b/>
          <w:color w:val="auto"/>
          <w:sz w:val="24"/>
        </w:rPr>
        <w:t>十一、技术响应表格式：</w:t>
      </w:r>
    </w:p>
    <w:p w14:paraId="6D4A3E09">
      <w:pPr>
        <w:rPr>
          <w:rFonts w:hint="eastAsia" w:ascii="宋体" w:hAnsi="宋体" w:eastAsia="宋体" w:cs="Times New Roman"/>
          <w:color w:val="auto"/>
        </w:rPr>
      </w:pPr>
      <w:r>
        <w:rPr>
          <w:rFonts w:hint="eastAsia" w:ascii="宋体" w:hAnsi="宋体" w:eastAsia="宋体" w:cs="Times New Roman"/>
          <w:color w:val="auto"/>
        </w:rPr>
        <w:t>项目名称：</w:t>
      </w:r>
    </w:p>
    <w:p w14:paraId="13779C30">
      <w:pPr>
        <w:snapToGrid w:val="0"/>
        <w:spacing w:line="360" w:lineRule="auto"/>
        <w:rPr>
          <w:rFonts w:ascii="宋体" w:hAnsi="Times New Roman" w:eastAsia="宋体" w:cs="Times New Roman"/>
          <w:color w:val="auto"/>
        </w:rPr>
      </w:pPr>
      <w:r>
        <w:rPr>
          <w:rFonts w:hint="eastAsia" w:ascii="宋体" w:hAnsi="宋体" w:eastAsia="宋体" w:cs="Times New Roman"/>
          <w:color w:val="auto"/>
        </w:rPr>
        <w:t>项目编号：</w:t>
      </w:r>
    </w:p>
    <w:tbl>
      <w:tblPr>
        <w:tblStyle w:val="62"/>
        <w:tblW w:w="9015"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68"/>
        <w:gridCol w:w="2280"/>
        <w:gridCol w:w="2040"/>
        <w:gridCol w:w="1604"/>
        <w:gridCol w:w="1423"/>
      </w:tblGrid>
      <w:tr w14:paraId="0D0D40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4" w:hRule="atLeast"/>
        </w:trPr>
        <w:tc>
          <w:tcPr>
            <w:tcW w:w="3948" w:type="dxa"/>
            <w:gridSpan w:val="2"/>
            <w:tcBorders>
              <w:top w:val="single" w:color="auto" w:sz="4" w:space="0"/>
              <w:left w:val="single" w:color="auto" w:sz="4" w:space="0"/>
              <w:bottom w:val="single" w:color="auto" w:sz="4" w:space="0"/>
              <w:right w:val="single" w:color="auto" w:sz="4" w:space="0"/>
            </w:tcBorders>
            <w:vAlign w:val="center"/>
          </w:tcPr>
          <w:p w14:paraId="4CB07321">
            <w:pPr>
              <w:snapToGrid w:val="0"/>
              <w:spacing w:after="295"/>
              <w:jc w:val="center"/>
              <w:outlineLvl w:val="0"/>
              <w:rPr>
                <w:rFonts w:hint="eastAsia" w:ascii="宋体" w:hAnsi="宋体" w:eastAsia="宋体" w:cs="Times New Roman"/>
                <w:color w:val="auto"/>
                <w:sz w:val="24"/>
              </w:rPr>
            </w:pPr>
            <w:r>
              <w:rPr>
                <w:rFonts w:hint="eastAsia" w:ascii="宋体" w:hAnsi="宋体" w:eastAsia="宋体" w:cs="Times New Roman"/>
                <w:color w:val="auto"/>
                <w:sz w:val="24"/>
              </w:rPr>
              <w:t>招标文件要求</w:t>
            </w:r>
          </w:p>
        </w:tc>
        <w:tc>
          <w:tcPr>
            <w:tcW w:w="3644" w:type="dxa"/>
            <w:gridSpan w:val="2"/>
            <w:tcBorders>
              <w:top w:val="single" w:color="auto" w:sz="4" w:space="0"/>
              <w:left w:val="single" w:color="auto" w:sz="4" w:space="0"/>
              <w:bottom w:val="single" w:color="auto" w:sz="4" w:space="0"/>
              <w:right w:val="single" w:color="auto" w:sz="4" w:space="0"/>
            </w:tcBorders>
            <w:vAlign w:val="center"/>
          </w:tcPr>
          <w:p w14:paraId="33330FFB">
            <w:pPr>
              <w:snapToGrid w:val="0"/>
              <w:spacing w:after="295"/>
              <w:jc w:val="center"/>
              <w:outlineLvl w:val="0"/>
              <w:rPr>
                <w:rFonts w:hint="eastAsia" w:ascii="宋体" w:hAnsi="宋体" w:eastAsia="宋体" w:cs="Times New Roman"/>
                <w:color w:val="auto"/>
                <w:sz w:val="24"/>
              </w:rPr>
            </w:pPr>
            <w:r>
              <w:rPr>
                <w:rFonts w:hint="eastAsia" w:ascii="宋体" w:hAnsi="宋体" w:eastAsia="宋体" w:cs="Times New Roman"/>
                <w:color w:val="auto"/>
                <w:sz w:val="24"/>
              </w:rPr>
              <w:t>投标文件响应</w:t>
            </w:r>
          </w:p>
        </w:tc>
        <w:tc>
          <w:tcPr>
            <w:tcW w:w="1423" w:type="dxa"/>
            <w:vMerge w:val="restart"/>
            <w:tcBorders>
              <w:top w:val="single" w:color="auto" w:sz="4" w:space="0"/>
              <w:left w:val="single" w:color="auto" w:sz="4" w:space="0"/>
              <w:bottom w:val="single" w:color="auto" w:sz="4" w:space="0"/>
              <w:right w:val="single" w:color="auto" w:sz="4" w:space="0"/>
            </w:tcBorders>
            <w:vAlign w:val="center"/>
          </w:tcPr>
          <w:p w14:paraId="4B9891A4">
            <w:pPr>
              <w:snapToGrid w:val="0"/>
              <w:spacing w:after="295"/>
              <w:jc w:val="center"/>
              <w:outlineLvl w:val="0"/>
              <w:rPr>
                <w:rFonts w:hint="eastAsia" w:ascii="宋体" w:hAnsi="宋体" w:eastAsia="宋体" w:cs="Times New Roman"/>
                <w:color w:val="auto"/>
                <w:sz w:val="24"/>
              </w:rPr>
            </w:pPr>
            <w:r>
              <w:rPr>
                <w:rFonts w:hint="eastAsia" w:ascii="宋体" w:hAnsi="宋体" w:eastAsia="宋体" w:cs="Times New Roman"/>
                <w:color w:val="auto"/>
                <w:sz w:val="24"/>
              </w:rPr>
              <w:t>偏离情况</w:t>
            </w:r>
          </w:p>
        </w:tc>
      </w:tr>
      <w:tr w14:paraId="16897C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1" w:hRule="atLeast"/>
        </w:trPr>
        <w:tc>
          <w:tcPr>
            <w:tcW w:w="1668" w:type="dxa"/>
            <w:tcBorders>
              <w:top w:val="single" w:color="auto" w:sz="4" w:space="0"/>
              <w:left w:val="single" w:color="auto" w:sz="4" w:space="0"/>
              <w:bottom w:val="single" w:color="auto" w:sz="4" w:space="0"/>
              <w:right w:val="single" w:color="auto" w:sz="4" w:space="0"/>
            </w:tcBorders>
            <w:vAlign w:val="center"/>
          </w:tcPr>
          <w:p w14:paraId="57AB250B">
            <w:pPr>
              <w:snapToGrid w:val="0"/>
              <w:spacing w:after="295"/>
              <w:jc w:val="center"/>
              <w:outlineLvl w:val="0"/>
              <w:rPr>
                <w:rFonts w:hint="eastAsia" w:ascii="宋体" w:hAnsi="宋体" w:eastAsia="宋体" w:cs="Times New Roman"/>
                <w:color w:val="auto"/>
                <w:sz w:val="24"/>
              </w:rPr>
            </w:pPr>
            <w:r>
              <w:rPr>
                <w:rFonts w:hint="eastAsia" w:ascii="宋体" w:hAnsi="宋体" w:eastAsia="宋体" w:cs="Times New Roman"/>
                <w:color w:val="auto"/>
                <w:sz w:val="24"/>
              </w:rPr>
              <w:t>项目</w:t>
            </w:r>
          </w:p>
        </w:tc>
        <w:tc>
          <w:tcPr>
            <w:tcW w:w="2280" w:type="dxa"/>
            <w:tcBorders>
              <w:top w:val="single" w:color="auto" w:sz="4" w:space="0"/>
              <w:left w:val="single" w:color="auto" w:sz="4" w:space="0"/>
              <w:bottom w:val="single" w:color="auto" w:sz="4" w:space="0"/>
              <w:right w:val="single" w:color="auto" w:sz="4" w:space="0"/>
            </w:tcBorders>
            <w:vAlign w:val="center"/>
          </w:tcPr>
          <w:p w14:paraId="490ED79F">
            <w:pPr>
              <w:snapToGrid w:val="0"/>
              <w:spacing w:after="295"/>
              <w:jc w:val="center"/>
              <w:outlineLvl w:val="0"/>
              <w:rPr>
                <w:rFonts w:hint="eastAsia" w:ascii="宋体" w:hAnsi="宋体" w:eastAsia="宋体" w:cs="Times New Roman"/>
                <w:color w:val="auto"/>
                <w:sz w:val="24"/>
              </w:rPr>
            </w:pPr>
            <w:r>
              <w:rPr>
                <w:rFonts w:hint="eastAsia" w:ascii="宋体" w:hAnsi="宋体" w:eastAsia="宋体" w:cs="Times New Roman"/>
                <w:color w:val="auto"/>
                <w:sz w:val="24"/>
              </w:rPr>
              <w:t>要求</w:t>
            </w:r>
          </w:p>
        </w:tc>
        <w:tc>
          <w:tcPr>
            <w:tcW w:w="2040" w:type="dxa"/>
            <w:tcBorders>
              <w:top w:val="single" w:color="auto" w:sz="4" w:space="0"/>
              <w:left w:val="single" w:color="auto" w:sz="4" w:space="0"/>
              <w:bottom w:val="single" w:color="auto" w:sz="4" w:space="0"/>
              <w:right w:val="single" w:color="auto" w:sz="4" w:space="0"/>
            </w:tcBorders>
            <w:vAlign w:val="center"/>
          </w:tcPr>
          <w:p w14:paraId="24673611">
            <w:pPr>
              <w:snapToGrid w:val="0"/>
              <w:spacing w:after="295"/>
              <w:jc w:val="center"/>
              <w:outlineLvl w:val="0"/>
              <w:rPr>
                <w:rFonts w:hint="eastAsia" w:ascii="宋体" w:hAnsi="宋体" w:eastAsia="宋体" w:cs="Times New Roman"/>
                <w:color w:val="auto"/>
                <w:sz w:val="24"/>
              </w:rPr>
            </w:pPr>
            <w:r>
              <w:rPr>
                <w:rFonts w:hint="eastAsia" w:ascii="宋体" w:hAnsi="宋体" w:eastAsia="宋体" w:cs="Times New Roman"/>
                <w:color w:val="auto"/>
                <w:sz w:val="24"/>
              </w:rPr>
              <w:t>项目</w:t>
            </w:r>
          </w:p>
        </w:tc>
        <w:tc>
          <w:tcPr>
            <w:tcW w:w="1604" w:type="dxa"/>
            <w:tcBorders>
              <w:top w:val="single" w:color="auto" w:sz="4" w:space="0"/>
              <w:left w:val="single" w:color="auto" w:sz="4" w:space="0"/>
              <w:bottom w:val="single" w:color="auto" w:sz="4" w:space="0"/>
              <w:right w:val="single" w:color="auto" w:sz="4" w:space="0"/>
            </w:tcBorders>
            <w:vAlign w:val="center"/>
          </w:tcPr>
          <w:p w14:paraId="710FDBB7">
            <w:pPr>
              <w:snapToGrid w:val="0"/>
              <w:spacing w:after="295"/>
              <w:jc w:val="center"/>
              <w:outlineLvl w:val="0"/>
              <w:rPr>
                <w:rFonts w:hint="eastAsia" w:ascii="宋体" w:hAnsi="宋体" w:eastAsia="宋体" w:cs="Times New Roman"/>
                <w:color w:val="auto"/>
                <w:sz w:val="24"/>
              </w:rPr>
            </w:pPr>
            <w:r>
              <w:rPr>
                <w:rFonts w:hint="eastAsia" w:ascii="宋体" w:hAnsi="宋体" w:eastAsia="宋体" w:cs="Times New Roman"/>
                <w:color w:val="auto"/>
                <w:sz w:val="24"/>
              </w:rPr>
              <w:t>要求</w:t>
            </w:r>
          </w:p>
        </w:tc>
        <w:tc>
          <w:tcPr>
            <w:tcW w:w="1423" w:type="dxa"/>
            <w:vMerge w:val="continue"/>
            <w:tcBorders>
              <w:top w:val="single" w:color="auto" w:sz="4" w:space="0"/>
              <w:left w:val="single" w:color="auto" w:sz="4" w:space="0"/>
              <w:bottom w:val="single" w:color="auto" w:sz="4" w:space="0"/>
              <w:right w:val="single" w:color="auto" w:sz="4" w:space="0"/>
            </w:tcBorders>
            <w:vAlign w:val="center"/>
          </w:tcPr>
          <w:p w14:paraId="38118942">
            <w:pPr>
              <w:widowControl/>
              <w:jc w:val="left"/>
              <w:rPr>
                <w:rFonts w:hint="eastAsia" w:ascii="宋体" w:hAnsi="宋体" w:eastAsia="宋体" w:cs="Times New Roman"/>
                <w:color w:val="auto"/>
                <w:sz w:val="24"/>
              </w:rPr>
            </w:pPr>
          </w:p>
        </w:tc>
      </w:tr>
      <w:tr w14:paraId="2AB127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3" w:hRule="atLeast"/>
        </w:trPr>
        <w:tc>
          <w:tcPr>
            <w:tcW w:w="1668" w:type="dxa"/>
            <w:tcBorders>
              <w:top w:val="single" w:color="auto" w:sz="4" w:space="0"/>
              <w:left w:val="single" w:color="auto" w:sz="4" w:space="0"/>
              <w:bottom w:val="single" w:color="auto" w:sz="4" w:space="0"/>
              <w:right w:val="single" w:color="auto" w:sz="4" w:space="0"/>
            </w:tcBorders>
            <w:vAlign w:val="center"/>
          </w:tcPr>
          <w:p w14:paraId="2FAAB1EC">
            <w:pPr>
              <w:snapToGrid w:val="0"/>
              <w:spacing w:after="295"/>
              <w:jc w:val="center"/>
              <w:outlineLvl w:val="0"/>
              <w:rPr>
                <w:rFonts w:hint="eastAsia" w:ascii="宋体" w:hAnsi="宋体" w:eastAsia="宋体" w:cs="Times New Roman"/>
                <w:color w:val="auto"/>
                <w:sz w:val="24"/>
              </w:rPr>
            </w:pPr>
          </w:p>
        </w:tc>
        <w:tc>
          <w:tcPr>
            <w:tcW w:w="2280" w:type="dxa"/>
            <w:tcBorders>
              <w:top w:val="single" w:color="auto" w:sz="4" w:space="0"/>
              <w:left w:val="single" w:color="auto" w:sz="4" w:space="0"/>
              <w:bottom w:val="single" w:color="auto" w:sz="4" w:space="0"/>
              <w:right w:val="single" w:color="auto" w:sz="4" w:space="0"/>
            </w:tcBorders>
            <w:vAlign w:val="center"/>
          </w:tcPr>
          <w:p w14:paraId="362CA7ED">
            <w:pPr>
              <w:snapToGrid w:val="0"/>
              <w:spacing w:after="295" w:line="120" w:lineRule="exact"/>
              <w:jc w:val="center"/>
              <w:outlineLvl w:val="0"/>
              <w:rPr>
                <w:rFonts w:hint="eastAsia"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vAlign w:val="center"/>
          </w:tcPr>
          <w:p w14:paraId="5BC09F70">
            <w:pPr>
              <w:snapToGrid w:val="0"/>
              <w:spacing w:after="295" w:line="120" w:lineRule="exact"/>
              <w:jc w:val="center"/>
              <w:outlineLvl w:val="0"/>
              <w:rPr>
                <w:rFonts w:hint="eastAsia"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vAlign w:val="center"/>
          </w:tcPr>
          <w:p w14:paraId="0B66B050">
            <w:pPr>
              <w:snapToGrid w:val="0"/>
              <w:spacing w:after="295" w:line="120" w:lineRule="exact"/>
              <w:jc w:val="center"/>
              <w:outlineLvl w:val="0"/>
              <w:rPr>
                <w:rFonts w:hint="eastAsia"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vAlign w:val="center"/>
          </w:tcPr>
          <w:p w14:paraId="27F787A1">
            <w:pPr>
              <w:snapToGrid w:val="0"/>
              <w:spacing w:after="295" w:line="120" w:lineRule="exact"/>
              <w:jc w:val="center"/>
              <w:outlineLvl w:val="0"/>
              <w:rPr>
                <w:rFonts w:hint="eastAsia" w:ascii="宋体" w:hAnsi="宋体" w:eastAsia="宋体" w:cs="Times New Roman"/>
                <w:color w:val="auto"/>
                <w:sz w:val="24"/>
              </w:rPr>
            </w:pPr>
          </w:p>
        </w:tc>
      </w:tr>
      <w:tr w14:paraId="66C4E1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668" w:type="dxa"/>
            <w:tcBorders>
              <w:top w:val="single" w:color="auto" w:sz="4" w:space="0"/>
              <w:left w:val="single" w:color="auto" w:sz="4" w:space="0"/>
              <w:bottom w:val="single" w:color="auto" w:sz="4" w:space="0"/>
              <w:right w:val="single" w:color="auto" w:sz="4" w:space="0"/>
            </w:tcBorders>
            <w:vAlign w:val="center"/>
          </w:tcPr>
          <w:p w14:paraId="0CEA46EF">
            <w:pPr>
              <w:rPr>
                <w:rFonts w:hint="eastAsia"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28395A64">
            <w:pPr>
              <w:snapToGrid w:val="0"/>
              <w:spacing w:after="295" w:line="120" w:lineRule="exact"/>
              <w:outlineLvl w:val="0"/>
              <w:rPr>
                <w:rFonts w:hint="eastAsia"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365A0D20">
            <w:pPr>
              <w:snapToGrid w:val="0"/>
              <w:spacing w:after="295" w:line="120" w:lineRule="exact"/>
              <w:outlineLvl w:val="0"/>
              <w:rPr>
                <w:rFonts w:hint="eastAsia"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006445CC">
            <w:pPr>
              <w:snapToGrid w:val="0"/>
              <w:spacing w:after="295" w:line="120" w:lineRule="exact"/>
              <w:outlineLvl w:val="0"/>
              <w:rPr>
                <w:rFonts w:hint="eastAsia"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531BF0E0">
            <w:pPr>
              <w:snapToGrid w:val="0"/>
              <w:spacing w:after="295" w:line="120" w:lineRule="exact"/>
              <w:outlineLvl w:val="0"/>
              <w:rPr>
                <w:rFonts w:hint="eastAsia" w:ascii="宋体" w:hAnsi="宋体" w:eastAsia="宋体" w:cs="Times New Roman"/>
                <w:color w:val="auto"/>
                <w:sz w:val="24"/>
              </w:rPr>
            </w:pPr>
          </w:p>
        </w:tc>
      </w:tr>
      <w:tr w14:paraId="044BC8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1" w:hRule="atLeast"/>
        </w:trPr>
        <w:tc>
          <w:tcPr>
            <w:tcW w:w="1668" w:type="dxa"/>
            <w:tcBorders>
              <w:top w:val="single" w:color="auto" w:sz="4" w:space="0"/>
              <w:left w:val="single" w:color="auto" w:sz="4" w:space="0"/>
              <w:bottom w:val="single" w:color="auto" w:sz="4" w:space="0"/>
              <w:right w:val="single" w:color="auto" w:sz="4" w:space="0"/>
            </w:tcBorders>
            <w:vAlign w:val="center"/>
          </w:tcPr>
          <w:p w14:paraId="21C51177">
            <w:pPr>
              <w:rPr>
                <w:rFonts w:hint="eastAsia"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24ADCB1D">
            <w:pPr>
              <w:snapToGrid w:val="0"/>
              <w:spacing w:after="295" w:line="120" w:lineRule="exact"/>
              <w:rPr>
                <w:rFonts w:hint="eastAsia"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459C06A9">
            <w:pPr>
              <w:snapToGrid w:val="0"/>
              <w:spacing w:after="295" w:line="120" w:lineRule="exact"/>
              <w:rPr>
                <w:rFonts w:hint="eastAsia"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10AA3794">
            <w:pPr>
              <w:snapToGrid w:val="0"/>
              <w:spacing w:after="295" w:line="120" w:lineRule="exact"/>
              <w:rPr>
                <w:rFonts w:hint="eastAsia"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14FDA6FD">
            <w:pPr>
              <w:snapToGrid w:val="0"/>
              <w:spacing w:after="295" w:line="120" w:lineRule="exact"/>
              <w:rPr>
                <w:rFonts w:hint="eastAsia" w:ascii="宋体" w:hAnsi="宋体" w:eastAsia="宋体" w:cs="Times New Roman"/>
                <w:color w:val="auto"/>
                <w:sz w:val="24"/>
              </w:rPr>
            </w:pPr>
          </w:p>
        </w:tc>
      </w:tr>
      <w:tr w14:paraId="722D1B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25775621">
            <w:pPr>
              <w:rPr>
                <w:rFonts w:hint="eastAsia"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3DCB88E1">
            <w:pPr>
              <w:snapToGrid w:val="0"/>
              <w:spacing w:after="295" w:line="120" w:lineRule="exact"/>
              <w:outlineLvl w:val="0"/>
              <w:rPr>
                <w:rFonts w:hint="eastAsia"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3793503F">
            <w:pPr>
              <w:snapToGrid w:val="0"/>
              <w:spacing w:after="295" w:line="120" w:lineRule="exact"/>
              <w:outlineLvl w:val="0"/>
              <w:rPr>
                <w:rFonts w:hint="eastAsia"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29ED9C9F">
            <w:pPr>
              <w:snapToGrid w:val="0"/>
              <w:spacing w:after="295" w:line="120" w:lineRule="exact"/>
              <w:outlineLvl w:val="0"/>
              <w:rPr>
                <w:rFonts w:hint="eastAsia"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26559609">
            <w:pPr>
              <w:snapToGrid w:val="0"/>
              <w:spacing w:after="295" w:line="120" w:lineRule="exact"/>
              <w:outlineLvl w:val="0"/>
              <w:rPr>
                <w:rFonts w:hint="eastAsia" w:ascii="宋体" w:hAnsi="宋体" w:eastAsia="宋体" w:cs="Times New Roman"/>
                <w:color w:val="auto"/>
                <w:sz w:val="24"/>
              </w:rPr>
            </w:pPr>
          </w:p>
        </w:tc>
      </w:tr>
      <w:tr w14:paraId="40A6E5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7C6D43F7">
            <w:pPr>
              <w:rPr>
                <w:rFonts w:hint="eastAsia"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16A4D2C1">
            <w:pPr>
              <w:snapToGrid w:val="0"/>
              <w:spacing w:after="295" w:line="120" w:lineRule="exact"/>
              <w:outlineLvl w:val="0"/>
              <w:rPr>
                <w:rFonts w:hint="eastAsia"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5C5A225F">
            <w:pPr>
              <w:snapToGrid w:val="0"/>
              <w:spacing w:after="295" w:line="120" w:lineRule="exact"/>
              <w:outlineLvl w:val="0"/>
              <w:rPr>
                <w:rFonts w:hint="eastAsia"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5DE9F518">
            <w:pPr>
              <w:snapToGrid w:val="0"/>
              <w:spacing w:after="295" w:line="120" w:lineRule="exact"/>
              <w:outlineLvl w:val="0"/>
              <w:rPr>
                <w:rFonts w:hint="eastAsia"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763592EA">
            <w:pPr>
              <w:snapToGrid w:val="0"/>
              <w:spacing w:after="295" w:line="120" w:lineRule="exact"/>
              <w:outlineLvl w:val="0"/>
              <w:rPr>
                <w:rFonts w:hint="eastAsia" w:ascii="宋体" w:hAnsi="宋体" w:eastAsia="宋体" w:cs="Times New Roman"/>
                <w:color w:val="auto"/>
                <w:sz w:val="24"/>
              </w:rPr>
            </w:pPr>
          </w:p>
        </w:tc>
      </w:tr>
      <w:tr w14:paraId="1464B3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7BB28F5E">
            <w:pPr>
              <w:rPr>
                <w:rFonts w:hint="eastAsia"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3916E9A8">
            <w:pPr>
              <w:snapToGrid w:val="0"/>
              <w:spacing w:after="295" w:line="120" w:lineRule="exact"/>
              <w:outlineLvl w:val="0"/>
              <w:rPr>
                <w:rFonts w:hint="eastAsia"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2CB5E6A1">
            <w:pPr>
              <w:snapToGrid w:val="0"/>
              <w:spacing w:after="295" w:line="120" w:lineRule="exact"/>
              <w:outlineLvl w:val="0"/>
              <w:rPr>
                <w:rFonts w:hint="eastAsia"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22F63593">
            <w:pPr>
              <w:snapToGrid w:val="0"/>
              <w:spacing w:after="295" w:line="120" w:lineRule="exact"/>
              <w:outlineLvl w:val="0"/>
              <w:rPr>
                <w:rFonts w:hint="eastAsia"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1073E977">
            <w:pPr>
              <w:snapToGrid w:val="0"/>
              <w:spacing w:after="295" w:line="120" w:lineRule="exact"/>
              <w:outlineLvl w:val="0"/>
              <w:rPr>
                <w:rFonts w:hint="eastAsia" w:ascii="宋体" w:hAnsi="宋体" w:eastAsia="宋体" w:cs="Times New Roman"/>
                <w:color w:val="auto"/>
                <w:sz w:val="24"/>
              </w:rPr>
            </w:pPr>
          </w:p>
        </w:tc>
      </w:tr>
      <w:tr w14:paraId="59A198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5279D818">
            <w:pPr>
              <w:rPr>
                <w:rFonts w:hint="eastAsia"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7B10DB9C">
            <w:pPr>
              <w:snapToGrid w:val="0"/>
              <w:spacing w:after="295" w:line="120" w:lineRule="exact"/>
              <w:outlineLvl w:val="0"/>
              <w:rPr>
                <w:rFonts w:hint="eastAsia"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4D17AF34">
            <w:pPr>
              <w:snapToGrid w:val="0"/>
              <w:spacing w:after="295" w:line="120" w:lineRule="exact"/>
              <w:outlineLvl w:val="0"/>
              <w:rPr>
                <w:rFonts w:hint="eastAsia"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4B509F34">
            <w:pPr>
              <w:snapToGrid w:val="0"/>
              <w:spacing w:after="295" w:line="120" w:lineRule="exact"/>
              <w:outlineLvl w:val="0"/>
              <w:rPr>
                <w:rFonts w:hint="eastAsia"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71980D2E">
            <w:pPr>
              <w:snapToGrid w:val="0"/>
              <w:spacing w:after="295" w:line="120" w:lineRule="exact"/>
              <w:outlineLvl w:val="0"/>
              <w:rPr>
                <w:rFonts w:hint="eastAsia" w:ascii="宋体" w:hAnsi="宋体" w:eastAsia="宋体" w:cs="Times New Roman"/>
                <w:color w:val="auto"/>
                <w:sz w:val="24"/>
              </w:rPr>
            </w:pPr>
          </w:p>
        </w:tc>
      </w:tr>
      <w:tr w14:paraId="0FE16B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507B8A24">
            <w:pPr>
              <w:rPr>
                <w:rFonts w:hint="eastAsia"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66E83008">
            <w:pPr>
              <w:snapToGrid w:val="0"/>
              <w:spacing w:after="295" w:line="120" w:lineRule="exact"/>
              <w:outlineLvl w:val="0"/>
              <w:rPr>
                <w:rFonts w:hint="eastAsia"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480803CF">
            <w:pPr>
              <w:snapToGrid w:val="0"/>
              <w:spacing w:after="295" w:line="120" w:lineRule="exact"/>
              <w:outlineLvl w:val="0"/>
              <w:rPr>
                <w:rFonts w:hint="eastAsia"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4AE508A9">
            <w:pPr>
              <w:snapToGrid w:val="0"/>
              <w:spacing w:after="295" w:line="120" w:lineRule="exact"/>
              <w:outlineLvl w:val="0"/>
              <w:rPr>
                <w:rFonts w:hint="eastAsia"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22D38F6C">
            <w:pPr>
              <w:snapToGrid w:val="0"/>
              <w:spacing w:after="295" w:line="120" w:lineRule="exact"/>
              <w:outlineLvl w:val="0"/>
              <w:rPr>
                <w:rFonts w:hint="eastAsia" w:ascii="宋体" w:hAnsi="宋体" w:eastAsia="宋体" w:cs="Times New Roman"/>
                <w:color w:val="auto"/>
                <w:sz w:val="24"/>
              </w:rPr>
            </w:pPr>
          </w:p>
        </w:tc>
      </w:tr>
      <w:tr w14:paraId="1C18FD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1F4F33E0">
            <w:pPr>
              <w:rPr>
                <w:rFonts w:hint="eastAsia"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0CB51244">
            <w:pPr>
              <w:snapToGrid w:val="0"/>
              <w:spacing w:after="295" w:line="120" w:lineRule="exact"/>
              <w:outlineLvl w:val="0"/>
              <w:rPr>
                <w:rFonts w:hint="eastAsia"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72CBD656">
            <w:pPr>
              <w:snapToGrid w:val="0"/>
              <w:spacing w:after="295" w:line="120" w:lineRule="exact"/>
              <w:outlineLvl w:val="0"/>
              <w:rPr>
                <w:rFonts w:hint="eastAsia"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0BBB4173">
            <w:pPr>
              <w:snapToGrid w:val="0"/>
              <w:spacing w:after="295" w:line="120" w:lineRule="exact"/>
              <w:outlineLvl w:val="0"/>
              <w:rPr>
                <w:rFonts w:hint="eastAsia"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7963E325">
            <w:pPr>
              <w:snapToGrid w:val="0"/>
              <w:spacing w:after="295" w:line="120" w:lineRule="exact"/>
              <w:outlineLvl w:val="0"/>
              <w:rPr>
                <w:rFonts w:hint="eastAsia" w:ascii="宋体" w:hAnsi="宋体" w:eastAsia="宋体" w:cs="Times New Roman"/>
                <w:color w:val="auto"/>
                <w:sz w:val="24"/>
              </w:rPr>
            </w:pPr>
          </w:p>
        </w:tc>
      </w:tr>
      <w:tr w14:paraId="1C905F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27B5821D">
            <w:pPr>
              <w:rPr>
                <w:rFonts w:hint="eastAsia"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423430D3">
            <w:pPr>
              <w:snapToGrid w:val="0"/>
              <w:spacing w:after="295" w:line="120" w:lineRule="exact"/>
              <w:outlineLvl w:val="0"/>
              <w:rPr>
                <w:rFonts w:hint="eastAsia"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511291DC">
            <w:pPr>
              <w:snapToGrid w:val="0"/>
              <w:spacing w:after="295" w:line="120" w:lineRule="exact"/>
              <w:outlineLvl w:val="0"/>
              <w:rPr>
                <w:rFonts w:hint="eastAsia"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28D29E8C">
            <w:pPr>
              <w:snapToGrid w:val="0"/>
              <w:spacing w:after="295" w:line="120" w:lineRule="exact"/>
              <w:outlineLvl w:val="0"/>
              <w:rPr>
                <w:rFonts w:hint="eastAsia"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2A00C9D9">
            <w:pPr>
              <w:snapToGrid w:val="0"/>
              <w:spacing w:after="295" w:line="120" w:lineRule="exact"/>
              <w:outlineLvl w:val="0"/>
              <w:rPr>
                <w:rFonts w:hint="eastAsia" w:ascii="宋体" w:hAnsi="宋体" w:eastAsia="宋体" w:cs="Times New Roman"/>
                <w:color w:val="auto"/>
                <w:sz w:val="24"/>
              </w:rPr>
            </w:pPr>
          </w:p>
        </w:tc>
      </w:tr>
      <w:tr w14:paraId="481353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668" w:type="dxa"/>
            <w:tcBorders>
              <w:top w:val="single" w:color="auto" w:sz="4" w:space="0"/>
              <w:left w:val="single" w:color="auto" w:sz="4" w:space="0"/>
              <w:bottom w:val="single" w:color="auto" w:sz="4" w:space="0"/>
              <w:right w:val="single" w:color="auto" w:sz="4" w:space="0"/>
            </w:tcBorders>
            <w:vAlign w:val="center"/>
          </w:tcPr>
          <w:p w14:paraId="232E56A1">
            <w:pPr>
              <w:rPr>
                <w:rFonts w:hint="eastAsia" w:ascii="宋体" w:hAnsi="宋体" w:eastAsia="宋体" w:cs="Times New Roman"/>
                <w:color w:val="auto"/>
              </w:rPr>
            </w:pPr>
          </w:p>
        </w:tc>
        <w:tc>
          <w:tcPr>
            <w:tcW w:w="2280" w:type="dxa"/>
            <w:tcBorders>
              <w:top w:val="single" w:color="auto" w:sz="4" w:space="0"/>
              <w:left w:val="single" w:color="auto" w:sz="4" w:space="0"/>
              <w:bottom w:val="single" w:color="auto" w:sz="4" w:space="0"/>
              <w:right w:val="single" w:color="auto" w:sz="4" w:space="0"/>
            </w:tcBorders>
            <w:vAlign w:val="center"/>
          </w:tcPr>
          <w:p w14:paraId="4A0EF701">
            <w:pPr>
              <w:snapToGrid w:val="0"/>
              <w:spacing w:after="295" w:line="120" w:lineRule="exact"/>
              <w:outlineLvl w:val="0"/>
              <w:rPr>
                <w:rFonts w:hint="eastAsia" w:ascii="宋体" w:hAnsi="宋体" w:eastAsia="宋体" w:cs="Times New Roman"/>
                <w:color w:val="auto"/>
                <w:sz w:val="24"/>
              </w:rPr>
            </w:pPr>
          </w:p>
        </w:tc>
        <w:tc>
          <w:tcPr>
            <w:tcW w:w="2040" w:type="dxa"/>
            <w:tcBorders>
              <w:top w:val="single" w:color="auto" w:sz="4" w:space="0"/>
              <w:left w:val="single" w:color="auto" w:sz="4" w:space="0"/>
              <w:bottom w:val="single" w:color="auto" w:sz="4" w:space="0"/>
              <w:right w:val="single" w:color="auto" w:sz="4" w:space="0"/>
            </w:tcBorders>
          </w:tcPr>
          <w:p w14:paraId="408DCAA0">
            <w:pPr>
              <w:snapToGrid w:val="0"/>
              <w:spacing w:after="295" w:line="120" w:lineRule="exact"/>
              <w:outlineLvl w:val="0"/>
              <w:rPr>
                <w:rFonts w:hint="eastAsia" w:ascii="宋体" w:hAnsi="宋体" w:eastAsia="宋体" w:cs="Times New Roman"/>
                <w:color w:val="auto"/>
                <w:sz w:val="24"/>
              </w:rPr>
            </w:pPr>
          </w:p>
        </w:tc>
        <w:tc>
          <w:tcPr>
            <w:tcW w:w="1604" w:type="dxa"/>
            <w:tcBorders>
              <w:top w:val="single" w:color="auto" w:sz="4" w:space="0"/>
              <w:left w:val="single" w:color="auto" w:sz="4" w:space="0"/>
              <w:bottom w:val="single" w:color="auto" w:sz="4" w:space="0"/>
              <w:right w:val="single" w:color="auto" w:sz="4" w:space="0"/>
            </w:tcBorders>
          </w:tcPr>
          <w:p w14:paraId="065BC75C">
            <w:pPr>
              <w:snapToGrid w:val="0"/>
              <w:spacing w:after="295" w:line="120" w:lineRule="exact"/>
              <w:outlineLvl w:val="0"/>
              <w:rPr>
                <w:rFonts w:hint="eastAsia" w:ascii="宋体" w:hAnsi="宋体" w:eastAsia="宋体" w:cs="Times New Roman"/>
                <w:color w:val="auto"/>
                <w:sz w:val="24"/>
              </w:rPr>
            </w:pPr>
          </w:p>
        </w:tc>
        <w:tc>
          <w:tcPr>
            <w:tcW w:w="1423" w:type="dxa"/>
            <w:tcBorders>
              <w:top w:val="single" w:color="auto" w:sz="4" w:space="0"/>
              <w:left w:val="single" w:color="auto" w:sz="4" w:space="0"/>
              <w:bottom w:val="single" w:color="auto" w:sz="4" w:space="0"/>
              <w:right w:val="single" w:color="auto" w:sz="4" w:space="0"/>
            </w:tcBorders>
          </w:tcPr>
          <w:p w14:paraId="4641464E">
            <w:pPr>
              <w:snapToGrid w:val="0"/>
              <w:spacing w:after="295" w:line="120" w:lineRule="exact"/>
              <w:outlineLvl w:val="0"/>
              <w:rPr>
                <w:rFonts w:hint="eastAsia" w:ascii="宋体" w:hAnsi="宋体" w:eastAsia="宋体" w:cs="Times New Roman"/>
                <w:color w:val="auto"/>
                <w:sz w:val="24"/>
              </w:rPr>
            </w:pPr>
          </w:p>
        </w:tc>
      </w:tr>
    </w:tbl>
    <w:p w14:paraId="54D1EF4D">
      <w:pPr>
        <w:snapToGrid w:val="0"/>
        <w:spacing w:before="50" w:after="50"/>
        <w:rPr>
          <w:rFonts w:hint="eastAsia" w:ascii="宋体" w:hAnsi="宋体" w:eastAsia="宋体" w:cs="Times New Roman"/>
          <w:b/>
          <w:color w:val="auto"/>
        </w:rPr>
      </w:pPr>
    </w:p>
    <w:p w14:paraId="15A578A8">
      <w:pPr>
        <w:snapToGrid w:val="0"/>
        <w:spacing w:before="50" w:after="50"/>
        <w:rPr>
          <w:rFonts w:hint="eastAsia" w:ascii="宋体" w:hAnsi="宋体" w:eastAsia="宋体" w:cs="Times New Roman"/>
          <w:b/>
          <w:color w:val="auto"/>
          <w:spacing w:val="20"/>
          <w:sz w:val="24"/>
        </w:rPr>
      </w:pPr>
    </w:p>
    <w:p w14:paraId="46D3F3CA">
      <w:pPr>
        <w:snapToGrid w:val="0"/>
        <w:spacing w:before="50" w:after="50"/>
        <w:rPr>
          <w:rFonts w:hint="eastAsia" w:ascii="宋体" w:hAnsi="宋体" w:eastAsia="宋体" w:cs="Times New Roman"/>
          <w:color w:val="auto"/>
        </w:rPr>
      </w:pPr>
    </w:p>
    <w:p w14:paraId="54193509">
      <w:pPr>
        <w:snapToGrid w:val="0"/>
        <w:ind w:left="2" w:right="-817" w:rightChars="-389"/>
        <w:rPr>
          <w:rFonts w:hint="eastAsia" w:ascii="宋体" w:hAnsi="宋体" w:eastAsia="宋体" w:cs="Times New Roman"/>
          <w:color w:val="auto"/>
        </w:rPr>
      </w:pPr>
    </w:p>
    <w:p w14:paraId="72B701AE">
      <w:pPr>
        <w:snapToGrid w:val="0"/>
        <w:spacing w:before="50" w:after="50"/>
        <w:rPr>
          <w:rFonts w:hint="eastAsia" w:ascii="宋体" w:hAnsi="宋体" w:eastAsia="宋体" w:cs="Times New Roman"/>
          <w:color w:val="auto"/>
          <w:sz w:val="24"/>
        </w:rPr>
      </w:pPr>
      <w:r>
        <w:rPr>
          <w:rFonts w:hint="eastAsia" w:ascii="宋体" w:hAnsi="宋体" w:eastAsia="宋体" w:cs="Times New Roman"/>
          <w:color w:val="auto"/>
        </w:rPr>
        <w:t>投标人名称（盖章）：</w:t>
      </w:r>
      <w:r>
        <w:rPr>
          <w:rFonts w:hint="eastAsia" w:ascii="宋体" w:hAnsi="宋体" w:eastAsia="宋体" w:cs="Times New Roman"/>
          <w:color w:val="auto"/>
          <w:spacing w:val="20"/>
        </w:rPr>
        <w:t>日期：</w:t>
      </w:r>
    </w:p>
    <w:p w14:paraId="57BB5A01">
      <w:pPr>
        <w:snapToGrid w:val="0"/>
        <w:spacing w:before="50" w:after="156" w:afterLines="50"/>
        <w:jc w:val="left"/>
        <w:rPr>
          <w:rFonts w:hint="eastAsia" w:ascii="宋体" w:hAnsi="宋体" w:eastAsia="宋体" w:cs="Times New Roman"/>
          <w:b/>
          <w:color w:val="auto"/>
          <w:sz w:val="24"/>
        </w:rPr>
      </w:pPr>
    </w:p>
    <w:p w14:paraId="503F7DBF">
      <w:pPr>
        <w:snapToGrid w:val="0"/>
        <w:spacing w:before="50" w:after="156" w:afterLines="50"/>
        <w:jc w:val="left"/>
        <w:rPr>
          <w:rFonts w:hint="eastAsia" w:ascii="宋体" w:hAnsi="宋体" w:eastAsia="宋体" w:cs="Times New Roman"/>
          <w:b/>
          <w:color w:val="auto"/>
          <w:sz w:val="24"/>
        </w:rPr>
      </w:pPr>
    </w:p>
    <w:p w14:paraId="068EAF6E">
      <w:pPr>
        <w:rPr>
          <w:rFonts w:ascii="Calibri" w:hAnsi="Calibri" w:eastAsia="宋体" w:cs="Times New Roman"/>
          <w:color w:val="auto"/>
        </w:rPr>
      </w:pPr>
    </w:p>
    <w:p w14:paraId="3EB8A6FD">
      <w:pPr>
        <w:rPr>
          <w:rFonts w:ascii="Calibri" w:hAnsi="Calibri" w:eastAsia="宋体" w:cs="Times New Roman"/>
          <w:color w:val="auto"/>
        </w:rPr>
      </w:pPr>
    </w:p>
    <w:p w14:paraId="1D423339">
      <w:pPr>
        <w:rPr>
          <w:rFonts w:hint="eastAsia"/>
          <w:color w:val="auto"/>
        </w:rPr>
      </w:pPr>
    </w:p>
    <w:p w14:paraId="49D7DA00">
      <w:pPr>
        <w:rPr>
          <w:rFonts w:hint="eastAsia"/>
          <w:color w:val="auto"/>
        </w:rPr>
      </w:pPr>
    </w:p>
    <w:p w14:paraId="76802685">
      <w:pPr>
        <w:pStyle w:val="27"/>
        <w:ind w:firstLine="210"/>
        <w:rPr>
          <w:color w:val="auto"/>
        </w:rPr>
      </w:pPr>
    </w:p>
    <w:p w14:paraId="29815C97">
      <w:pPr>
        <w:rPr>
          <w:rFonts w:hint="eastAsia"/>
          <w:color w:val="auto"/>
        </w:rPr>
      </w:pPr>
    </w:p>
    <w:p w14:paraId="36375C78">
      <w:pPr>
        <w:rPr>
          <w:rFonts w:hint="eastAsia"/>
          <w:color w:val="auto"/>
        </w:rPr>
      </w:pPr>
    </w:p>
    <w:p w14:paraId="2B0C9F5F">
      <w:pPr>
        <w:pStyle w:val="27"/>
        <w:ind w:firstLine="210"/>
        <w:rPr>
          <w:color w:val="auto"/>
          <w:szCs w:val="21"/>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华文中宋">
    <w:panose1 w:val="02010600040101010101"/>
    <w:charset w:val="86"/>
    <w:family w:val="auto"/>
    <w:pitch w:val="default"/>
    <w:sig w:usb0="00000287" w:usb1="080F0000" w:usb2="00000000" w:usb3="00000000" w:csb0="0004009F" w:csb1="DFD70000"/>
  </w:font>
  <w:font w:name="2OcuAe">
    <w:altName w:val="MingLiU-ExtB"/>
    <w:panose1 w:val="00000000000000000000"/>
    <w:charset w:val="88"/>
    <w:family w:val="auto"/>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等线 Light">
    <w:panose1 w:val="02010600030101010101"/>
    <w:charset w:val="86"/>
    <w:family w:val="auto"/>
    <w:pitch w:val="default"/>
    <w:sig w:usb0="A00002BF" w:usb1="38CF7CFA" w:usb2="00000016" w:usb3="00000000" w:csb0="0004000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使用中文字体)">
    <w:altName w:val="微软雅黑"/>
    <w:panose1 w:val="00000000000000000000"/>
    <w:charset w:val="00"/>
    <w:family w:val="roman"/>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Marlett">
    <w:panose1 w:val="00000000000000000000"/>
    <w:charset w:val="02"/>
    <w:family w:val="auto"/>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lgerian">
    <w:panose1 w:val="04020705040A02060702"/>
    <w:charset w:val="00"/>
    <w:family w:val="decorative"/>
    <w:pitch w:val="default"/>
    <w:sig w:usb0="00000003" w:usb1="00000000" w:usb2="00000000" w:usb3="00000000" w:csb0="20000001" w:csb1="00000000"/>
  </w:font>
  <w:font w:name="Arial Narrow">
    <w:panose1 w:val="020B0606020202030204"/>
    <w:charset w:val="00"/>
    <w:family w:val="swiss"/>
    <w:pitch w:val="default"/>
    <w:sig w:usb0="00000287" w:usb1="00000800" w:usb2="00000000" w:usb3="00000000" w:csb0="2000009F" w:csb1="DFD70000"/>
  </w:font>
  <w:font w:name="方正黑体简体">
    <w:altName w:val="微软雅黑"/>
    <w:panose1 w:val="00000000000000000000"/>
    <w:charset w:val="86"/>
    <w:family w:val="script"/>
    <w:pitch w:val="default"/>
    <w:sig w:usb0="00000000" w:usb1="00000000" w:usb2="00000010" w:usb3="00000000" w:csb0="00040000" w:csb1="00000000"/>
  </w:font>
  <w:font w:name="Chiller">
    <w:panose1 w:val="04020404031007020602"/>
    <w:charset w:val="00"/>
    <w:family w:val="decorative"/>
    <w:pitch w:val="default"/>
    <w:sig w:usb0="00000003" w:usb1="00000000" w:usb2="00000000" w:usb3="00000000" w:csb0="20000001" w:csb1="00000000"/>
  </w:font>
  <w:font w:name="Arial Unicode MS">
    <w:altName w:val="宋体"/>
    <w:panose1 w:val="020B0604020202020204"/>
    <w:charset w:val="86"/>
    <w:family w:val="swiss"/>
    <w:pitch w:val="default"/>
    <w:sig w:usb0="00000000" w:usb1="00000000" w:usb2="0000003F" w:usb3="00000000" w:csb0="603F01FF" w:csb1="FFFF0000"/>
  </w:font>
  <w:font w:name="方正大黑简体">
    <w:altName w:val="黑体"/>
    <w:panose1 w:val="00000000000000000000"/>
    <w:charset w:val="86"/>
    <w:family w:val="script"/>
    <w:pitch w:val="default"/>
    <w:sig w:usb0="00000000" w:usb1="00000000" w:usb2="00000010" w:usb3="00000000" w:csb0="00040000" w:csb1="00000000"/>
  </w:font>
  <w:font w:name="Century Gothic">
    <w:panose1 w:val="020B0502020202020204"/>
    <w:charset w:val="00"/>
    <w:family w:val="swiss"/>
    <w:pitch w:val="default"/>
    <w:sig w:usb0="00000287" w:usb1="00000000" w:usb2="00000000" w:usb3="00000000" w:csb0="2000009F" w:csb1="DFD70000"/>
  </w:font>
  <w:font w:name="???">
    <w:altName w:val="微软雅黑"/>
    <w:panose1 w:val="00000000000000000000"/>
    <w:charset w:val="00"/>
    <w:family w:val="roman"/>
    <w:pitch w:val="default"/>
    <w:sig w:usb0="00000000" w:usb1="00000000" w:usb2="00000000"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Stone Sans">
    <w:altName w:val="宋体"/>
    <w:panose1 w:val="00000000000000000000"/>
    <w:charset w:val="86"/>
    <w:family w:val="auto"/>
    <w:pitch w:val="default"/>
    <w:sig w:usb0="00000000" w:usb1="00000000" w:usb2="00000010" w:usb3="00000000" w:csb0="00040000" w:csb1="00000000"/>
  </w:font>
  <w:font w:name="華康細圓體">
    <w:altName w:val="Microsoft JhengHei"/>
    <w:panose1 w:val="00000000000000000000"/>
    <w:charset w:val="88"/>
    <w:family w:val="auto"/>
    <w:pitch w:val="default"/>
    <w:sig w:usb0="00000000" w:usb1="00000000" w:usb2="00000010" w:usb3="00000000" w:csb0="00100000" w:csb1="00000000"/>
  </w:font>
  <w:font w:name="Microsoft JhengHei">
    <w:panose1 w:val="020B0604030504040204"/>
    <w:charset w:val="88"/>
    <w:family w:val="auto"/>
    <w:pitch w:val="default"/>
    <w:sig w:usb0="000002A7" w:usb1="28CF4400" w:usb2="00000016" w:usb3="00000000" w:csb0="00100009" w:csb1="00000000"/>
  </w:font>
  <w:font w:name="文鼎粗黑">
    <w:altName w:val="黑体"/>
    <w:panose1 w:val="00000000000000000000"/>
    <w:charset w:val="86"/>
    <w:family w:val="auto"/>
    <w:pitch w:val="default"/>
    <w:sig w:usb0="00000000" w:usb1="00000000" w:usb2="00000010" w:usb3="00000000" w:csb0="00040000" w:csb1="00000000"/>
  </w:font>
  <w:font w:name="H Yg 2gj">
    <w:altName w:val="宋体"/>
    <w:panose1 w:val="00000000000000000000"/>
    <w:charset w:val="86"/>
    <w:family w:val="swiss"/>
    <w:pitch w:val="default"/>
    <w:sig w:usb0="00000000" w:usb1="00000000" w:usb2="00000010" w:usb3="00000000" w:csb0="00040000" w:csb1="00000000"/>
  </w:font>
  <w:font w:name="PMingLiU">
    <w:altName w:val="Microsoft JhengHei UI"/>
    <w:panose1 w:val="02010601000101010101"/>
    <w:charset w:val="88"/>
    <w:family w:val="roman"/>
    <w:pitch w:val="default"/>
    <w:sig w:usb0="00000000" w:usb1="00000000" w:usb2="00000016" w:usb3="00000000" w:csb0="00100001" w:csb1="00000000"/>
  </w:font>
  <w:font w:name="Microsoft JhengHei UI">
    <w:panose1 w:val="020B0604030504040204"/>
    <w:charset w:val="88"/>
    <w:family w:val="auto"/>
    <w:pitch w:val="default"/>
    <w:sig w:usb0="000002A7" w:usb1="28CF4400" w:usb2="00000016" w:usb3="00000000" w:csb0="00100009" w:csb1="00000000"/>
  </w:font>
  <w:font w:name="HP Simplified Hans Light">
    <w:altName w:val="宋体"/>
    <w:panose1 w:val="00000000000000000000"/>
    <w:charset w:val="86"/>
    <w:family w:val="swiss"/>
    <w:pitch w:val="default"/>
    <w:sig w:usb0="00000000" w:usb1="00000000" w:usb2="00000010" w:usb3="00000000" w:csb0="00040000" w:csb1="00000000"/>
  </w:font>
  <w:font w:name="華康粗圓體">
    <w:altName w:val="Microsoft JhengHei"/>
    <w:panose1 w:val="00000000000000000000"/>
    <w:charset w:val="88"/>
    <w:family w:val="auto"/>
    <w:pitch w:val="default"/>
    <w:sig w:usb0="00000000" w:usb1="00000000" w:usb2="00000010" w:usb3="00000000" w:csb0="00100000" w:csb1="00000000"/>
  </w:font>
  <w:font w:name="Calibri Light">
    <w:panose1 w:val="020F0302020204030204"/>
    <w:charset w:val="00"/>
    <w:family w:val="swiss"/>
    <w:pitch w:val="default"/>
    <w:sig w:usb0="E4002EFF" w:usb1="C000247B" w:usb2="00000009" w:usb3="00000000" w:csb0="200001FF" w:csb1="00000000"/>
  </w:font>
  <w:font w:name="华文新魏">
    <w:panose1 w:val="02010800040101010101"/>
    <w:charset w:val="86"/>
    <w:family w:val="auto"/>
    <w:pitch w:val="default"/>
    <w:sig w:usb0="00000001" w:usb1="080F0000" w:usb2="00000000" w:usb3="00000000" w:csb0="00040000" w:csb1="00000000"/>
  </w:font>
  <w:font w:name="创艺简标宋">
    <w:altName w:val="方正舒体"/>
    <w:panose1 w:val="00000000000000000000"/>
    <w:charset w:val="86"/>
    <w:family w:val="auto"/>
    <w:pitch w:val="default"/>
    <w:sig w:usb0="00000000" w:usb1="00000000" w:usb2="00000010" w:usb3="00000000" w:csb0="00040000" w:csb1="00000000"/>
  </w:font>
  <w:font w:name="方正舒体">
    <w:panose1 w:val="02010601030101010101"/>
    <w:charset w:val="86"/>
    <w:family w:val="auto"/>
    <w:pitch w:val="default"/>
    <w:sig w:usb0="00000003" w:usb1="080E0000" w:usb2="00000000" w:usb3="00000000" w:csb0="00040000" w:csb1="00000000"/>
  </w:font>
  <w:font w:name="汉仪细圆B5">
    <w:altName w:val="Microsoft JhengHei UI"/>
    <w:panose1 w:val="02010600000101010101"/>
    <w:charset w:val="88"/>
    <w:family w:val="auto"/>
    <w:pitch w:val="default"/>
    <w:sig w:usb0="00000000" w:usb1="00000000" w:usb2="00000002" w:usb3="00000000" w:csb0="001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
    </w:sdtPr>
    <w:sdtContent>
      <w:p w14:paraId="644AAEB2">
        <w:pPr>
          <w:pStyle w:val="44"/>
          <w:ind w:left="5250"/>
          <w:jc w:val="right"/>
          <w:rPr>
            <w:rFonts w:hint="eastAsia"/>
          </w:rPr>
        </w:pPr>
        <w:r>
          <w:fldChar w:fldCharType="begin"/>
        </w:r>
        <w:r>
          <w:instrText xml:space="preserve">PAGE   \* MERGEFORMAT</w:instrText>
        </w:r>
        <w:r>
          <w:fldChar w:fldCharType="separate"/>
        </w:r>
        <w:r>
          <w:rPr>
            <w:lang w:val="zh-CN"/>
          </w:rPr>
          <w:t>2</w:t>
        </w:r>
        <w:r>
          <w:fldChar w:fldCharType="end"/>
        </w:r>
      </w:p>
    </w:sdtContent>
  </w:sdt>
  <w:p w14:paraId="31F31464">
    <w:pPr>
      <w:pStyle w:val="44"/>
      <w:rPr>
        <w:rFonts w:hint="eastAsia"/>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F4BD9F">
    <w:pPr>
      <w:pStyle w:val="45"/>
      <w:pBdr>
        <w:bottom w:val="none" w:color="auto" w:sz="0" w:space="0"/>
      </w:pBd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2"/>
    <w:multiLevelType w:val="singleLevel"/>
    <w:tmpl w:val="00000002"/>
    <w:lvl w:ilvl="0" w:tentative="0">
      <w:start w:val="1"/>
      <w:numFmt w:val="bullet"/>
      <w:pStyle w:val="129"/>
      <w:lvlText w:val=""/>
      <w:lvlJc w:val="left"/>
      <w:pPr>
        <w:tabs>
          <w:tab w:val="left" w:pos="360"/>
        </w:tabs>
        <w:ind w:left="360" w:hanging="360"/>
      </w:pPr>
      <w:rPr>
        <w:rFonts w:hint="default" w:ascii="Wingdings" w:hAnsi="Wingdings"/>
      </w:rPr>
    </w:lvl>
  </w:abstractNum>
  <w:abstractNum w:abstractNumId="1">
    <w:nsid w:val="00000009"/>
    <w:multiLevelType w:val="multilevel"/>
    <w:tmpl w:val="00000009"/>
    <w:lvl w:ilvl="0" w:tentative="0">
      <w:start w:val="1"/>
      <w:numFmt w:val="japaneseCounting"/>
      <w:pStyle w:val="404"/>
      <w:suff w:val="nothing"/>
      <w:lvlText w:val="%1、"/>
      <w:lvlJc w:val="left"/>
      <w:pPr>
        <w:ind w:left="0" w:firstLine="0"/>
      </w:pPr>
      <w:rPr>
        <w:rFonts w:hint="eastAsia" w:ascii="宋体" w:eastAsia="宋体"/>
        <w:b/>
        <w:i w:val="0"/>
        <w:sz w:val="28"/>
      </w:rPr>
    </w:lvl>
    <w:lvl w:ilvl="1" w:tentative="0">
      <w:start w:val="1"/>
      <w:numFmt w:val="japaneseCounting"/>
      <w:pStyle w:val="402"/>
      <w:suff w:val="nothing"/>
      <w:lvlText w:val="（%2）"/>
      <w:lvlJc w:val="left"/>
      <w:pPr>
        <w:ind w:left="0" w:firstLine="0"/>
      </w:pPr>
      <w:rPr>
        <w:rFonts w:hint="eastAsia" w:ascii="宋体" w:eastAsia="宋体"/>
        <w:b/>
        <w:i w:val="0"/>
        <w:sz w:val="24"/>
      </w:rPr>
    </w:lvl>
    <w:lvl w:ilvl="2" w:tentative="0">
      <w:start w:val="1"/>
      <w:numFmt w:val="decimal"/>
      <w:pStyle w:val="400"/>
      <w:lvlText w:val="%1.%2.%3"/>
      <w:lvlJc w:val="left"/>
      <w:pPr>
        <w:ind w:left="0" w:firstLine="0"/>
      </w:pPr>
      <w:rPr>
        <w:rFonts w:hint="eastAsia" w:ascii="宋体" w:eastAsia="宋体"/>
        <w:b/>
        <w:i w:val="0"/>
        <w:sz w:val="24"/>
      </w:rPr>
    </w:lvl>
    <w:lvl w:ilvl="3" w:tentative="0">
      <w:start w:val="1"/>
      <w:numFmt w:val="decimal"/>
      <w:pStyle w:val="399"/>
      <w:lvlText w:val="%1.%2.%3.%4"/>
      <w:lvlJc w:val="left"/>
      <w:pPr>
        <w:ind w:left="0" w:firstLine="0"/>
      </w:pPr>
      <w:rPr>
        <w:rFonts w:hint="eastAsia" w:ascii="宋体" w:eastAsia="宋体"/>
        <w:b/>
        <w:i w:val="0"/>
        <w:sz w:val="21"/>
      </w:rPr>
    </w:lvl>
    <w:lvl w:ilvl="4" w:tentative="0">
      <w:start w:val="1"/>
      <w:numFmt w:val="lowerLetter"/>
      <w:pStyle w:val="708"/>
      <w:lvlText w:val="%5)"/>
      <w:lvlJc w:val="left"/>
      <w:pPr>
        <w:ind w:left="2520" w:hanging="420"/>
      </w:pPr>
      <w:rPr>
        <w:rFonts w:hint="eastAsia"/>
      </w:rPr>
    </w:lvl>
    <w:lvl w:ilvl="5" w:tentative="0">
      <w:start w:val="1"/>
      <w:numFmt w:val="lowerRoman"/>
      <w:lvlText w:val="%6."/>
      <w:lvlJc w:val="right"/>
      <w:pPr>
        <w:ind w:left="2940" w:hanging="420"/>
      </w:pPr>
      <w:rPr>
        <w:rFonts w:hint="eastAsia"/>
      </w:rPr>
    </w:lvl>
    <w:lvl w:ilvl="6" w:tentative="0">
      <w:start w:val="1"/>
      <w:numFmt w:val="decimal"/>
      <w:lvlText w:val="%7."/>
      <w:lvlJc w:val="left"/>
      <w:pPr>
        <w:ind w:left="3360" w:hanging="420"/>
      </w:pPr>
      <w:rPr>
        <w:rFonts w:hint="eastAsia"/>
      </w:rPr>
    </w:lvl>
    <w:lvl w:ilvl="7" w:tentative="0">
      <w:start w:val="1"/>
      <w:numFmt w:val="lowerLetter"/>
      <w:lvlText w:val="%8)"/>
      <w:lvlJc w:val="left"/>
      <w:pPr>
        <w:ind w:left="3780" w:hanging="420"/>
      </w:pPr>
      <w:rPr>
        <w:rFonts w:hint="eastAsia"/>
      </w:rPr>
    </w:lvl>
    <w:lvl w:ilvl="8" w:tentative="0">
      <w:start w:val="1"/>
      <w:numFmt w:val="lowerRoman"/>
      <w:lvlText w:val="%9."/>
      <w:lvlJc w:val="right"/>
      <w:pPr>
        <w:ind w:left="4200" w:hanging="420"/>
      </w:pPr>
      <w:rPr>
        <w:rFonts w:hint="eastAsia"/>
      </w:rPr>
    </w:lvl>
  </w:abstractNum>
  <w:abstractNum w:abstractNumId="2">
    <w:nsid w:val="0000000A"/>
    <w:multiLevelType w:val="multilevel"/>
    <w:tmpl w:val="0000000A"/>
    <w:lvl w:ilvl="0" w:tentative="0">
      <w:start w:val="1"/>
      <w:numFmt w:val="decimal"/>
      <w:pStyle w:val="376"/>
      <w:suff w:val="space"/>
      <w:lvlText w:val="%1."/>
      <w:lvlJc w:val="left"/>
      <w:pPr>
        <w:ind w:left="0" w:firstLine="403"/>
      </w:pPr>
      <w:rPr>
        <w:rFonts w:hint="eastAsia" w:ascii="宋体" w:eastAsia="宋体"/>
        <w:b/>
        <w:i w:val="0"/>
        <w:caps w:val="0"/>
        <w:snapToGrid/>
        <w:vanish w:val="0"/>
        <w:color w:val="000000"/>
        <w:spacing w:val="0"/>
        <w:w w:val="100"/>
        <w:kern w:val="0"/>
        <w:position w:val="0"/>
        <w:sz w:val="21"/>
        <w:u w:val="none"/>
        <w:vertAlign w:val="baseline"/>
      </w:rPr>
    </w:lvl>
    <w:lvl w:ilvl="1" w:tentative="0">
      <w:start w:val="1"/>
      <w:numFmt w:val="decimal"/>
      <w:suff w:val="space"/>
      <w:lvlText w:val="%1.%2"/>
      <w:lvlJc w:val="left"/>
      <w:pPr>
        <w:ind w:left="0" w:firstLine="403"/>
      </w:pPr>
      <w:rPr>
        <w:rFonts w:hint="eastAsia" w:ascii="宋体" w:eastAsia="宋体"/>
        <w:b w:val="0"/>
        <w:i w:val="0"/>
        <w:caps w:val="0"/>
        <w:vanish w:val="0"/>
        <w:color w:val="000000"/>
        <w:sz w:val="21"/>
        <w:vertAlign w:val="baseline"/>
      </w:rPr>
    </w:lvl>
    <w:lvl w:ilvl="2" w:tentative="0">
      <w:start w:val="1"/>
      <w:numFmt w:val="decimal"/>
      <w:pStyle w:val="662"/>
      <w:suff w:val="nothing"/>
      <w:lvlText w:val="%1.%2.%3"/>
      <w:lvlJc w:val="left"/>
      <w:pPr>
        <w:ind w:left="0" w:firstLine="400"/>
      </w:pPr>
      <w:rPr>
        <w:rFonts w:hint="eastAsia" w:ascii="宋体" w:eastAsia="宋体"/>
        <w:b w:val="0"/>
        <w:i w:val="0"/>
        <w:sz w:val="21"/>
      </w:rPr>
    </w:lvl>
    <w:lvl w:ilvl="3" w:tentative="0">
      <w:start w:val="1"/>
      <w:numFmt w:val="decimal"/>
      <w:suff w:val="nothing"/>
      <w:lvlText w:val="%1.%2.%3.%4"/>
      <w:lvlJc w:val="left"/>
      <w:pPr>
        <w:ind w:left="0" w:firstLine="403"/>
      </w:pPr>
      <w:rPr>
        <w:rFonts w:hint="eastAsia"/>
      </w:rPr>
    </w:lvl>
    <w:lvl w:ilvl="4" w:tentative="0">
      <w:start w:val="1"/>
      <w:numFmt w:val="decimal"/>
      <w:suff w:val="nothing"/>
      <w:lvlText w:val="%1.%2.%3.%4.%5"/>
      <w:lvlJc w:val="left"/>
      <w:pPr>
        <w:ind w:left="0" w:firstLine="403"/>
      </w:pPr>
      <w:rPr>
        <w:rFonts w:hint="eastAsia"/>
      </w:rPr>
    </w:lvl>
    <w:lvl w:ilvl="5" w:tentative="0">
      <w:start w:val="1"/>
      <w:numFmt w:val="decimal"/>
      <w:suff w:val="nothing"/>
      <w:lvlText w:val="%1.%2.%3.%4.%5.%6"/>
      <w:lvlJc w:val="left"/>
      <w:pPr>
        <w:ind w:left="0" w:firstLine="403"/>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3">
    <w:nsid w:val="0AADC6A9"/>
    <w:multiLevelType w:val="singleLevel"/>
    <w:tmpl w:val="0AADC6A9"/>
    <w:lvl w:ilvl="0" w:tentative="0">
      <w:start w:val="2"/>
      <w:numFmt w:val="chineseCounting"/>
      <w:suff w:val="space"/>
      <w:lvlText w:val="第%1章"/>
      <w:lvlJc w:val="left"/>
      <w:rPr>
        <w:rFonts w:hint="eastAsia"/>
      </w:rPr>
    </w:lvl>
  </w:abstractNum>
  <w:abstractNum w:abstractNumId="4">
    <w:nsid w:val="0C34DE15"/>
    <w:multiLevelType w:val="singleLevel"/>
    <w:tmpl w:val="0C34DE15"/>
    <w:lvl w:ilvl="0" w:tentative="0">
      <w:start w:val="1"/>
      <w:numFmt w:val="decimal"/>
      <w:lvlText w:val="%1."/>
      <w:lvlJc w:val="left"/>
      <w:pPr>
        <w:tabs>
          <w:tab w:val="left" w:pos="312"/>
        </w:tabs>
      </w:pPr>
    </w:lvl>
  </w:abstractNum>
  <w:abstractNum w:abstractNumId="5">
    <w:nsid w:val="225A8346"/>
    <w:multiLevelType w:val="singleLevel"/>
    <w:tmpl w:val="225A8346"/>
    <w:lvl w:ilvl="0" w:tentative="0">
      <w:start w:val="1"/>
      <w:numFmt w:val="decimal"/>
      <w:lvlText w:val="%1."/>
      <w:lvlJc w:val="left"/>
      <w:pPr>
        <w:tabs>
          <w:tab w:val="left" w:pos="312"/>
        </w:tabs>
      </w:pPr>
    </w:lvl>
  </w:abstractNum>
  <w:abstractNum w:abstractNumId="6">
    <w:nsid w:val="4DD4552D"/>
    <w:multiLevelType w:val="singleLevel"/>
    <w:tmpl w:val="4DD4552D"/>
    <w:lvl w:ilvl="0" w:tentative="0">
      <w:start w:val="1"/>
      <w:numFmt w:val="decimal"/>
      <w:lvlText w:val="%1."/>
      <w:lvlJc w:val="left"/>
      <w:pPr>
        <w:tabs>
          <w:tab w:val="left" w:pos="312"/>
        </w:tabs>
      </w:pPr>
    </w:lvl>
  </w:abstractNum>
  <w:abstractNum w:abstractNumId="7">
    <w:nsid w:val="67231965"/>
    <w:multiLevelType w:val="singleLevel"/>
    <w:tmpl w:val="67231965"/>
    <w:lvl w:ilvl="0" w:tentative="0">
      <w:start w:val="1"/>
      <w:numFmt w:val="decimal"/>
      <w:pStyle w:val="28"/>
      <w:lvlText w:val="%1."/>
      <w:lvlJc w:val="left"/>
      <w:pPr>
        <w:tabs>
          <w:tab w:val="left" w:pos="360"/>
        </w:tabs>
        <w:ind w:left="360" w:hanging="360"/>
      </w:pPr>
      <w:rPr>
        <w:rFonts w:cs="Times New Roman"/>
      </w:rPr>
    </w:lvl>
  </w:abstractNum>
  <w:abstractNum w:abstractNumId="8">
    <w:nsid w:val="67231970"/>
    <w:multiLevelType w:val="multilevel"/>
    <w:tmpl w:val="67231970"/>
    <w:lvl w:ilvl="0" w:tentative="0">
      <w:start w:val="1"/>
      <w:numFmt w:val="decimalEnclosedCircle"/>
      <w:pStyle w:val="145"/>
      <w:lvlText w:val="%1"/>
      <w:lvlJc w:val="left"/>
      <w:pPr>
        <w:tabs>
          <w:tab w:val="left" w:pos="840"/>
        </w:tabs>
        <w:ind w:left="840" w:hanging="360"/>
      </w:pPr>
      <w:rPr>
        <w:rFonts w:hint="eastAsia" w:ascii="宋体" w:hAnsi="宋体" w:eastAsia="Times New Roman" w:cs="Times New Roman"/>
      </w:rPr>
    </w:lvl>
    <w:lvl w:ilvl="1" w:tentative="0">
      <w:start w:val="1"/>
      <w:numFmt w:val="lowerLetter"/>
      <w:lvlText w:val="%2)"/>
      <w:lvlJc w:val="left"/>
      <w:pPr>
        <w:tabs>
          <w:tab w:val="left" w:pos="1320"/>
        </w:tabs>
        <w:ind w:left="1320" w:hanging="420"/>
      </w:pPr>
      <w:rPr>
        <w:rFonts w:cs="Times New Roman"/>
      </w:rPr>
    </w:lvl>
    <w:lvl w:ilvl="2" w:tentative="0">
      <w:start w:val="1"/>
      <w:numFmt w:val="lowerRoman"/>
      <w:lvlText w:val="%3."/>
      <w:lvlJc w:val="right"/>
      <w:pPr>
        <w:tabs>
          <w:tab w:val="left" w:pos="1740"/>
        </w:tabs>
        <w:ind w:left="1740" w:hanging="420"/>
      </w:pPr>
      <w:rPr>
        <w:rFonts w:cs="Times New Roman"/>
      </w:rPr>
    </w:lvl>
    <w:lvl w:ilvl="3" w:tentative="0">
      <w:start w:val="1"/>
      <w:numFmt w:val="decimal"/>
      <w:lvlText w:val="%4."/>
      <w:lvlJc w:val="left"/>
      <w:pPr>
        <w:tabs>
          <w:tab w:val="left" w:pos="2160"/>
        </w:tabs>
        <w:ind w:left="2160" w:hanging="420"/>
      </w:pPr>
      <w:rPr>
        <w:rFonts w:cs="Times New Roman"/>
      </w:rPr>
    </w:lvl>
    <w:lvl w:ilvl="4" w:tentative="0">
      <w:start w:val="1"/>
      <w:numFmt w:val="lowerLetter"/>
      <w:lvlText w:val="%5)"/>
      <w:lvlJc w:val="left"/>
      <w:pPr>
        <w:tabs>
          <w:tab w:val="left" w:pos="2580"/>
        </w:tabs>
        <w:ind w:left="2580" w:hanging="420"/>
      </w:pPr>
      <w:rPr>
        <w:rFonts w:cs="Times New Roman"/>
      </w:rPr>
    </w:lvl>
    <w:lvl w:ilvl="5" w:tentative="0">
      <w:start w:val="1"/>
      <w:numFmt w:val="lowerRoman"/>
      <w:lvlText w:val="%6."/>
      <w:lvlJc w:val="right"/>
      <w:pPr>
        <w:tabs>
          <w:tab w:val="left" w:pos="3000"/>
        </w:tabs>
        <w:ind w:left="3000" w:hanging="420"/>
      </w:pPr>
      <w:rPr>
        <w:rFonts w:cs="Times New Roman"/>
      </w:rPr>
    </w:lvl>
    <w:lvl w:ilvl="6" w:tentative="0">
      <w:start w:val="1"/>
      <w:numFmt w:val="decimal"/>
      <w:lvlText w:val="%7."/>
      <w:lvlJc w:val="left"/>
      <w:pPr>
        <w:tabs>
          <w:tab w:val="left" w:pos="3420"/>
        </w:tabs>
        <w:ind w:left="3420" w:hanging="420"/>
      </w:pPr>
      <w:rPr>
        <w:rFonts w:cs="Times New Roman"/>
      </w:rPr>
    </w:lvl>
    <w:lvl w:ilvl="7" w:tentative="0">
      <w:start w:val="1"/>
      <w:numFmt w:val="lowerLetter"/>
      <w:lvlText w:val="%8)"/>
      <w:lvlJc w:val="left"/>
      <w:pPr>
        <w:tabs>
          <w:tab w:val="left" w:pos="3840"/>
        </w:tabs>
        <w:ind w:left="3840" w:hanging="420"/>
      </w:pPr>
      <w:rPr>
        <w:rFonts w:cs="Times New Roman"/>
      </w:rPr>
    </w:lvl>
    <w:lvl w:ilvl="8" w:tentative="0">
      <w:start w:val="1"/>
      <w:numFmt w:val="lowerRoman"/>
      <w:lvlText w:val="%9."/>
      <w:lvlJc w:val="right"/>
      <w:pPr>
        <w:tabs>
          <w:tab w:val="left" w:pos="4260"/>
        </w:tabs>
        <w:ind w:left="4260" w:hanging="420"/>
      </w:pPr>
      <w:rPr>
        <w:rFonts w:cs="Times New Roman"/>
      </w:rPr>
    </w:lvl>
  </w:abstractNum>
  <w:abstractNum w:abstractNumId="9">
    <w:nsid w:val="6723197C"/>
    <w:multiLevelType w:val="multilevel"/>
    <w:tmpl w:val="6723197C"/>
    <w:lvl w:ilvl="0" w:tentative="0">
      <w:start w:val="1"/>
      <w:numFmt w:val="japaneseCounting"/>
      <w:lvlText w:val="第%1章"/>
      <w:lvlJc w:val="left"/>
      <w:pPr>
        <w:tabs>
          <w:tab w:val="left" w:pos="1440"/>
        </w:tabs>
        <w:ind w:left="1440" w:hanging="1275"/>
      </w:pPr>
      <w:rPr>
        <w:rFonts w:cs="Times New Roman"/>
      </w:rPr>
    </w:lvl>
    <w:lvl w:ilvl="1" w:tentative="0">
      <w:start w:val="1"/>
      <w:numFmt w:val="japaneseCounting"/>
      <w:lvlText w:val="%2、"/>
      <w:lvlJc w:val="left"/>
      <w:pPr>
        <w:tabs>
          <w:tab w:val="left" w:pos="1305"/>
        </w:tabs>
        <w:ind w:left="1305" w:hanging="720"/>
      </w:pPr>
      <w:rPr>
        <w:rFonts w:cs="Times New Roman"/>
      </w:rPr>
    </w:lvl>
    <w:lvl w:ilvl="2" w:tentative="0">
      <w:start w:val="1"/>
      <w:numFmt w:val="lowerRoman"/>
      <w:lvlText w:val="%3."/>
      <w:lvlJc w:val="right"/>
      <w:pPr>
        <w:tabs>
          <w:tab w:val="left" w:pos="1425"/>
        </w:tabs>
        <w:ind w:left="1425" w:hanging="420"/>
      </w:pPr>
      <w:rPr>
        <w:rFonts w:cs="Times New Roman"/>
      </w:rPr>
    </w:lvl>
    <w:lvl w:ilvl="3" w:tentative="0">
      <w:start w:val="1"/>
      <w:numFmt w:val="decimal"/>
      <w:lvlText w:val="%4."/>
      <w:lvlJc w:val="left"/>
      <w:pPr>
        <w:tabs>
          <w:tab w:val="left" w:pos="1845"/>
        </w:tabs>
        <w:ind w:left="1845" w:hanging="420"/>
      </w:pPr>
      <w:rPr>
        <w:rFonts w:cs="Times New Roman"/>
      </w:rPr>
    </w:lvl>
    <w:lvl w:ilvl="4" w:tentative="0">
      <w:start w:val="1"/>
      <w:numFmt w:val="lowerLetter"/>
      <w:lvlText w:val="%5)"/>
      <w:lvlJc w:val="left"/>
      <w:pPr>
        <w:tabs>
          <w:tab w:val="left" w:pos="2265"/>
        </w:tabs>
        <w:ind w:left="2265" w:hanging="420"/>
      </w:pPr>
      <w:rPr>
        <w:rFonts w:cs="Times New Roman"/>
      </w:rPr>
    </w:lvl>
    <w:lvl w:ilvl="5" w:tentative="0">
      <w:start w:val="1"/>
      <w:numFmt w:val="lowerRoman"/>
      <w:lvlText w:val="%6."/>
      <w:lvlJc w:val="right"/>
      <w:pPr>
        <w:tabs>
          <w:tab w:val="left" w:pos="2685"/>
        </w:tabs>
        <w:ind w:left="2685" w:hanging="420"/>
      </w:pPr>
      <w:rPr>
        <w:rFonts w:cs="Times New Roman"/>
      </w:rPr>
    </w:lvl>
    <w:lvl w:ilvl="6" w:tentative="0">
      <w:start w:val="1"/>
      <w:numFmt w:val="decimal"/>
      <w:lvlText w:val="%7."/>
      <w:lvlJc w:val="left"/>
      <w:pPr>
        <w:tabs>
          <w:tab w:val="left" w:pos="3105"/>
        </w:tabs>
        <w:ind w:left="3105" w:hanging="420"/>
      </w:pPr>
      <w:rPr>
        <w:rFonts w:cs="Times New Roman"/>
      </w:rPr>
    </w:lvl>
    <w:lvl w:ilvl="7" w:tentative="0">
      <w:start w:val="1"/>
      <w:numFmt w:val="lowerLetter"/>
      <w:lvlText w:val="%8)"/>
      <w:lvlJc w:val="left"/>
      <w:pPr>
        <w:tabs>
          <w:tab w:val="left" w:pos="3525"/>
        </w:tabs>
        <w:ind w:left="3525" w:hanging="420"/>
      </w:pPr>
      <w:rPr>
        <w:rFonts w:cs="Times New Roman"/>
      </w:rPr>
    </w:lvl>
    <w:lvl w:ilvl="8" w:tentative="0">
      <w:start w:val="1"/>
      <w:numFmt w:val="lowerRoman"/>
      <w:lvlText w:val="%9."/>
      <w:lvlJc w:val="right"/>
      <w:pPr>
        <w:tabs>
          <w:tab w:val="left" w:pos="3945"/>
        </w:tabs>
        <w:ind w:left="3945" w:hanging="420"/>
      </w:pPr>
      <w:rPr>
        <w:rFonts w:cs="Times New Roman"/>
      </w:rPr>
    </w:lvl>
  </w:abstractNum>
  <w:abstractNum w:abstractNumId="10">
    <w:nsid w:val="67231987"/>
    <w:multiLevelType w:val="multilevel"/>
    <w:tmpl w:val="67231987"/>
    <w:lvl w:ilvl="0" w:tentative="0">
      <w:start w:val="2"/>
      <w:numFmt w:val="japaneseCounting"/>
      <w:lvlText w:val="（%1）"/>
      <w:lvlJc w:val="left"/>
      <w:pPr>
        <w:ind w:left="1140" w:hanging="7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num w:numId="1">
    <w:abstractNumId w:val="7"/>
  </w:num>
  <w:num w:numId="2">
    <w:abstractNumId w:val="0"/>
  </w:num>
  <w:num w:numId="3">
    <w:abstractNumId w:val="8"/>
  </w:num>
  <w:num w:numId="4">
    <w:abstractNumId w:val="2"/>
  </w:num>
  <w:num w:numId="5">
    <w:abstractNumId w:val="1"/>
  </w:num>
  <w:num w:numId="6">
    <w:abstractNumId w:val="9"/>
    <w:lvlOverride w:ilvl="0">
      <w:startOverride w:val="1"/>
    </w:lvlOverride>
  </w:num>
  <w:num w:numId="7">
    <w:abstractNumId w:val="9"/>
    <w:lvlOverride w:ilvl="1">
      <w:startOverride w:val="1"/>
    </w:lvlOverride>
  </w:num>
  <w:num w:numId="8">
    <w:abstractNumId w:val="3"/>
  </w:num>
  <w:num w:numId="9">
    <w:abstractNumId w:val="10"/>
    <w:lvlOverride w:ilvl="0">
      <w:startOverride w:val="2"/>
    </w:lvlOverride>
  </w:num>
  <w:num w:numId="10">
    <w:abstractNumId w:val="5"/>
  </w:num>
  <w:num w:numId="11">
    <w:abstractNumId w:val="6"/>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YThmYzFkNTBjYWFmNmEwMWVhYThlYjIzMDA3MDUzZTIifQ=="/>
  </w:docVars>
  <w:rsids>
    <w:rsidRoot w:val="00276BF3"/>
    <w:rsid w:val="00001909"/>
    <w:rsid w:val="00032364"/>
    <w:rsid w:val="00036C78"/>
    <w:rsid w:val="000529E9"/>
    <w:rsid w:val="00062C66"/>
    <w:rsid w:val="00070AE1"/>
    <w:rsid w:val="00072BCE"/>
    <w:rsid w:val="00074FF2"/>
    <w:rsid w:val="00080F3A"/>
    <w:rsid w:val="00081417"/>
    <w:rsid w:val="000932ED"/>
    <w:rsid w:val="000A43B6"/>
    <w:rsid w:val="000C2AB4"/>
    <w:rsid w:val="000D0D45"/>
    <w:rsid w:val="000D13DC"/>
    <w:rsid w:val="000D3992"/>
    <w:rsid w:val="000D6C5E"/>
    <w:rsid w:val="000F6008"/>
    <w:rsid w:val="001049C5"/>
    <w:rsid w:val="001118FC"/>
    <w:rsid w:val="001256CF"/>
    <w:rsid w:val="00136EF5"/>
    <w:rsid w:val="001611C0"/>
    <w:rsid w:val="00164141"/>
    <w:rsid w:val="001924FD"/>
    <w:rsid w:val="001B758D"/>
    <w:rsid w:val="001C02F1"/>
    <w:rsid w:val="001C1C1B"/>
    <w:rsid w:val="001E0541"/>
    <w:rsid w:val="001E347B"/>
    <w:rsid w:val="001E5A25"/>
    <w:rsid w:val="001F13CF"/>
    <w:rsid w:val="001F1D2C"/>
    <w:rsid w:val="00202AE3"/>
    <w:rsid w:val="00213004"/>
    <w:rsid w:val="002139E0"/>
    <w:rsid w:val="00231C23"/>
    <w:rsid w:val="00252080"/>
    <w:rsid w:val="002663D6"/>
    <w:rsid w:val="0027055C"/>
    <w:rsid w:val="00271F21"/>
    <w:rsid w:val="00276BF3"/>
    <w:rsid w:val="00282749"/>
    <w:rsid w:val="00283C8D"/>
    <w:rsid w:val="00285F07"/>
    <w:rsid w:val="00295BED"/>
    <w:rsid w:val="002A1EF7"/>
    <w:rsid w:val="002B1B72"/>
    <w:rsid w:val="002B3838"/>
    <w:rsid w:val="002C5E9E"/>
    <w:rsid w:val="002C6E39"/>
    <w:rsid w:val="002F4CED"/>
    <w:rsid w:val="003031F5"/>
    <w:rsid w:val="00307828"/>
    <w:rsid w:val="003126CE"/>
    <w:rsid w:val="003158F6"/>
    <w:rsid w:val="003165C7"/>
    <w:rsid w:val="0032126C"/>
    <w:rsid w:val="00327006"/>
    <w:rsid w:val="00331809"/>
    <w:rsid w:val="003364EC"/>
    <w:rsid w:val="00337041"/>
    <w:rsid w:val="0033784E"/>
    <w:rsid w:val="00345217"/>
    <w:rsid w:val="003616B1"/>
    <w:rsid w:val="00361E3A"/>
    <w:rsid w:val="003765FB"/>
    <w:rsid w:val="00386D4F"/>
    <w:rsid w:val="003A2212"/>
    <w:rsid w:val="003B5516"/>
    <w:rsid w:val="003C0562"/>
    <w:rsid w:val="003D6656"/>
    <w:rsid w:val="004002AD"/>
    <w:rsid w:val="004064C3"/>
    <w:rsid w:val="00413687"/>
    <w:rsid w:val="004152E2"/>
    <w:rsid w:val="00424B7D"/>
    <w:rsid w:val="00430EF1"/>
    <w:rsid w:val="00431B8D"/>
    <w:rsid w:val="00443F8A"/>
    <w:rsid w:val="004478F1"/>
    <w:rsid w:val="0045589F"/>
    <w:rsid w:val="00462E61"/>
    <w:rsid w:val="00475182"/>
    <w:rsid w:val="00481FEA"/>
    <w:rsid w:val="004876FB"/>
    <w:rsid w:val="0049430C"/>
    <w:rsid w:val="004958C9"/>
    <w:rsid w:val="004C12A7"/>
    <w:rsid w:val="004C43DD"/>
    <w:rsid w:val="004D43E6"/>
    <w:rsid w:val="004E11DB"/>
    <w:rsid w:val="004E7BBE"/>
    <w:rsid w:val="004F0332"/>
    <w:rsid w:val="00506D06"/>
    <w:rsid w:val="00563594"/>
    <w:rsid w:val="00566397"/>
    <w:rsid w:val="00567B86"/>
    <w:rsid w:val="005763CC"/>
    <w:rsid w:val="00595BFB"/>
    <w:rsid w:val="005973DE"/>
    <w:rsid w:val="005A2D64"/>
    <w:rsid w:val="005A3595"/>
    <w:rsid w:val="005D0B62"/>
    <w:rsid w:val="00601584"/>
    <w:rsid w:val="00601A95"/>
    <w:rsid w:val="00603EDC"/>
    <w:rsid w:val="006137EA"/>
    <w:rsid w:val="00614177"/>
    <w:rsid w:val="006166A7"/>
    <w:rsid w:val="00625C32"/>
    <w:rsid w:val="00631D21"/>
    <w:rsid w:val="00633123"/>
    <w:rsid w:val="00635592"/>
    <w:rsid w:val="00644379"/>
    <w:rsid w:val="00653F94"/>
    <w:rsid w:val="006600D5"/>
    <w:rsid w:val="00672702"/>
    <w:rsid w:val="006811B5"/>
    <w:rsid w:val="00681D10"/>
    <w:rsid w:val="0068484F"/>
    <w:rsid w:val="00687974"/>
    <w:rsid w:val="00697ECF"/>
    <w:rsid w:val="006A1774"/>
    <w:rsid w:val="006A1A9B"/>
    <w:rsid w:val="006B121B"/>
    <w:rsid w:val="006B126A"/>
    <w:rsid w:val="006B42AB"/>
    <w:rsid w:val="006C347E"/>
    <w:rsid w:val="006C4648"/>
    <w:rsid w:val="006C4EA3"/>
    <w:rsid w:val="006C61AF"/>
    <w:rsid w:val="006D3277"/>
    <w:rsid w:val="006D66D9"/>
    <w:rsid w:val="006E607B"/>
    <w:rsid w:val="006E6703"/>
    <w:rsid w:val="00701385"/>
    <w:rsid w:val="0070256B"/>
    <w:rsid w:val="00702AD0"/>
    <w:rsid w:val="0071386E"/>
    <w:rsid w:val="00716BC3"/>
    <w:rsid w:val="00731B9E"/>
    <w:rsid w:val="00733E90"/>
    <w:rsid w:val="00741ABF"/>
    <w:rsid w:val="00747C1E"/>
    <w:rsid w:val="007530D5"/>
    <w:rsid w:val="007552C9"/>
    <w:rsid w:val="0078219F"/>
    <w:rsid w:val="00786562"/>
    <w:rsid w:val="00792BD8"/>
    <w:rsid w:val="007D4A46"/>
    <w:rsid w:val="007E121B"/>
    <w:rsid w:val="007E3A5A"/>
    <w:rsid w:val="007E6A58"/>
    <w:rsid w:val="007F0C69"/>
    <w:rsid w:val="007F144B"/>
    <w:rsid w:val="00804D7C"/>
    <w:rsid w:val="00805857"/>
    <w:rsid w:val="00811004"/>
    <w:rsid w:val="00812823"/>
    <w:rsid w:val="00812E74"/>
    <w:rsid w:val="0084208B"/>
    <w:rsid w:val="00861344"/>
    <w:rsid w:val="00865670"/>
    <w:rsid w:val="008703AE"/>
    <w:rsid w:val="008711BB"/>
    <w:rsid w:val="008809D0"/>
    <w:rsid w:val="008837B8"/>
    <w:rsid w:val="008A69E6"/>
    <w:rsid w:val="008B0394"/>
    <w:rsid w:val="008B3A5F"/>
    <w:rsid w:val="008C00F0"/>
    <w:rsid w:val="008C45F1"/>
    <w:rsid w:val="008C4BF6"/>
    <w:rsid w:val="008D1D00"/>
    <w:rsid w:val="00901E15"/>
    <w:rsid w:val="00906370"/>
    <w:rsid w:val="00944CE9"/>
    <w:rsid w:val="0095402D"/>
    <w:rsid w:val="009546C0"/>
    <w:rsid w:val="00954BC0"/>
    <w:rsid w:val="009614D5"/>
    <w:rsid w:val="00962B06"/>
    <w:rsid w:val="0096550A"/>
    <w:rsid w:val="009A0329"/>
    <w:rsid w:val="009A4E2E"/>
    <w:rsid w:val="009B75A4"/>
    <w:rsid w:val="009B7F29"/>
    <w:rsid w:val="009C0F94"/>
    <w:rsid w:val="009C7E5F"/>
    <w:rsid w:val="009D3A4F"/>
    <w:rsid w:val="009F0B92"/>
    <w:rsid w:val="009F5C56"/>
    <w:rsid w:val="00A00A21"/>
    <w:rsid w:val="00A06BF5"/>
    <w:rsid w:val="00A2421E"/>
    <w:rsid w:val="00A3295D"/>
    <w:rsid w:val="00A501E4"/>
    <w:rsid w:val="00A546BF"/>
    <w:rsid w:val="00A65269"/>
    <w:rsid w:val="00A67D80"/>
    <w:rsid w:val="00A71309"/>
    <w:rsid w:val="00A8194D"/>
    <w:rsid w:val="00A86676"/>
    <w:rsid w:val="00A87727"/>
    <w:rsid w:val="00A920C1"/>
    <w:rsid w:val="00AA0F81"/>
    <w:rsid w:val="00AB116F"/>
    <w:rsid w:val="00AB5127"/>
    <w:rsid w:val="00AD39C8"/>
    <w:rsid w:val="00AD4BCF"/>
    <w:rsid w:val="00AF087D"/>
    <w:rsid w:val="00AF6AD1"/>
    <w:rsid w:val="00AF7C4A"/>
    <w:rsid w:val="00B2287F"/>
    <w:rsid w:val="00B27627"/>
    <w:rsid w:val="00B30641"/>
    <w:rsid w:val="00B46719"/>
    <w:rsid w:val="00B56AD7"/>
    <w:rsid w:val="00B61DA0"/>
    <w:rsid w:val="00B63609"/>
    <w:rsid w:val="00B64070"/>
    <w:rsid w:val="00B654B5"/>
    <w:rsid w:val="00B86CE6"/>
    <w:rsid w:val="00B92BE4"/>
    <w:rsid w:val="00BB5AA3"/>
    <w:rsid w:val="00BC1791"/>
    <w:rsid w:val="00BC1B8D"/>
    <w:rsid w:val="00BC7906"/>
    <w:rsid w:val="00BD0847"/>
    <w:rsid w:val="00BD620F"/>
    <w:rsid w:val="00BD6F4E"/>
    <w:rsid w:val="00BD757C"/>
    <w:rsid w:val="00BE3625"/>
    <w:rsid w:val="00BE46DE"/>
    <w:rsid w:val="00C173DF"/>
    <w:rsid w:val="00C21FA1"/>
    <w:rsid w:val="00C4349A"/>
    <w:rsid w:val="00C436DC"/>
    <w:rsid w:val="00C43B4B"/>
    <w:rsid w:val="00C44963"/>
    <w:rsid w:val="00C46335"/>
    <w:rsid w:val="00C464D3"/>
    <w:rsid w:val="00C551D4"/>
    <w:rsid w:val="00C57DC5"/>
    <w:rsid w:val="00C65E41"/>
    <w:rsid w:val="00C77AE5"/>
    <w:rsid w:val="00C9238B"/>
    <w:rsid w:val="00CA0C60"/>
    <w:rsid w:val="00CA1E96"/>
    <w:rsid w:val="00CA2086"/>
    <w:rsid w:val="00CA2862"/>
    <w:rsid w:val="00CB4A67"/>
    <w:rsid w:val="00CB4C78"/>
    <w:rsid w:val="00CC61CE"/>
    <w:rsid w:val="00CD3DC6"/>
    <w:rsid w:val="00CD6DFC"/>
    <w:rsid w:val="00CD706D"/>
    <w:rsid w:val="00CE29B2"/>
    <w:rsid w:val="00CE3734"/>
    <w:rsid w:val="00CF1F25"/>
    <w:rsid w:val="00CF309C"/>
    <w:rsid w:val="00CF333A"/>
    <w:rsid w:val="00D02DD5"/>
    <w:rsid w:val="00D10085"/>
    <w:rsid w:val="00D10233"/>
    <w:rsid w:val="00D11A56"/>
    <w:rsid w:val="00D1414B"/>
    <w:rsid w:val="00D204FC"/>
    <w:rsid w:val="00D26FCE"/>
    <w:rsid w:val="00D32021"/>
    <w:rsid w:val="00D348C5"/>
    <w:rsid w:val="00D47C09"/>
    <w:rsid w:val="00D51998"/>
    <w:rsid w:val="00D54112"/>
    <w:rsid w:val="00D5545A"/>
    <w:rsid w:val="00D600FE"/>
    <w:rsid w:val="00D60AB8"/>
    <w:rsid w:val="00D61335"/>
    <w:rsid w:val="00D7029D"/>
    <w:rsid w:val="00D84EE4"/>
    <w:rsid w:val="00D85B60"/>
    <w:rsid w:val="00D87611"/>
    <w:rsid w:val="00D922A9"/>
    <w:rsid w:val="00DB79D0"/>
    <w:rsid w:val="00DC231E"/>
    <w:rsid w:val="00DD0465"/>
    <w:rsid w:val="00DD092D"/>
    <w:rsid w:val="00DD214F"/>
    <w:rsid w:val="00DE5950"/>
    <w:rsid w:val="00DF445B"/>
    <w:rsid w:val="00E11F7D"/>
    <w:rsid w:val="00E12EE4"/>
    <w:rsid w:val="00E143D9"/>
    <w:rsid w:val="00E233F3"/>
    <w:rsid w:val="00E25A73"/>
    <w:rsid w:val="00E263D2"/>
    <w:rsid w:val="00E31A6A"/>
    <w:rsid w:val="00E32638"/>
    <w:rsid w:val="00E33FFC"/>
    <w:rsid w:val="00E37716"/>
    <w:rsid w:val="00E541E4"/>
    <w:rsid w:val="00E54D24"/>
    <w:rsid w:val="00E6546F"/>
    <w:rsid w:val="00E70344"/>
    <w:rsid w:val="00E71808"/>
    <w:rsid w:val="00E7780B"/>
    <w:rsid w:val="00E77C5D"/>
    <w:rsid w:val="00E851BE"/>
    <w:rsid w:val="00E87A74"/>
    <w:rsid w:val="00E94FD5"/>
    <w:rsid w:val="00EB29EF"/>
    <w:rsid w:val="00EB7776"/>
    <w:rsid w:val="00EC22AC"/>
    <w:rsid w:val="00ED20C5"/>
    <w:rsid w:val="00ED7AAE"/>
    <w:rsid w:val="00EF3B2E"/>
    <w:rsid w:val="00F03D3D"/>
    <w:rsid w:val="00F20265"/>
    <w:rsid w:val="00F21D5A"/>
    <w:rsid w:val="00F41F22"/>
    <w:rsid w:val="00F4303E"/>
    <w:rsid w:val="00F54C1E"/>
    <w:rsid w:val="00F5504C"/>
    <w:rsid w:val="00F67ECE"/>
    <w:rsid w:val="00F73275"/>
    <w:rsid w:val="00F9522A"/>
    <w:rsid w:val="00FA5506"/>
    <w:rsid w:val="00FB4A01"/>
    <w:rsid w:val="00FC3563"/>
    <w:rsid w:val="00FD338B"/>
    <w:rsid w:val="00FD5384"/>
    <w:rsid w:val="00FE1781"/>
    <w:rsid w:val="00FE6E5C"/>
    <w:rsid w:val="00FF5CDD"/>
    <w:rsid w:val="011E0236"/>
    <w:rsid w:val="01310211"/>
    <w:rsid w:val="0159126E"/>
    <w:rsid w:val="01693D70"/>
    <w:rsid w:val="016C71F3"/>
    <w:rsid w:val="01762172"/>
    <w:rsid w:val="0194674A"/>
    <w:rsid w:val="01AE5122"/>
    <w:rsid w:val="01C71CB0"/>
    <w:rsid w:val="01D230FE"/>
    <w:rsid w:val="01EE0B37"/>
    <w:rsid w:val="01F122AD"/>
    <w:rsid w:val="01F62035"/>
    <w:rsid w:val="01FB43DB"/>
    <w:rsid w:val="02076F1C"/>
    <w:rsid w:val="02176B4D"/>
    <w:rsid w:val="021F6ED0"/>
    <w:rsid w:val="022F73A2"/>
    <w:rsid w:val="026C46FD"/>
    <w:rsid w:val="027F1605"/>
    <w:rsid w:val="029A6482"/>
    <w:rsid w:val="02B017EB"/>
    <w:rsid w:val="02C552B4"/>
    <w:rsid w:val="02C866AB"/>
    <w:rsid w:val="02CE6D9D"/>
    <w:rsid w:val="030D0562"/>
    <w:rsid w:val="03122905"/>
    <w:rsid w:val="0314794B"/>
    <w:rsid w:val="03404FEF"/>
    <w:rsid w:val="03602F97"/>
    <w:rsid w:val="037B371D"/>
    <w:rsid w:val="03B62950"/>
    <w:rsid w:val="03F4380B"/>
    <w:rsid w:val="040251CE"/>
    <w:rsid w:val="04090D29"/>
    <w:rsid w:val="040C25C7"/>
    <w:rsid w:val="0414147C"/>
    <w:rsid w:val="042B2A2D"/>
    <w:rsid w:val="04475814"/>
    <w:rsid w:val="04525DA3"/>
    <w:rsid w:val="04784101"/>
    <w:rsid w:val="04A86F85"/>
    <w:rsid w:val="04AF38FD"/>
    <w:rsid w:val="04BC5CE3"/>
    <w:rsid w:val="04CB41E8"/>
    <w:rsid w:val="04CE1F73"/>
    <w:rsid w:val="04D338F3"/>
    <w:rsid w:val="04F217BD"/>
    <w:rsid w:val="05002B6F"/>
    <w:rsid w:val="052E181F"/>
    <w:rsid w:val="053E0EA6"/>
    <w:rsid w:val="053E392E"/>
    <w:rsid w:val="05481552"/>
    <w:rsid w:val="054D194C"/>
    <w:rsid w:val="055D5D03"/>
    <w:rsid w:val="05826CF8"/>
    <w:rsid w:val="05850883"/>
    <w:rsid w:val="058A40EC"/>
    <w:rsid w:val="05921FB2"/>
    <w:rsid w:val="05B00BEE"/>
    <w:rsid w:val="05B14A8E"/>
    <w:rsid w:val="05BE3D95"/>
    <w:rsid w:val="05FC39A4"/>
    <w:rsid w:val="065C5B82"/>
    <w:rsid w:val="065F787C"/>
    <w:rsid w:val="06654F20"/>
    <w:rsid w:val="06774DCA"/>
    <w:rsid w:val="06930D7E"/>
    <w:rsid w:val="069A210C"/>
    <w:rsid w:val="06F8001C"/>
    <w:rsid w:val="06FB3B03"/>
    <w:rsid w:val="070659F4"/>
    <w:rsid w:val="07124399"/>
    <w:rsid w:val="073D0C76"/>
    <w:rsid w:val="077A4BE5"/>
    <w:rsid w:val="07A1410D"/>
    <w:rsid w:val="07A5520D"/>
    <w:rsid w:val="07A64C4C"/>
    <w:rsid w:val="07B46CC9"/>
    <w:rsid w:val="07E06245"/>
    <w:rsid w:val="07E12AFC"/>
    <w:rsid w:val="07F4255A"/>
    <w:rsid w:val="07FA3C26"/>
    <w:rsid w:val="084762C4"/>
    <w:rsid w:val="084A36DA"/>
    <w:rsid w:val="084E78AD"/>
    <w:rsid w:val="08854850"/>
    <w:rsid w:val="088F199B"/>
    <w:rsid w:val="08935065"/>
    <w:rsid w:val="089B216C"/>
    <w:rsid w:val="08AE1E9F"/>
    <w:rsid w:val="08C52E2E"/>
    <w:rsid w:val="08E25FED"/>
    <w:rsid w:val="08E77E2A"/>
    <w:rsid w:val="08F02CB9"/>
    <w:rsid w:val="08FD4BD5"/>
    <w:rsid w:val="092108C3"/>
    <w:rsid w:val="092307E9"/>
    <w:rsid w:val="093305F6"/>
    <w:rsid w:val="093D3223"/>
    <w:rsid w:val="095600DF"/>
    <w:rsid w:val="095813E4"/>
    <w:rsid w:val="096E162E"/>
    <w:rsid w:val="09722ECD"/>
    <w:rsid w:val="097A7FD3"/>
    <w:rsid w:val="09827FC1"/>
    <w:rsid w:val="09AD29BF"/>
    <w:rsid w:val="09BF0765"/>
    <w:rsid w:val="09E249F0"/>
    <w:rsid w:val="09E35B78"/>
    <w:rsid w:val="09ED69F7"/>
    <w:rsid w:val="0A036B3E"/>
    <w:rsid w:val="0A0976D6"/>
    <w:rsid w:val="0A0A5BB3"/>
    <w:rsid w:val="0A4D6DF4"/>
    <w:rsid w:val="0A5B41C5"/>
    <w:rsid w:val="0A8B7B1C"/>
    <w:rsid w:val="0A98523E"/>
    <w:rsid w:val="0AB679E1"/>
    <w:rsid w:val="0AD52A48"/>
    <w:rsid w:val="0AF142C5"/>
    <w:rsid w:val="0B073AE9"/>
    <w:rsid w:val="0B811AED"/>
    <w:rsid w:val="0B837613"/>
    <w:rsid w:val="0B93537C"/>
    <w:rsid w:val="0BA17A99"/>
    <w:rsid w:val="0BA34770"/>
    <w:rsid w:val="0BBE40CE"/>
    <w:rsid w:val="0BC97629"/>
    <w:rsid w:val="0C0A0C3E"/>
    <w:rsid w:val="0C1661EF"/>
    <w:rsid w:val="0C18701D"/>
    <w:rsid w:val="0C236700"/>
    <w:rsid w:val="0C774C9E"/>
    <w:rsid w:val="0C84465B"/>
    <w:rsid w:val="0CA05EF5"/>
    <w:rsid w:val="0CCC48E0"/>
    <w:rsid w:val="0CE638C1"/>
    <w:rsid w:val="0CFD51A3"/>
    <w:rsid w:val="0D026C5D"/>
    <w:rsid w:val="0D1D0DA0"/>
    <w:rsid w:val="0D1E7807"/>
    <w:rsid w:val="0D68534F"/>
    <w:rsid w:val="0D997825"/>
    <w:rsid w:val="0DA72E85"/>
    <w:rsid w:val="0DAB2E51"/>
    <w:rsid w:val="0DBE38E6"/>
    <w:rsid w:val="0DC45CC1"/>
    <w:rsid w:val="0DC611E4"/>
    <w:rsid w:val="0DC679A9"/>
    <w:rsid w:val="0DCF1345"/>
    <w:rsid w:val="0DDC056C"/>
    <w:rsid w:val="0DE545B5"/>
    <w:rsid w:val="0DFA7935"/>
    <w:rsid w:val="0DFF25E8"/>
    <w:rsid w:val="0E286250"/>
    <w:rsid w:val="0E462B7A"/>
    <w:rsid w:val="0E5928AD"/>
    <w:rsid w:val="0E7E7F4C"/>
    <w:rsid w:val="0ED827CF"/>
    <w:rsid w:val="0EDC1828"/>
    <w:rsid w:val="0F072534"/>
    <w:rsid w:val="0F1862C4"/>
    <w:rsid w:val="0F2033CB"/>
    <w:rsid w:val="0F2A401B"/>
    <w:rsid w:val="0F2D7092"/>
    <w:rsid w:val="0F425A11"/>
    <w:rsid w:val="0F4D7377"/>
    <w:rsid w:val="0F6B0F34"/>
    <w:rsid w:val="0F803E6A"/>
    <w:rsid w:val="0F81030D"/>
    <w:rsid w:val="0F8454CF"/>
    <w:rsid w:val="0F855182"/>
    <w:rsid w:val="0FBA10DE"/>
    <w:rsid w:val="0FCD7A2A"/>
    <w:rsid w:val="0FDF4796"/>
    <w:rsid w:val="10124DDC"/>
    <w:rsid w:val="101479CB"/>
    <w:rsid w:val="10294501"/>
    <w:rsid w:val="10987235"/>
    <w:rsid w:val="10A32505"/>
    <w:rsid w:val="10C203FB"/>
    <w:rsid w:val="10EA565C"/>
    <w:rsid w:val="10F83057"/>
    <w:rsid w:val="112B7A32"/>
    <w:rsid w:val="116C0B49"/>
    <w:rsid w:val="1199094B"/>
    <w:rsid w:val="11CE7896"/>
    <w:rsid w:val="12031928"/>
    <w:rsid w:val="120B6C2D"/>
    <w:rsid w:val="12303925"/>
    <w:rsid w:val="123C49C0"/>
    <w:rsid w:val="12642623"/>
    <w:rsid w:val="12654584"/>
    <w:rsid w:val="126B2BAF"/>
    <w:rsid w:val="12876FEE"/>
    <w:rsid w:val="128B1B14"/>
    <w:rsid w:val="12A844DB"/>
    <w:rsid w:val="12AD31C8"/>
    <w:rsid w:val="12CF1390"/>
    <w:rsid w:val="12D44BF8"/>
    <w:rsid w:val="12EF726C"/>
    <w:rsid w:val="13025F11"/>
    <w:rsid w:val="139311B9"/>
    <w:rsid w:val="13BE9BB9"/>
    <w:rsid w:val="13E722EB"/>
    <w:rsid w:val="13F33B15"/>
    <w:rsid w:val="14216F4C"/>
    <w:rsid w:val="14C75E31"/>
    <w:rsid w:val="14CC7B6B"/>
    <w:rsid w:val="14E34A09"/>
    <w:rsid w:val="14FD54CA"/>
    <w:rsid w:val="151B6B0E"/>
    <w:rsid w:val="15451DDD"/>
    <w:rsid w:val="154871D8"/>
    <w:rsid w:val="1555138F"/>
    <w:rsid w:val="1565124C"/>
    <w:rsid w:val="15842235"/>
    <w:rsid w:val="159A2DD3"/>
    <w:rsid w:val="159A3523"/>
    <w:rsid w:val="15A72575"/>
    <w:rsid w:val="15ED3F4E"/>
    <w:rsid w:val="16196B4E"/>
    <w:rsid w:val="162C1B39"/>
    <w:rsid w:val="16654D46"/>
    <w:rsid w:val="168D57EA"/>
    <w:rsid w:val="16B57320"/>
    <w:rsid w:val="16DA4A0E"/>
    <w:rsid w:val="16DF1DC5"/>
    <w:rsid w:val="16EC2F91"/>
    <w:rsid w:val="16F969DB"/>
    <w:rsid w:val="171864BA"/>
    <w:rsid w:val="1787048B"/>
    <w:rsid w:val="17AC6144"/>
    <w:rsid w:val="17AF353E"/>
    <w:rsid w:val="17C46B8A"/>
    <w:rsid w:val="17FDC41B"/>
    <w:rsid w:val="1813218C"/>
    <w:rsid w:val="1830625E"/>
    <w:rsid w:val="18313DE5"/>
    <w:rsid w:val="183A7DBC"/>
    <w:rsid w:val="183D0B4A"/>
    <w:rsid w:val="18561C0B"/>
    <w:rsid w:val="185C36C6"/>
    <w:rsid w:val="188C39CD"/>
    <w:rsid w:val="191D13C0"/>
    <w:rsid w:val="192D1028"/>
    <w:rsid w:val="19472589"/>
    <w:rsid w:val="194C6A11"/>
    <w:rsid w:val="197C0CF2"/>
    <w:rsid w:val="19801636"/>
    <w:rsid w:val="198B3B37"/>
    <w:rsid w:val="19AF3CC9"/>
    <w:rsid w:val="19E07E8B"/>
    <w:rsid w:val="19F4792E"/>
    <w:rsid w:val="1A0C4B7C"/>
    <w:rsid w:val="1A2B194E"/>
    <w:rsid w:val="1A3F504D"/>
    <w:rsid w:val="1A3F6023"/>
    <w:rsid w:val="1A45144E"/>
    <w:rsid w:val="1A49126F"/>
    <w:rsid w:val="1A5F3B72"/>
    <w:rsid w:val="1A646826"/>
    <w:rsid w:val="1A7E1D67"/>
    <w:rsid w:val="1AC437A4"/>
    <w:rsid w:val="1AC87DF6"/>
    <w:rsid w:val="1AD77FD8"/>
    <w:rsid w:val="1AE532AF"/>
    <w:rsid w:val="1AFB72AE"/>
    <w:rsid w:val="1B030C66"/>
    <w:rsid w:val="1B0818E3"/>
    <w:rsid w:val="1B28356A"/>
    <w:rsid w:val="1B81532C"/>
    <w:rsid w:val="1B842515"/>
    <w:rsid w:val="1B9166B3"/>
    <w:rsid w:val="1BA75179"/>
    <w:rsid w:val="1BB06BA6"/>
    <w:rsid w:val="1BB455C7"/>
    <w:rsid w:val="1BB70009"/>
    <w:rsid w:val="1BC534F8"/>
    <w:rsid w:val="1BC81E14"/>
    <w:rsid w:val="1BE85FD5"/>
    <w:rsid w:val="1C1918CE"/>
    <w:rsid w:val="1C3D736A"/>
    <w:rsid w:val="1C4B6E6A"/>
    <w:rsid w:val="1C4F3541"/>
    <w:rsid w:val="1C5A2A18"/>
    <w:rsid w:val="1C5F3784"/>
    <w:rsid w:val="1C7C20CC"/>
    <w:rsid w:val="1C8832E6"/>
    <w:rsid w:val="1C8F3637"/>
    <w:rsid w:val="1C9553F8"/>
    <w:rsid w:val="1CBA23B3"/>
    <w:rsid w:val="1CBE5055"/>
    <w:rsid w:val="1CC16350"/>
    <w:rsid w:val="1CE77425"/>
    <w:rsid w:val="1D0D65B3"/>
    <w:rsid w:val="1D0E6B73"/>
    <w:rsid w:val="1D15F42A"/>
    <w:rsid w:val="1D2E13A9"/>
    <w:rsid w:val="1D3151EA"/>
    <w:rsid w:val="1D3F66C7"/>
    <w:rsid w:val="1D4E2356"/>
    <w:rsid w:val="1D876420"/>
    <w:rsid w:val="1DE57FE3"/>
    <w:rsid w:val="1DFF59CE"/>
    <w:rsid w:val="1E1C5A1F"/>
    <w:rsid w:val="1E403142"/>
    <w:rsid w:val="1E4F2254"/>
    <w:rsid w:val="1E522E75"/>
    <w:rsid w:val="1E5D1F46"/>
    <w:rsid w:val="1EB46063"/>
    <w:rsid w:val="1EC52D7D"/>
    <w:rsid w:val="1EEC32CA"/>
    <w:rsid w:val="1EFB350D"/>
    <w:rsid w:val="1EFF3AD1"/>
    <w:rsid w:val="1F2A36FA"/>
    <w:rsid w:val="1F43738D"/>
    <w:rsid w:val="1F597889"/>
    <w:rsid w:val="1F726FC2"/>
    <w:rsid w:val="1F973235"/>
    <w:rsid w:val="1F9FA9C4"/>
    <w:rsid w:val="1FD652E4"/>
    <w:rsid w:val="1FE246D8"/>
    <w:rsid w:val="1FEC17D3"/>
    <w:rsid w:val="20127775"/>
    <w:rsid w:val="207D4006"/>
    <w:rsid w:val="207F5A82"/>
    <w:rsid w:val="20831A80"/>
    <w:rsid w:val="20995B38"/>
    <w:rsid w:val="21130FE1"/>
    <w:rsid w:val="215A6C10"/>
    <w:rsid w:val="217E6023"/>
    <w:rsid w:val="218E0668"/>
    <w:rsid w:val="21B005DE"/>
    <w:rsid w:val="21D02A2F"/>
    <w:rsid w:val="21DA0CCF"/>
    <w:rsid w:val="21E7182E"/>
    <w:rsid w:val="21F42BC1"/>
    <w:rsid w:val="223D47BB"/>
    <w:rsid w:val="226A2E83"/>
    <w:rsid w:val="22886585"/>
    <w:rsid w:val="22CA1009"/>
    <w:rsid w:val="22CF5549"/>
    <w:rsid w:val="22D34080"/>
    <w:rsid w:val="22DE0D92"/>
    <w:rsid w:val="22E22D4A"/>
    <w:rsid w:val="22F56BF1"/>
    <w:rsid w:val="22F73BE9"/>
    <w:rsid w:val="23337719"/>
    <w:rsid w:val="23362D65"/>
    <w:rsid w:val="234F7600"/>
    <w:rsid w:val="23757D3B"/>
    <w:rsid w:val="23EE4FD4"/>
    <w:rsid w:val="240412CD"/>
    <w:rsid w:val="240B134B"/>
    <w:rsid w:val="242E6947"/>
    <w:rsid w:val="24853FA4"/>
    <w:rsid w:val="24C7636B"/>
    <w:rsid w:val="24FC3081"/>
    <w:rsid w:val="2519649B"/>
    <w:rsid w:val="251D242F"/>
    <w:rsid w:val="25357D1C"/>
    <w:rsid w:val="255928EB"/>
    <w:rsid w:val="2565224A"/>
    <w:rsid w:val="256911F2"/>
    <w:rsid w:val="25BF34E6"/>
    <w:rsid w:val="25CA011E"/>
    <w:rsid w:val="25F96224"/>
    <w:rsid w:val="2609650F"/>
    <w:rsid w:val="26356F09"/>
    <w:rsid w:val="265E685B"/>
    <w:rsid w:val="26C37006"/>
    <w:rsid w:val="26F121F0"/>
    <w:rsid w:val="26F83ECA"/>
    <w:rsid w:val="270D292B"/>
    <w:rsid w:val="27221CB1"/>
    <w:rsid w:val="27332D60"/>
    <w:rsid w:val="273477E1"/>
    <w:rsid w:val="274243CE"/>
    <w:rsid w:val="274E0675"/>
    <w:rsid w:val="27A33318"/>
    <w:rsid w:val="27AA3678"/>
    <w:rsid w:val="27CB43C4"/>
    <w:rsid w:val="27ED000E"/>
    <w:rsid w:val="280C74C5"/>
    <w:rsid w:val="280D0AF9"/>
    <w:rsid w:val="28215D92"/>
    <w:rsid w:val="2885015B"/>
    <w:rsid w:val="288E6299"/>
    <w:rsid w:val="28A03AF9"/>
    <w:rsid w:val="28A6098D"/>
    <w:rsid w:val="28AE5882"/>
    <w:rsid w:val="28AE6D06"/>
    <w:rsid w:val="28B60BD0"/>
    <w:rsid w:val="28D64DCE"/>
    <w:rsid w:val="28F43F3F"/>
    <w:rsid w:val="29084248"/>
    <w:rsid w:val="29614C3E"/>
    <w:rsid w:val="29CD1C30"/>
    <w:rsid w:val="29DD3F3B"/>
    <w:rsid w:val="29DF0E57"/>
    <w:rsid w:val="2A103412"/>
    <w:rsid w:val="2A475AEA"/>
    <w:rsid w:val="2A621291"/>
    <w:rsid w:val="2A72028B"/>
    <w:rsid w:val="2A9C442F"/>
    <w:rsid w:val="2AA44A58"/>
    <w:rsid w:val="2AC77529"/>
    <w:rsid w:val="2AD90BA6"/>
    <w:rsid w:val="2B05199B"/>
    <w:rsid w:val="2B136138"/>
    <w:rsid w:val="2B165956"/>
    <w:rsid w:val="2B1A58CC"/>
    <w:rsid w:val="2B2F386A"/>
    <w:rsid w:val="2B2F79BD"/>
    <w:rsid w:val="2B42499D"/>
    <w:rsid w:val="2B54022C"/>
    <w:rsid w:val="2BA02E46"/>
    <w:rsid w:val="2BAB3D70"/>
    <w:rsid w:val="2BB05DAB"/>
    <w:rsid w:val="2BBF1BD7"/>
    <w:rsid w:val="2BC075E5"/>
    <w:rsid w:val="2BC37160"/>
    <w:rsid w:val="2BD3716A"/>
    <w:rsid w:val="2C2B3683"/>
    <w:rsid w:val="2C344011"/>
    <w:rsid w:val="2C391772"/>
    <w:rsid w:val="2C494102"/>
    <w:rsid w:val="2C723060"/>
    <w:rsid w:val="2C907843"/>
    <w:rsid w:val="2CAC2C30"/>
    <w:rsid w:val="2CB62F03"/>
    <w:rsid w:val="2CCB6C14"/>
    <w:rsid w:val="2CD0422B"/>
    <w:rsid w:val="2CD92D5A"/>
    <w:rsid w:val="2CD930DF"/>
    <w:rsid w:val="2D2626E8"/>
    <w:rsid w:val="2D7431E3"/>
    <w:rsid w:val="2D8079FF"/>
    <w:rsid w:val="2DA51213"/>
    <w:rsid w:val="2DDD6BFF"/>
    <w:rsid w:val="2DE7EB9F"/>
    <w:rsid w:val="2DE955A4"/>
    <w:rsid w:val="2DE97352"/>
    <w:rsid w:val="2DEA7714"/>
    <w:rsid w:val="2DF6F328"/>
    <w:rsid w:val="2E2270BF"/>
    <w:rsid w:val="2E3507E9"/>
    <w:rsid w:val="2E5E0013"/>
    <w:rsid w:val="2E8B4C27"/>
    <w:rsid w:val="2E951288"/>
    <w:rsid w:val="2EC660EE"/>
    <w:rsid w:val="2ED15F5E"/>
    <w:rsid w:val="2ED56B63"/>
    <w:rsid w:val="2EDF2CF6"/>
    <w:rsid w:val="2F110393"/>
    <w:rsid w:val="2F2A5E74"/>
    <w:rsid w:val="2F3B32FA"/>
    <w:rsid w:val="2F662C47"/>
    <w:rsid w:val="2F725125"/>
    <w:rsid w:val="2F833124"/>
    <w:rsid w:val="2F954092"/>
    <w:rsid w:val="2F9C6646"/>
    <w:rsid w:val="2FBD0FF1"/>
    <w:rsid w:val="2FCD4A51"/>
    <w:rsid w:val="2FD83DF3"/>
    <w:rsid w:val="2FD9156D"/>
    <w:rsid w:val="2FF76CD5"/>
    <w:rsid w:val="2FFBF0BC"/>
    <w:rsid w:val="2FFC6775"/>
    <w:rsid w:val="30216B85"/>
    <w:rsid w:val="30823A8E"/>
    <w:rsid w:val="309C68FD"/>
    <w:rsid w:val="30B11C7D"/>
    <w:rsid w:val="30BD4AC6"/>
    <w:rsid w:val="30C158B3"/>
    <w:rsid w:val="30CF7E4F"/>
    <w:rsid w:val="30D51E0F"/>
    <w:rsid w:val="30E674F1"/>
    <w:rsid w:val="30F5600E"/>
    <w:rsid w:val="30F760F8"/>
    <w:rsid w:val="30FF3436"/>
    <w:rsid w:val="31025E73"/>
    <w:rsid w:val="313A6116"/>
    <w:rsid w:val="313C1E8F"/>
    <w:rsid w:val="31464C5A"/>
    <w:rsid w:val="315C42DF"/>
    <w:rsid w:val="317E24A7"/>
    <w:rsid w:val="318744CA"/>
    <w:rsid w:val="31966A92"/>
    <w:rsid w:val="31B71515"/>
    <w:rsid w:val="32195012"/>
    <w:rsid w:val="32285C55"/>
    <w:rsid w:val="322A6968"/>
    <w:rsid w:val="323963CE"/>
    <w:rsid w:val="32594F85"/>
    <w:rsid w:val="326A47D9"/>
    <w:rsid w:val="3297F56D"/>
    <w:rsid w:val="329B2BE5"/>
    <w:rsid w:val="329D324D"/>
    <w:rsid w:val="32B37F2E"/>
    <w:rsid w:val="32C37159"/>
    <w:rsid w:val="32DA5865"/>
    <w:rsid w:val="33184235"/>
    <w:rsid w:val="33300D42"/>
    <w:rsid w:val="3337290D"/>
    <w:rsid w:val="336C0197"/>
    <w:rsid w:val="337A6C9E"/>
    <w:rsid w:val="339616AF"/>
    <w:rsid w:val="33CD13CF"/>
    <w:rsid w:val="33F76C88"/>
    <w:rsid w:val="340B78F6"/>
    <w:rsid w:val="34155E66"/>
    <w:rsid w:val="34373437"/>
    <w:rsid w:val="343C0E65"/>
    <w:rsid w:val="345C0152"/>
    <w:rsid w:val="346534AA"/>
    <w:rsid w:val="346911EC"/>
    <w:rsid w:val="346B5D7D"/>
    <w:rsid w:val="34727975"/>
    <w:rsid w:val="3474193F"/>
    <w:rsid w:val="349124F1"/>
    <w:rsid w:val="3498562E"/>
    <w:rsid w:val="34C06933"/>
    <w:rsid w:val="34C21D26"/>
    <w:rsid w:val="34FA6E73"/>
    <w:rsid w:val="34FB796B"/>
    <w:rsid w:val="35351F36"/>
    <w:rsid w:val="35431A3E"/>
    <w:rsid w:val="354970B8"/>
    <w:rsid w:val="354B444E"/>
    <w:rsid w:val="355317BE"/>
    <w:rsid w:val="35622C71"/>
    <w:rsid w:val="35CC29F6"/>
    <w:rsid w:val="35D35274"/>
    <w:rsid w:val="35D5415D"/>
    <w:rsid w:val="35DE1766"/>
    <w:rsid w:val="35E520EF"/>
    <w:rsid w:val="35E84393"/>
    <w:rsid w:val="36107446"/>
    <w:rsid w:val="361104EB"/>
    <w:rsid w:val="36251011"/>
    <w:rsid w:val="36260A17"/>
    <w:rsid w:val="36321AB2"/>
    <w:rsid w:val="365555C4"/>
    <w:rsid w:val="36AA1648"/>
    <w:rsid w:val="36B137E8"/>
    <w:rsid w:val="36C65375"/>
    <w:rsid w:val="36D1697E"/>
    <w:rsid w:val="36DF5796"/>
    <w:rsid w:val="36FBCFC5"/>
    <w:rsid w:val="37044CAB"/>
    <w:rsid w:val="370B7894"/>
    <w:rsid w:val="372A4537"/>
    <w:rsid w:val="372E04CB"/>
    <w:rsid w:val="372F1B4E"/>
    <w:rsid w:val="374A6DC6"/>
    <w:rsid w:val="37624DE8"/>
    <w:rsid w:val="377D3FE5"/>
    <w:rsid w:val="37865C12"/>
    <w:rsid w:val="378821CC"/>
    <w:rsid w:val="378B3228"/>
    <w:rsid w:val="37946454"/>
    <w:rsid w:val="37B79D2B"/>
    <w:rsid w:val="37D03331"/>
    <w:rsid w:val="37D72911"/>
    <w:rsid w:val="37E666B0"/>
    <w:rsid w:val="37FB617A"/>
    <w:rsid w:val="383D3652"/>
    <w:rsid w:val="384B1DA2"/>
    <w:rsid w:val="384F06F9"/>
    <w:rsid w:val="386A0E52"/>
    <w:rsid w:val="387463B2"/>
    <w:rsid w:val="38765C86"/>
    <w:rsid w:val="38AE740E"/>
    <w:rsid w:val="38B962A4"/>
    <w:rsid w:val="38D806EF"/>
    <w:rsid w:val="38E56968"/>
    <w:rsid w:val="39094D4C"/>
    <w:rsid w:val="390A4E81"/>
    <w:rsid w:val="391060DB"/>
    <w:rsid w:val="393A0F20"/>
    <w:rsid w:val="39822409"/>
    <w:rsid w:val="39BA4298"/>
    <w:rsid w:val="39BA75A7"/>
    <w:rsid w:val="39F63CEA"/>
    <w:rsid w:val="3A031E3F"/>
    <w:rsid w:val="3A184B1B"/>
    <w:rsid w:val="3A3E1F9C"/>
    <w:rsid w:val="3A48156B"/>
    <w:rsid w:val="3A781526"/>
    <w:rsid w:val="3AD97171"/>
    <w:rsid w:val="3ADD00EB"/>
    <w:rsid w:val="3ADD023E"/>
    <w:rsid w:val="3AF9494C"/>
    <w:rsid w:val="3B125436"/>
    <w:rsid w:val="3B35724B"/>
    <w:rsid w:val="3B364AD1"/>
    <w:rsid w:val="3B457B92"/>
    <w:rsid w:val="3B653AFE"/>
    <w:rsid w:val="3BA05780"/>
    <w:rsid w:val="3BD85BD5"/>
    <w:rsid w:val="3BE17869"/>
    <w:rsid w:val="3BEE1FD7"/>
    <w:rsid w:val="3BFA1DF4"/>
    <w:rsid w:val="3C1F6635"/>
    <w:rsid w:val="3C3A6FCB"/>
    <w:rsid w:val="3C577B7C"/>
    <w:rsid w:val="3C7721BF"/>
    <w:rsid w:val="3C784B24"/>
    <w:rsid w:val="3CBC3E83"/>
    <w:rsid w:val="3CC821AD"/>
    <w:rsid w:val="3CCD1DA9"/>
    <w:rsid w:val="3CDE455B"/>
    <w:rsid w:val="3D0D46DF"/>
    <w:rsid w:val="3D147027"/>
    <w:rsid w:val="3D224DE9"/>
    <w:rsid w:val="3D3F4E19"/>
    <w:rsid w:val="3D4F2F4A"/>
    <w:rsid w:val="3D5B4EAA"/>
    <w:rsid w:val="3D7338D9"/>
    <w:rsid w:val="3D8175A7"/>
    <w:rsid w:val="3D8F067A"/>
    <w:rsid w:val="3DA24BB0"/>
    <w:rsid w:val="3DA908AC"/>
    <w:rsid w:val="3DAB794E"/>
    <w:rsid w:val="3DB80AEF"/>
    <w:rsid w:val="3DBA03C3"/>
    <w:rsid w:val="3DCFD675"/>
    <w:rsid w:val="3DD2378C"/>
    <w:rsid w:val="3DDF1F81"/>
    <w:rsid w:val="3E0C4997"/>
    <w:rsid w:val="3E1321C9"/>
    <w:rsid w:val="3E1C6396"/>
    <w:rsid w:val="3E2E70EF"/>
    <w:rsid w:val="3E324F97"/>
    <w:rsid w:val="3E3E1A84"/>
    <w:rsid w:val="3E43485C"/>
    <w:rsid w:val="3E4D234E"/>
    <w:rsid w:val="3E4D7489"/>
    <w:rsid w:val="3E5E7173"/>
    <w:rsid w:val="3E6E58E8"/>
    <w:rsid w:val="3E8135D7"/>
    <w:rsid w:val="3E8648AE"/>
    <w:rsid w:val="3E8E0DB8"/>
    <w:rsid w:val="3E8E51BE"/>
    <w:rsid w:val="3E95498C"/>
    <w:rsid w:val="3EA80B63"/>
    <w:rsid w:val="3EB7D7AE"/>
    <w:rsid w:val="3EBE0F77"/>
    <w:rsid w:val="3EC722BE"/>
    <w:rsid w:val="3ED13522"/>
    <w:rsid w:val="3EF1250A"/>
    <w:rsid w:val="3EF74D15"/>
    <w:rsid w:val="3EFED8A8"/>
    <w:rsid w:val="3F012022"/>
    <w:rsid w:val="3F033FEC"/>
    <w:rsid w:val="3F087854"/>
    <w:rsid w:val="3F0B4C4E"/>
    <w:rsid w:val="3F314E39"/>
    <w:rsid w:val="3F536D21"/>
    <w:rsid w:val="3F5D116F"/>
    <w:rsid w:val="3F6FC61D"/>
    <w:rsid w:val="3F7A3E2D"/>
    <w:rsid w:val="3F88629F"/>
    <w:rsid w:val="3F8D13BE"/>
    <w:rsid w:val="3F98009B"/>
    <w:rsid w:val="3F9E5AC2"/>
    <w:rsid w:val="3FAF04C4"/>
    <w:rsid w:val="3FBE5436"/>
    <w:rsid w:val="3FC21E03"/>
    <w:rsid w:val="3FF3CAEC"/>
    <w:rsid w:val="3FF70FD6"/>
    <w:rsid w:val="3FFB6E9C"/>
    <w:rsid w:val="3FFFF19F"/>
    <w:rsid w:val="403066E3"/>
    <w:rsid w:val="404605CF"/>
    <w:rsid w:val="405C7E57"/>
    <w:rsid w:val="408E08DA"/>
    <w:rsid w:val="409C0254"/>
    <w:rsid w:val="40A1586A"/>
    <w:rsid w:val="40D774DE"/>
    <w:rsid w:val="40E90FBF"/>
    <w:rsid w:val="40F938F8"/>
    <w:rsid w:val="41083B3B"/>
    <w:rsid w:val="410C6521"/>
    <w:rsid w:val="412D35A2"/>
    <w:rsid w:val="41417FB7"/>
    <w:rsid w:val="41676AB4"/>
    <w:rsid w:val="41735459"/>
    <w:rsid w:val="418D5F4F"/>
    <w:rsid w:val="41931657"/>
    <w:rsid w:val="41934623"/>
    <w:rsid w:val="41AF1136"/>
    <w:rsid w:val="41CA1EAB"/>
    <w:rsid w:val="41F244EE"/>
    <w:rsid w:val="41F4274F"/>
    <w:rsid w:val="420339DD"/>
    <w:rsid w:val="420D21C8"/>
    <w:rsid w:val="4246491B"/>
    <w:rsid w:val="425F0874"/>
    <w:rsid w:val="427801DC"/>
    <w:rsid w:val="428B45AA"/>
    <w:rsid w:val="42AB79EA"/>
    <w:rsid w:val="42AD499A"/>
    <w:rsid w:val="42B04734"/>
    <w:rsid w:val="42C43A92"/>
    <w:rsid w:val="42D33CD5"/>
    <w:rsid w:val="42F02403"/>
    <w:rsid w:val="43210EE4"/>
    <w:rsid w:val="433C187A"/>
    <w:rsid w:val="4349650B"/>
    <w:rsid w:val="435C45F2"/>
    <w:rsid w:val="4374370A"/>
    <w:rsid w:val="4395089F"/>
    <w:rsid w:val="43A5256D"/>
    <w:rsid w:val="43A8628C"/>
    <w:rsid w:val="43BE6733"/>
    <w:rsid w:val="43F62371"/>
    <w:rsid w:val="44044A8E"/>
    <w:rsid w:val="4404683C"/>
    <w:rsid w:val="442A42CA"/>
    <w:rsid w:val="443A225E"/>
    <w:rsid w:val="44462C14"/>
    <w:rsid w:val="444E3F5B"/>
    <w:rsid w:val="44C2210F"/>
    <w:rsid w:val="44E53E47"/>
    <w:rsid w:val="44ED72D0"/>
    <w:rsid w:val="44F821EC"/>
    <w:rsid w:val="44FF34A7"/>
    <w:rsid w:val="45011D41"/>
    <w:rsid w:val="450D30D4"/>
    <w:rsid w:val="454702B7"/>
    <w:rsid w:val="455F50A9"/>
    <w:rsid w:val="45770A41"/>
    <w:rsid w:val="45780F3D"/>
    <w:rsid w:val="458C0991"/>
    <w:rsid w:val="45B46040"/>
    <w:rsid w:val="45C344D5"/>
    <w:rsid w:val="45C36283"/>
    <w:rsid w:val="45E9646F"/>
    <w:rsid w:val="45FF375F"/>
    <w:rsid w:val="46054EFF"/>
    <w:rsid w:val="460B79E3"/>
    <w:rsid w:val="46113492"/>
    <w:rsid w:val="461D1E37"/>
    <w:rsid w:val="462A6302"/>
    <w:rsid w:val="463158E2"/>
    <w:rsid w:val="463333B8"/>
    <w:rsid w:val="463A6393"/>
    <w:rsid w:val="46613350"/>
    <w:rsid w:val="46651743"/>
    <w:rsid w:val="466C5D3F"/>
    <w:rsid w:val="46731A57"/>
    <w:rsid w:val="46880A03"/>
    <w:rsid w:val="46971BE9"/>
    <w:rsid w:val="46A03D08"/>
    <w:rsid w:val="46C329DE"/>
    <w:rsid w:val="46F1479A"/>
    <w:rsid w:val="46FD6304"/>
    <w:rsid w:val="4714670E"/>
    <w:rsid w:val="472674C8"/>
    <w:rsid w:val="472F2356"/>
    <w:rsid w:val="473513C9"/>
    <w:rsid w:val="473C009B"/>
    <w:rsid w:val="474E4E09"/>
    <w:rsid w:val="478A5CC8"/>
    <w:rsid w:val="47A8312D"/>
    <w:rsid w:val="47B42327"/>
    <w:rsid w:val="47B607B1"/>
    <w:rsid w:val="47CB0F98"/>
    <w:rsid w:val="47EB2161"/>
    <w:rsid w:val="48033D20"/>
    <w:rsid w:val="482E032B"/>
    <w:rsid w:val="48305E1A"/>
    <w:rsid w:val="48831CF9"/>
    <w:rsid w:val="489F2FD7"/>
    <w:rsid w:val="48A65332"/>
    <w:rsid w:val="48B102D4"/>
    <w:rsid w:val="49232AD6"/>
    <w:rsid w:val="49234E8C"/>
    <w:rsid w:val="493801AD"/>
    <w:rsid w:val="49431BB4"/>
    <w:rsid w:val="49614097"/>
    <w:rsid w:val="49646232"/>
    <w:rsid w:val="497E15BE"/>
    <w:rsid w:val="49896CB2"/>
    <w:rsid w:val="498B1A71"/>
    <w:rsid w:val="49A07007"/>
    <w:rsid w:val="49A21DA1"/>
    <w:rsid w:val="49A5461D"/>
    <w:rsid w:val="49C91C9A"/>
    <w:rsid w:val="49CC4853"/>
    <w:rsid w:val="49D46CB0"/>
    <w:rsid w:val="49DF0C57"/>
    <w:rsid w:val="49EA0282"/>
    <w:rsid w:val="4A08695A"/>
    <w:rsid w:val="4A124A89"/>
    <w:rsid w:val="4A361967"/>
    <w:rsid w:val="4A534079"/>
    <w:rsid w:val="4A6130DB"/>
    <w:rsid w:val="4A62606A"/>
    <w:rsid w:val="4A7926B7"/>
    <w:rsid w:val="4AA01CFD"/>
    <w:rsid w:val="4AA04DE4"/>
    <w:rsid w:val="4AA743C5"/>
    <w:rsid w:val="4AB13F10"/>
    <w:rsid w:val="4AC339FF"/>
    <w:rsid w:val="4AC62A9D"/>
    <w:rsid w:val="4ACE54AE"/>
    <w:rsid w:val="4AD93039"/>
    <w:rsid w:val="4AE051E1"/>
    <w:rsid w:val="4AEC002A"/>
    <w:rsid w:val="4B226DD3"/>
    <w:rsid w:val="4B4A7B6F"/>
    <w:rsid w:val="4B6E1FC8"/>
    <w:rsid w:val="4B895793"/>
    <w:rsid w:val="4BA853BD"/>
    <w:rsid w:val="4BAB1C93"/>
    <w:rsid w:val="4BAB3A41"/>
    <w:rsid w:val="4BAF12B3"/>
    <w:rsid w:val="4BB5041C"/>
    <w:rsid w:val="4BB74194"/>
    <w:rsid w:val="4BD5286C"/>
    <w:rsid w:val="4BDE1A40"/>
    <w:rsid w:val="4BFA71B5"/>
    <w:rsid w:val="4C097FBD"/>
    <w:rsid w:val="4C12586E"/>
    <w:rsid w:val="4C436F62"/>
    <w:rsid w:val="4C7F5B38"/>
    <w:rsid w:val="4C8248BD"/>
    <w:rsid w:val="4C927F2F"/>
    <w:rsid w:val="4CB80446"/>
    <w:rsid w:val="4CBF4695"/>
    <w:rsid w:val="4CD86AB8"/>
    <w:rsid w:val="4CDD27A9"/>
    <w:rsid w:val="4CDE6D29"/>
    <w:rsid w:val="4CFE7C69"/>
    <w:rsid w:val="4D4E01F5"/>
    <w:rsid w:val="4D6E4D26"/>
    <w:rsid w:val="4D7762D0"/>
    <w:rsid w:val="4DCA3B12"/>
    <w:rsid w:val="4DCD556C"/>
    <w:rsid w:val="4DCF7EBB"/>
    <w:rsid w:val="4DDFDB34"/>
    <w:rsid w:val="4DFC667B"/>
    <w:rsid w:val="4DFE42FC"/>
    <w:rsid w:val="4E257040"/>
    <w:rsid w:val="4E726A98"/>
    <w:rsid w:val="4E8A2033"/>
    <w:rsid w:val="4EA7534F"/>
    <w:rsid w:val="4EBA6128"/>
    <w:rsid w:val="4EE21172"/>
    <w:rsid w:val="4EEA6215"/>
    <w:rsid w:val="4EEE4111"/>
    <w:rsid w:val="4EFD498B"/>
    <w:rsid w:val="4F166B6F"/>
    <w:rsid w:val="4F45079D"/>
    <w:rsid w:val="4F451D9C"/>
    <w:rsid w:val="4F493920"/>
    <w:rsid w:val="4F4D4335"/>
    <w:rsid w:val="4F5D4A66"/>
    <w:rsid w:val="4F674123"/>
    <w:rsid w:val="4F905657"/>
    <w:rsid w:val="4FAE00F3"/>
    <w:rsid w:val="4FB271AA"/>
    <w:rsid w:val="4FBF2665"/>
    <w:rsid w:val="4FC7336D"/>
    <w:rsid w:val="4FD25A40"/>
    <w:rsid w:val="4FD944B0"/>
    <w:rsid w:val="4FEED003"/>
    <w:rsid w:val="501068FC"/>
    <w:rsid w:val="50113E8E"/>
    <w:rsid w:val="50197AAF"/>
    <w:rsid w:val="501A0647"/>
    <w:rsid w:val="50231A83"/>
    <w:rsid w:val="504B75A0"/>
    <w:rsid w:val="50552EE4"/>
    <w:rsid w:val="505A56D9"/>
    <w:rsid w:val="508126D0"/>
    <w:rsid w:val="50946075"/>
    <w:rsid w:val="50A53BED"/>
    <w:rsid w:val="50D06F2B"/>
    <w:rsid w:val="50E2175C"/>
    <w:rsid w:val="510F05CE"/>
    <w:rsid w:val="51206DA9"/>
    <w:rsid w:val="51230D63"/>
    <w:rsid w:val="51486532"/>
    <w:rsid w:val="518D60D8"/>
    <w:rsid w:val="518E02DD"/>
    <w:rsid w:val="51962A9D"/>
    <w:rsid w:val="52096D27"/>
    <w:rsid w:val="522401F4"/>
    <w:rsid w:val="523D0C8A"/>
    <w:rsid w:val="52416EAD"/>
    <w:rsid w:val="5248023B"/>
    <w:rsid w:val="52650568"/>
    <w:rsid w:val="5295167A"/>
    <w:rsid w:val="52E33AC0"/>
    <w:rsid w:val="52E71802"/>
    <w:rsid w:val="52E837CD"/>
    <w:rsid w:val="53313A9A"/>
    <w:rsid w:val="533B56AA"/>
    <w:rsid w:val="533E519B"/>
    <w:rsid w:val="535B4456"/>
    <w:rsid w:val="536746F1"/>
    <w:rsid w:val="53751DF0"/>
    <w:rsid w:val="53A45945"/>
    <w:rsid w:val="53CC6EFE"/>
    <w:rsid w:val="53DCDC81"/>
    <w:rsid w:val="54071C8E"/>
    <w:rsid w:val="54321702"/>
    <w:rsid w:val="544762D1"/>
    <w:rsid w:val="545220E4"/>
    <w:rsid w:val="545844D3"/>
    <w:rsid w:val="545B2A65"/>
    <w:rsid w:val="54790B80"/>
    <w:rsid w:val="54796854"/>
    <w:rsid w:val="547F7206"/>
    <w:rsid w:val="548A223D"/>
    <w:rsid w:val="54901A26"/>
    <w:rsid w:val="549A28A4"/>
    <w:rsid w:val="54AB12DF"/>
    <w:rsid w:val="54B51E36"/>
    <w:rsid w:val="54FE48C4"/>
    <w:rsid w:val="55054CC7"/>
    <w:rsid w:val="556C1E5F"/>
    <w:rsid w:val="558F7F2F"/>
    <w:rsid w:val="55A0213D"/>
    <w:rsid w:val="55B13E0D"/>
    <w:rsid w:val="55E2480B"/>
    <w:rsid w:val="55FD30EB"/>
    <w:rsid w:val="56156687"/>
    <w:rsid w:val="56177F93"/>
    <w:rsid w:val="56274E23"/>
    <w:rsid w:val="565E0EBF"/>
    <w:rsid w:val="56680EAC"/>
    <w:rsid w:val="566E223B"/>
    <w:rsid w:val="56E4691C"/>
    <w:rsid w:val="56F3629C"/>
    <w:rsid w:val="570506F4"/>
    <w:rsid w:val="570F696E"/>
    <w:rsid w:val="57250B4B"/>
    <w:rsid w:val="574216FD"/>
    <w:rsid w:val="57464C52"/>
    <w:rsid w:val="57483C27"/>
    <w:rsid w:val="574A1DC1"/>
    <w:rsid w:val="577F481A"/>
    <w:rsid w:val="579F2B50"/>
    <w:rsid w:val="57BECB18"/>
    <w:rsid w:val="57BF35F0"/>
    <w:rsid w:val="57C1507E"/>
    <w:rsid w:val="57DBE81D"/>
    <w:rsid w:val="57EF3FFD"/>
    <w:rsid w:val="57F82957"/>
    <w:rsid w:val="58101263"/>
    <w:rsid w:val="58355EB2"/>
    <w:rsid w:val="583D0117"/>
    <w:rsid w:val="584C035A"/>
    <w:rsid w:val="585E76F1"/>
    <w:rsid w:val="58967865"/>
    <w:rsid w:val="58F72073"/>
    <w:rsid w:val="590B5B1F"/>
    <w:rsid w:val="591539E5"/>
    <w:rsid w:val="59254E33"/>
    <w:rsid w:val="594B3587"/>
    <w:rsid w:val="595F7C29"/>
    <w:rsid w:val="597701F1"/>
    <w:rsid w:val="597C1F02"/>
    <w:rsid w:val="599D34E8"/>
    <w:rsid w:val="59A546C8"/>
    <w:rsid w:val="59AA606D"/>
    <w:rsid w:val="59C271C9"/>
    <w:rsid w:val="59F023FC"/>
    <w:rsid w:val="59F2173A"/>
    <w:rsid w:val="5A1153B7"/>
    <w:rsid w:val="5A1A070F"/>
    <w:rsid w:val="5A240519"/>
    <w:rsid w:val="5A307F33"/>
    <w:rsid w:val="5A3A60B7"/>
    <w:rsid w:val="5A421A14"/>
    <w:rsid w:val="5A5359CF"/>
    <w:rsid w:val="5A5F26D4"/>
    <w:rsid w:val="5A6574B1"/>
    <w:rsid w:val="5A6B3AB0"/>
    <w:rsid w:val="5AA06E1B"/>
    <w:rsid w:val="5AD9338A"/>
    <w:rsid w:val="5AE33153"/>
    <w:rsid w:val="5B184523"/>
    <w:rsid w:val="5B247787"/>
    <w:rsid w:val="5B372BFB"/>
    <w:rsid w:val="5B435774"/>
    <w:rsid w:val="5B5E4889"/>
    <w:rsid w:val="5B7E2B2B"/>
    <w:rsid w:val="5B7F55D4"/>
    <w:rsid w:val="5B8D4F11"/>
    <w:rsid w:val="5BA069F2"/>
    <w:rsid w:val="5BB3DA1A"/>
    <w:rsid w:val="5BBB3BA8"/>
    <w:rsid w:val="5BC52FAA"/>
    <w:rsid w:val="5BCC689E"/>
    <w:rsid w:val="5BCF12C3"/>
    <w:rsid w:val="5BDD7A02"/>
    <w:rsid w:val="5BF44F90"/>
    <w:rsid w:val="5BFA484F"/>
    <w:rsid w:val="5BFF442E"/>
    <w:rsid w:val="5C076A71"/>
    <w:rsid w:val="5C080FA9"/>
    <w:rsid w:val="5C17056B"/>
    <w:rsid w:val="5C352CCC"/>
    <w:rsid w:val="5C5504D2"/>
    <w:rsid w:val="5C8207EE"/>
    <w:rsid w:val="5C821D97"/>
    <w:rsid w:val="5C882ACB"/>
    <w:rsid w:val="5CB5471F"/>
    <w:rsid w:val="5CD252D1"/>
    <w:rsid w:val="5CD34356"/>
    <w:rsid w:val="5CE24DE9"/>
    <w:rsid w:val="5D123C48"/>
    <w:rsid w:val="5D243653"/>
    <w:rsid w:val="5D3C4A0B"/>
    <w:rsid w:val="5D3E4715"/>
    <w:rsid w:val="5D485594"/>
    <w:rsid w:val="5D55380D"/>
    <w:rsid w:val="5D557A09"/>
    <w:rsid w:val="5D9562FF"/>
    <w:rsid w:val="5D964551"/>
    <w:rsid w:val="5D972077"/>
    <w:rsid w:val="5DA36667"/>
    <w:rsid w:val="5DAF453C"/>
    <w:rsid w:val="5DC07E1D"/>
    <w:rsid w:val="5DC623D4"/>
    <w:rsid w:val="5DD60067"/>
    <w:rsid w:val="5DDE928F"/>
    <w:rsid w:val="5DE45C74"/>
    <w:rsid w:val="5DE7DCF0"/>
    <w:rsid w:val="5DF10AEF"/>
    <w:rsid w:val="5DF63BC8"/>
    <w:rsid w:val="5DF66D9E"/>
    <w:rsid w:val="5DF6A660"/>
    <w:rsid w:val="5E111E29"/>
    <w:rsid w:val="5E177445"/>
    <w:rsid w:val="5E2C3950"/>
    <w:rsid w:val="5E2D7601"/>
    <w:rsid w:val="5E3BF01E"/>
    <w:rsid w:val="5E3D05FA"/>
    <w:rsid w:val="5E3D2C1E"/>
    <w:rsid w:val="5E964F94"/>
    <w:rsid w:val="5E980438"/>
    <w:rsid w:val="5EAA5DDA"/>
    <w:rsid w:val="5EAC2CE3"/>
    <w:rsid w:val="5EB86711"/>
    <w:rsid w:val="5EC94A7D"/>
    <w:rsid w:val="5ECE7F4F"/>
    <w:rsid w:val="5EE78E25"/>
    <w:rsid w:val="5EEFBD2C"/>
    <w:rsid w:val="5EEFCF83"/>
    <w:rsid w:val="5EF16819"/>
    <w:rsid w:val="5EFF0CFA"/>
    <w:rsid w:val="5F08021D"/>
    <w:rsid w:val="5F105C3D"/>
    <w:rsid w:val="5F3E6C4E"/>
    <w:rsid w:val="5F5226F9"/>
    <w:rsid w:val="5F6159C1"/>
    <w:rsid w:val="5FA8056B"/>
    <w:rsid w:val="5FC10D9A"/>
    <w:rsid w:val="5FE1750C"/>
    <w:rsid w:val="5FF373C6"/>
    <w:rsid w:val="5FF7A830"/>
    <w:rsid w:val="60025ECE"/>
    <w:rsid w:val="60340051"/>
    <w:rsid w:val="603D6DB4"/>
    <w:rsid w:val="604C539B"/>
    <w:rsid w:val="60530390"/>
    <w:rsid w:val="60687261"/>
    <w:rsid w:val="608947DC"/>
    <w:rsid w:val="608C7D6B"/>
    <w:rsid w:val="60CE0AA2"/>
    <w:rsid w:val="60DD09F9"/>
    <w:rsid w:val="60EB48A3"/>
    <w:rsid w:val="60EE4284"/>
    <w:rsid w:val="61327D6B"/>
    <w:rsid w:val="61434CFB"/>
    <w:rsid w:val="615279A7"/>
    <w:rsid w:val="616B1851"/>
    <w:rsid w:val="617526CF"/>
    <w:rsid w:val="61790877"/>
    <w:rsid w:val="617A1B7C"/>
    <w:rsid w:val="61B009D1"/>
    <w:rsid w:val="61B03707"/>
    <w:rsid w:val="61B53FC2"/>
    <w:rsid w:val="61C15914"/>
    <w:rsid w:val="61CA759D"/>
    <w:rsid w:val="61D54F1C"/>
    <w:rsid w:val="61FB0E26"/>
    <w:rsid w:val="621A4158"/>
    <w:rsid w:val="621B73F8"/>
    <w:rsid w:val="62373108"/>
    <w:rsid w:val="62487C4B"/>
    <w:rsid w:val="62506A02"/>
    <w:rsid w:val="627079CF"/>
    <w:rsid w:val="628E2B9F"/>
    <w:rsid w:val="629D0130"/>
    <w:rsid w:val="62C67241"/>
    <w:rsid w:val="62DD677E"/>
    <w:rsid w:val="6306019D"/>
    <w:rsid w:val="63065E39"/>
    <w:rsid w:val="633A772C"/>
    <w:rsid w:val="635C5BCB"/>
    <w:rsid w:val="636E387A"/>
    <w:rsid w:val="63762D08"/>
    <w:rsid w:val="63AA629D"/>
    <w:rsid w:val="63D57455"/>
    <w:rsid w:val="63E777BB"/>
    <w:rsid w:val="63EA24F1"/>
    <w:rsid w:val="64175CC0"/>
    <w:rsid w:val="642011F7"/>
    <w:rsid w:val="642F125B"/>
    <w:rsid w:val="64300B2F"/>
    <w:rsid w:val="64436AB5"/>
    <w:rsid w:val="64446389"/>
    <w:rsid w:val="6462129A"/>
    <w:rsid w:val="6477675E"/>
    <w:rsid w:val="64785203"/>
    <w:rsid w:val="64992B79"/>
    <w:rsid w:val="64AA08E2"/>
    <w:rsid w:val="64AB51A4"/>
    <w:rsid w:val="64AC465A"/>
    <w:rsid w:val="64B67287"/>
    <w:rsid w:val="64D0100A"/>
    <w:rsid w:val="64DD15DF"/>
    <w:rsid w:val="64ED47CA"/>
    <w:rsid w:val="65515201"/>
    <w:rsid w:val="655B7E2E"/>
    <w:rsid w:val="65772501"/>
    <w:rsid w:val="658962FF"/>
    <w:rsid w:val="65AD24DB"/>
    <w:rsid w:val="65B01F28"/>
    <w:rsid w:val="65CD2ADA"/>
    <w:rsid w:val="65D5369F"/>
    <w:rsid w:val="65DC302A"/>
    <w:rsid w:val="65DC45DF"/>
    <w:rsid w:val="65E35C67"/>
    <w:rsid w:val="65F50346"/>
    <w:rsid w:val="65F55B8D"/>
    <w:rsid w:val="66373C34"/>
    <w:rsid w:val="66570776"/>
    <w:rsid w:val="667B1D03"/>
    <w:rsid w:val="66807B4C"/>
    <w:rsid w:val="66A94465"/>
    <w:rsid w:val="66F347C2"/>
    <w:rsid w:val="66F66060"/>
    <w:rsid w:val="670047E9"/>
    <w:rsid w:val="67070F51"/>
    <w:rsid w:val="6717618C"/>
    <w:rsid w:val="67210E21"/>
    <w:rsid w:val="672524A2"/>
    <w:rsid w:val="672A3F5C"/>
    <w:rsid w:val="673D196D"/>
    <w:rsid w:val="674C0924"/>
    <w:rsid w:val="675B2F4B"/>
    <w:rsid w:val="676705B3"/>
    <w:rsid w:val="678A67A9"/>
    <w:rsid w:val="67955879"/>
    <w:rsid w:val="67B6759E"/>
    <w:rsid w:val="67CF4D51"/>
    <w:rsid w:val="67E747FB"/>
    <w:rsid w:val="67F02AB0"/>
    <w:rsid w:val="680B78E9"/>
    <w:rsid w:val="68127CAC"/>
    <w:rsid w:val="68294213"/>
    <w:rsid w:val="68567BF8"/>
    <w:rsid w:val="685A68BE"/>
    <w:rsid w:val="689662C5"/>
    <w:rsid w:val="6897172A"/>
    <w:rsid w:val="68A53DC6"/>
    <w:rsid w:val="68B166E3"/>
    <w:rsid w:val="68C31F72"/>
    <w:rsid w:val="68DE1099"/>
    <w:rsid w:val="68E9DB2B"/>
    <w:rsid w:val="690507DD"/>
    <w:rsid w:val="694A2693"/>
    <w:rsid w:val="6958657C"/>
    <w:rsid w:val="69630FC5"/>
    <w:rsid w:val="697A2F79"/>
    <w:rsid w:val="697F058F"/>
    <w:rsid w:val="698A6F34"/>
    <w:rsid w:val="69A00505"/>
    <w:rsid w:val="69A320DB"/>
    <w:rsid w:val="69DA29CD"/>
    <w:rsid w:val="69DC1BD1"/>
    <w:rsid w:val="69DC26EA"/>
    <w:rsid w:val="69E178BF"/>
    <w:rsid w:val="69EC15D6"/>
    <w:rsid w:val="6A3053E5"/>
    <w:rsid w:val="6A401E6D"/>
    <w:rsid w:val="6A5C144D"/>
    <w:rsid w:val="6A5D0610"/>
    <w:rsid w:val="6AA933EA"/>
    <w:rsid w:val="6AC77F7F"/>
    <w:rsid w:val="6AED1528"/>
    <w:rsid w:val="6B03334B"/>
    <w:rsid w:val="6B8160BD"/>
    <w:rsid w:val="6B9876E6"/>
    <w:rsid w:val="6BC404DB"/>
    <w:rsid w:val="6BCA3113"/>
    <w:rsid w:val="6BE309E6"/>
    <w:rsid w:val="6BED6C25"/>
    <w:rsid w:val="6C0841E4"/>
    <w:rsid w:val="6C1256EA"/>
    <w:rsid w:val="6C1A0E70"/>
    <w:rsid w:val="6C454C4B"/>
    <w:rsid w:val="6C4DFAA5"/>
    <w:rsid w:val="6C554EC8"/>
    <w:rsid w:val="6C584936"/>
    <w:rsid w:val="6C5D448C"/>
    <w:rsid w:val="6CAB7BFC"/>
    <w:rsid w:val="6CB202B7"/>
    <w:rsid w:val="6CB65BFE"/>
    <w:rsid w:val="6CEDC09F"/>
    <w:rsid w:val="6CF592B2"/>
    <w:rsid w:val="6D5250A3"/>
    <w:rsid w:val="6D5FE277"/>
    <w:rsid w:val="6D6655C2"/>
    <w:rsid w:val="6D7B2E1B"/>
    <w:rsid w:val="6D7B72BF"/>
    <w:rsid w:val="6D7D4DE5"/>
    <w:rsid w:val="6D8433BC"/>
    <w:rsid w:val="6DED1F04"/>
    <w:rsid w:val="6DEF55B7"/>
    <w:rsid w:val="6DF727CA"/>
    <w:rsid w:val="6DFB3F5C"/>
    <w:rsid w:val="6E2EECA6"/>
    <w:rsid w:val="6E315BD0"/>
    <w:rsid w:val="6E6B164E"/>
    <w:rsid w:val="6E6B2034"/>
    <w:rsid w:val="6E8474D1"/>
    <w:rsid w:val="6E855B98"/>
    <w:rsid w:val="6E9F7E94"/>
    <w:rsid w:val="6EA10B98"/>
    <w:rsid w:val="6EB20ABF"/>
    <w:rsid w:val="6ED70525"/>
    <w:rsid w:val="6EDD503B"/>
    <w:rsid w:val="6EE36ECA"/>
    <w:rsid w:val="6EE45C9F"/>
    <w:rsid w:val="6F046D30"/>
    <w:rsid w:val="6F135EBD"/>
    <w:rsid w:val="6F4F0A46"/>
    <w:rsid w:val="6F4F7C8F"/>
    <w:rsid w:val="6F675DD1"/>
    <w:rsid w:val="6FB645D5"/>
    <w:rsid w:val="6FBE565B"/>
    <w:rsid w:val="6FE72280"/>
    <w:rsid w:val="6FEE29CF"/>
    <w:rsid w:val="6FF6876A"/>
    <w:rsid w:val="6FF77322"/>
    <w:rsid w:val="6FF77F61"/>
    <w:rsid w:val="70043BDB"/>
    <w:rsid w:val="700679D6"/>
    <w:rsid w:val="701F0C3F"/>
    <w:rsid w:val="7053007F"/>
    <w:rsid w:val="70531ED5"/>
    <w:rsid w:val="7073586F"/>
    <w:rsid w:val="708F6BDE"/>
    <w:rsid w:val="709269AE"/>
    <w:rsid w:val="70AD6993"/>
    <w:rsid w:val="70C9376D"/>
    <w:rsid w:val="7104203A"/>
    <w:rsid w:val="71104F85"/>
    <w:rsid w:val="712A1F38"/>
    <w:rsid w:val="712B617B"/>
    <w:rsid w:val="713E488C"/>
    <w:rsid w:val="7164006A"/>
    <w:rsid w:val="71773D35"/>
    <w:rsid w:val="71802052"/>
    <w:rsid w:val="71844269"/>
    <w:rsid w:val="719A3A8C"/>
    <w:rsid w:val="721970A7"/>
    <w:rsid w:val="7234177C"/>
    <w:rsid w:val="72457EDA"/>
    <w:rsid w:val="72473609"/>
    <w:rsid w:val="724C7C4B"/>
    <w:rsid w:val="72606A84"/>
    <w:rsid w:val="72614C18"/>
    <w:rsid w:val="7272748D"/>
    <w:rsid w:val="729D3834"/>
    <w:rsid w:val="72B113CE"/>
    <w:rsid w:val="72B57838"/>
    <w:rsid w:val="72C40DC1"/>
    <w:rsid w:val="72D37256"/>
    <w:rsid w:val="72F151EB"/>
    <w:rsid w:val="731970B0"/>
    <w:rsid w:val="73337CF4"/>
    <w:rsid w:val="73554814"/>
    <w:rsid w:val="7367CFC6"/>
    <w:rsid w:val="73691968"/>
    <w:rsid w:val="73781E2A"/>
    <w:rsid w:val="73A11102"/>
    <w:rsid w:val="73A77861"/>
    <w:rsid w:val="73A9A0FE"/>
    <w:rsid w:val="73AC62B8"/>
    <w:rsid w:val="73AC6C72"/>
    <w:rsid w:val="73BB2FE2"/>
    <w:rsid w:val="73DA06FA"/>
    <w:rsid w:val="73DFF914"/>
    <w:rsid w:val="73ED07EB"/>
    <w:rsid w:val="73F13E37"/>
    <w:rsid w:val="73F43927"/>
    <w:rsid w:val="73FF8890"/>
    <w:rsid w:val="741B0EB4"/>
    <w:rsid w:val="743313D8"/>
    <w:rsid w:val="74380B51"/>
    <w:rsid w:val="74450B46"/>
    <w:rsid w:val="74512B28"/>
    <w:rsid w:val="74652E24"/>
    <w:rsid w:val="74671B29"/>
    <w:rsid w:val="747B5DF7"/>
    <w:rsid w:val="748A7EA3"/>
    <w:rsid w:val="748F004B"/>
    <w:rsid w:val="749971F4"/>
    <w:rsid w:val="74A643ED"/>
    <w:rsid w:val="74AC1BA1"/>
    <w:rsid w:val="74B86703"/>
    <w:rsid w:val="74CD7722"/>
    <w:rsid w:val="754461E9"/>
    <w:rsid w:val="7552606E"/>
    <w:rsid w:val="759A04FF"/>
    <w:rsid w:val="75A2058F"/>
    <w:rsid w:val="75FD3C8F"/>
    <w:rsid w:val="75FF86F4"/>
    <w:rsid w:val="76383A07"/>
    <w:rsid w:val="763B50C6"/>
    <w:rsid w:val="76483BFC"/>
    <w:rsid w:val="76593F16"/>
    <w:rsid w:val="7663715E"/>
    <w:rsid w:val="766E0586"/>
    <w:rsid w:val="769304E7"/>
    <w:rsid w:val="76967512"/>
    <w:rsid w:val="769F582D"/>
    <w:rsid w:val="76A07D97"/>
    <w:rsid w:val="76D11BF8"/>
    <w:rsid w:val="76D164BA"/>
    <w:rsid w:val="76D31F1A"/>
    <w:rsid w:val="76DF7600"/>
    <w:rsid w:val="76FCB910"/>
    <w:rsid w:val="77381D7D"/>
    <w:rsid w:val="775D9B88"/>
    <w:rsid w:val="776414B5"/>
    <w:rsid w:val="77664B3C"/>
    <w:rsid w:val="77674BFC"/>
    <w:rsid w:val="7769462C"/>
    <w:rsid w:val="778356EE"/>
    <w:rsid w:val="779D8931"/>
    <w:rsid w:val="779FA59F"/>
    <w:rsid w:val="77AB69F3"/>
    <w:rsid w:val="77CF26E1"/>
    <w:rsid w:val="77D0645A"/>
    <w:rsid w:val="77D47E28"/>
    <w:rsid w:val="77D55160"/>
    <w:rsid w:val="77DB72D8"/>
    <w:rsid w:val="77DF12D9"/>
    <w:rsid w:val="77FF7F81"/>
    <w:rsid w:val="780E41D1"/>
    <w:rsid w:val="78174088"/>
    <w:rsid w:val="78544453"/>
    <w:rsid w:val="787E6801"/>
    <w:rsid w:val="78F10436"/>
    <w:rsid w:val="78FD6DDA"/>
    <w:rsid w:val="78FF1193"/>
    <w:rsid w:val="7920353F"/>
    <w:rsid w:val="792E51E6"/>
    <w:rsid w:val="79304E75"/>
    <w:rsid w:val="793B7903"/>
    <w:rsid w:val="795760CA"/>
    <w:rsid w:val="797C08AB"/>
    <w:rsid w:val="79BF0851"/>
    <w:rsid w:val="79C157ED"/>
    <w:rsid w:val="79C5200F"/>
    <w:rsid w:val="79E955B1"/>
    <w:rsid w:val="79EA52F5"/>
    <w:rsid w:val="79F6541D"/>
    <w:rsid w:val="7A007F9E"/>
    <w:rsid w:val="7A8A6D94"/>
    <w:rsid w:val="7A8D2CAF"/>
    <w:rsid w:val="7AA137B0"/>
    <w:rsid w:val="7AC6289B"/>
    <w:rsid w:val="7AC73B44"/>
    <w:rsid w:val="7AEB92DC"/>
    <w:rsid w:val="7B0979D0"/>
    <w:rsid w:val="7B2791C4"/>
    <w:rsid w:val="7B295ECE"/>
    <w:rsid w:val="7B2B4440"/>
    <w:rsid w:val="7B534407"/>
    <w:rsid w:val="7B875081"/>
    <w:rsid w:val="7B8D7658"/>
    <w:rsid w:val="7B9D48A5"/>
    <w:rsid w:val="7B9FB2DE"/>
    <w:rsid w:val="7BBBC392"/>
    <w:rsid w:val="7BBC2F7D"/>
    <w:rsid w:val="7BBFBC51"/>
    <w:rsid w:val="7BDD797B"/>
    <w:rsid w:val="7BFB6BC2"/>
    <w:rsid w:val="7C1749B4"/>
    <w:rsid w:val="7C3051CE"/>
    <w:rsid w:val="7C550050"/>
    <w:rsid w:val="7C7F5DFF"/>
    <w:rsid w:val="7CCD2078"/>
    <w:rsid w:val="7CEF376C"/>
    <w:rsid w:val="7CF71F3E"/>
    <w:rsid w:val="7CF770C8"/>
    <w:rsid w:val="7CFE6DF0"/>
    <w:rsid w:val="7CFF2C14"/>
    <w:rsid w:val="7D0C7ACE"/>
    <w:rsid w:val="7D25556D"/>
    <w:rsid w:val="7D3DE5ED"/>
    <w:rsid w:val="7D3F62B0"/>
    <w:rsid w:val="7D4BD6E4"/>
    <w:rsid w:val="7D5E7E3F"/>
    <w:rsid w:val="7D7C1468"/>
    <w:rsid w:val="7D7F4405"/>
    <w:rsid w:val="7D7F44B9"/>
    <w:rsid w:val="7D85447B"/>
    <w:rsid w:val="7D883202"/>
    <w:rsid w:val="7D91845B"/>
    <w:rsid w:val="7DA7DCAE"/>
    <w:rsid w:val="7DAC5273"/>
    <w:rsid w:val="7DC425BD"/>
    <w:rsid w:val="7DCA3EE2"/>
    <w:rsid w:val="7DD16CC1"/>
    <w:rsid w:val="7DD345AE"/>
    <w:rsid w:val="7DD7FA30"/>
    <w:rsid w:val="7DDAA6C9"/>
    <w:rsid w:val="7DDB4050"/>
    <w:rsid w:val="7DE53FC7"/>
    <w:rsid w:val="7E1105A1"/>
    <w:rsid w:val="7E2E3B63"/>
    <w:rsid w:val="7E590F57"/>
    <w:rsid w:val="7E6D27C6"/>
    <w:rsid w:val="7E6E42D6"/>
    <w:rsid w:val="7EB20667"/>
    <w:rsid w:val="7EB70647"/>
    <w:rsid w:val="7EBF7457"/>
    <w:rsid w:val="7EBFE7D3"/>
    <w:rsid w:val="7ECA59B1"/>
    <w:rsid w:val="7EE355B6"/>
    <w:rsid w:val="7EE3FC10"/>
    <w:rsid w:val="7EEF40D6"/>
    <w:rsid w:val="7EFC5B0D"/>
    <w:rsid w:val="7F032C71"/>
    <w:rsid w:val="7F1809C7"/>
    <w:rsid w:val="7F2F7F0A"/>
    <w:rsid w:val="7F4852D5"/>
    <w:rsid w:val="7F5524F8"/>
    <w:rsid w:val="7F588807"/>
    <w:rsid w:val="7F67FA15"/>
    <w:rsid w:val="7F704811"/>
    <w:rsid w:val="7F722BA9"/>
    <w:rsid w:val="7F73320A"/>
    <w:rsid w:val="7F743B6E"/>
    <w:rsid w:val="7F7676A4"/>
    <w:rsid w:val="7F7922D8"/>
    <w:rsid w:val="7F7E58BB"/>
    <w:rsid w:val="7F7FED93"/>
    <w:rsid w:val="7F932247"/>
    <w:rsid w:val="7F9E374B"/>
    <w:rsid w:val="7FA773E3"/>
    <w:rsid w:val="7FA7BE4A"/>
    <w:rsid w:val="7FBB019E"/>
    <w:rsid w:val="7FBF4902"/>
    <w:rsid w:val="7FDE9C03"/>
    <w:rsid w:val="7FE34250"/>
    <w:rsid w:val="7FE358CA"/>
    <w:rsid w:val="7FE7A405"/>
    <w:rsid w:val="7FEF396C"/>
    <w:rsid w:val="7FEF6D24"/>
    <w:rsid w:val="7FEF9669"/>
    <w:rsid w:val="7FF5364D"/>
    <w:rsid w:val="7FFAE1C3"/>
    <w:rsid w:val="7FFB0500"/>
    <w:rsid w:val="7FFD7555"/>
    <w:rsid w:val="7FFD94B9"/>
    <w:rsid w:val="7FFF78DC"/>
    <w:rsid w:val="7FFFE92E"/>
    <w:rsid w:val="917B3387"/>
    <w:rsid w:val="9829167C"/>
    <w:rsid w:val="9ADFF016"/>
    <w:rsid w:val="9D9B5B06"/>
    <w:rsid w:val="9EC9B592"/>
    <w:rsid w:val="9F5F6A5D"/>
    <w:rsid w:val="9FFB93B8"/>
    <w:rsid w:val="A3F5DE37"/>
    <w:rsid w:val="ABBEC6B5"/>
    <w:rsid w:val="AE6F0C61"/>
    <w:rsid w:val="B3EF55F7"/>
    <w:rsid w:val="B5DF0AF1"/>
    <w:rsid w:val="B6CE0DE7"/>
    <w:rsid w:val="B7FD8847"/>
    <w:rsid w:val="BB3F096F"/>
    <w:rsid w:val="BBDFF8AF"/>
    <w:rsid w:val="BCF30FD1"/>
    <w:rsid w:val="BD7F5DBE"/>
    <w:rsid w:val="BEBFB198"/>
    <w:rsid w:val="BEFF68D3"/>
    <w:rsid w:val="BF3B4C67"/>
    <w:rsid w:val="BF7BC2EB"/>
    <w:rsid w:val="BFBB4D78"/>
    <w:rsid w:val="BFD8346C"/>
    <w:rsid w:val="BFDE1856"/>
    <w:rsid w:val="BFDFAC6E"/>
    <w:rsid w:val="BFEDCF27"/>
    <w:rsid w:val="BFF35850"/>
    <w:rsid w:val="BFF7EF90"/>
    <w:rsid w:val="BFFF8FCE"/>
    <w:rsid w:val="CB9B7207"/>
    <w:rsid w:val="CBFEFED3"/>
    <w:rsid w:val="CDBDD0C7"/>
    <w:rsid w:val="CEFC0293"/>
    <w:rsid w:val="CFA2E80B"/>
    <w:rsid w:val="D379A9B0"/>
    <w:rsid w:val="D5FF23A4"/>
    <w:rsid w:val="D7FCFD7F"/>
    <w:rsid w:val="D9FEB3CD"/>
    <w:rsid w:val="DA691CB6"/>
    <w:rsid w:val="DBFFECC9"/>
    <w:rsid w:val="DDF35867"/>
    <w:rsid w:val="DDFE9F32"/>
    <w:rsid w:val="DEDB6CCB"/>
    <w:rsid w:val="DEDD962F"/>
    <w:rsid w:val="DEDFA509"/>
    <w:rsid w:val="DEF619AC"/>
    <w:rsid w:val="DF0177DC"/>
    <w:rsid w:val="DF5FB8CC"/>
    <w:rsid w:val="DF7B4DA5"/>
    <w:rsid w:val="DFB35592"/>
    <w:rsid w:val="DFBBBCB3"/>
    <w:rsid w:val="DFBFECCB"/>
    <w:rsid w:val="DFDEF157"/>
    <w:rsid w:val="DFDF6E3F"/>
    <w:rsid w:val="DFDFA35E"/>
    <w:rsid w:val="DFFA5BD1"/>
    <w:rsid w:val="DFFF3D96"/>
    <w:rsid w:val="E2DC142D"/>
    <w:rsid w:val="E2FE688C"/>
    <w:rsid w:val="E37FDA42"/>
    <w:rsid w:val="E77E58DD"/>
    <w:rsid w:val="E782F5B0"/>
    <w:rsid w:val="E7EF32D6"/>
    <w:rsid w:val="EA0313C4"/>
    <w:rsid w:val="EAEF0C70"/>
    <w:rsid w:val="EAF1972D"/>
    <w:rsid w:val="EBA3C8BB"/>
    <w:rsid w:val="EBF3A733"/>
    <w:rsid w:val="ECFF4F06"/>
    <w:rsid w:val="ED9BFFDC"/>
    <w:rsid w:val="EDB7EACC"/>
    <w:rsid w:val="EEDEE166"/>
    <w:rsid w:val="EF4F775A"/>
    <w:rsid w:val="EF6F0995"/>
    <w:rsid w:val="EF7EFC2F"/>
    <w:rsid w:val="EF93740C"/>
    <w:rsid w:val="EFBB40A0"/>
    <w:rsid w:val="EFBB7132"/>
    <w:rsid w:val="EFBB8067"/>
    <w:rsid w:val="EFF77833"/>
    <w:rsid w:val="EFFD524A"/>
    <w:rsid w:val="EFFD8DDA"/>
    <w:rsid w:val="F0F1F1B5"/>
    <w:rsid w:val="F1FBA1A7"/>
    <w:rsid w:val="F25F716F"/>
    <w:rsid w:val="F2FF2B03"/>
    <w:rsid w:val="F3FDF00B"/>
    <w:rsid w:val="F65FC9C6"/>
    <w:rsid w:val="F67388BE"/>
    <w:rsid w:val="F6F7C9A2"/>
    <w:rsid w:val="F6FF4ABE"/>
    <w:rsid w:val="F7BF7139"/>
    <w:rsid w:val="F7DBDB6C"/>
    <w:rsid w:val="F7E5021E"/>
    <w:rsid w:val="F7F33145"/>
    <w:rsid w:val="F7FEB153"/>
    <w:rsid w:val="F87F0A99"/>
    <w:rsid w:val="F9EFF912"/>
    <w:rsid w:val="FB770C02"/>
    <w:rsid w:val="FB9BAC33"/>
    <w:rsid w:val="FBBEC1B1"/>
    <w:rsid w:val="FBDF2B0A"/>
    <w:rsid w:val="FBE79824"/>
    <w:rsid w:val="FBEB3858"/>
    <w:rsid w:val="FBFB0417"/>
    <w:rsid w:val="FBFBC3D8"/>
    <w:rsid w:val="FD366E64"/>
    <w:rsid w:val="FDBBC9F7"/>
    <w:rsid w:val="FDBFC378"/>
    <w:rsid w:val="FDBFF5BD"/>
    <w:rsid w:val="FDEF9216"/>
    <w:rsid w:val="FDFA0A89"/>
    <w:rsid w:val="FDFD0AA9"/>
    <w:rsid w:val="FDFF1180"/>
    <w:rsid w:val="FDFFCBF3"/>
    <w:rsid w:val="FE6E02E1"/>
    <w:rsid w:val="FE8FD7E1"/>
    <w:rsid w:val="FEC69DBD"/>
    <w:rsid w:val="FED7C593"/>
    <w:rsid w:val="FED97083"/>
    <w:rsid w:val="FEEF20AB"/>
    <w:rsid w:val="FEFB2FE3"/>
    <w:rsid w:val="FF3D745F"/>
    <w:rsid w:val="FF6BE4A0"/>
    <w:rsid w:val="FF6D2383"/>
    <w:rsid w:val="FF77A306"/>
    <w:rsid w:val="FF7E01E9"/>
    <w:rsid w:val="FFBB8F79"/>
    <w:rsid w:val="FFC91B7B"/>
    <w:rsid w:val="FFD75704"/>
    <w:rsid w:val="FFDF011A"/>
    <w:rsid w:val="FFE46C5F"/>
    <w:rsid w:val="FFEF0EA9"/>
    <w:rsid w:val="FFEF4645"/>
    <w:rsid w:val="FFEF8B54"/>
    <w:rsid w:val="FFFD4756"/>
    <w:rsid w:val="FFFEC16D"/>
    <w:rsid w:val="FFFF3B17"/>
    <w:rsid w:val="FFFF580D"/>
    <w:rsid w:val="FFFFA57F"/>
    <w:rsid w:val="FFFFAE4E"/>
    <w:rsid w:val="FFFFD82E"/>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semiHidden="0" w:name="heading 2"/>
    <w:lsdException w:qFormat="1" w:uiPriority="0" w:semiHidden="0" w:name="heading 3"/>
    <w:lsdException w:qFormat="1" w:uiPriority="0" w:semiHidden="0" w:name="heading 4"/>
    <w:lsdException w:qFormat="1" w:uiPriority="0"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qFormat="1" w:uiPriority="0"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iPriority="0" w:semiHidden="0" w:name="Normal Indent"/>
    <w:lsdException w:qFormat="1" w:unhideWhenUsed="0" w:uiPriority="0" w:semiHidden="0" w:name="footnote text"/>
    <w:lsdException w:qFormat="1" w:uiPriority="0" w:semiHidden="0" w:name="annotation text"/>
    <w:lsdException w:qFormat="1" w:uiPriority="99" w:semiHidden="0" w:name="header"/>
    <w:lsdException w:qFormat="1" w:uiPriority="99" w:semiHidden="0" w:name="footer"/>
    <w:lsdException w:qFormat="1" w:uiPriority="99" w:semiHidden="0" w:name="index heading"/>
    <w:lsdException w:qFormat="1" w:uiPriority="0" w:semiHidden="0"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iPriority="0" w:semiHidden="0" w:name="annotation reference"/>
    <w:lsdException w:uiPriority="99" w:name="line number"/>
    <w:lsdException w:qFormat="1" w:uiPriority="0" w:semiHidden="0" w:name="page number"/>
    <w:lsdException w:uiPriority="99" w:name="endnote reference"/>
    <w:lsdException w:qFormat="1" w:unhideWhenUsed="0" w:uiPriority="0" w:semiHidden="0" w:name="endnote text"/>
    <w:lsdException w:uiPriority="99" w:name="table of authorities"/>
    <w:lsdException w:uiPriority="99" w:name="macro"/>
    <w:lsdException w:uiPriority="99" w:name="toa heading"/>
    <w:lsdException w:qFormat="1" w:uiPriority="99" w:semiHidden="0" w:name="List"/>
    <w:lsdException w:qFormat="1" w:uiPriority="0" w:semiHidden="0" w:name="List Bullet"/>
    <w:lsdException w:qFormat="1" w:uiPriority="0" w:semiHidden="0" w:name="List Number"/>
    <w:lsdException w:qFormat="1" w:uiPriority="0" w:semiHidden="0" w:name="List 2"/>
    <w:lsdException w:qFormat="1" w:unhideWhenUsed="0" w:uiPriority="0" w:semiHidden="0"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1"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iPriority="99" w:semiHidden="0" w:name="Date"/>
    <w:lsdException w:qFormat="1" w:uiPriority="0" w:semiHidden="0" w:name="Body Text First Indent"/>
    <w:lsdException w:qFormat="1" w:uiPriority="99"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qFormat="1" w:unhideWhenUsed="0" w:uiPriority="0" w:semiHidden="0" w:name="Block Text"/>
    <w:lsdException w:qFormat="1" w:uiPriority="99" w:semiHidden="0" w:name="Hyperlink"/>
    <w:lsdException w:qFormat="1" w:uiPriority="0" w:semiHidden="0" w:name="FollowedHyperlink"/>
    <w:lsdException w:qFormat="1" w:unhideWhenUsed="0" w:uiPriority="0" w:semiHidden="0" w:name="Strong"/>
    <w:lsdException w:qFormat="1" w:unhideWhenUsed="0" w:uiPriority="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qFormat="1" w:uiPriority="0" w:semiHidden="0" w:name="HTML Code"/>
    <w:lsdException w:qFormat="1" w:uiPriority="0" w:semiHidden="0" w:name="HTML Definition"/>
    <w:lsdException w:qFormat="1" w:uiPriority="0" w:semiHidden="0" w:name="HTML Keyboard"/>
    <w:lsdException w:qFormat="1" w:uiPriority="0" w:semiHidden="0" w:name="HTML Preformatted"/>
    <w:lsdException w:qFormat="1" w:uiPriority="0" w:semiHidden="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qFormat="1"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qFormat="1" w:unhideWhenUsed="0" w:uiPriority="0"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qFormat="1" w:unhideWhenUsed="0" w:uiPriority="0"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0"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qFormat="1" w:unhideWhenUsed="0" w:uiPriority="0"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qFormat="1" w:unhideWhenUsed="0" w:uiPriority="0"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3">
    <w:name w:val="heading 1"/>
    <w:basedOn w:val="1"/>
    <w:next w:val="1"/>
    <w:link w:val="88"/>
    <w:qFormat/>
    <w:uiPriority w:val="0"/>
    <w:pPr>
      <w:keepNext/>
      <w:keepLines/>
      <w:widowControl/>
      <w:tabs>
        <w:tab w:val="left" w:pos="1440"/>
      </w:tabs>
      <w:spacing w:beforeLines="250" w:line="360" w:lineRule="auto"/>
      <w:jc w:val="center"/>
      <w:outlineLvl w:val="0"/>
    </w:pPr>
    <w:rPr>
      <w:rFonts w:ascii="Times New Roman" w:hAnsi="Times New Roman" w:eastAsia="黑体" w:cs="Times New Roman"/>
      <w:b/>
      <w:bCs/>
      <w:kern w:val="44"/>
      <w:sz w:val="52"/>
      <w:szCs w:val="20"/>
    </w:rPr>
  </w:style>
  <w:style w:type="paragraph" w:styleId="4">
    <w:name w:val="heading 2"/>
    <w:basedOn w:val="1"/>
    <w:next w:val="1"/>
    <w:link w:val="89"/>
    <w:unhideWhenUsed/>
    <w:qFormat/>
    <w:uiPriority w:val="9"/>
    <w:pPr>
      <w:keepNext/>
      <w:keepLines/>
      <w:spacing w:before="260" w:after="260" w:line="408" w:lineRule="auto"/>
      <w:outlineLvl w:val="1"/>
    </w:pPr>
    <w:rPr>
      <w:rFonts w:eastAsia="黑体"/>
      <w:b/>
      <w:sz w:val="32"/>
      <w:szCs w:val="20"/>
    </w:rPr>
  </w:style>
  <w:style w:type="paragraph" w:styleId="5">
    <w:name w:val="heading 3"/>
    <w:basedOn w:val="1"/>
    <w:next w:val="1"/>
    <w:link w:val="90"/>
    <w:unhideWhenUsed/>
    <w:qFormat/>
    <w:uiPriority w:val="0"/>
    <w:pPr>
      <w:keepNext/>
      <w:keepLines/>
      <w:widowControl/>
      <w:tabs>
        <w:tab w:val="left" w:pos="567"/>
      </w:tabs>
      <w:spacing w:beforeLines="50" w:line="360" w:lineRule="auto"/>
      <w:jc w:val="left"/>
      <w:outlineLvl w:val="2"/>
    </w:pPr>
    <w:rPr>
      <w:rFonts w:ascii="Times New Roman" w:hAnsi="Times New Roman" w:eastAsia="黑体" w:cs="Times New Roman"/>
      <w:b/>
      <w:bCs/>
      <w:sz w:val="36"/>
      <w:szCs w:val="36"/>
    </w:rPr>
  </w:style>
  <w:style w:type="paragraph" w:styleId="6">
    <w:name w:val="heading 4"/>
    <w:basedOn w:val="1"/>
    <w:next w:val="1"/>
    <w:link w:val="91"/>
    <w:unhideWhenUsed/>
    <w:qFormat/>
    <w:uiPriority w:val="0"/>
    <w:pPr>
      <w:keepNext/>
      <w:keepLines/>
      <w:widowControl/>
      <w:tabs>
        <w:tab w:val="left" w:pos="-420"/>
      </w:tabs>
      <w:spacing w:beforeLines="50" w:line="360" w:lineRule="auto"/>
      <w:jc w:val="left"/>
      <w:outlineLvl w:val="3"/>
    </w:pPr>
    <w:rPr>
      <w:rFonts w:ascii="Arial" w:hAnsi="Arial" w:eastAsia="黑体" w:cs="Times New Roman"/>
      <w:b/>
      <w:bCs/>
      <w:sz w:val="30"/>
      <w:szCs w:val="28"/>
    </w:rPr>
  </w:style>
  <w:style w:type="paragraph" w:styleId="7">
    <w:name w:val="heading 5"/>
    <w:basedOn w:val="1"/>
    <w:next w:val="1"/>
    <w:link w:val="92"/>
    <w:unhideWhenUsed/>
    <w:qFormat/>
    <w:uiPriority w:val="0"/>
    <w:pPr>
      <w:keepNext/>
      <w:keepLines/>
      <w:widowControl/>
      <w:tabs>
        <w:tab w:val="left" w:pos="-420"/>
      </w:tabs>
      <w:spacing w:beforeLines="50" w:line="376" w:lineRule="auto"/>
      <w:jc w:val="left"/>
      <w:outlineLvl w:val="4"/>
    </w:pPr>
    <w:rPr>
      <w:rFonts w:ascii="Times New Roman" w:hAnsi="Times New Roman" w:eastAsia="宋体" w:cs="Times New Roman"/>
      <w:b/>
      <w:bCs/>
      <w:sz w:val="28"/>
      <w:szCs w:val="28"/>
    </w:rPr>
  </w:style>
  <w:style w:type="paragraph" w:styleId="8">
    <w:name w:val="heading 6"/>
    <w:basedOn w:val="1"/>
    <w:next w:val="1"/>
    <w:link w:val="93"/>
    <w:unhideWhenUsed/>
    <w:qFormat/>
    <w:uiPriority w:val="9"/>
    <w:pPr>
      <w:keepNext/>
      <w:keepLines/>
      <w:spacing w:line="316" w:lineRule="auto"/>
      <w:outlineLvl w:val="5"/>
    </w:pPr>
    <w:rPr>
      <w:rFonts w:ascii="Arial" w:hAnsi="Arial" w:eastAsia="黑体" w:cs="Times New Roman"/>
      <w:b/>
      <w:sz w:val="24"/>
      <w:szCs w:val="24"/>
    </w:rPr>
  </w:style>
  <w:style w:type="paragraph" w:styleId="9">
    <w:name w:val="heading 7"/>
    <w:basedOn w:val="1"/>
    <w:next w:val="1"/>
    <w:link w:val="94"/>
    <w:unhideWhenUsed/>
    <w:qFormat/>
    <w:uiPriority w:val="9"/>
    <w:pPr>
      <w:keepNext/>
      <w:keepLines/>
      <w:spacing w:before="240" w:after="64" w:line="319" w:lineRule="auto"/>
      <w:outlineLvl w:val="6"/>
    </w:pPr>
    <w:rPr>
      <w:rFonts w:ascii="Times New Roman" w:hAnsi="Times New Roman" w:eastAsia="黑体"/>
      <w:sz w:val="24"/>
      <w:szCs w:val="21"/>
    </w:rPr>
  </w:style>
  <w:style w:type="paragraph" w:styleId="10">
    <w:name w:val="heading 8"/>
    <w:basedOn w:val="1"/>
    <w:next w:val="1"/>
    <w:link w:val="95"/>
    <w:unhideWhenUsed/>
    <w:qFormat/>
    <w:uiPriority w:val="9"/>
    <w:pPr>
      <w:keepNext/>
      <w:keepLines/>
      <w:spacing w:before="240" w:after="64" w:line="319" w:lineRule="auto"/>
      <w:outlineLvl w:val="7"/>
    </w:pPr>
    <w:rPr>
      <w:rFonts w:ascii="Times New Roman" w:hAnsi="Times New Roman" w:eastAsia="黑体" w:cs="Times New Roman"/>
      <w:bCs/>
      <w:sz w:val="24"/>
      <w:szCs w:val="32"/>
    </w:rPr>
  </w:style>
  <w:style w:type="paragraph" w:styleId="11">
    <w:name w:val="heading 9"/>
    <w:basedOn w:val="1"/>
    <w:next w:val="1"/>
    <w:link w:val="96"/>
    <w:unhideWhenUsed/>
    <w:qFormat/>
    <w:uiPriority w:val="9"/>
    <w:pPr>
      <w:keepNext/>
      <w:keepLines/>
      <w:spacing w:before="240" w:after="64" w:line="319" w:lineRule="auto"/>
      <w:outlineLvl w:val="8"/>
    </w:pPr>
    <w:rPr>
      <w:rFonts w:ascii="Times New Roman" w:hAnsi="Times New Roman" w:eastAsia="黑体"/>
      <w:sz w:val="24"/>
      <w:szCs w:val="21"/>
    </w:rPr>
  </w:style>
  <w:style w:type="character" w:default="1" w:styleId="71">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华文中宋" w:hAnsi="Calibri" w:eastAsia="华文中宋" w:cs="华文中宋"/>
      <w:color w:val="000000"/>
      <w:sz w:val="24"/>
      <w:szCs w:val="24"/>
      <w:lang w:val="en-US" w:eastAsia="zh-CN" w:bidi="ar-SA"/>
    </w:rPr>
  </w:style>
  <w:style w:type="paragraph" w:styleId="12">
    <w:name w:val="List 3"/>
    <w:basedOn w:val="1"/>
    <w:qFormat/>
    <w:uiPriority w:val="0"/>
    <w:pPr>
      <w:widowControl/>
      <w:ind w:left="100" w:leftChars="400" w:hanging="200" w:hangingChars="200"/>
      <w:jc w:val="left"/>
    </w:pPr>
    <w:rPr>
      <w:rFonts w:ascii="Calibri" w:hAnsi="Calibri" w:eastAsia="宋体" w:cs="Times New Roman"/>
      <w:szCs w:val="24"/>
    </w:rPr>
  </w:style>
  <w:style w:type="paragraph" w:styleId="13">
    <w:name w:val="toc 7"/>
    <w:basedOn w:val="1"/>
    <w:next w:val="1"/>
    <w:qFormat/>
    <w:uiPriority w:val="39"/>
    <w:pPr>
      <w:ind w:left="1260"/>
      <w:jc w:val="left"/>
    </w:pPr>
    <w:rPr>
      <w:rFonts w:ascii="Calibri" w:hAnsi="Calibri" w:eastAsia="宋体" w:cs="Calibri"/>
      <w:sz w:val="18"/>
      <w:szCs w:val="18"/>
    </w:rPr>
  </w:style>
  <w:style w:type="paragraph" w:styleId="14">
    <w:name w:val="List Number 2"/>
    <w:basedOn w:val="1"/>
    <w:qFormat/>
    <w:uiPriority w:val="0"/>
    <w:pPr>
      <w:widowControl/>
      <w:tabs>
        <w:tab w:val="left" w:pos="360"/>
      </w:tabs>
      <w:snapToGrid w:val="0"/>
      <w:ind w:left="360" w:right="709" w:hanging="360"/>
      <w:jc w:val="left"/>
    </w:pPr>
    <w:rPr>
      <w:rFonts w:ascii="Calibri" w:hAnsi="Calibri" w:eastAsia="2OcuAe" w:cs="Times New Roman"/>
      <w:spacing w:val="2"/>
      <w:kern w:val="0"/>
      <w:sz w:val="20"/>
      <w:szCs w:val="20"/>
      <w:lang w:eastAsia="zh-TW"/>
    </w:rPr>
  </w:style>
  <w:style w:type="paragraph" w:styleId="15">
    <w:name w:val="List Bullet 4"/>
    <w:basedOn w:val="1"/>
    <w:qFormat/>
    <w:uiPriority w:val="0"/>
    <w:pPr>
      <w:widowControl/>
      <w:tabs>
        <w:tab w:val="left" w:pos="885"/>
      </w:tabs>
      <w:snapToGrid w:val="0"/>
      <w:ind w:left="885" w:right="709" w:hanging="885"/>
      <w:jc w:val="left"/>
    </w:pPr>
    <w:rPr>
      <w:rFonts w:ascii="Calibri" w:hAnsi="Calibri" w:eastAsia="2OcuAe" w:cs="Times New Roman"/>
      <w:spacing w:val="2"/>
      <w:kern w:val="0"/>
      <w:sz w:val="20"/>
      <w:szCs w:val="20"/>
      <w:lang w:eastAsia="zh-TW"/>
    </w:rPr>
  </w:style>
  <w:style w:type="paragraph" w:styleId="16">
    <w:name w:val="List Number"/>
    <w:basedOn w:val="1"/>
    <w:unhideWhenUsed/>
    <w:qFormat/>
    <w:uiPriority w:val="0"/>
    <w:pPr>
      <w:tabs>
        <w:tab w:val="left" w:pos="360"/>
      </w:tabs>
      <w:ind w:left="360" w:hanging="360"/>
    </w:pPr>
    <w:rPr>
      <w:rFonts w:ascii="Times New Roman" w:hAnsi="Times New Roman" w:eastAsia="宋体" w:cs="Times New Roman"/>
    </w:rPr>
  </w:style>
  <w:style w:type="paragraph" w:styleId="17">
    <w:name w:val="Normal Indent"/>
    <w:basedOn w:val="1"/>
    <w:next w:val="18"/>
    <w:link w:val="112"/>
    <w:unhideWhenUsed/>
    <w:qFormat/>
    <w:uiPriority w:val="0"/>
    <w:pPr>
      <w:ind w:firstLine="420"/>
    </w:pPr>
    <w:rPr>
      <w:rFonts w:ascii="Times New Roman" w:hAnsi="Times New Roman" w:eastAsia="宋体" w:cs="Times New Roman"/>
      <w:kern w:val="0"/>
      <w:sz w:val="20"/>
      <w:szCs w:val="20"/>
    </w:rPr>
  </w:style>
  <w:style w:type="paragraph" w:styleId="18">
    <w:name w:val="Body Text Indent"/>
    <w:basedOn w:val="1"/>
    <w:link w:val="114"/>
    <w:unhideWhenUsed/>
    <w:qFormat/>
    <w:uiPriority w:val="99"/>
    <w:pPr>
      <w:spacing w:line="200" w:lineRule="exact"/>
      <w:ind w:firstLine="301"/>
    </w:pPr>
    <w:rPr>
      <w:rFonts w:ascii="宋体" w:hAnsi="Courier New" w:eastAsia="宋体" w:cs="Times New Roman"/>
      <w:spacing w:val="-4"/>
      <w:kern w:val="0"/>
      <w:sz w:val="18"/>
    </w:rPr>
  </w:style>
  <w:style w:type="paragraph" w:styleId="19">
    <w:name w:val="caption"/>
    <w:basedOn w:val="1"/>
    <w:next w:val="1"/>
    <w:link w:val="113"/>
    <w:unhideWhenUsed/>
    <w:qFormat/>
    <w:uiPriority w:val="0"/>
    <w:pPr>
      <w:spacing w:before="152" w:after="160"/>
    </w:pPr>
    <w:rPr>
      <w:rFonts w:ascii="Arial" w:hAnsi="Arial" w:eastAsia="黑体" w:cs="Times New Roman"/>
      <w:kern w:val="0"/>
      <w:sz w:val="20"/>
      <w:szCs w:val="20"/>
    </w:rPr>
  </w:style>
  <w:style w:type="paragraph" w:styleId="20">
    <w:name w:val="List Bullet"/>
    <w:basedOn w:val="1"/>
    <w:unhideWhenUsed/>
    <w:qFormat/>
    <w:uiPriority w:val="0"/>
    <w:pPr>
      <w:tabs>
        <w:tab w:val="left" w:pos="360"/>
      </w:tabs>
      <w:ind w:left="360" w:hanging="360"/>
    </w:pPr>
    <w:rPr>
      <w:rFonts w:ascii="Times New Roman" w:hAnsi="Times New Roman" w:eastAsia="宋体" w:cs="Times New Roman"/>
    </w:rPr>
  </w:style>
  <w:style w:type="paragraph" w:styleId="21">
    <w:name w:val="Document Map"/>
    <w:basedOn w:val="1"/>
    <w:link w:val="97"/>
    <w:unhideWhenUsed/>
    <w:qFormat/>
    <w:uiPriority w:val="0"/>
    <w:pPr>
      <w:shd w:val="clear" w:color="auto" w:fill="000080"/>
    </w:pPr>
    <w:rPr>
      <w:rFonts w:ascii="Times New Roman" w:hAnsi="Times New Roman" w:eastAsia="宋体" w:cs="宋体"/>
    </w:rPr>
  </w:style>
  <w:style w:type="paragraph" w:styleId="22">
    <w:name w:val="annotation text"/>
    <w:basedOn w:val="1"/>
    <w:link w:val="98"/>
    <w:unhideWhenUsed/>
    <w:qFormat/>
    <w:uiPriority w:val="0"/>
    <w:pPr>
      <w:jc w:val="left"/>
    </w:pPr>
    <w:rPr>
      <w:rFonts w:ascii="Times New Roman" w:hAnsi="Times New Roman" w:eastAsia="宋体" w:cs="Times New Roman"/>
    </w:rPr>
  </w:style>
  <w:style w:type="paragraph" w:styleId="23">
    <w:name w:val="Salutation"/>
    <w:basedOn w:val="1"/>
    <w:next w:val="1"/>
    <w:link w:val="362"/>
    <w:qFormat/>
    <w:uiPriority w:val="0"/>
    <w:pPr>
      <w:widowControl/>
      <w:jc w:val="left"/>
    </w:pPr>
    <w:rPr>
      <w:rFonts w:ascii="Times New Roman" w:hAnsi="Times New Roman" w:eastAsia="宋体" w:cs="Times New Roman"/>
      <w:kern w:val="0"/>
      <w:sz w:val="20"/>
      <w:szCs w:val="24"/>
    </w:rPr>
  </w:style>
  <w:style w:type="paragraph" w:styleId="24">
    <w:name w:val="Body Text 3"/>
    <w:basedOn w:val="1"/>
    <w:link w:val="99"/>
    <w:unhideWhenUsed/>
    <w:qFormat/>
    <w:uiPriority w:val="0"/>
    <w:pPr>
      <w:snapToGrid w:val="0"/>
      <w:spacing w:before="50" w:after="50"/>
    </w:pPr>
    <w:rPr>
      <w:rFonts w:ascii="Times New Roman" w:hAnsi="宋体" w:eastAsia="Times New Roman" w:cs="Times New Roman"/>
      <w:b/>
      <w:sz w:val="24"/>
    </w:rPr>
  </w:style>
  <w:style w:type="paragraph" w:styleId="25">
    <w:name w:val="List Bullet 3"/>
    <w:basedOn w:val="1"/>
    <w:qFormat/>
    <w:uiPriority w:val="0"/>
    <w:pPr>
      <w:widowControl/>
      <w:tabs>
        <w:tab w:val="left" w:pos="1800"/>
      </w:tabs>
      <w:snapToGrid w:val="0"/>
      <w:ind w:left="1800" w:right="709" w:hanging="420"/>
      <w:jc w:val="left"/>
    </w:pPr>
    <w:rPr>
      <w:rFonts w:ascii="Calibri" w:hAnsi="Calibri" w:eastAsia="2OcuAe" w:cs="Times New Roman"/>
      <w:spacing w:val="2"/>
      <w:kern w:val="0"/>
      <w:sz w:val="20"/>
      <w:szCs w:val="20"/>
      <w:lang w:eastAsia="zh-TW"/>
    </w:rPr>
  </w:style>
  <w:style w:type="paragraph" w:styleId="26">
    <w:name w:val="Body Text"/>
    <w:basedOn w:val="1"/>
    <w:next w:val="27"/>
    <w:link w:val="100"/>
    <w:unhideWhenUsed/>
    <w:qFormat/>
    <w:uiPriority w:val="1"/>
    <w:pPr>
      <w:spacing w:after="120"/>
    </w:pPr>
    <w:rPr>
      <w:rFonts w:ascii="Times New Roman" w:hAnsi="Times New Roman" w:eastAsia="宋体" w:cs="Times New Roman"/>
    </w:rPr>
  </w:style>
  <w:style w:type="paragraph" w:styleId="27">
    <w:name w:val="Body Text First Indent"/>
    <w:basedOn w:val="26"/>
    <w:next w:val="1"/>
    <w:link w:val="101"/>
    <w:unhideWhenUsed/>
    <w:qFormat/>
    <w:uiPriority w:val="0"/>
    <w:pPr>
      <w:ind w:firstLine="420" w:firstLineChars="100"/>
    </w:pPr>
    <w:rPr>
      <w:rFonts w:hAnsi="Calibri"/>
      <w:kern w:val="0"/>
    </w:rPr>
  </w:style>
  <w:style w:type="paragraph" w:styleId="28">
    <w:name w:val="List Number 3"/>
    <w:basedOn w:val="1"/>
    <w:unhideWhenUsed/>
    <w:qFormat/>
    <w:uiPriority w:val="0"/>
    <w:pPr>
      <w:numPr>
        <w:ilvl w:val="0"/>
        <w:numId w:val="1"/>
      </w:numPr>
    </w:pPr>
    <w:rPr>
      <w:rFonts w:ascii="Times New Roman" w:hAnsi="Times New Roman" w:eastAsia="宋体" w:cs="Times New Roman"/>
      <w:szCs w:val="24"/>
    </w:rPr>
  </w:style>
  <w:style w:type="paragraph" w:styleId="29">
    <w:name w:val="List 2"/>
    <w:basedOn w:val="1"/>
    <w:unhideWhenUsed/>
    <w:qFormat/>
    <w:uiPriority w:val="0"/>
    <w:pPr>
      <w:ind w:left="100" w:leftChars="200" w:hanging="200" w:hangingChars="200"/>
    </w:pPr>
    <w:rPr>
      <w:rFonts w:ascii="Times New Roman" w:hAnsi="Times New Roman" w:eastAsia="宋体" w:cs="Times New Roman"/>
      <w:sz w:val="28"/>
      <w:szCs w:val="24"/>
    </w:rPr>
  </w:style>
  <w:style w:type="paragraph" w:styleId="30">
    <w:name w:val="Block Text"/>
    <w:basedOn w:val="1"/>
    <w:next w:val="31"/>
    <w:qFormat/>
    <w:uiPriority w:val="0"/>
    <w:pPr>
      <w:widowControl/>
      <w:snapToGrid w:val="0"/>
      <w:spacing w:line="400" w:lineRule="exact"/>
      <w:ind w:left="2" w:right="105" w:firstLine="538"/>
      <w:jc w:val="left"/>
    </w:pPr>
    <w:rPr>
      <w:rFonts w:ascii="Calibri" w:hAnsi="Calibri" w:eastAsia="宋体" w:cs="Times New Roman"/>
      <w:b/>
      <w:szCs w:val="20"/>
    </w:rPr>
  </w:style>
  <w:style w:type="paragraph" w:styleId="31">
    <w:name w:val="index heading"/>
    <w:basedOn w:val="1"/>
    <w:next w:val="32"/>
    <w:unhideWhenUsed/>
    <w:qFormat/>
    <w:uiPriority w:val="99"/>
    <w:rPr>
      <w:rFonts w:ascii="等线 Light" w:hAnsi="等线 Light" w:eastAsia="等线 Light" w:cs="Times New Roman"/>
      <w:b/>
      <w:bCs/>
    </w:rPr>
  </w:style>
  <w:style w:type="paragraph" w:styleId="32">
    <w:name w:val="index 1"/>
    <w:basedOn w:val="1"/>
    <w:next w:val="1"/>
    <w:unhideWhenUsed/>
    <w:qFormat/>
    <w:uiPriority w:val="0"/>
    <w:pPr>
      <w:tabs>
        <w:tab w:val="left" w:pos="900"/>
      </w:tabs>
      <w:adjustRightInd w:val="0"/>
      <w:ind w:firstLine="420" w:firstLineChars="200"/>
    </w:pPr>
    <w:rPr>
      <w:rFonts w:ascii="宋体" w:hAnsi="宋体" w:eastAsia="宋体" w:cs="Times New Roman"/>
    </w:rPr>
  </w:style>
  <w:style w:type="paragraph" w:styleId="33">
    <w:name w:val="List Bullet 2"/>
    <w:basedOn w:val="1"/>
    <w:qFormat/>
    <w:uiPriority w:val="0"/>
    <w:pPr>
      <w:widowControl/>
      <w:tabs>
        <w:tab w:val="left" w:pos="780"/>
      </w:tabs>
      <w:spacing w:line="480" w:lineRule="exact"/>
      <w:ind w:left="680" w:leftChars="10" w:right="170" w:hanging="659" w:hangingChars="270"/>
      <w:jc w:val="left"/>
    </w:pPr>
    <w:rPr>
      <w:rFonts w:ascii="宋体" w:hAnsi="宋体" w:eastAsia="宋体" w:cs="Times New Roman"/>
      <w:b/>
      <w:color w:val="0000FF"/>
      <w:spacing w:val="2"/>
      <w:kern w:val="0"/>
      <w:sz w:val="24"/>
      <w:szCs w:val="24"/>
      <w:lang w:eastAsia="zh-TW"/>
    </w:rPr>
  </w:style>
  <w:style w:type="paragraph" w:styleId="34">
    <w:name w:val="toc 5"/>
    <w:basedOn w:val="1"/>
    <w:next w:val="1"/>
    <w:qFormat/>
    <w:uiPriority w:val="39"/>
    <w:pPr>
      <w:ind w:left="840"/>
      <w:jc w:val="left"/>
    </w:pPr>
    <w:rPr>
      <w:rFonts w:ascii="Calibri" w:hAnsi="Calibri" w:eastAsia="宋体" w:cs="Calibri"/>
      <w:sz w:val="18"/>
      <w:szCs w:val="18"/>
    </w:rPr>
  </w:style>
  <w:style w:type="paragraph" w:styleId="35">
    <w:name w:val="toc 3"/>
    <w:basedOn w:val="1"/>
    <w:next w:val="1"/>
    <w:qFormat/>
    <w:uiPriority w:val="39"/>
    <w:pPr>
      <w:ind w:left="420"/>
      <w:jc w:val="left"/>
    </w:pPr>
    <w:rPr>
      <w:rFonts w:ascii="Calibri" w:hAnsi="Calibri" w:eastAsia="宋体" w:cs="Calibri"/>
      <w:i/>
      <w:iCs/>
      <w:sz w:val="20"/>
      <w:szCs w:val="20"/>
    </w:rPr>
  </w:style>
  <w:style w:type="paragraph" w:styleId="36">
    <w:name w:val="Plain Text"/>
    <w:basedOn w:val="1"/>
    <w:next w:val="1"/>
    <w:link w:val="115"/>
    <w:unhideWhenUsed/>
    <w:qFormat/>
    <w:uiPriority w:val="0"/>
    <w:pPr>
      <w:spacing w:beforeLines="50" w:line="400" w:lineRule="exact"/>
    </w:pPr>
    <w:rPr>
      <w:rFonts w:ascii="宋体" w:hAnsi="Courier New" w:eastAsia="宋体" w:cs="Times New Roman"/>
      <w:sz w:val="24"/>
    </w:rPr>
  </w:style>
  <w:style w:type="paragraph" w:styleId="37">
    <w:name w:val="List Bullet 5"/>
    <w:basedOn w:val="1"/>
    <w:qFormat/>
    <w:uiPriority w:val="0"/>
    <w:pPr>
      <w:widowControl/>
      <w:tabs>
        <w:tab w:val="left" w:pos="2040"/>
      </w:tabs>
      <w:snapToGrid w:val="0"/>
      <w:ind w:left="2040" w:right="709" w:hanging="360"/>
      <w:jc w:val="left"/>
    </w:pPr>
    <w:rPr>
      <w:rFonts w:ascii="Calibri" w:hAnsi="Calibri" w:eastAsia="2OcuAe" w:cs="Times New Roman"/>
      <w:spacing w:val="2"/>
      <w:kern w:val="0"/>
      <w:sz w:val="20"/>
      <w:szCs w:val="20"/>
      <w:lang w:eastAsia="zh-TW"/>
    </w:rPr>
  </w:style>
  <w:style w:type="paragraph" w:styleId="38">
    <w:name w:val="List Number 4"/>
    <w:basedOn w:val="1"/>
    <w:qFormat/>
    <w:uiPriority w:val="0"/>
    <w:pPr>
      <w:tabs>
        <w:tab w:val="left" w:pos="840"/>
      </w:tabs>
      <w:autoSpaceDE w:val="0"/>
      <w:autoSpaceDN w:val="0"/>
      <w:adjustRightInd w:val="0"/>
      <w:spacing w:line="360" w:lineRule="atLeast"/>
      <w:ind w:left="840" w:hanging="420"/>
    </w:pPr>
    <w:rPr>
      <w:rFonts w:ascii="Calibri" w:hAnsi="Calibri" w:eastAsia="宋体" w:cs="Times New Roman"/>
      <w:kern w:val="0"/>
      <w:sz w:val="24"/>
      <w:szCs w:val="24"/>
    </w:rPr>
  </w:style>
  <w:style w:type="paragraph" w:styleId="39">
    <w:name w:val="toc 8"/>
    <w:basedOn w:val="1"/>
    <w:next w:val="1"/>
    <w:qFormat/>
    <w:uiPriority w:val="39"/>
    <w:pPr>
      <w:ind w:left="1470"/>
      <w:jc w:val="left"/>
    </w:pPr>
    <w:rPr>
      <w:rFonts w:ascii="Calibri" w:hAnsi="Calibri" w:eastAsia="宋体" w:cs="Calibri"/>
      <w:sz w:val="18"/>
      <w:szCs w:val="18"/>
    </w:rPr>
  </w:style>
  <w:style w:type="paragraph" w:styleId="40">
    <w:name w:val="Date"/>
    <w:basedOn w:val="1"/>
    <w:next w:val="1"/>
    <w:link w:val="104"/>
    <w:unhideWhenUsed/>
    <w:qFormat/>
    <w:uiPriority w:val="99"/>
    <w:pPr>
      <w:ind w:left="2500" w:leftChars="2500"/>
    </w:pPr>
    <w:rPr>
      <w:rFonts w:ascii="Calibri" w:hAnsi="Calibri" w:eastAsia="楷体_GB2312" w:cs="Times New Roman"/>
      <w:kern w:val="0"/>
      <w:sz w:val="32"/>
    </w:rPr>
  </w:style>
  <w:style w:type="paragraph" w:styleId="41">
    <w:name w:val="Body Text Indent 2"/>
    <w:basedOn w:val="1"/>
    <w:link w:val="105"/>
    <w:unhideWhenUsed/>
    <w:qFormat/>
    <w:uiPriority w:val="0"/>
    <w:pPr>
      <w:snapToGrid w:val="0"/>
      <w:ind w:firstLine="542" w:firstLineChars="225"/>
    </w:pPr>
    <w:rPr>
      <w:rFonts w:ascii="仿宋_GB2312" w:hAnsi="宋体" w:eastAsia="宋体" w:cs="Times New Roman"/>
      <w:b/>
      <w:color w:val="000000"/>
      <w:kern w:val="0"/>
      <w:sz w:val="24"/>
    </w:rPr>
  </w:style>
  <w:style w:type="paragraph" w:styleId="42">
    <w:name w:val="endnote text"/>
    <w:basedOn w:val="1"/>
    <w:link w:val="363"/>
    <w:qFormat/>
    <w:uiPriority w:val="0"/>
    <w:pPr>
      <w:widowControl/>
      <w:adjustRightInd w:val="0"/>
      <w:spacing w:line="360" w:lineRule="atLeast"/>
      <w:jc w:val="left"/>
      <w:textAlignment w:val="baseline"/>
    </w:pPr>
    <w:rPr>
      <w:rFonts w:ascii="Times New Roman" w:hAnsi="Times New Roman" w:eastAsia="宋体" w:cs="Times New Roman"/>
      <w:kern w:val="0"/>
      <w:sz w:val="24"/>
      <w:szCs w:val="20"/>
    </w:rPr>
  </w:style>
  <w:style w:type="paragraph" w:styleId="43">
    <w:name w:val="Balloon Text"/>
    <w:basedOn w:val="1"/>
    <w:link w:val="106"/>
    <w:unhideWhenUsed/>
    <w:qFormat/>
    <w:uiPriority w:val="0"/>
    <w:rPr>
      <w:rFonts w:ascii="Calibri" w:hAnsi="Calibri" w:eastAsia="宋体" w:cs="Times New Roman"/>
      <w:sz w:val="18"/>
      <w:szCs w:val="18"/>
    </w:rPr>
  </w:style>
  <w:style w:type="paragraph" w:styleId="44">
    <w:name w:val="footer"/>
    <w:basedOn w:val="1"/>
    <w:link w:val="87"/>
    <w:unhideWhenUsed/>
    <w:qFormat/>
    <w:uiPriority w:val="99"/>
    <w:pPr>
      <w:tabs>
        <w:tab w:val="center" w:pos="4153"/>
        <w:tab w:val="right" w:pos="8306"/>
      </w:tabs>
      <w:snapToGrid w:val="0"/>
      <w:jc w:val="left"/>
    </w:pPr>
    <w:rPr>
      <w:sz w:val="18"/>
      <w:szCs w:val="18"/>
    </w:rPr>
  </w:style>
  <w:style w:type="paragraph" w:styleId="45">
    <w:name w:val="header"/>
    <w:basedOn w:val="1"/>
    <w:link w:val="86"/>
    <w:unhideWhenUsed/>
    <w:qFormat/>
    <w:uiPriority w:val="99"/>
    <w:pPr>
      <w:pBdr>
        <w:bottom w:val="single" w:color="auto" w:sz="6" w:space="1"/>
      </w:pBdr>
      <w:tabs>
        <w:tab w:val="center" w:pos="4153"/>
        <w:tab w:val="right" w:pos="8306"/>
      </w:tabs>
      <w:snapToGrid w:val="0"/>
      <w:jc w:val="center"/>
    </w:pPr>
    <w:rPr>
      <w:sz w:val="18"/>
      <w:szCs w:val="18"/>
    </w:rPr>
  </w:style>
  <w:style w:type="paragraph" w:styleId="46">
    <w:name w:val="toc 1"/>
    <w:basedOn w:val="1"/>
    <w:next w:val="1"/>
    <w:link w:val="370"/>
    <w:unhideWhenUsed/>
    <w:qFormat/>
    <w:uiPriority w:val="39"/>
    <w:rPr>
      <w:rFonts w:ascii="Times New Roman" w:hAnsi="Times New Roman" w:eastAsia="宋体" w:cs="Times New Roman"/>
    </w:rPr>
  </w:style>
  <w:style w:type="paragraph" w:styleId="47">
    <w:name w:val="toc 4"/>
    <w:basedOn w:val="1"/>
    <w:next w:val="1"/>
    <w:qFormat/>
    <w:uiPriority w:val="39"/>
    <w:pPr>
      <w:ind w:left="630"/>
      <w:jc w:val="left"/>
    </w:pPr>
    <w:rPr>
      <w:rFonts w:ascii="Calibri" w:hAnsi="Calibri" w:eastAsia="宋体" w:cs="Calibri"/>
      <w:sz w:val="18"/>
      <w:szCs w:val="18"/>
    </w:rPr>
  </w:style>
  <w:style w:type="paragraph" w:styleId="48">
    <w:name w:val="Subtitle"/>
    <w:basedOn w:val="1"/>
    <w:next w:val="1"/>
    <w:link w:val="364"/>
    <w:qFormat/>
    <w:uiPriority w:val="0"/>
    <w:pPr>
      <w:wordWrap w:val="0"/>
      <w:spacing w:before="240" w:after="60" w:line="312" w:lineRule="auto"/>
      <w:ind w:firstLine="200" w:firstLineChars="200"/>
      <w:jc w:val="center"/>
      <w:outlineLvl w:val="1"/>
    </w:pPr>
    <w:rPr>
      <w:rFonts w:ascii="Calibri" w:hAnsi="Calibri" w:eastAsia="宋体" w:cs="宋体"/>
      <w:b/>
      <w:bCs/>
      <w:kern w:val="28"/>
      <w:sz w:val="32"/>
      <w:szCs w:val="32"/>
    </w:rPr>
  </w:style>
  <w:style w:type="paragraph" w:styleId="49">
    <w:name w:val="List Number 5"/>
    <w:basedOn w:val="1"/>
    <w:qFormat/>
    <w:uiPriority w:val="0"/>
    <w:pPr>
      <w:widowControl/>
      <w:tabs>
        <w:tab w:val="left" w:pos="420"/>
      </w:tabs>
      <w:snapToGrid w:val="0"/>
      <w:ind w:left="420" w:right="709" w:hanging="420"/>
      <w:jc w:val="left"/>
    </w:pPr>
    <w:rPr>
      <w:rFonts w:ascii="Calibri" w:hAnsi="Calibri" w:eastAsia="2OcuAe" w:cs="Times New Roman"/>
      <w:spacing w:val="2"/>
      <w:kern w:val="0"/>
      <w:sz w:val="20"/>
      <w:szCs w:val="20"/>
      <w:lang w:eastAsia="zh-TW"/>
    </w:rPr>
  </w:style>
  <w:style w:type="paragraph" w:styleId="50">
    <w:name w:val="List"/>
    <w:basedOn w:val="1"/>
    <w:unhideWhenUsed/>
    <w:qFormat/>
    <w:uiPriority w:val="99"/>
    <w:pPr>
      <w:ind w:left="200" w:hanging="200" w:hangingChars="200"/>
    </w:pPr>
    <w:rPr>
      <w:rFonts w:ascii="Times New Roman" w:hAnsi="Times New Roman" w:eastAsia="宋体" w:cs="Times New Roman"/>
      <w:sz w:val="28"/>
    </w:rPr>
  </w:style>
  <w:style w:type="paragraph" w:styleId="51">
    <w:name w:val="footnote text"/>
    <w:basedOn w:val="1"/>
    <w:link w:val="365"/>
    <w:qFormat/>
    <w:uiPriority w:val="0"/>
    <w:pPr>
      <w:wordWrap w:val="0"/>
      <w:snapToGrid w:val="0"/>
      <w:spacing w:line="360" w:lineRule="auto"/>
      <w:ind w:firstLine="200" w:firstLineChars="200"/>
      <w:jc w:val="left"/>
    </w:pPr>
    <w:rPr>
      <w:rFonts w:ascii="宋体" w:hAnsi="Calibri" w:eastAsia="宋体" w:cs="宋体"/>
      <w:sz w:val="18"/>
      <w:szCs w:val="18"/>
    </w:rPr>
  </w:style>
  <w:style w:type="paragraph" w:styleId="52">
    <w:name w:val="toc 6"/>
    <w:basedOn w:val="1"/>
    <w:next w:val="1"/>
    <w:qFormat/>
    <w:uiPriority w:val="39"/>
    <w:pPr>
      <w:ind w:left="1050"/>
      <w:jc w:val="left"/>
    </w:pPr>
    <w:rPr>
      <w:rFonts w:ascii="Calibri" w:hAnsi="Calibri" w:eastAsia="宋体" w:cs="Calibri"/>
      <w:sz w:val="18"/>
      <w:szCs w:val="18"/>
    </w:rPr>
  </w:style>
  <w:style w:type="paragraph" w:styleId="53">
    <w:name w:val="Body Text Indent 3"/>
    <w:basedOn w:val="1"/>
    <w:link w:val="107"/>
    <w:unhideWhenUsed/>
    <w:qFormat/>
    <w:uiPriority w:val="0"/>
    <w:pPr>
      <w:snapToGrid w:val="0"/>
      <w:ind w:firstLine="480" w:firstLineChars="200"/>
      <w:jc w:val="left"/>
    </w:pPr>
    <w:rPr>
      <w:rFonts w:ascii="仿宋_GB2312" w:hAnsi="宋体" w:eastAsia="Times New Roman" w:cs="Times New Roman"/>
      <w:color w:val="000000"/>
      <w:kern w:val="0"/>
      <w:sz w:val="24"/>
    </w:rPr>
  </w:style>
  <w:style w:type="paragraph" w:styleId="54">
    <w:name w:val="toc 2"/>
    <w:basedOn w:val="1"/>
    <w:next w:val="1"/>
    <w:qFormat/>
    <w:uiPriority w:val="39"/>
    <w:pPr>
      <w:wordWrap w:val="0"/>
      <w:spacing w:line="360" w:lineRule="auto"/>
      <w:ind w:left="420" w:leftChars="200" w:firstLine="200" w:firstLineChars="200"/>
    </w:pPr>
    <w:rPr>
      <w:rFonts w:ascii="宋体" w:hAnsi="Calibri" w:eastAsia="宋体" w:cs="宋体"/>
    </w:rPr>
  </w:style>
  <w:style w:type="paragraph" w:styleId="55">
    <w:name w:val="toc 9"/>
    <w:basedOn w:val="1"/>
    <w:next w:val="1"/>
    <w:qFormat/>
    <w:uiPriority w:val="39"/>
    <w:pPr>
      <w:ind w:left="1680"/>
      <w:jc w:val="left"/>
    </w:pPr>
    <w:rPr>
      <w:rFonts w:ascii="Calibri" w:hAnsi="Calibri" w:eastAsia="宋体" w:cs="Calibri"/>
      <w:sz w:val="18"/>
      <w:szCs w:val="18"/>
    </w:rPr>
  </w:style>
  <w:style w:type="paragraph" w:styleId="56">
    <w:name w:val="Body Text 2"/>
    <w:basedOn w:val="1"/>
    <w:link w:val="108"/>
    <w:unhideWhenUsed/>
    <w:qFormat/>
    <w:uiPriority w:val="0"/>
    <w:pPr>
      <w:widowControl/>
      <w:overflowPunct w:val="0"/>
      <w:autoSpaceDE w:val="0"/>
      <w:autoSpaceDN w:val="0"/>
      <w:adjustRightInd w:val="0"/>
      <w:spacing w:line="280" w:lineRule="exact"/>
      <w:jc w:val="center"/>
    </w:pPr>
    <w:rPr>
      <w:rFonts w:ascii="宋体" w:hAnsi="宋体" w:eastAsia="宋体" w:cs="宋体"/>
      <w:bCs/>
    </w:rPr>
  </w:style>
  <w:style w:type="paragraph" w:styleId="57">
    <w:name w:val="HTML Preformatted"/>
    <w:basedOn w:val="1"/>
    <w:link w:val="109"/>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hAnsi="Courier New" w:eastAsia="宋体" w:cs="Times New Roman"/>
      <w:kern w:val="0"/>
      <w:sz w:val="20"/>
      <w:szCs w:val="20"/>
    </w:rPr>
  </w:style>
  <w:style w:type="paragraph" w:styleId="58">
    <w:name w:val="Normal (Web)"/>
    <w:basedOn w:val="1"/>
    <w:link w:val="723"/>
    <w:unhideWhenUsed/>
    <w:qFormat/>
    <w:uiPriority w:val="0"/>
    <w:pPr>
      <w:widowControl/>
      <w:spacing w:before="100" w:beforeAutospacing="1" w:after="100" w:afterAutospacing="1"/>
      <w:jc w:val="left"/>
    </w:pPr>
    <w:rPr>
      <w:rFonts w:ascii="(使用中文字体)" w:hAnsi="(使用中文字体)" w:eastAsia="宋体" w:cs="(使用中文字体)"/>
      <w:kern w:val="0"/>
      <w:sz w:val="24"/>
      <w:szCs w:val="24"/>
    </w:rPr>
  </w:style>
  <w:style w:type="paragraph" w:styleId="59">
    <w:name w:val="Title"/>
    <w:basedOn w:val="1"/>
    <w:next w:val="1"/>
    <w:link w:val="366"/>
    <w:qFormat/>
    <w:uiPriority w:val="0"/>
    <w:pPr>
      <w:wordWrap w:val="0"/>
      <w:spacing w:before="240" w:after="60" w:line="360" w:lineRule="auto"/>
      <w:ind w:firstLine="200" w:firstLineChars="200"/>
      <w:jc w:val="center"/>
      <w:outlineLvl w:val="0"/>
    </w:pPr>
    <w:rPr>
      <w:rFonts w:ascii="Cambria" w:hAnsi="Cambria" w:eastAsia="宋体" w:cs="宋体"/>
      <w:b/>
      <w:bCs/>
      <w:sz w:val="32"/>
      <w:szCs w:val="32"/>
    </w:rPr>
  </w:style>
  <w:style w:type="paragraph" w:styleId="60">
    <w:name w:val="annotation subject"/>
    <w:basedOn w:val="22"/>
    <w:next w:val="22"/>
    <w:link w:val="110"/>
    <w:unhideWhenUsed/>
    <w:qFormat/>
    <w:uiPriority w:val="0"/>
    <w:rPr>
      <w:rFonts w:cs="宋体"/>
      <w:b/>
      <w:bCs/>
    </w:rPr>
  </w:style>
  <w:style w:type="paragraph" w:styleId="61">
    <w:name w:val="Body Text First Indent 2"/>
    <w:basedOn w:val="18"/>
    <w:link w:val="111"/>
    <w:unhideWhenUsed/>
    <w:qFormat/>
    <w:uiPriority w:val="99"/>
    <w:pPr>
      <w:spacing w:after="120" w:line="240" w:lineRule="auto"/>
      <w:ind w:left="420" w:leftChars="200" w:firstLine="420" w:firstLineChars="200"/>
    </w:pPr>
    <w:rPr>
      <w:rFonts w:ascii="Calibri" w:hAnsi="Calibri"/>
      <w:spacing w:val="0"/>
      <w:kern w:val="2"/>
      <w:sz w:val="21"/>
      <w:szCs w:val="24"/>
    </w:rPr>
  </w:style>
  <w:style w:type="table" w:styleId="63">
    <w:name w:val="Table Grid"/>
    <w:basedOn w:val="62"/>
    <w:qFormat/>
    <w:uiPriority w:val="0"/>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table" w:styleId="64">
    <w:name w:val="Table Theme"/>
    <w:basedOn w:val="62"/>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Medium Shading 2 Accent 2"/>
    <w:basedOn w:val="62"/>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3DFEE"/>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F81B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F81B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F81B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F81B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7BFDE"/>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7BFDE"/>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7">
    <w:name w:val="Medium Shading 2 Accent 3"/>
    <w:basedOn w:val="62"/>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FD3D2"/>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C0504D"/>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C0504D"/>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C0504D"/>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C0504D"/>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DFA7A6"/>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DFA7A6"/>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8">
    <w:name w:val="Medium Shading 2 Accent 4"/>
    <w:basedOn w:val="62"/>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E6EED5"/>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9BBB59"/>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9BBB59"/>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9BBB59"/>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9BBB59"/>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CDDDAC"/>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CDDDAC"/>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69">
    <w:name w:val="Medium Shading 2 Accent 5"/>
    <w:basedOn w:val="62"/>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FD8E8"/>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8064A2"/>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8064A2"/>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8064A2"/>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8064A2"/>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BFB1D0"/>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BFB1D0"/>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table" w:styleId="70">
    <w:name w:val="Medium Shading 2 Accent 6"/>
    <w:basedOn w:val="62"/>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D2EAF1"/>
    </w:tcPr>
    <w:tblStylePr w:type="firstRow">
      <w:rPr>
        <w:b/>
        <w:bCs/>
        <w:color w:val="FFFFFF"/>
      </w:rPr>
      <w:tblPr/>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4BACC6"/>
      </w:tcPr>
    </w:tblStylePr>
    <w:tblStylePr w:type="lastRow">
      <w:rPr>
        <w:color w:val="auto"/>
      </w:rPr>
      <w:tblPr/>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4BACC6"/>
      </w:tcPr>
    </w:tblStylePr>
    <w:tblStylePr w:type="firstCol">
      <w:rPr>
        <w:b/>
        <w:bCs/>
        <w:color w:val="FFFFFF"/>
      </w:rPr>
      <w:tblPr/>
      <w:tcPr>
        <w:tcBorders>
          <w:top w:val="nil"/>
          <w:left w:val="single" w:color="CCE8CF" w:sz="8" w:space="0"/>
          <w:bottom w:val="nil"/>
          <w:right w:val="single" w:color="CCE8CF" w:sz="24" w:space="0"/>
          <w:insideH w:val="nil"/>
          <w:insideV w:val="nil"/>
          <w:tl2br w:val="nil"/>
          <w:tr2bl w:val="nil"/>
        </w:tcBorders>
        <w:shd w:val="clear" w:color="auto" w:fill="4BACC6"/>
      </w:tcPr>
    </w:tblStylePr>
    <w:tblStylePr w:type="lastCol">
      <w:rPr>
        <w:b/>
        <w:bCs/>
        <w:color w:val="FFFFFF"/>
      </w:rPr>
      <w:tblPr/>
      <w:tcPr>
        <w:tcBorders>
          <w:top w:val="nil"/>
          <w:left w:val="single" w:color="CCE8CF" w:sz="24" w:space="0"/>
          <w:bottom w:val="nil"/>
          <w:right w:val="nil"/>
          <w:insideH w:val="nil"/>
          <w:insideV w:val="nil"/>
          <w:tl2br w:val="nil"/>
          <w:tr2bl w:val="nil"/>
        </w:tcBorders>
        <w:shd w:val="clear" w:color="auto" w:fill="4BACC6"/>
      </w:tcPr>
    </w:tblStylePr>
    <w:tblStylePr w:type="band1Vert">
      <w:tblPr/>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A5D5E2"/>
      </w:tcPr>
    </w:tblStylePr>
    <w:tblStylePr w:type="band1Horz">
      <w:tblPr/>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A5D5E2"/>
      </w:tcPr>
    </w:tblStylePr>
    <w:tblStylePr w:type="neCell">
      <w:tblPr/>
      <w:tcPr>
        <w:tcBorders>
          <w:top w:val="single" w:color="auto" w:sz="18" w:space="0"/>
          <w:left w:val="nil"/>
          <w:bottom w:val="single" w:color="auto" w:sz="18" w:space="0"/>
          <w:right w:val="nil"/>
          <w:insideH w:val="nil"/>
          <w:insideV w:val="nil"/>
          <w:tl2br w:val="nil"/>
          <w:tr2bl w:val="nil"/>
        </w:tcBorders>
      </w:tcPr>
    </w:tblStylePr>
    <w:tblStylePr w:type="nwCell">
      <w:rPr>
        <w:color w:val="FFFFFF"/>
      </w:rPr>
      <w:tblPr/>
      <w:tcPr>
        <w:tcBorders>
          <w:top w:val="single" w:color="auto" w:sz="18" w:space="0"/>
          <w:left w:val="nil"/>
          <w:bottom w:val="single" w:color="auto" w:sz="18" w:space="0"/>
          <w:right w:val="nil"/>
          <w:insideH w:val="nil"/>
          <w:insideV w:val="nil"/>
          <w:tl2br w:val="nil"/>
          <w:tr2bl w:val="nil"/>
        </w:tcBorders>
      </w:tcPr>
    </w:tblStylePr>
  </w:style>
  <w:style w:type="character" w:styleId="72">
    <w:name w:val="Strong"/>
    <w:basedOn w:val="71"/>
    <w:qFormat/>
    <w:uiPriority w:val="0"/>
    <w:rPr>
      <w:rFonts w:hint="default" w:ascii="Times New Roman" w:hAnsi="Times New Roman" w:cs="Times New Roman"/>
      <w:b/>
    </w:rPr>
  </w:style>
  <w:style w:type="character" w:styleId="73">
    <w:name w:val="page number"/>
    <w:basedOn w:val="71"/>
    <w:unhideWhenUsed/>
    <w:qFormat/>
    <w:uiPriority w:val="0"/>
    <w:rPr>
      <w:rFonts w:hint="default" w:ascii="Times New Roman" w:hAnsi="Times New Roman" w:cs="Times New Roman"/>
    </w:rPr>
  </w:style>
  <w:style w:type="character" w:styleId="74">
    <w:name w:val="FollowedHyperlink"/>
    <w:basedOn w:val="71"/>
    <w:unhideWhenUsed/>
    <w:qFormat/>
    <w:uiPriority w:val="0"/>
    <w:rPr>
      <w:rFonts w:hint="default" w:ascii="Times New Roman" w:hAnsi="Times New Roman" w:cs="Times New Roman"/>
      <w:color w:val="800080"/>
      <w:u w:val="single"/>
    </w:rPr>
  </w:style>
  <w:style w:type="character" w:styleId="75">
    <w:name w:val="Emphasis"/>
    <w:qFormat/>
    <w:uiPriority w:val="0"/>
    <w:rPr>
      <w:rFonts w:ascii="Calibri" w:hAnsi="Calibri" w:eastAsia="宋体" w:cs="Times New Roman"/>
    </w:rPr>
  </w:style>
  <w:style w:type="character" w:styleId="76">
    <w:name w:val="HTML Definition"/>
    <w:basedOn w:val="71"/>
    <w:unhideWhenUsed/>
    <w:qFormat/>
    <w:uiPriority w:val="0"/>
    <w:rPr>
      <w:rFonts w:hint="default" w:ascii="Times New Roman" w:hAnsi="Times New Roman" w:cs="Times New Roman"/>
      <w:i/>
    </w:rPr>
  </w:style>
  <w:style w:type="character" w:styleId="77">
    <w:name w:val="Hyperlink"/>
    <w:basedOn w:val="71"/>
    <w:unhideWhenUsed/>
    <w:qFormat/>
    <w:uiPriority w:val="99"/>
    <w:rPr>
      <w:rFonts w:hint="default" w:ascii="Times New Roman" w:hAnsi="Times New Roman" w:cs="Times New Roman"/>
      <w:color w:val="0000FF"/>
      <w:u w:val="single"/>
    </w:rPr>
  </w:style>
  <w:style w:type="character" w:styleId="78">
    <w:name w:val="HTML Code"/>
    <w:basedOn w:val="71"/>
    <w:unhideWhenUsed/>
    <w:qFormat/>
    <w:uiPriority w:val="0"/>
    <w:rPr>
      <w:rFonts w:hint="default" w:ascii="Marlett" w:hAnsi="Marlett" w:eastAsia="Times New Roman" w:cs="Times New Roman"/>
      <w:sz w:val="21"/>
      <w:szCs w:val="24"/>
    </w:rPr>
  </w:style>
  <w:style w:type="character" w:styleId="79">
    <w:name w:val="annotation reference"/>
    <w:basedOn w:val="71"/>
    <w:unhideWhenUsed/>
    <w:qFormat/>
    <w:uiPriority w:val="0"/>
    <w:rPr>
      <w:rFonts w:hint="default" w:ascii="Times New Roman" w:hAnsi="Times New Roman" w:cs="Times New Roman"/>
      <w:sz w:val="21"/>
    </w:rPr>
  </w:style>
  <w:style w:type="character" w:styleId="80">
    <w:name w:val="footnote reference"/>
    <w:basedOn w:val="71"/>
    <w:qFormat/>
    <w:uiPriority w:val="0"/>
    <w:rPr>
      <w:vertAlign w:val="superscript"/>
    </w:rPr>
  </w:style>
  <w:style w:type="character" w:styleId="81">
    <w:name w:val="HTML Keyboard"/>
    <w:basedOn w:val="71"/>
    <w:unhideWhenUsed/>
    <w:qFormat/>
    <w:uiPriority w:val="0"/>
    <w:rPr>
      <w:rFonts w:hint="default" w:ascii="Marlett" w:hAnsi="Marlett" w:eastAsia="Times New Roman" w:cs="Times New Roman"/>
      <w:sz w:val="21"/>
      <w:szCs w:val="24"/>
    </w:rPr>
  </w:style>
  <w:style w:type="character" w:styleId="82">
    <w:name w:val="HTML Sample"/>
    <w:basedOn w:val="71"/>
    <w:unhideWhenUsed/>
    <w:qFormat/>
    <w:uiPriority w:val="0"/>
    <w:rPr>
      <w:rFonts w:hint="default" w:ascii="Marlett" w:hAnsi="Marlett" w:eastAsia="Times New Roman" w:cs="Times New Roman"/>
      <w:sz w:val="21"/>
    </w:rPr>
  </w:style>
  <w:style w:type="paragraph" w:customStyle="1" w:styleId="83">
    <w:name w:val="表格文字"/>
    <w:basedOn w:val="1"/>
    <w:next w:val="26"/>
    <w:qFormat/>
    <w:uiPriority w:val="0"/>
    <w:rPr>
      <w:rFonts w:ascii="Times New Roman" w:hAnsi="Times New Roman" w:eastAsia="宋体" w:cs="Times New Roman"/>
      <w:sz w:val="18"/>
      <w:szCs w:val="24"/>
    </w:rPr>
  </w:style>
  <w:style w:type="paragraph" w:customStyle="1" w:styleId="84">
    <w:name w:val="首行缩进"/>
    <w:basedOn w:val="1"/>
    <w:qFormat/>
    <w:uiPriority w:val="0"/>
    <w:pPr>
      <w:spacing w:line="360" w:lineRule="auto"/>
      <w:ind w:firstLine="480" w:firstLineChars="200"/>
      <w:jc w:val="left"/>
    </w:pPr>
    <w:rPr>
      <w:rFonts w:ascii="宋体" w:hAnsi="宋体"/>
      <w:sz w:val="24"/>
    </w:rPr>
  </w:style>
  <w:style w:type="paragraph" w:customStyle="1" w:styleId="85">
    <w:name w:val="正文（绿盟科技）"/>
    <w:qFormat/>
    <w:uiPriority w:val="0"/>
    <w:pPr>
      <w:spacing w:line="300" w:lineRule="auto"/>
    </w:pPr>
    <w:rPr>
      <w:rFonts w:ascii="Arial" w:hAnsi="Arial" w:eastAsia="宋体" w:cs="Times New Roman"/>
      <w:sz w:val="21"/>
      <w:szCs w:val="21"/>
      <w:lang w:val="en-US" w:eastAsia="zh-CN" w:bidi="ar-SA"/>
    </w:rPr>
  </w:style>
  <w:style w:type="character" w:customStyle="1" w:styleId="86">
    <w:name w:val="页眉 字符"/>
    <w:basedOn w:val="71"/>
    <w:link w:val="45"/>
    <w:qFormat/>
    <w:uiPriority w:val="99"/>
    <w:rPr>
      <w:sz w:val="18"/>
      <w:szCs w:val="18"/>
    </w:rPr>
  </w:style>
  <w:style w:type="character" w:customStyle="1" w:styleId="87">
    <w:name w:val="页脚 字符"/>
    <w:basedOn w:val="71"/>
    <w:link w:val="44"/>
    <w:qFormat/>
    <w:uiPriority w:val="99"/>
    <w:rPr>
      <w:sz w:val="18"/>
      <w:szCs w:val="18"/>
    </w:rPr>
  </w:style>
  <w:style w:type="character" w:customStyle="1" w:styleId="88">
    <w:name w:val="标题 1 字符"/>
    <w:basedOn w:val="71"/>
    <w:link w:val="3"/>
    <w:qFormat/>
    <w:uiPriority w:val="0"/>
    <w:rPr>
      <w:rFonts w:ascii="Times New Roman" w:hAnsi="Times New Roman" w:eastAsia="黑体" w:cs="Times New Roman"/>
      <w:b/>
      <w:bCs/>
      <w:kern w:val="44"/>
      <w:sz w:val="52"/>
      <w:szCs w:val="20"/>
    </w:rPr>
  </w:style>
  <w:style w:type="character" w:customStyle="1" w:styleId="89">
    <w:name w:val="标题 2 字符"/>
    <w:basedOn w:val="71"/>
    <w:link w:val="4"/>
    <w:qFormat/>
    <w:uiPriority w:val="9"/>
    <w:rPr>
      <w:rFonts w:ascii="Arial" w:hAnsi="Arial" w:eastAsia="黑体" w:cs="Times New Roman"/>
      <w:b/>
      <w:kern w:val="0"/>
      <w:sz w:val="32"/>
      <w:szCs w:val="20"/>
    </w:rPr>
  </w:style>
  <w:style w:type="character" w:customStyle="1" w:styleId="90">
    <w:name w:val="标题 3 字符"/>
    <w:basedOn w:val="71"/>
    <w:link w:val="5"/>
    <w:qFormat/>
    <w:uiPriority w:val="0"/>
    <w:rPr>
      <w:rFonts w:ascii="Times New Roman" w:hAnsi="Times New Roman" w:eastAsia="黑体" w:cs="Times New Roman"/>
      <w:b/>
      <w:bCs/>
      <w:sz w:val="36"/>
      <w:szCs w:val="36"/>
    </w:rPr>
  </w:style>
  <w:style w:type="character" w:customStyle="1" w:styleId="91">
    <w:name w:val="标题 4 字符"/>
    <w:basedOn w:val="71"/>
    <w:link w:val="6"/>
    <w:qFormat/>
    <w:uiPriority w:val="0"/>
    <w:rPr>
      <w:rFonts w:ascii="Arial" w:hAnsi="Arial" w:eastAsia="黑体" w:cs="Times New Roman"/>
      <w:b/>
      <w:bCs/>
      <w:sz w:val="30"/>
      <w:szCs w:val="28"/>
    </w:rPr>
  </w:style>
  <w:style w:type="character" w:customStyle="1" w:styleId="92">
    <w:name w:val="标题 5 字符"/>
    <w:basedOn w:val="71"/>
    <w:link w:val="7"/>
    <w:qFormat/>
    <w:uiPriority w:val="0"/>
    <w:rPr>
      <w:rFonts w:ascii="Times New Roman" w:hAnsi="Times New Roman" w:eastAsia="宋体" w:cs="Times New Roman"/>
      <w:b/>
      <w:bCs/>
      <w:sz w:val="28"/>
      <w:szCs w:val="28"/>
    </w:rPr>
  </w:style>
  <w:style w:type="character" w:customStyle="1" w:styleId="93">
    <w:name w:val="标题 6 字符"/>
    <w:basedOn w:val="71"/>
    <w:link w:val="8"/>
    <w:qFormat/>
    <w:uiPriority w:val="9"/>
    <w:rPr>
      <w:rFonts w:ascii="Arial" w:hAnsi="Arial" w:eastAsia="黑体" w:cs="Times New Roman"/>
      <w:b/>
      <w:sz w:val="24"/>
      <w:szCs w:val="24"/>
    </w:rPr>
  </w:style>
  <w:style w:type="character" w:customStyle="1" w:styleId="94">
    <w:name w:val="标题 7 字符"/>
    <w:basedOn w:val="71"/>
    <w:link w:val="9"/>
    <w:qFormat/>
    <w:uiPriority w:val="9"/>
    <w:rPr>
      <w:rFonts w:ascii="Times New Roman" w:hAnsi="Times New Roman" w:eastAsia="黑体"/>
      <w:sz w:val="24"/>
      <w:szCs w:val="21"/>
    </w:rPr>
  </w:style>
  <w:style w:type="character" w:customStyle="1" w:styleId="95">
    <w:name w:val="标题 8 字符"/>
    <w:basedOn w:val="71"/>
    <w:link w:val="10"/>
    <w:qFormat/>
    <w:uiPriority w:val="9"/>
    <w:rPr>
      <w:rFonts w:ascii="Times New Roman" w:hAnsi="Times New Roman" w:eastAsia="黑体" w:cs="Times New Roman"/>
      <w:bCs/>
      <w:sz w:val="24"/>
      <w:szCs w:val="32"/>
    </w:rPr>
  </w:style>
  <w:style w:type="character" w:customStyle="1" w:styleId="96">
    <w:name w:val="标题 9 字符"/>
    <w:basedOn w:val="71"/>
    <w:link w:val="11"/>
    <w:qFormat/>
    <w:uiPriority w:val="9"/>
    <w:rPr>
      <w:rFonts w:ascii="Times New Roman" w:hAnsi="Times New Roman" w:eastAsia="黑体"/>
      <w:sz w:val="24"/>
      <w:szCs w:val="21"/>
    </w:rPr>
  </w:style>
  <w:style w:type="character" w:customStyle="1" w:styleId="97">
    <w:name w:val="文档结构图 字符"/>
    <w:basedOn w:val="71"/>
    <w:link w:val="21"/>
    <w:qFormat/>
    <w:uiPriority w:val="0"/>
    <w:rPr>
      <w:rFonts w:ascii="Times New Roman" w:hAnsi="Times New Roman" w:eastAsia="宋体" w:cs="宋体"/>
      <w:shd w:val="clear" w:color="auto" w:fill="000080"/>
    </w:rPr>
  </w:style>
  <w:style w:type="character" w:customStyle="1" w:styleId="98">
    <w:name w:val="批注文字 字符"/>
    <w:basedOn w:val="71"/>
    <w:link w:val="22"/>
    <w:qFormat/>
    <w:uiPriority w:val="0"/>
    <w:rPr>
      <w:rFonts w:ascii="Times New Roman" w:hAnsi="Times New Roman" w:eastAsia="宋体" w:cs="Times New Roman"/>
    </w:rPr>
  </w:style>
  <w:style w:type="character" w:customStyle="1" w:styleId="99">
    <w:name w:val="正文文本 3 字符"/>
    <w:basedOn w:val="71"/>
    <w:link w:val="24"/>
    <w:qFormat/>
    <w:uiPriority w:val="0"/>
    <w:rPr>
      <w:rFonts w:ascii="Times New Roman" w:hAnsi="宋体" w:eastAsia="Times New Roman" w:cs="Times New Roman"/>
      <w:b/>
      <w:sz w:val="24"/>
    </w:rPr>
  </w:style>
  <w:style w:type="character" w:customStyle="1" w:styleId="100">
    <w:name w:val="正文文本 字符"/>
    <w:basedOn w:val="71"/>
    <w:link w:val="26"/>
    <w:qFormat/>
    <w:uiPriority w:val="1"/>
    <w:rPr>
      <w:rFonts w:ascii="Times New Roman" w:hAnsi="Times New Roman" w:eastAsia="宋体" w:cs="Times New Roman"/>
    </w:rPr>
  </w:style>
  <w:style w:type="character" w:customStyle="1" w:styleId="101">
    <w:name w:val="正文文本首行缩进 字符"/>
    <w:basedOn w:val="100"/>
    <w:link w:val="27"/>
    <w:qFormat/>
    <w:uiPriority w:val="0"/>
    <w:rPr>
      <w:rFonts w:ascii="Times New Roman" w:hAnsi="Calibri" w:eastAsia="宋体" w:cs="Times New Roman"/>
      <w:kern w:val="0"/>
    </w:rPr>
  </w:style>
  <w:style w:type="character" w:customStyle="1" w:styleId="102">
    <w:name w:val="正文文本缩进 字符"/>
    <w:basedOn w:val="71"/>
    <w:qFormat/>
    <w:uiPriority w:val="99"/>
  </w:style>
  <w:style w:type="character" w:customStyle="1" w:styleId="103">
    <w:name w:val="纯文本 字符"/>
    <w:basedOn w:val="71"/>
    <w:qFormat/>
    <w:uiPriority w:val="0"/>
    <w:rPr>
      <w:rFonts w:hAnsi="Courier New" w:cs="Courier New" w:asciiTheme="minorEastAsia"/>
    </w:rPr>
  </w:style>
  <w:style w:type="character" w:customStyle="1" w:styleId="104">
    <w:name w:val="日期 字符"/>
    <w:basedOn w:val="71"/>
    <w:link w:val="40"/>
    <w:qFormat/>
    <w:uiPriority w:val="99"/>
    <w:rPr>
      <w:rFonts w:ascii="Calibri" w:hAnsi="Calibri" w:eastAsia="楷体_GB2312" w:cs="Times New Roman"/>
      <w:kern w:val="0"/>
      <w:sz w:val="32"/>
    </w:rPr>
  </w:style>
  <w:style w:type="character" w:customStyle="1" w:styleId="105">
    <w:name w:val="正文文本缩进 2 字符"/>
    <w:basedOn w:val="71"/>
    <w:link w:val="41"/>
    <w:qFormat/>
    <w:uiPriority w:val="0"/>
    <w:rPr>
      <w:rFonts w:ascii="仿宋_GB2312" w:hAnsi="宋体" w:eastAsia="宋体" w:cs="Times New Roman"/>
      <w:b/>
      <w:color w:val="000000"/>
      <w:kern w:val="0"/>
      <w:sz w:val="24"/>
    </w:rPr>
  </w:style>
  <w:style w:type="character" w:customStyle="1" w:styleId="106">
    <w:name w:val="批注框文本 字符"/>
    <w:basedOn w:val="71"/>
    <w:link w:val="43"/>
    <w:qFormat/>
    <w:uiPriority w:val="0"/>
    <w:rPr>
      <w:rFonts w:ascii="Calibri" w:hAnsi="Calibri" w:eastAsia="宋体" w:cs="Times New Roman"/>
      <w:sz w:val="18"/>
      <w:szCs w:val="18"/>
    </w:rPr>
  </w:style>
  <w:style w:type="character" w:customStyle="1" w:styleId="107">
    <w:name w:val="正文文本缩进 3 字符"/>
    <w:basedOn w:val="71"/>
    <w:link w:val="53"/>
    <w:qFormat/>
    <w:uiPriority w:val="0"/>
    <w:rPr>
      <w:rFonts w:ascii="仿宋_GB2312" w:hAnsi="宋体" w:eastAsia="Times New Roman" w:cs="Times New Roman"/>
      <w:color w:val="000000"/>
      <w:kern w:val="0"/>
      <w:sz w:val="24"/>
    </w:rPr>
  </w:style>
  <w:style w:type="character" w:customStyle="1" w:styleId="108">
    <w:name w:val="正文文本 2 字符"/>
    <w:basedOn w:val="71"/>
    <w:link w:val="56"/>
    <w:qFormat/>
    <w:uiPriority w:val="0"/>
    <w:rPr>
      <w:rFonts w:ascii="宋体" w:hAnsi="宋体" w:eastAsia="宋体" w:cs="宋体"/>
      <w:bCs/>
    </w:rPr>
  </w:style>
  <w:style w:type="character" w:customStyle="1" w:styleId="109">
    <w:name w:val="HTML 预设格式 字符"/>
    <w:basedOn w:val="71"/>
    <w:link w:val="57"/>
    <w:qFormat/>
    <w:uiPriority w:val="0"/>
    <w:rPr>
      <w:rFonts w:ascii="Courier New" w:hAnsi="Courier New" w:eastAsia="宋体" w:cs="Times New Roman"/>
      <w:kern w:val="0"/>
      <w:sz w:val="20"/>
      <w:szCs w:val="20"/>
    </w:rPr>
  </w:style>
  <w:style w:type="character" w:customStyle="1" w:styleId="110">
    <w:name w:val="批注主题 字符"/>
    <w:basedOn w:val="98"/>
    <w:link w:val="60"/>
    <w:qFormat/>
    <w:uiPriority w:val="0"/>
    <w:rPr>
      <w:rFonts w:ascii="Times New Roman" w:hAnsi="Times New Roman" w:eastAsia="宋体" w:cs="宋体"/>
      <w:b/>
      <w:bCs/>
    </w:rPr>
  </w:style>
  <w:style w:type="character" w:customStyle="1" w:styleId="111">
    <w:name w:val="正文文本首行缩进 2 字符"/>
    <w:basedOn w:val="102"/>
    <w:link w:val="61"/>
    <w:qFormat/>
    <w:uiPriority w:val="99"/>
    <w:rPr>
      <w:rFonts w:ascii="Calibri" w:hAnsi="Calibri" w:eastAsia="宋体" w:cs="Times New Roman"/>
      <w:szCs w:val="24"/>
    </w:rPr>
  </w:style>
  <w:style w:type="character" w:customStyle="1" w:styleId="112">
    <w:name w:val="正文缩进 字符"/>
    <w:link w:val="17"/>
    <w:qFormat/>
    <w:locked/>
    <w:uiPriority w:val="0"/>
    <w:rPr>
      <w:rFonts w:ascii="Times New Roman" w:hAnsi="Times New Roman" w:eastAsia="宋体" w:cs="Times New Roman"/>
      <w:kern w:val="0"/>
      <w:sz w:val="20"/>
      <w:szCs w:val="20"/>
    </w:rPr>
  </w:style>
  <w:style w:type="character" w:customStyle="1" w:styleId="113">
    <w:name w:val="题注 字符"/>
    <w:link w:val="19"/>
    <w:semiHidden/>
    <w:qFormat/>
    <w:locked/>
    <w:uiPriority w:val="0"/>
    <w:rPr>
      <w:rFonts w:ascii="Arial" w:hAnsi="Arial" w:eastAsia="黑体" w:cs="Times New Roman"/>
      <w:kern w:val="0"/>
      <w:sz w:val="20"/>
      <w:szCs w:val="20"/>
    </w:rPr>
  </w:style>
  <w:style w:type="character" w:customStyle="1" w:styleId="114">
    <w:name w:val="正文文本缩进 字符2"/>
    <w:basedOn w:val="71"/>
    <w:link w:val="18"/>
    <w:semiHidden/>
    <w:qFormat/>
    <w:uiPriority w:val="99"/>
    <w:rPr>
      <w:rFonts w:ascii="宋体" w:hAnsi="Courier New" w:eastAsia="宋体" w:cs="Times New Roman"/>
      <w:spacing w:val="-4"/>
      <w:kern w:val="0"/>
      <w:sz w:val="18"/>
    </w:rPr>
  </w:style>
  <w:style w:type="character" w:customStyle="1" w:styleId="115">
    <w:name w:val="纯文本 字符1"/>
    <w:basedOn w:val="71"/>
    <w:link w:val="36"/>
    <w:qFormat/>
    <w:uiPriority w:val="0"/>
    <w:rPr>
      <w:rFonts w:ascii="宋体" w:hAnsi="Courier New" w:eastAsia="宋体" w:cs="Times New Roman"/>
      <w:sz w:val="24"/>
    </w:rPr>
  </w:style>
  <w:style w:type="paragraph" w:customStyle="1" w:styleId="116">
    <w:name w:val="列表段落1"/>
    <w:basedOn w:val="1"/>
    <w:qFormat/>
    <w:uiPriority w:val="34"/>
    <w:pPr>
      <w:ind w:firstLine="420" w:firstLineChars="200"/>
    </w:pPr>
  </w:style>
  <w:style w:type="paragraph" w:customStyle="1" w:styleId="117">
    <w:name w:val="标题 71"/>
    <w:basedOn w:val="1"/>
    <w:next w:val="1"/>
    <w:qFormat/>
    <w:uiPriority w:val="9"/>
    <w:pPr>
      <w:keepNext/>
      <w:keepLines/>
      <w:spacing w:before="120" w:after="120"/>
      <w:outlineLvl w:val="6"/>
    </w:pPr>
    <w:rPr>
      <w:rFonts w:ascii="Times New Roman" w:hAnsi="Times New Roman" w:eastAsia="黑体"/>
      <w:sz w:val="24"/>
      <w:szCs w:val="21"/>
    </w:rPr>
  </w:style>
  <w:style w:type="paragraph" w:customStyle="1" w:styleId="118">
    <w:name w:val="标题 81"/>
    <w:basedOn w:val="1"/>
    <w:next w:val="1"/>
    <w:qFormat/>
    <w:uiPriority w:val="9"/>
    <w:pPr>
      <w:keepNext/>
      <w:keepLines/>
      <w:spacing w:before="120" w:after="120"/>
      <w:outlineLvl w:val="7"/>
    </w:pPr>
    <w:rPr>
      <w:rFonts w:ascii="Times New Roman" w:hAnsi="Times New Roman" w:eastAsia="黑体" w:cs="Times New Roman"/>
      <w:bCs/>
      <w:sz w:val="24"/>
      <w:szCs w:val="32"/>
    </w:rPr>
  </w:style>
  <w:style w:type="paragraph" w:customStyle="1" w:styleId="119">
    <w:name w:val="标题 91"/>
    <w:basedOn w:val="1"/>
    <w:next w:val="1"/>
    <w:qFormat/>
    <w:uiPriority w:val="9"/>
    <w:pPr>
      <w:keepNext/>
      <w:keepLines/>
      <w:spacing w:before="120" w:after="120"/>
      <w:outlineLvl w:val="8"/>
    </w:pPr>
    <w:rPr>
      <w:rFonts w:ascii="Times New Roman" w:hAnsi="Times New Roman" w:eastAsia="黑体"/>
      <w:sz w:val="24"/>
      <w:szCs w:val="21"/>
    </w:rPr>
  </w:style>
  <w:style w:type="paragraph" w:customStyle="1" w:styleId="120">
    <w:name w:val="Default Paragraph Font Para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121">
    <w:name w:val="默认段落字体 Para Char Char Char Char Char Char Char Char Char1 Char Char Char Char"/>
    <w:basedOn w:val="1"/>
    <w:qFormat/>
    <w:uiPriority w:val="0"/>
    <w:rPr>
      <w:rFonts w:ascii="Tahoma" w:hAnsi="Tahoma" w:eastAsia="宋体" w:cs="Times New Roman"/>
      <w:sz w:val="24"/>
    </w:rPr>
  </w:style>
  <w:style w:type="paragraph" w:customStyle="1" w:styleId="122">
    <w:name w:val="1"/>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23">
    <w:name w:val="章正文"/>
    <w:qFormat/>
    <w:uiPriority w:val="0"/>
    <w:pPr>
      <w:widowControl w:val="0"/>
      <w:spacing w:beforeLines="50" w:after="120" w:line="300" w:lineRule="auto"/>
      <w:ind w:firstLine="480"/>
      <w:jc w:val="both"/>
    </w:pPr>
    <w:rPr>
      <w:rFonts w:ascii="Algerian" w:hAnsi="Algerian" w:eastAsia="宋体" w:cs="宋体"/>
      <w:sz w:val="24"/>
      <w:szCs w:val="24"/>
      <w:lang w:val="en-US" w:eastAsia="zh-CN" w:bidi="ar-SA"/>
    </w:rPr>
  </w:style>
  <w:style w:type="paragraph" w:customStyle="1" w:styleId="124">
    <w:name w:val="列出段落5"/>
    <w:basedOn w:val="1"/>
    <w:qFormat/>
    <w:uiPriority w:val="99"/>
    <w:pPr>
      <w:ind w:firstLine="420" w:firstLineChars="200"/>
    </w:pPr>
    <w:rPr>
      <w:rFonts w:ascii="Calibri" w:hAnsi="Calibri" w:eastAsia="等线" w:cs="Times New Roman"/>
      <w:sz w:val="24"/>
      <w:szCs w:val="24"/>
    </w:rPr>
  </w:style>
  <w:style w:type="paragraph" w:customStyle="1" w:styleId="125">
    <w:name w:val="Char Char Char Char Char Char"/>
    <w:basedOn w:val="1"/>
    <w:qFormat/>
    <w:uiPriority w:val="0"/>
    <w:pPr>
      <w:widowControl/>
      <w:spacing w:after="160" w:line="240" w:lineRule="exact"/>
      <w:jc w:val="left"/>
    </w:pPr>
    <w:rPr>
      <w:rFonts w:ascii="(使用中文字体)" w:hAnsi="(使用中文字体)" w:eastAsia="宋体" w:cs="Times New Roman"/>
      <w:kern w:val="0"/>
      <w:sz w:val="20"/>
      <w:szCs w:val="20"/>
      <w:lang w:eastAsia="en-US"/>
    </w:rPr>
  </w:style>
  <w:style w:type="paragraph" w:customStyle="1" w:styleId="126">
    <w:name w:val="普通(网站)11"/>
    <w:basedOn w:val="1"/>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127">
    <w:name w:val="图"/>
    <w:basedOn w:val="1"/>
    <w:qFormat/>
    <w:uiPriority w:val="99"/>
    <w:pPr>
      <w:keepNext/>
      <w:adjustRightInd w:val="0"/>
      <w:snapToGrid w:val="0"/>
      <w:spacing w:before="60" w:after="60" w:line="300" w:lineRule="auto"/>
      <w:jc w:val="center"/>
    </w:pPr>
    <w:rPr>
      <w:rFonts w:ascii="Times New Roman" w:hAnsi="Times New Roman" w:eastAsia="宋体" w:cs="Times New Roman"/>
      <w:spacing w:val="20"/>
      <w:kern w:val="0"/>
      <w:sz w:val="24"/>
    </w:rPr>
  </w:style>
  <w:style w:type="paragraph" w:customStyle="1" w:styleId="128">
    <w:name w:val="ÕýÎÄ"/>
    <w:qFormat/>
    <w:uiPriority w:val="99"/>
    <w:pPr>
      <w:widowControl w:val="0"/>
      <w:overflowPunct w:val="0"/>
      <w:autoSpaceDE w:val="0"/>
      <w:autoSpaceDN w:val="0"/>
      <w:adjustRightInd w:val="0"/>
      <w:spacing w:line="351" w:lineRule="atLeast"/>
      <w:ind w:firstLine="419"/>
      <w:jc w:val="both"/>
    </w:pPr>
    <w:rPr>
      <w:rFonts w:ascii="Times New Roman" w:hAnsi="Times New Roman" w:eastAsia="宋体" w:cs="Times New Roman"/>
      <w:color w:val="000000"/>
      <w:sz w:val="21"/>
      <w:lang w:val="en-US" w:eastAsia="zh-CN" w:bidi="ar-SA"/>
    </w:rPr>
  </w:style>
  <w:style w:type="paragraph" w:customStyle="1" w:styleId="129">
    <w:name w:val="标准有序列表（L1）"/>
    <w:basedOn w:val="17"/>
    <w:qFormat/>
    <w:uiPriority w:val="99"/>
    <w:pPr>
      <w:numPr>
        <w:ilvl w:val="0"/>
        <w:numId w:val="2"/>
      </w:numPr>
      <w:tabs>
        <w:tab w:val="left" w:pos="0"/>
        <w:tab w:val="left" w:pos="2280"/>
      </w:tabs>
      <w:spacing w:line="360" w:lineRule="auto"/>
      <w:ind w:left="0" w:firstLine="0"/>
    </w:pPr>
    <w:rPr>
      <w:rFonts w:ascii="黑体" w:eastAsia="黑体"/>
      <w:color w:val="000000"/>
      <w:sz w:val="24"/>
    </w:rPr>
  </w:style>
  <w:style w:type="paragraph" w:customStyle="1" w:styleId="130">
    <w:name w:val="f1"/>
    <w:basedOn w:val="1"/>
    <w:qFormat/>
    <w:uiPriority w:val="99"/>
    <w:pPr>
      <w:widowControl/>
      <w:spacing w:before="100" w:beforeAutospacing="1" w:after="100" w:afterAutospacing="1"/>
      <w:jc w:val="center"/>
    </w:pPr>
    <w:rPr>
      <w:rFonts w:ascii="Algerian" w:hAnsi="Algerian" w:eastAsia="宋体" w:cs="Algerian"/>
      <w:b/>
      <w:bCs/>
      <w:color w:val="FF8080"/>
      <w:spacing w:val="160"/>
      <w:kern w:val="0"/>
      <w:sz w:val="80"/>
      <w:szCs w:val="80"/>
    </w:rPr>
  </w:style>
  <w:style w:type="paragraph" w:customStyle="1" w:styleId="131">
    <w:name w:val="表格"/>
    <w:basedOn w:val="1"/>
    <w:qFormat/>
    <w:uiPriority w:val="99"/>
    <w:pPr>
      <w:snapToGrid w:val="0"/>
      <w:spacing w:after="120"/>
    </w:pPr>
    <w:rPr>
      <w:rFonts w:ascii="仿宋_GB2312" w:hAnsi="Tahoma" w:eastAsia="Times New Roman" w:cs="Tahoma"/>
      <w:color w:val="000000"/>
      <w:kern w:val="0"/>
      <w:sz w:val="24"/>
      <w:szCs w:val="24"/>
    </w:rPr>
  </w:style>
  <w:style w:type="character" w:customStyle="1" w:styleId="132">
    <w:name w:val="GW-正文 Char"/>
    <w:link w:val="133"/>
    <w:qFormat/>
    <w:locked/>
    <w:uiPriority w:val="0"/>
    <w:rPr>
      <w:rFonts w:ascii="Arial Narrow" w:hAnsi="Arial Narrow" w:eastAsia="宋体" w:cs="Times New Roman"/>
      <w:kern w:val="0"/>
      <w:sz w:val="24"/>
      <w:szCs w:val="20"/>
    </w:rPr>
  </w:style>
  <w:style w:type="paragraph" w:customStyle="1" w:styleId="133">
    <w:name w:val="GW-正文"/>
    <w:basedOn w:val="1"/>
    <w:link w:val="132"/>
    <w:qFormat/>
    <w:uiPriority w:val="0"/>
    <w:pPr>
      <w:spacing w:line="360" w:lineRule="auto"/>
      <w:ind w:firstLine="200" w:firstLineChars="200"/>
      <w:contextualSpacing/>
    </w:pPr>
    <w:rPr>
      <w:rFonts w:ascii="Arial Narrow" w:hAnsi="Arial Narrow" w:eastAsia="宋体" w:cs="Times New Roman"/>
      <w:kern w:val="0"/>
      <w:sz w:val="24"/>
      <w:szCs w:val="20"/>
    </w:rPr>
  </w:style>
  <w:style w:type="paragraph" w:customStyle="1" w:styleId="134">
    <w:name w:val="Char Char10"/>
    <w:basedOn w:val="1"/>
    <w:qFormat/>
    <w:uiPriority w:val="99"/>
    <w:pPr>
      <w:widowControl/>
      <w:spacing w:after="160" w:line="240" w:lineRule="exact"/>
      <w:jc w:val="left"/>
    </w:pPr>
    <w:rPr>
      <w:rFonts w:ascii="Times New Roman" w:hAnsi="Times New Roman" w:eastAsia="宋体" w:cs="Times New Roman"/>
      <w:kern w:val="0"/>
      <w:sz w:val="20"/>
      <w:szCs w:val="24"/>
    </w:rPr>
  </w:style>
  <w:style w:type="paragraph" w:customStyle="1" w:styleId="135">
    <w:name w:val="正文文本缩进11"/>
    <w:basedOn w:val="1"/>
    <w:qFormat/>
    <w:uiPriority w:val="99"/>
    <w:pPr>
      <w:spacing w:line="200" w:lineRule="exact"/>
      <w:ind w:firstLine="301"/>
    </w:pPr>
    <w:rPr>
      <w:rFonts w:ascii="Calibri" w:hAnsi="Calibri" w:eastAsia="宋体" w:cs="Times New Roman"/>
      <w:szCs w:val="20"/>
    </w:rPr>
  </w:style>
  <w:style w:type="paragraph" w:customStyle="1" w:styleId="136">
    <w:name w:val="Char Char Char Char"/>
    <w:basedOn w:val="1"/>
    <w:qFormat/>
    <w:uiPriority w:val="0"/>
    <w:pPr>
      <w:widowControl/>
      <w:spacing w:after="160" w:line="240" w:lineRule="exact"/>
      <w:jc w:val="left"/>
    </w:pPr>
    <w:rPr>
      <w:rFonts w:ascii="Arial" w:hAnsi="Arial" w:eastAsia="宋体" w:cs="Verdana"/>
      <w:b/>
      <w:kern w:val="0"/>
      <w:sz w:val="24"/>
      <w:szCs w:val="20"/>
      <w:lang w:eastAsia="en-US"/>
    </w:rPr>
  </w:style>
  <w:style w:type="paragraph" w:customStyle="1" w:styleId="137">
    <w:name w:val="首行缩进2字符"/>
    <w:basedOn w:val="1"/>
    <w:qFormat/>
    <w:uiPriority w:val="99"/>
    <w:pPr>
      <w:spacing w:line="360" w:lineRule="auto"/>
      <w:ind w:firstLine="200" w:firstLineChars="200"/>
    </w:pPr>
    <w:rPr>
      <w:rFonts w:ascii="Calibri" w:hAnsi="Calibri" w:eastAsia="宋体" w:cs="Times New Roman"/>
      <w:sz w:val="24"/>
      <w:szCs w:val="21"/>
    </w:rPr>
  </w:style>
  <w:style w:type="paragraph" w:customStyle="1" w:styleId="138">
    <w:name w:val="默认段落字体 Para Char"/>
    <w:basedOn w:val="1"/>
    <w:qFormat/>
    <w:uiPriority w:val="0"/>
    <w:rPr>
      <w:rFonts w:ascii="Times New Roman" w:hAnsi="Times New Roman" w:eastAsia="宋体" w:cs="Times New Roman"/>
      <w:szCs w:val="20"/>
    </w:rPr>
  </w:style>
  <w:style w:type="character" w:customStyle="1" w:styleId="139">
    <w:name w:val="Char Char3"/>
    <w:link w:val="140"/>
    <w:qFormat/>
    <w:locked/>
    <w:uiPriority w:val="0"/>
    <w:rPr>
      <w:rFonts w:ascii="Calibri" w:hAnsi="Calibri" w:eastAsia="宋体" w:cs="Times New Roman"/>
      <w:kern w:val="0"/>
      <w:sz w:val="24"/>
      <w:szCs w:val="20"/>
    </w:rPr>
  </w:style>
  <w:style w:type="paragraph" w:customStyle="1" w:styleId="140">
    <w:name w:val="Char"/>
    <w:basedOn w:val="1"/>
    <w:link w:val="139"/>
    <w:qFormat/>
    <w:uiPriority w:val="0"/>
    <w:rPr>
      <w:rFonts w:ascii="Calibri" w:hAnsi="Calibri" w:eastAsia="宋体" w:cs="Times New Roman"/>
      <w:kern w:val="0"/>
      <w:sz w:val="24"/>
      <w:szCs w:val="20"/>
    </w:rPr>
  </w:style>
  <w:style w:type="paragraph" w:customStyle="1" w:styleId="141">
    <w:name w:val="正文段"/>
    <w:basedOn w:val="1"/>
    <w:qFormat/>
    <w:uiPriority w:val="0"/>
    <w:pPr>
      <w:widowControl/>
      <w:snapToGrid w:val="0"/>
      <w:ind w:firstLine="200" w:firstLineChars="200"/>
    </w:pPr>
    <w:rPr>
      <w:rFonts w:ascii="Times New Roman" w:hAnsi="Times New Roman" w:eastAsia="宋体" w:cs="Times New Roman"/>
      <w:kern w:val="0"/>
      <w:sz w:val="24"/>
      <w:szCs w:val="20"/>
    </w:rPr>
  </w:style>
  <w:style w:type="paragraph" w:customStyle="1" w:styleId="142">
    <w:name w:val="自动更正"/>
    <w:qFormat/>
    <w:uiPriority w:val="0"/>
    <w:pPr>
      <w:widowControl w:val="0"/>
      <w:jc w:val="both"/>
    </w:pPr>
    <w:rPr>
      <w:rFonts w:ascii="Calibri" w:hAnsi="Calibri" w:eastAsia="宋体" w:cs="Times New Roman"/>
      <w:kern w:val="2"/>
      <w:sz w:val="21"/>
      <w:szCs w:val="24"/>
      <w:lang w:val="en-US" w:eastAsia="zh-CN" w:bidi="ar-SA"/>
    </w:rPr>
  </w:style>
  <w:style w:type="character" w:customStyle="1" w:styleId="143">
    <w:name w:val="列出段落 Char"/>
    <w:link w:val="144"/>
    <w:qFormat/>
    <w:locked/>
    <w:uiPriority w:val="0"/>
    <w:rPr>
      <w:rFonts w:ascii="Calibri" w:hAnsi="Calibri" w:eastAsia="宋体" w:cs="Times New Roman"/>
      <w:kern w:val="0"/>
      <w:sz w:val="24"/>
      <w:szCs w:val="20"/>
    </w:rPr>
  </w:style>
  <w:style w:type="paragraph" w:customStyle="1" w:styleId="144">
    <w:name w:val="列出段落1"/>
    <w:basedOn w:val="1"/>
    <w:link w:val="143"/>
    <w:qFormat/>
    <w:uiPriority w:val="0"/>
    <w:pPr>
      <w:ind w:firstLine="420" w:firstLineChars="200"/>
    </w:pPr>
    <w:rPr>
      <w:rFonts w:ascii="Calibri" w:hAnsi="Calibri" w:eastAsia="宋体" w:cs="Times New Roman"/>
      <w:kern w:val="0"/>
      <w:sz w:val="24"/>
      <w:szCs w:val="20"/>
    </w:rPr>
  </w:style>
  <w:style w:type="paragraph" w:customStyle="1" w:styleId="145">
    <w:name w:val="书籍标题1"/>
    <w:basedOn w:val="1"/>
    <w:next w:val="1"/>
    <w:qFormat/>
    <w:uiPriority w:val="99"/>
    <w:pPr>
      <w:pageBreakBefore/>
      <w:widowControl/>
      <w:numPr>
        <w:ilvl w:val="0"/>
        <w:numId w:val="3"/>
      </w:numPr>
      <w:spacing w:beforeLines="200"/>
      <w:ind w:left="2520"/>
      <w:jc w:val="center"/>
      <w:outlineLvl w:val="0"/>
    </w:pPr>
    <w:rPr>
      <w:rFonts w:ascii="Times New Roman" w:hAnsi="Times New Roman" w:eastAsia="黑体" w:cs="Times New Roman"/>
      <w:b/>
      <w:spacing w:val="20"/>
      <w:kern w:val="44"/>
      <w:sz w:val="44"/>
    </w:rPr>
  </w:style>
  <w:style w:type="paragraph" w:customStyle="1" w:styleId="146">
    <w:name w:val="正文_20"/>
    <w:qFormat/>
    <w:uiPriority w:val="99"/>
    <w:pPr>
      <w:widowControl w:val="0"/>
      <w:jc w:val="both"/>
    </w:pPr>
    <w:rPr>
      <w:rFonts w:ascii="Times New Roman" w:hAnsi="Times New Roman" w:eastAsia="等线" w:cs="Times New Roman"/>
      <w:kern w:val="2"/>
      <w:sz w:val="21"/>
      <w:szCs w:val="24"/>
      <w:lang w:val="en-US" w:eastAsia="zh-CN" w:bidi="ar-SA"/>
    </w:rPr>
  </w:style>
  <w:style w:type="paragraph" w:customStyle="1" w:styleId="147">
    <w:name w:val="Table Paragraph"/>
    <w:basedOn w:val="1"/>
    <w:qFormat/>
    <w:uiPriority w:val="1"/>
    <w:pPr>
      <w:spacing w:before="119"/>
    </w:pPr>
    <w:rPr>
      <w:rFonts w:ascii="宋体" w:hAnsi="宋体" w:eastAsia="宋体" w:cs="宋体"/>
      <w:szCs w:val="24"/>
      <w:lang w:val="zh-CN"/>
    </w:rPr>
  </w:style>
  <w:style w:type="paragraph" w:customStyle="1" w:styleId="148">
    <w:name w:val="表内文字"/>
    <w:basedOn w:val="1"/>
    <w:qFormat/>
    <w:uiPriority w:val="0"/>
    <w:pPr>
      <w:tabs>
        <w:tab w:val="left" w:pos="1418"/>
      </w:tabs>
      <w:spacing w:line="360" w:lineRule="auto"/>
      <w:jc w:val="center"/>
    </w:pPr>
    <w:rPr>
      <w:rFonts w:ascii="仿宋_GB2312" w:hAnsi="Times New Roman" w:eastAsia="Times New Roman" w:cs="Times New Roman"/>
      <w:spacing w:val="-20"/>
      <w:kern w:val="0"/>
      <w:sz w:val="24"/>
    </w:rPr>
  </w:style>
  <w:style w:type="paragraph" w:customStyle="1" w:styleId="149">
    <w:name w:val="样式2"/>
    <w:basedOn w:val="140"/>
    <w:qFormat/>
    <w:uiPriority w:val="99"/>
    <w:pPr>
      <w:tabs>
        <w:tab w:val="left" w:pos="432"/>
      </w:tabs>
      <w:spacing w:beforeLines="50"/>
      <w:ind w:left="432" w:hanging="432"/>
    </w:pPr>
    <w:rPr>
      <w:b/>
      <w:szCs w:val="21"/>
      <w:u w:val="thick"/>
    </w:rPr>
  </w:style>
  <w:style w:type="paragraph" w:customStyle="1" w:styleId="150">
    <w:name w:val="样式1"/>
    <w:basedOn w:val="140"/>
    <w:link w:val="416"/>
    <w:qFormat/>
    <w:uiPriority w:val="0"/>
    <w:pPr>
      <w:tabs>
        <w:tab w:val="left" w:pos="432"/>
      </w:tabs>
      <w:spacing w:beforeLines="50"/>
      <w:ind w:left="642" w:leftChars="100" w:right="100" w:rightChars="100" w:hanging="432"/>
      <w:jc w:val="right"/>
    </w:pPr>
    <w:rPr>
      <w:b/>
      <w:i/>
      <w:szCs w:val="21"/>
      <w:u w:val="thick"/>
    </w:rPr>
  </w:style>
  <w:style w:type="paragraph" w:customStyle="1" w:styleId="151">
    <w:name w:val="正文 New"/>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正文首行缩进2字符 Char Char"/>
    <w:link w:val="153"/>
    <w:qFormat/>
    <w:locked/>
    <w:uiPriority w:val="0"/>
    <w:rPr>
      <w:rFonts w:ascii="Times New Roman" w:hAnsi="Times New Roman" w:eastAsia="宋体" w:cs="Times New Roman"/>
      <w:kern w:val="0"/>
      <w:sz w:val="24"/>
      <w:szCs w:val="20"/>
    </w:rPr>
  </w:style>
  <w:style w:type="paragraph" w:customStyle="1" w:styleId="153">
    <w:name w:val="正文首行缩进2字符"/>
    <w:basedOn w:val="1"/>
    <w:link w:val="152"/>
    <w:qFormat/>
    <w:uiPriority w:val="0"/>
    <w:pPr>
      <w:spacing w:line="360" w:lineRule="auto"/>
      <w:ind w:firstLine="200" w:firstLineChars="200"/>
    </w:pPr>
    <w:rPr>
      <w:rFonts w:ascii="Times New Roman" w:hAnsi="Times New Roman" w:eastAsia="宋体" w:cs="Times New Roman"/>
      <w:kern w:val="0"/>
      <w:sz w:val="24"/>
      <w:szCs w:val="20"/>
    </w:rPr>
  </w:style>
  <w:style w:type="paragraph" w:customStyle="1" w:styleId="154">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155">
    <w:name w:val="表格内容 字符"/>
    <w:link w:val="156"/>
    <w:qFormat/>
    <w:locked/>
    <w:uiPriority w:val="0"/>
    <w:rPr>
      <w:rFonts w:ascii="仿宋" w:hAnsi="仿宋" w:eastAsia="仿宋" w:cs="Times New Roman"/>
      <w:kern w:val="0"/>
      <w:sz w:val="24"/>
    </w:rPr>
  </w:style>
  <w:style w:type="paragraph" w:customStyle="1" w:styleId="156">
    <w:name w:val="表格内容"/>
    <w:next w:val="153"/>
    <w:link w:val="155"/>
    <w:qFormat/>
    <w:uiPriority w:val="0"/>
    <w:pPr>
      <w:jc w:val="center"/>
    </w:pPr>
    <w:rPr>
      <w:rFonts w:ascii="仿宋" w:hAnsi="仿宋" w:eastAsia="仿宋" w:cs="Times New Roman"/>
      <w:sz w:val="24"/>
      <w:szCs w:val="22"/>
      <w:lang w:val="en-US" w:eastAsia="zh-CN" w:bidi="ar-SA"/>
    </w:rPr>
  </w:style>
  <w:style w:type="paragraph" w:customStyle="1" w:styleId="157">
    <w:name w:val="列项中圆1"/>
    <w:basedOn w:val="1"/>
    <w:next w:val="1"/>
    <w:qFormat/>
    <w:uiPriority w:val="99"/>
    <w:pPr>
      <w:tabs>
        <w:tab w:val="left" w:pos="839"/>
      </w:tabs>
      <w:spacing w:line="300" w:lineRule="auto"/>
      <w:ind w:left="839" w:hanging="419"/>
    </w:pPr>
    <w:rPr>
      <w:rFonts w:ascii="Times New Roman" w:hAnsi="Times New Roman" w:eastAsia="宋体" w:cs="Times New Roman"/>
      <w:kern w:val="21"/>
      <w:szCs w:val="20"/>
    </w:rPr>
  </w:style>
  <w:style w:type="paragraph" w:customStyle="1" w:styleId="158">
    <w:name w:val="xl30"/>
    <w:basedOn w:val="1"/>
    <w:qFormat/>
    <w:uiPriority w:val="0"/>
    <w:pPr>
      <w:widowControl/>
      <w:spacing w:before="100" w:beforeAutospacing="1" w:after="100" w:afterAutospacing="1"/>
      <w:jc w:val="center"/>
    </w:pPr>
    <w:rPr>
      <w:rFonts w:ascii="楷体_GB2312" w:hAnsi="宋体" w:eastAsia="楷体_GB2312" w:cs="Times New Roman"/>
      <w:b/>
      <w:kern w:val="0"/>
      <w:sz w:val="32"/>
    </w:rPr>
  </w:style>
  <w:style w:type="paragraph" w:customStyle="1" w:styleId="159">
    <w:name w:val="文档正文"/>
    <w:basedOn w:val="1"/>
    <w:qFormat/>
    <w:uiPriority w:val="0"/>
    <w:rPr>
      <w:rFonts w:ascii="宋体" w:hAnsi="宋体" w:eastAsia="宋体" w:cs="Arial"/>
      <w:bCs/>
      <w:szCs w:val="21"/>
    </w:rPr>
  </w:style>
  <w:style w:type="paragraph" w:customStyle="1" w:styleId="160">
    <w:name w:val="p15"/>
    <w:basedOn w:val="1"/>
    <w:qFormat/>
    <w:uiPriority w:val="0"/>
    <w:pPr>
      <w:widowControl/>
      <w:spacing w:line="200" w:lineRule="atLeast"/>
      <w:ind w:firstLine="301"/>
    </w:pPr>
    <w:rPr>
      <w:rFonts w:ascii="宋体" w:hAnsi="宋体" w:eastAsia="宋体" w:cs="宋体"/>
      <w:spacing w:val="-4"/>
      <w:kern w:val="0"/>
      <w:sz w:val="18"/>
      <w:szCs w:val="18"/>
    </w:rPr>
  </w:style>
  <w:style w:type="character" w:customStyle="1" w:styleId="161">
    <w:name w:val="无间隔 Char"/>
    <w:link w:val="162"/>
    <w:qFormat/>
    <w:locked/>
    <w:uiPriority w:val="0"/>
    <w:rPr>
      <w:rFonts w:ascii="Calibri" w:hAnsi="Calibri" w:eastAsia="宋体" w:cs="Times New Roman"/>
      <w:kern w:val="0"/>
      <w:sz w:val="22"/>
    </w:rPr>
  </w:style>
  <w:style w:type="paragraph" w:customStyle="1" w:styleId="162">
    <w:name w:val="无间隔1"/>
    <w:link w:val="161"/>
    <w:qFormat/>
    <w:uiPriority w:val="0"/>
    <w:rPr>
      <w:rFonts w:ascii="Calibri" w:hAnsi="Calibri" w:eastAsia="宋体" w:cs="Times New Roman"/>
      <w:sz w:val="22"/>
      <w:szCs w:val="22"/>
      <w:lang w:val="en-US" w:eastAsia="zh-CN" w:bidi="ar-SA"/>
    </w:rPr>
  </w:style>
  <w:style w:type="paragraph" w:customStyle="1" w:styleId="163">
    <w:name w:val="纯文本1"/>
    <w:basedOn w:val="1"/>
    <w:link w:val="379"/>
    <w:qFormat/>
    <w:uiPriority w:val="0"/>
    <w:pPr>
      <w:spacing w:beforeLines="50" w:line="400" w:lineRule="exact"/>
    </w:pPr>
    <w:rPr>
      <w:rFonts w:ascii="宋体" w:hAnsi="Courier New" w:eastAsia="Times New Roman" w:cs="Times New Roman"/>
      <w:sz w:val="30"/>
      <w:szCs w:val="24"/>
    </w:rPr>
  </w:style>
  <w:style w:type="paragraph" w:customStyle="1" w:styleId="164">
    <w:name w:val="缩进4"/>
    <w:basedOn w:val="1"/>
    <w:qFormat/>
    <w:uiPriority w:val="99"/>
    <w:pPr>
      <w:autoSpaceDE w:val="0"/>
      <w:autoSpaceDN w:val="0"/>
      <w:adjustRightInd w:val="0"/>
      <w:spacing w:line="288" w:lineRule="auto"/>
      <w:ind w:left="227"/>
    </w:pPr>
    <w:rPr>
      <w:rFonts w:ascii="方正黑体简体" w:hAnsi="Calibri" w:eastAsia="方正黑体简体" w:cs="方正黑体简体"/>
      <w:color w:val="000000"/>
      <w:kern w:val="0"/>
      <w:sz w:val="18"/>
      <w:szCs w:val="18"/>
      <w:lang w:val="zh-CN"/>
    </w:rPr>
  </w:style>
  <w:style w:type="paragraph" w:customStyle="1" w:styleId="165">
    <w:name w:val="_Style 130"/>
    <w:basedOn w:val="1"/>
    <w:next w:val="144"/>
    <w:qFormat/>
    <w:uiPriority w:val="99"/>
    <w:pPr>
      <w:ind w:firstLine="420" w:firstLineChars="200"/>
    </w:pPr>
    <w:rPr>
      <w:rFonts w:ascii="Times New Roman" w:hAnsi="Times New Roman" w:eastAsia="宋体" w:cs="Times New Roman"/>
      <w:szCs w:val="20"/>
    </w:rPr>
  </w:style>
  <w:style w:type="paragraph" w:customStyle="1" w:styleId="166">
    <w:name w:val="0正文"/>
    <w:basedOn w:val="1"/>
    <w:qFormat/>
    <w:uiPriority w:val="99"/>
    <w:pPr>
      <w:spacing w:line="560" w:lineRule="exact"/>
      <w:ind w:firstLine="200" w:firstLineChars="200"/>
    </w:pPr>
    <w:rPr>
      <w:rFonts w:ascii="Tahoma" w:hAnsi="Tahoma" w:eastAsia="宋体" w:cs="Times New Roman"/>
    </w:rPr>
  </w:style>
  <w:style w:type="paragraph" w:customStyle="1" w:styleId="167">
    <w:name w:val="正文（本文）"/>
    <w:basedOn w:val="1"/>
    <w:qFormat/>
    <w:uiPriority w:val="99"/>
    <w:pPr>
      <w:snapToGrid w:val="0"/>
      <w:spacing w:line="360" w:lineRule="auto"/>
      <w:ind w:firstLine="480" w:firstLineChars="200"/>
    </w:pPr>
    <w:rPr>
      <w:rFonts w:ascii="Times New Roman" w:hAnsi="Times New Roman" w:eastAsia="宋体" w:cs="Times New Roman"/>
      <w:sz w:val="24"/>
      <w:szCs w:val="24"/>
    </w:rPr>
  </w:style>
  <w:style w:type="paragraph" w:customStyle="1" w:styleId="168">
    <w:name w:val="l正文"/>
    <w:basedOn w:val="1"/>
    <w:qFormat/>
    <w:uiPriority w:val="0"/>
    <w:pPr>
      <w:spacing w:line="300" w:lineRule="auto"/>
      <w:ind w:firstLine="200" w:firstLineChars="200"/>
      <w:jc w:val="left"/>
    </w:pPr>
    <w:rPr>
      <w:rFonts w:ascii="楷体_GB2312" w:hAnsi="Chiller" w:eastAsia="楷体_GB2312" w:cs="等线"/>
      <w:sz w:val="24"/>
      <w:szCs w:val="24"/>
    </w:rPr>
  </w:style>
  <w:style w:type="paragraph" w:customStyle="1" w:styleId="169">
    <w:name w:val="_Style 4"/>
    <w:basedOn w:val="1"/>
    <w:qFormat/>
    <w:uiPriority w:val="99"/>
    <w:pPr>
      <w:ind w:firstLine="420" w:firstLineChars="200"/>
      <w:jc w:val="left"/>
    </w:pPr>
    <w:rPr>
      <w:rFonts w:ascii="Calibri" w:hAnsi="Calibri" w:eastAsia="宋体" w:cs="Times New Roman"/>
      <w:kern w:val="0"/>
      <w:sz w:val="18"/>
      <w:szCs w:val="24"/>
      <w:lang w:eastAsia="zh-TW"/>
    </w:rPr>
  </w:style>
  <w:style w:type="paragraph" w:customStyle="1" w:styleId="170">
    <w:name w:val="列出段落2"/>
    <w:basedOn w:val="1"/>
    <w:qFormat/>
    <w:uiPriority w:val="0"/>
    <w:pPr>
      <w:ind w:firstLine="420" w:firstLineChars="200"/>
    </w:pPr>
    <w:rPr>
      <w:rFonts w:ascii="Calibri" w:hAnsi="Calibri" w:eastAsia="宋体" w:cs="Times New Roman"/>
      <w:szCs w:val="24"/>
    </w:rPr>
  </w:style>
  <w:style w:type="paragraph" w:customStyle="1" w:styleId="171">
    <w:name w:val="正文1"/>
    <w:link w:val="518"/>
    <w:qFormat/>
    <w:uiPriority w:val="0"/>
    <w:pPr>
      <w:widowControl w:val="0"/>
      <w:jc w:val="both"/>
    </w:pPr>
    <w:rPr>
      <w:rFonts w:ascii="Calibri" w:hAnsi="Calibri" w:eastAsia="宋体" w:cs="Calibri"/>
      <w:kern w:val="2"/>
      <w:sz w:val="21"/>
      <w:szCs w:val="21"/>
      <w:lang w:val="en-US" w:eastAsia="zh-CN" w:bidi="ar-SA"/>
    </w:rPr>
  </w:style>
  <w:style w:type="paragraph" w:customStyle="1" w:styleId="172">
    <w:name w:val="WPSOffice手动目录 1"/>
    <w:qFormat/>
    <w:uiPriority w:val="0"/>
    <w:rPr>
      <w:rFonts w:ascii="Times New Roman" w:hAnsi="Times New Roman" w:eastAsia="宋体" w:cs="Times New Roman"/>
      <w:lang w:val="en-US" w:eastAsia="zh-CN" w:bidi="ar-SA"/>
    </w:rPr>
  </w:style>
  <w:style w:type="paragraph" w:customStyle="1" w:styleId="173">
    <w:name w:val="正文2"/>
    <w:basedOn w:val="1"/>
    <w:link w:val="411"/>
    <w:qFormat/>
    <w:uiPriority w:val="0"/>
    <w:pPr>
      <w:spacing w:before="156" w:line="360" w:lineRule="auto"/>
      <w:ind w:firstLine="510" w:firstLineChars="200"/>
    </w:pPr>
    <w:rPr>
      <w:rFonts w:ascii="Times New Roman" w:hAnsi="Times New Roman" w:eastAsia="宋体" w:cs="Times New Roman"/>
      <w:sz w:val="24"/>
      <w:szCs w:val="20"/>
    </w:rPr>
  </w:style>
  <w:style w:type="character" w:customStyle="1" w:styleId="174">
    <w:name w:val="正文 首行缩进:  2 字符 Char Char Char"/>
    <w:link w:val="175"/>
    <w:qFormat/>
    <w:locked/>
    <w:uiPriority w:val="0"/>
    <w:rPr>
      <w:sz w:val="24"/>
    </w:rPr>
  </w:style>
  <w:style w:type="paragraph" w:customStyle="1" w:styleId="175">
    <w:name w:val="正文 首行缩进:  2 字符 Char"/>
    <w:basedOn w:val="1"/>
    <w:link w:val="174"/>
    <w:qFormat/>
    <w:uiPriority w:val="0"/>
    <w:pPr>
      <w:spacing w:line="360" w:lineRule="auto"/>
      <w:ind w:firstLine="480"/>
    </w:pPr>
    <w:rPr>
      <w:sz w:val="24"/>
    </w:rPr>
  </w:style>
  <w:style w:type="character" w:customStyle="1" w:styleId="176">
    <w:name w:val="样式 首行缩进:  0 字符 Char"/>
    <w:link w:val="177"/>
    <w:qFormat/>
    <w:locked/>
    <w:uiPriority w:val="0"/>
    <w:rPr>
      <w:rFonts w:ascii="Arial" w:hAnsi="Arial" w:eastAsia="宋体" w:cs="Times New Roman"/>
      <w:kern w:val="0"/>
      <w:sz w:val="20"/>
      <w:szCs w:val="20"/>
    </w:rPr>
  </w:style>
  <w:style w:type="paragraph" w:customStyle="1" w:styleId="177">
    <w:name w:val="样式 首行缩进:  0 字符"/>
    <w:basedOn w:val="1"/>
    <w:link w:val="176"/>
    <w:qFormat/>
    <w:uiPriority w:val="0"/>
    <w:pPr>
      <w:spacing w:line="360" w:lineRule="auto"/>
      <w:ind w:firstLine="200" w:firstLineChars="200"/>
    </w:pPr>
    <w:rPr>
      <w:rFonts w:ascii="Arial" w:hAnsi="Arial" w:eastAsia="宋体" w:cs="Times New Roman"/>
      <w:kern w:val="0"/>
      <w:sz w:val="20"/>
      <w:szCs w:val="20"/>
    </w:rPr>
  </w:style>
  <w:style w:type="paragraph" w:customStyle="1" w:styleId="178">
    <w:name w:val="正文 A"/>
    <w:qFormat/>
    <w:uiPriority w:val="99"/>
    <w:pPr>
      <w:widowControl w:val="0"/>
      <w:jc w:val="both"/>
    </w:pPr>
    <w:rPr>
      <w:rFonts w:ascii="Arial Unicode MS" w:hAnsi="Times New Roman" w:eastAsia="Arial Unicode MS" w:cs="Arial Unicode MS"/>
      <w:color w:val="000000"/>
      <w:kern w:val="2"/>
      <w:sz w:val="28"/>
      <w:szCs w:val="28"/>
      <w:u w:color="000000"/>
      <w:lang w:val="en-US" w:eastAsia="zh-CN" w:bidi="ar-SA"/>
    </w:rPr>
  </w:style>
  <w:style w:type="paragraph" w:customStyle="1" w:styleId="179">
    <w:name w:val="Proposals body"/>
    <w:basedOn w:val="1"/>
    <w:next w:val="1"/>
    <w:qFormat/>
    <w:uiPriority w:val="99"/>
    <w:pPr>
      <w:widowControl/>
      <w:spacing w:line="460" w:lineRule="exact"/>
      <w:jc w:val="left"/>
    </w:pPr>
    <w:rPr>
      <w:rFonts w:ascii="仿宋_GB2312" w:hAnsi="Times New Roman" w:eastAsia="Times New Roman" w:cs="Times New Roman"/>
      <w:kern w:val="0"/>
      <w:sz w:val="24"/>
      <w:szCs w:val="24"/>
    </w:rPr>
  </w:style>
  <w:style w:type="paragraph" w:customStyle="1" w:styleId="180">
    <w:name w:val="目录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1">
    <w:name w:val="title11"/>
    <w:basedOn w:val="1"/>
    <w:qFormat/>
    <w:uiPriority w:val="99"/>
    <w:pPr>
      <w:spacing w:before="150"/>
      <w:jc w:val="left"/>
    </w:pPr>
    <w:rPr>
      <w:rFonts w:ascii="Times New Roman" w:hAnsi="Times New Roman" w:eastAsia="宋体" w:cs="Times New Roman"/>
      <w:b/>
      <w:kern w:val="0"/>
      <w:sz w:val="28"/>
      <w:szCs w:val="24"/>
    </w:rPr>
  </w:style>
  <w:style w:type="paragraph" w:customStyle="1" w:styleId="182">
    <w:name w:val="标题 10"/>
    <w:basedOn w:val="4"/>
    <w:qFormat/>
    <w:uiPriority w:val="99"/>
    <w:pPr>
      <w:spacing w:before="0" w:after="0" w:line="360" w:lineRule="auto"/>
      <w:jc w:val="center"/>
    </w:pPr>
    <w:rPr>
      <w:rFonts w:ascii="Cambria" w:hAnsi="Cambria" w:eastAsia="宋体"/>
      <w:bCs/>
      <w:sz w:val="21"/>
      <w:szCs w:val="32"/>
    </w:rPr>
  </w:style>
  <w:style w:type="paragraph" w:customStyle="1" w:styleId="183">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sz w:val="21"/>
      <w:szCs w:val="22"/>
      <w:lang w:val="en-US" w:eastAsia="zh-CN" w:bidi="ar-SA"/>
    </w:rPr>
  </w:style>
  <w:style w:type="paragraph" w:customStyle="1" w:styleId="184">
    <w:name w:val="TOC 71"/>
    <w:next w:val="1"/>
    <w:qFormat/>
    <w:uiPriority w:val="99"/>
    <w:pPr>
      <w:wordWrap w:val="0"/>
      <w:ind w:left="2550"/>
      <w:jc w:val="both"/>
    </w:pPr>
    <w:rPr>
      <w:rFonts w:ascii="Times New Roman" w:hAnsi="Times New Roman" w:eastAsia="宋体" w:cs="Times New Roman"/>
      <w:sz w:val="21"/>
      <w:szCs w:val="22"/>
      <w:lang w:val="en-US" w:eastAsia="zh-CN" w:bidi="ar-SA"/>
    </w:rPr>
  </w:style>
  <w:style w:type="paragraph" w:customStyle="1" w:styleId="185">
    <w:name w:val="List Paragraph1"/>
    <w:basedOn w:val="1"/>
    <w:qFormat/>
    <w:uiPriority w:val="0"/>
    <w:pPr>
      <w:ind w:firstLine="420" w:firstLineChars="200"/>
    </w:pPr>
    <w:rPr>
      <w:rFonts w:ascii="Times New Roman" w:hAnsi="Times New Roman" w:eastAsia="宋体" w:cs="Times New Roman"/>
      <w:szCs w:val="24"/>
    </w:rPr>
  </w:style>
  <w:style w:type="paragraph" w:customStyle="1" w:styleId="186">
    <w:name w:val="Char Char Char Char1"/>
    <w:basedOn w:val="1"/>
    <w:qFormat/>
    <w:uiPriority w:val="99"/>
    <w:rPr>
      <w:rFonts w:ascii="Tahoma" w:hAnsi="Tahoma" w:eastAsia="宋体" w:cs="Times New Roman"/>
      <w:sz w:val="24"/>
      <w:szCs w:val="20"/>
    </w:rPr>
  </w:style>
  <w:style w:type="paragraph" w:customStyle="1" w:styleId="187">
    <w:name w:val="目录 711"/>
    <w:next w:val="1"/>
    <w:qFormat/>
    <w:uiPriority w:val="99"/>
    <w:pPr>
      <w:wordWrap w:val="0"/>
      <w:ind w:left="2550"/>
      <w:jc w:val="both"/>
    </w:pPr>
    <w:rPr>
      <w:rFonts w:ascii="Times New Roman" w:hAnsi="Times New Roman" w:eastAsia="宋体" w:cs="Times New Roman"/>
      <w:sz w:val="21"/>
      <w:szCs w:val="22"/>
      <w:lang w:val="en-US" w:eastAsia="zh-CN" w:bidi="ar-SA"/>
    </w:rPr>
  </w:style>
  <w:style w:type="character" w:customStyle="1" w:styleId="188">
    <w:name w:val="z-窗体顶端 Char"/>
    <w:link w:val="189"/>
    <w:qFormat/>
    <w:locked/>
    <w:uiPriority w:val="0"/>
    <w:rPr>
      <w:rFonts w:ascii="Arial" w:hAnsi="Arial" w:eastAsia="宋体" w:cs="Times New Roman"/>
      <w:vanish/>
      <w:kern w:val="0"/>
      <w:sz w:val="20"/>
      <w:szCs w:val="20"/>
    </w:rPr>
  </w:style>
  <w:style w:type="paragraph" w:customStyle="1" w:styleId="189">
    <w:name w:val="_Style 46"/>
    <w:basedOn w:val="1"/>
    <w:next w:val="1"/>
    <w:link w:val="188"/>
    <w:qFormat/>
    <w:uiPriority w:val="0"/>
    <w:pPr>
      <w:widowControl/>
      <w:pBdr>
        <w:bottom w:val="single" w:color="auto" w:sz="6" w:space="1"/>
      </w:pBdr>
      <w:jc w:val="center"/>
    </w:pPr>
    <w:rPr>
      <w:rFonts w:ascii="Arial" w:hAnsi="Arial" w:eastAsia="宋体" w:cs="Times New Roman"/>
      <w:vanish/>
      <w:kern w:val="0"/>
      <w:sz w:val="20"/>
      <w:szCs w:val="20"/>
    </w:rPr>
  </w:style>
  <w:style w:type="paragraph" w:customStyle="1" w:styleId="190">
    <w:name w:val="此正文"/>
    <w:basedOn w:val="1"/>
    <w:qFormat/>
    <w:uiPriority w:val="99"/>
    <w:pPr>
      <w:spacing w:line="360" w:lineRule="auto"/>
      <w:ind w:firstLine="200" w:firstLineChars="200"/>
    </w:pPr>
    <w:rPr>
      <w:rFonts w:ascii="Times New Roman" w:hAnsi="Times New Roman" w:eastAsia="宋体" w:cs="Times New Roman"/>
      <w:sz w:val="24"/>
      <w:szCs w:val="24"/>
    </w:rPr>
  </w:style>
  <w:style w:type="paragraph" w:customStyle="1" w:styleId="191">
    <w:name w:val="xl25"/>
    <w:basedOn w:val="1"/>
    <w:qFormat/>
    <w:uiPriority w:val="0"/>
    <w:pPr>
      <w:widowControl/>
      <w:spacing w:before="100" w:beforeAutospacing="1" w:after="100" w:afterAutospacing="1"/>
      <w:jc w:val="center"/>
    </w:pPr>
    <w:rPr>
      <w:rFonts w:ascii="楷体_GB2312" w:hAnsi="宋体" w:eastAsia="楷体_GB2312" w:cs="Times New Roman"/>
      <w:kern w:val="0"/>
      <w:sz w:val="24"/>
      <w:szCs w:val="24"/>
    </w:rPr>
  </w:style>
  <w:style w:type="paragraph" w:customStyle="1" w:styleId="192">
    <w:name w:val="彩色列表 - 强调文字颜色 11"/>
    <w:basedOn w:val="1"/>
    <w:link w:val="529"/>
    <w:qFormat/>
    <w:uiPriority w:val="0"/>
    <w:pPr>
      <w:ind w:firstLine="420" w:firstLineChars="200"/>
    </w:pPr>
    <w:rPr>
      <w:rFonts w:ascii="Calibri" w:hAnsi="Calibri" w:eastAsia="宋体" w:cs="Times New Roman"/>
    </w:rPr>
  </w:style>
  <w:style w:type="paragraph" w:customStyle="1" w:styleId="193">
    <w:name w:val="无间距"/>
    <w:qFormat/>
    <w:uiPriority w:val="99"/>
    <w:pPr>
      <w:widowControl w:val="0"/>
      <w:jc w:val="both"/>
    </w:pPr>
    <w:rPr>
      <w:rFonts w:ascii="Calibri" w:hAnsi="Calibri" w:eastAsia="宋体" w:cs="Times New Roman"/>
      <w:kern w:val="2"/>
      <w:sz w:val="21"/>
      <w:szCs w:val="22"/>
      <w:lang w:val="en-US" w:eastAsia="zh-CN" w:bidi="ar-SA"/>
    </w:rPr>
  </w:style>
  <w:style w:type="character" w:customStyle="1" w:styleId="194">
    <w:name w:val="z-窗体底端 Char"/>
    <w:link w:val="195"/>
    <w:qFormat/>
    <w:locked/>
    <w:uiPriority w:val="0"/>
    <w:rPr>
      <w:rFonts w:ascii="Arial" w:hAnsi="Arial" w:eastAsia="宋体" w:cs="Times New Roman"/>
      <w:vanish/>
      <w:kern w:val="0"/>
      <w:sz w:val="20"/>
      <w:szCs w:val="20"/>
    </w:rPr>
  </w:style>
  <w:style w:type="paragraph" w:customStyle="1" w:styleId="195">
    <w:name w:val="_Style 54"/>
    <w:basedOn w:val="1"/>
    <w:next w:val="1"/>
    <w:link w:val="194"/>
    <w:qFormat/>
    <w:uiPriority w:val="0"/>
    <w:pPr>
      <w:widowControl/>
      <w:pBdr>
        <w:top w:val="single" w:color="auto" w:sz="6" w:space="1"/>
      </w:pBdr>
      <w:jc w:val="center"/>
    </w:pPr>
    <w:rPr>
      <w:rFonts w:ascii="Arial" w:hAnsi="Arial" w:eastAsia="宋体" w:cs="Times New Roman"/>
      <w:vanish/>
      <w:kern w:val="0"/>
      <w:sz w:val="20"/>
      <w:szCs w:val="20"/>
    </w:rPr>
  </w:style>
  <w:style w:type="paragraph" w:customStyle="1" w:styleId="196">
    <w:name w:val="样式 标题 3 + (中文) 黑体 小四 非加粗 段前: 7.8 磅 段后: 0 磅 行距: 固定值 20 磅"/>
    <w:qFormat/>
    <w:uiPriority w:val="99"/>
    <w:pPr>
      <w:keepNext/>
      <w:keepLines/>
      <w:widowControl w:val="0"/>
      <w:spacing w:before="260" w:after="260" w:line="400" w:lineRule="exact"/>
      <w:jc w:val="both"/>
      <w:outlineLvl w:val="2"/>
    </w:pPr>
    <w:rPr>
      <w:rFonts w:ascii="Times New Roman" w:hAnsi="Times New Roman" w:eastAsia="黑体" w:cs="宋体"/>
      <w:kern w:val="2"/>
      <w:sz w:val="24"/>
      <w:lang w:val="en-US" w:eastAsia="zh-CN" w:bidi="ar-SA"/>
    </w:rPr>
  </w:style>
  <w:style w:type="paragraph" w:customStyle="1" w:styleId="197">
    <w:name w:val="样式 标题 2 + Times New Roman 四号 非加粗 段前: 5 磅 段后: 0 磅 行距: 固定值 20..."/>
    <w:qFormat/>
    <w:uiPriority w:val="99"/>
    <w:pPr>
      <w:keepNext/>
      <w:keepLines/>
      <w:widowControl w:val="0"/>
      <w:spacing w:before="100" w:after="260" w:line="400" w:lineRule="exact"/>
      <w:jc w:val="both"/>
      <w:outlineLvl w:val="1"/>
    </w:pPr>
    <w:rPr>
      <w:rFonts w:ascii="Times New Roman" w:hAnsi="Times New Roman" w:eastAsia="黑体" w:cs="宋体"/>
      <w:bCs/>
      <w:kern w:val="2"/>
      <w:sz w:val="28"/>
      <w:lang w:val="en-US" w:eastAsia="zh-CN" w:bidi="ar-SA"/>
    </w:rPr>
  </w:style>
  <w:style w:type="paragraph" w:customStyle="1" w:styleId="198">
    <w:name w:val="纯文本_0"/>
    <w:basedOn w:val="1"/>
    <w:qFormat/>
    <w:uiPriority w:val="99"/>
    <w:pPr>
      <w:spacing w:line="440" w:lineRule="exact"/>
      <w:ind w:firstLine="100" w:firstLineChars="100"/>
    </w:pPr>
    <w:rPr>
      <w:rFonts w:ascii="宋体" w:hAnsi="Courier New" w:eastAsia="宋体" w:cs="Times New Roman"/>
      <w:szCs w:val="21"/>
    </w:rPr>
  </w:style>
  <w:style w:type="paragraph" w:customStyle="1" w:styleId="199">
    <w:name w:val="msonormal"/>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200">
    <w:name w:val="font5"/>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1">
    <w:name w:val="font6"/>
    <w:basedOn w:val="1"/>
    <w:qFormat/>
    <w:uiPriority w:val="0"/>
    <w:pPr>
      <w:widowControl/>
      <w:spacing w:before="100" w:beforeAutospacing="1" w:after="100" w:afterAutospacing="1"/>
      <w:jc w:val="left"/>
    </w:pPr>
    <w:rPr>
      <w:rFonts w:ascii="宋体" w:hAnsi="宋体" w:eastAsia="宋体" w:cs="宋体"/>
      <w:color w:val="FF0000"/>
      <w:kern w:val="0"/>
      <w:sz w:val="20"/>
      <w:szCs w:val="20"/>
    </w:rPr>
  </w:style>
  <w:style w:type="paragraph" w:customStyle="1" w:styleId="202">
    <w:name w:val="font7"/>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3">
    <w:name w:val="font8"/>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04">
    <w:name w:val="xl106"/>
    <w:basedOn w:val="1"/>
    <w:qFormat/>
    <w:uiPriority w:val="0"/>
    <w:pPr>
      <w:widowControl/>
      <w:spacing w:before="100" w:beforeAutospacing="1" w:after="100" w:afterAutospacing="1"/>
      <w:jc w:val="left"/>
    </w:pPr>
    <w:rPr>
      <w:rFonts w:ascii="宋体" w:hAnsi="宋体" w:eastAsia="宋体" w:cs="宋体"/>
      <w:color w:val="000000"/>
      <w:kern w:val="0"/>
      <w:sz w:val="20"/>
      <w:szCs w:val="20"/>
    </w:rPr>
  </w:style>
  <w:style w:type="paragraph" w:customStyle="1" w:styleId="205">
    <w:name w:val="xl107"/>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6">
    <w:name w:val="xl108"/>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207">
    <w:name w:val="xl109"/>
    <w:basedOn w:val="1"/>
    <w:qFormat/>
    <w:uiPriority w:val="0"/>
    <w:pPr>
      <w:widowControl/>
      <w:spacing w:before="100" w:beforeAutospacing="1" w:after="100" w:afterAutospacing="1"/>
      <w:jc w:val="center"/>
    </w:pPr>
    <w:rPr>
      <w:rFonts w:ascii="宋体" w:hAnsi="宋体" w:eastAsia="宋体" w:cs="宋体"/>
      <w:kern w:val="0"/>
      <w:sz w:val="20"/>
      <w:szCs w:val="20"/>
    </w:rPr>
  </w:style>
  <w:style w:type="paragraph" w:customStyle="1" w:styleId="208">
    <w:name w:val="xl11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09">
    <w:name w:val="xl111"/>
    <w:basedOn w:val="1"/>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0">
    <w:name w:val="xl112"/>
    <w:basedOn w:val="1"/>
    <w:qFormat/>
    <w:uiPriority w:val="99"/>
    <w:pPr>
      <w:widowControl/>
      <w:spacing w:before="100" w:beforeAutospacing="1" w:after="100" w:afterAutospacing="1"/>
      <w:jc w:val="left"/>
    </w:pPr>
    <w:rPr>
      <w:rFonts w:ascii="宋体" w:hAnsi="宋体" w:eastAsia="宋体" w:cs="宋体"/>
      <w:kern w:val="0"/>
      <w:sz w:val="20"/>
      <w:szCs w:val="20"/>
    </w:rPr>
  </w:style>
  <w:style w:type="paragraph" w:customStyle="1" w:styleId="211">
    <w:name w:val="xl113"/>
    <w:basedOn w:val="1"/>
    <w:qFormat/>
    <w:uiPriority w:val="99"/>
    <w:pPr>
      <w:widowControl/>
      <w:spacing w:before="100" w:beforeAutospacing="1" w:after="100" w:afterAutospacing="1"/>
      <w:jc w:val="center"/>
    </w:pPr>
    <w:rPr>
      <w:rFonts w:ascii="宋体" w:hAnsi="宋体" w:eastAsia="宋体" w:cs="宋体"/>
      <w:color w:val="000000"/>
      <w:kern w:val="0"/>
      <w:sz w:val="20"/>
      <w:szCs w:val="20"/>
    </w:rPr>
  </w:style>
  <w:style w:type="paragraph" w:customStyle="1" w:styleId="212">
    <w:name w:val="xl11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13">
    <w:name w:val="xl115"/>
    <w:basedOn w:val="1"/>
    <w:qFormat/>
    <w:uiPriority w:val="99"/>
    <w:pPr>
      <w:widowControl/>
      <w:shd w:val="clear" w:color="auto" w:fill="FFFFFF"/>
      <w:spacing w:before="100" w:beforeAutospacing="1" w:after="100" w:afterAutospacing="1"/>
      <w:jc w:val="center"/>
    </w:pPr>
    <w:rPr>
      <w:rFonts w:ascii="宋体" w:hAnsi="宋体" w:eastAsia="宋体" w:cs="宋体"/>
      <w:b/>
      <w:bCs/>
      <w:color w:val="000000"/>
      <w:kern w:val="0"/>
      <w:sz w:val="32"/>
      <w:szCs w:val="32"/>
    </w:rPr>
  </w:style>
  <w:style w:type="paragraph" w:customStyle="1" w:styleId="214">
    <w:name w:val="xl116"/>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5">
    <w:name w:val="xl11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6">
    <w:name w:val="xl11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7">
    <w:name w:val="xl11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18">
    <w:name w:val="xl12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color w:val="000000"/>
      <w:kern w:val="0"/>
      <w:sz w:val="20"/>
      <w:szCs w:val="20"/>
    </w:rPr>
  </w:style>
  <w:style w:type="paragraph" w:customStyle="1" w:styleId="219">
    <w:name w:val="xl121"/>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0">
    <w:name w:val="xl122"/>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1">
    <w:name w:val="xl123"/>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b/>
      <w:bCs/>
      <w:kern w:val="0"/>
      <w:sz w:val="20"/>
      <w:szCs w:val="20"/>
    </w:rPr>
  </w:style>
  <w:style w:type="paragraph" w:customStyle="1" w:styleId="222">
    <w:name w:val="xl124"/>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23">
    <w:name w:val="xl125"/>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4">
    <w:name w:val="xl12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5">
    <w:name w:val="xl127"/>
    <w:basedOn w:val="1"/>
    <w:qFormat/>
    <w:uiPriority w:val="99"/>
    <w:pPr>
      <w:widowControl/>
      <w:pBdr>
        <w:top w:val="single" w:color="auto" w:sz="4" w:space="0"/>
        <w:bottom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26">
    <w:name w:val="xl128"/>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7">
    <w:name w:val="xl12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28">
    <w:name w:val="xl13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29">
    <w:name w:val="xl13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0">
    <w:name w:val="xl13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1">
    <w:name w:val="xl133"/>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2">
    <w:name w:val="xl134"/>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3">
    <w:name w:val="xl13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4">
    <w:name w:val="xl136"/>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5">
    <w:name w:val="xl137"/>
    <w:basedOn w:val="1"/>
    <w:qFormat/>
    <w:uiPriority w:val="0"/>
    <w:pPr>
      <w:widowControl/>
      <w:pBdr>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36">
    <w:name w:val="xl138"/>
    <w:basedOn w:val="1"/>
    <w:qFormat/>
    <w:uiPriority w:val="0"/>
    <w:pPr>
      <w:widowControl/>
      <w:pBdr>
        <w:left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7">
    <w:name w:val="xl13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38">
    <w:name w:val="xl140"/>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39">
    <w:name w:val="xl141"/>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0">
    <w:name w:val="xl142"/>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1">
    <w:name w:val="xl143"/>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2">
    <w:name w:val="xl144"/>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3">
    <w:name w:val="xl14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kern w:val="0"/>
      <w:sz w:val="20"/>
      <w:szCs w:val="20"/>
    </w:rPr>
  </w:style>
  <w:style w:type="paragraph" w:customStyle="1" w:styleId="244">
    <w:name w:val="xl146"/>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5">
    <w:name w:val="xl147"/>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color w:val="000000"/>
      <w:kern w:val="0"/>
      <w:sz w:val="20"/>
      <w:szCs w:val="20"/>
    </w:rPr>
  </w:style>
  <w:style w:type="paragraph" w:customStyle="1" w:styleId="246">
    <w:name w:val="xl148"/>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7">
    <w:name w:val="xl149"/>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48">
    <w:name w:val="xl150"/>
    <w:basedOn w:val="1"/>
    <w:qFormat/>
    <w:uiPriority w:val="99"/>
    <w:pPr>
      <w:widowControl/>
      <w:pBdr>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49">
    <w:name w:val="xl151"/>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kern w:val="0"/>
      <w:sz w:val="20"/>
      <w:szCs w:val="20"/>
    </w:rPr>
  </w:style>
  <w:style w:type="paragraph" w:customStyle="1" w:styleId="250">
    <w:name w:val="xl152"/>
    <w:basedOn w:val="1"/>
    <w:qFormat/>
    <w:uiPriority w:val="99"/>
    <w:pPr>
      <w:widowControl/>
      <w:pBdr>
        <w:top w:val="single" w:color="auto" w:sz="4" w:space="0"/>
        <w:left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FF0000"/>
      <w:kern w:val="0"/>
      <w:sz w:val="20"/>
      <w:szCs w:val="20"/>
    </w:rPr>
  </w:style>
  <w:style w:type="paragraph" w:customStyle="1" w:styleId="251">
    <w:name w:val="xl153"/>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eastAsia="宋体" w:cs="宋体"/>
      <w:color w:val="000000"/>
      <w:kern w:val="0"/>
      <w:sz w:val="20"/>
      <w:szCs w:val="20"/>
    </w:rPr>
  </w:style>
  <w:style w:type="paragraph" w:customStyle="1" w:styleId="252">
    <w:name w:val="xl154"/>
    <w:basedOn w:val="1"/>
    <w:qFormat/>
    <w:uiPriority w:val="99"/>
    <w:pPr>
      <w:widowControl/>
      <w:pBdr>
        <w:top w:val="single" w:color="auto" w:sz="4" w:space="0"/>
        <w:left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3">
    <w:name w:val="xl155"/>
    <w:basedOn w:val="1"/>
    <w:qFormat/>
    <w:uiPriority w:val="99"/>
    <w:pPr>
      <w:widowControl/>
      <w:pBdr>
        <w:top w:val="single" w:color="auto" w:sz="4" w:space="0"/>
        <w:bottom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4">
    <w:name w:val="xl156"/>
    <w:basedOn w:val="1"/>
    <w:qFormat/>
    <w:uiPriority w:val="99"/>
    <w:pPr>
      <w:widowControl/>
      <w:pBdr>
        <w:top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paragraph" w:customStyle="1" w:styleId="255">
    <w:name w:val="xl157"/>
    <w:basedOn w:val="1"/>
    <w:qFormat/>
    <w:uiPriority w:val="99"/>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eastAsia="宋体" w:cs="宋体"/>
      <w:b/>
      <w:bCs/>
      <w:kern w:val="0"/>
      <w:sz w:val="20"/>
      <w:szCs w:val="20"/>
    </w:rPr>
  </w:style>
  <w:style w:type="character" w:customStyle="1" w:styleId="256">
    <w:name w:val="列表段落 字符"/>
    <w:link w:val="257"/>
    <w:qFormat/>
    <w:locked/>
    <w:uiPriority w:val="34"/>
    <w:rPr>
      <w:rFonts w:ascii="宋体" w:hAnsi="宋体" w:eastAsia="宋体" w:cs="宋体"/>
      <w:kern w:val="0"/>
      <w:sz w:val="24"/>
      <w:szCs w:val="24"/>
    </w:rPr>
  </w:style>
  <w:style w:type="paragraph" w:customStyle="1" w:styleId="257">
    <w:name w:val="列表段落111"/>
    <w:basedOn w:val="1"/>
    <w:next w:val="116"/>
    <w:link w:val="256"/>
    <w:qFormat/>
    <w:uiPriority w:val="34"/>
    <w:pPr>
      <w:widowControl/>
      <w:ind w:firstLine="420" w:firstLineChars="200"/>
      <w:jc w:val="left"/>
    </w:pPr>
    <w:rPr>
      <w:rFonts w:ascii="宋体" w:hAnsi="宋体" w:eastAsia="宋体" w:cs="宋体"/>
      <w:kern w:val="0"/>
      <w:sz w:val="24"/>
      <w:szCs w:val="24"/>
    </w:rPr>
  </w:style>
  <w:style w:type="paragraph" w:customStyle="1" w:styleId="258">
    <w:name w:val="项目1"/>
    <w:basedOn w:val="1"/>
    <w:qFormat/>
    <w:uiPriority w:val="99"/>
    <w:pPr>
      <w:widowControl/>
      <w:tabs>
        <w:tab w:val="left" w:pos="720"/>
      </w:tabs>
      <w:autoSpaceDE w:val="0"/>
      <w:autoSpaceDN w:val="0"/>
      <w:adjustRightInd w:val="0"/>
      <w:spacing w:before="120" w:after="120" w:line="300" w:lineRule="auto"/>
      <w:ind w:left="720" w:hanging="720"/>
      <w:jc w:val="left"/>
    </w:pPr>
    <w:rPr>
      <w:rFonts w:ascii="Times New Roman" w:hAnsi="Times New Roman" w:eastAsia="楷体_GB2312" w:cs="Times New Roman"/>
      <w:kern w:val="0"/>
      <w:sz w:val="24"/>
      <w:szCs w:val="24"/>
    </w:rPr>
  </w:style>
  <w:style w:type="paragraph" w:customStyle="1" w:styleId="259">
    <w:name w:val="图片居中"/>
    <w:basedOn w:val="1"/>
    <w:qFormat/>
    <w:uiPriority w:val="99"/>
    <w:pPr>
      <w:keepNext/>
      <w:jc w:val="center"/>
    </w:pPr>
    <w:rPr>
      <w:rFonts w:ascii="Times New Roman" w:hAnsi="Times New Roman" w:eastAsia="宋体" w:cs="Times New Roman"/>
    </w:rPr>
  </w:style>
  <w:style w:type="paragraph" w:customStyle="1" w:styleId="260">
    <w:name w:val="表格(五号)"/>
    <w:qFormat/>
    <w:uiPriority w:val="99"/>
    <w:pPr>
      <w:adjustRightInd w:val="0"/>
      <w:snapToGrid w:val="0"/>
      <w:jc w:val="both"/>
    </w:pPr>
    <w:rPr>
      <w:rFonts w:ascii="Times New Roman" w:hAnsi="Times New Roman" w:eastAsia="宋体" w:cs="Times New Roman"/>
      <w:sz w:val="21"/>
      <w:lang w:val="en-US" w:eastAsia="zh-CN" w:bidi="ar-SA"/>
    </w:rPr>
  </w:style>
  <w:style w:type="paragraph" w:customStyle="1" w:styleId="261">
    <w:name w:val="图片题注"/>
    <w:basedOn w:val="19"/>
    <w:qFormat/>
    <w:uiPriority w:val="99"/>
  </w:style>
  <w:style w:type="paragraph" w:customStyle="1" w:styleId="262">
    <w:name w:val="表格正文"/>
    <w:basedOn w:val="1"/>
    <w:qFormat/>
    <w:uiPriority w:val="99"/>
    <w:pPr>
      <w:widowControl/>
      <w:jc w:val="left"/>
    </w:pPr>
    <w:rPr>
      <w:rFonts w:ascii="宋体" w:hAnsi="宋体" w:eastAsia="宋体" w:cs="宋体"/>
      <w:szCs w:val="28"/>
    </w:rPr>
  </w:style>
  <w:style w:type="paragraph" w:customStyle="1" w:styleId="263">
    <w:name w:val="修订1"/>
    <w:qFormat/>
    <w:uiPriority w:val="99"/>
    <w:rPr>
      <w:rFonts w:ascii="Times New Roman" w:hAnsi="Times New Roman" w:eastAsia="宋体" w:cs="Times New Roman"/>
      <w:kern w:val="2"/>
      <w:sz w:val="21"/>
      <w:szCs w:val="22"/>
      <w:lang w:val="en-US" w:eastAsia="zh-CN" w:bidi="ar-SA"/>
    </w:rPr>
  </w:style>
  <w:style w:type="paragraph" w:customStyle="1" w:styleId="264">
    <w:name w:val="修订2"/>
    <w:qFormat/>
    <w:uiPriority w:val="99"/>
    <w:rPr>
      <w:rFonts w:ascii="Times New Roman" w:hAnsi="Times New Roman" w:eastAsia="宋体" w:cs="Times New Roman"/>
      <w:kern w:val="2"/>
      <w:sz w:val="21"/>
      <w:szCs w:val="22"/>
      <w:lang w:val="en-US" w:eastAsia="zh-CN" w:bidi="ar-SA"/>
    </w:rPr>
  </w:style>
  <w:style w:type="paragraph" w:customStyle="1" w:styleId="265">
    <w:name w:val="修订3"/>
    <w:semiHidden/>
    <w:qFormat/>
    <w:uiPriority w:val="99"/>
    <w:rPr>
      <w:rFonts w:ascii="Times New Roman" w:hAnsi="Times New Roman" w:eastAsia="宋体" w:cs="Times New Roman"/>
      <w:kern w:val="2"/>
      <w:sz w:val="21"/>
      <w:szCs w:val="22"/>
      <w:lang w:val="en-US" w:eastAsia="zh-CN" w:bidi="ar-SA"/>
    </w:rPr>
  </w:style>
  <w:style w:type="paragraph" w:customStyle="1" w:styleId="266">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7">
    <w:name w:val="xl6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68">
    <w:name w:val="xl69"/>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69">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0">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271">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2">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3">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4">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75">
    <w:name w:val="xl76"/>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6">
    <w:name w:val="xl77"/>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277">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78">
    <w:name w:val="xl79"/>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79">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0">
    <w:name w:val="xl81"/>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1">
    <w:name w:val="xl82"/>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2">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83">
    <w:name w:val="xl84"/>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4">
    <w:name w:val="xl85"/>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18"/>
      <w:szCs w:val="18"/>
    </w:rPr>
  </w:style>
  <w:style w:type="paragraph" w:customStyle="1" w:styleId="285">
    <w:name w:val="xl86"/>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6">
    <w:name w:val="xl87"/>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7">
    <w:name w:val="xl8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288">
    <w:name w:val="xl89"/>
    <w:basedOn w:val="1"/>
    <w:qFormat/>
    <w:uiPriority w:val="0"/>
    <w:pPr>
      <w:widowControl/>
      <w:spacing w:before="100" w:beforeAutospacing="1" w:after="100" w:afterAutospacing="1"/>
      <w:jc w:val="center"/>
    </w:pPr>
    <w:rPr>
      <w:rFonts w:ascii="宋体" w:hAnsi="宋体" w:eastAsia="宋体" w:cs="宋体"/>
      <w:kern w:val="0"/>
      <w:sz w:val="24"/>
      <w:szCs w:val="24"/>
    </w:rPr>
  </w:style>
  <w:style w:type="paragraph" w:customStyle="1" w:styleId="289">
    <w:name w:val="xl90"/>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0">
    <w:name w:val="xl91"/>
    <w:basedOn w:val="1"/>
    <w:qFormat/>
    <w:uiPriority w:val="0"/>
    <w:pPr>
      <w:widowControl/>
      <w:pBdr>
        <w:top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1">
    <w:name w:val="xl92"/>
    <w:basedOn w:val="1"/>
    <w:qFormat/>
    <w:uiPriority w:val="0"/>
    <w:pPr>
      <w:widowControl/>
      <w:pBdr>
        <w:lef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2">
    <w:name w:val="xl93"/>
    <w:basedOn w:val="1"/>
    <w:qFormat/>
    <w:uiPriority w:val="0"/>
    <w:pPr>
      <w:widowControl/>
      <w:pBdr>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3">
    <w:name w:val="xl94"/>
    <w:basedOn w:val="1"/>
    <w:qFormat/>
    <w:uiPriority w:val="0"/>
    <w:pPr>
      <w:widowControl/>
      <w:pBdr>
        <w:left w:val="single" w:color="auto" w:sz="4" w:space="0"/>
        <w:bottom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4">
    <w:name w:val="xl9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5">
    <w:name w:val="xl96"/>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296">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7">
    <w:name w:val="xl98"/>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8">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000000"/>
      <w:kern w:val="0"/>
      <w:sz w:val="18"/>
      <w:szCs w:val="18"/>
    </w:rPr>
  </w:style>
  <w:style w:type="paragraph" w:customStyle="1" w:styleId="299">
    <w:name w:val="xl100"/>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0">
    <w:name w:val="xl101"/>
    <w:basedOn w:val="1"/>
    <w:qFormat/>
    <w:uiPriority w:val="0"/>
    <w:pPr>
      <w:widowControl/>
      <w:pBdr>
        <w:top w:val="single" w:color="auto" w:sz="4" w:space="0"/>
        <w:bottom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1">
    <w:name w:val="xl102"/>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18"/>
      <w:szCs w:val="18"/>
    </w:rPr>
  </w:style>
  <w:style w:type="paragraph" w:customStyle="1" w:styleId="302">
    <w:name w:val="xl10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3">
    <w:name w:val="xl104"/>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4">
    <w:name w:val="xl10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18"/>
      <w:szCs w:val="18"/>
    </w:rPr>
  </w:style>
  <w:style w:type="paragraph" w:customStyle="1" w:styleId="305">
    <w:name w:val="xl6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b/>
      <w:bCs/>
      <w:kern w:val="0"/>
      <w:sz w:val="18"/>
      <w:szCs w:val="18"/>
    </w:rPr>
  </w:style>
  <w:style w:type="paragraph" w:customStyle="1" w:styleId="306">
    <w:name w:val="xl6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07">
    <w:name w:val="修订4"/>
    <w:qFormat/>
    <w:uiPriority w:val="99"/>
    <w:rPr>
      <w:rFonts w:ascii="Times New Roman" w:hAnsi="Times New Roman" w:eastAsia="宋体" w:cs="Times New Roman"/>
      <w:kern w:val="2"/>
      <w:sz w:val="21"/>
      <w:szCs w:val="22"/>
      <w:lang w:val="en-US" w:eastAsia="zh-CN" w:bidi="ar-SA"/>
    </w:rPr>
  </w:style>
  <w:style w:type="character" w:customStyle="1" w:styleId="308">
    <w:name w:val="font21"/>
    <w:basedOn w:val="71"/>
    <w:qFormat/>
    <w:uiPriority w:val="0"/>
    <w:rPr>
      <w:rFonts w:hint="eastAsia" w:ascii="等线" w:hAnsi="等线" w:eastAsia="等线" w:cs="等线"/>
      <w:color w:val="000000"/>
      <w:sz w:val="22"/>
      <w:szCs w:val="22"/>
      <w:u w:val="none"/>
    </w:rPr>
  </w:style>
  <w:style w:type="character" w:customStyle="1" w:styleId="309">
    <w:name w:val="apple-converted-space"/>
    <w:qFormat/>
    <w:uiPriority w:val="0"/>
    <w:rPr>
      <w:rFonts w:hint="default" w:ascii="Times New Roman" w:hAnsi="Times New Roman" w:cs="Times New Roman"/>
    </w:rPr>
  </w:style>
  <w:style w:type="character" w:customStyle="1" w:styleId="310">
    <w:name w:val="正文文本缩进 3 Char1"/>
    <w:basedOn w:val="71"/>
    <w:qFormat/>
    <w:uiPriority w:val="0"/>
    <w:rPr>
      <w:rFonts w:hint="default" w:ascii="Times New Roman" w:hAnsi="Times New Roman" w:eastAsia="宋体" w:cs="Times New Roman"/>
      <w:sz w:val="16"/>
      <w:szCs w:val="16"/>
    </w:rPr>
  </w:style>
  <w:style w:type="character" w:customStyle="1" w:styleId="311">
    <w:name w:val="批注文字 Char1"/>
    <w:basedOn w:val="71"/>
    <w:qFormat/>
    <w:uiPriority w:val="0"/>
    <w:rPr>
      <w:rFonts w:hint="default" w:ascii="Times New Roman" w:hAnsi="Times New Roman" w:eastAsia="宋体" w:cs="Times New Roman"/>
    </w:rPr>
  </w:style>
  <w:style w:type="character" w:customStyle="1" w:styleId="312">
    <w:name w:val="apple-tab-span"/>
    <w:qFormat/>
    <w:uiPriority w:val="0"/>
    <w:rPr>
      <w:rFonts w:hint="default" w:ascii="Times New Roman" w:hAnsi="Times New Roman" w:cs="Times New Roman"/>
    </w:rPr>
  </w:style>
  <w:style w:type="character" w:customStyle="1" w:styleId="313">
    <w:name w:val="font11"/>
    <w:basedOn w:val="71"/>
    <w:qFormat/>
    <w:uiPriority w:val="0"/>
    <w:rPr>
      <w:rFonts w:hint="default" w:ascii="Times New Roman" w:hAnsi="Times New Roman" w:cs="Times New Roman"/>
      <w:color w:val="000000"/>
      <w:sz w:val="20"/>
      <w:szCs w:val="20"/>
      <w:u w:val="none"/>
    </w:rPr>
  </w:style>
  <w:style w:type="character" w:customStyle="1" w:styleId="314">
    <w:name w:val="font31"/>
    <w:basedOn w:val="71"/>
    <w:qFormat/>
    <w:uiPriority w:val="0"/>
    <w:rPr>
      <w:rFonts w:hint="eastAsia" w:ascii="等线" w:hAnsi="等线" w:eastAsia="等线" w:cs="等线"/>
      <w:color w:val="000000"/>
      <w:sz w:val="22"/>
      <w:szCs w:val="22"/>
      <w:u w:val="none"/>
    </w:rPr>
  </w:style>
  <w:style w:type="character" w:customStyle="1" w:styleId="315">
    <w:name w:val="正文文本缩进 Char1"/>
    <w:basedOn w:val="71"/>
    <w:qFormat/>
    <w:uiPriority w:val="0"/>
    <w:rPr>
      <w:rFonts w:hint="default" w:ascii="Times New Roman" w:hAnsi="Times New Roman" w:eastAsia="宋体" w:cs="Times New Roman"/>
    </w:rPr>
  </w:style>
  <w:style w:type="character" w:customStyle="1" w:styleId="316">
    <w:name w:val="正文文本 3 Char1"/>
    <w:basedOn w:val="71"/>
    <w:qFormat/>
    <w:uiPriority w:val="0"/>
    <w:rPr>
      <w:rFonts w:hint="default" w:ascii="Times New Roman" w:hAnsi="Times New Roman" w:eastAsia="宋体" w:cs="Times New Roman"/>
      <w:sz w:val="16"/>
      <w:szCs w:val="16"/>
    </w:rPr>
  </w:style>
  <w:style w:type="character" w:customStyle="1" w:styleId="317">
    <w:name w:val="正文文本 Char1"/>
    <w:basedOn w:val="71"/>
    <w:qFormat/>
    <w:uiPriority w:val="0"/>
    <w:rPr>
      <w:rFonts w:hint="default" w:ascii="Times New Roman" w:hAnsi="Times New Roman" w:eastAsia="宋体" w:cs="Times New Roman"/>
    </w:rPr>
  </w:style>
  <w:style w:type="character" w:customStyle="1" w:styleId="318">
    <w:name w:val="font01"/>
    <w:basedOn w:val="71"/>
    <w:qFormat/>
    <w:uiPriority w:val="0"/>
    <w:rPr>
      <w:rFonts w:hint="eastAsia" w:ascii="宋体" w:hAnsi="宋体" w:eastAsia="宋体" w:cs="宋体"/>
      <w:color w:val="000000"/>
      <w:sz w:val="20"/>
      <w:szCs w:val="20"/>
      <w:u w:val="none"/>
    </w:rPr>
  </w:style>
  <w:style w:type="character" w:customStyle="1" w:styleId="319">
    <w:name w:val="纯文本 Char2"/>
    <w:basedOn w:val="71"/>
    <w:qFormat/>
    <w:uiPriority w:val="0"/>
    <w:rPr>
      <w:rFonts w:hint="eastAsia" w:ascii="宋体" w:hAnsi="Courier New" w:eastAsia="宋体" w:cs="Courier New"/>
      <w:sz w:val="21"/>
      <w:szCs w:val="21"/>
    </w:rPr>
  </w:style>
  <w:style w:type="character" w:customStyle="1" w:styleId="320">
    <w:name w:val="文档结构图 Char1"/>
    <w:basedOn w:val="71"/>
    <w:qFormat/>
    <w:uiPriority w:val="0"/>
    <w:rPr>
      <w:rFonts w:hint="eastAsia" w:ascii="宋体" w:hAnsi="Times New Roman" w:eastAsia="宋体" w:cs="Times New Roman"/>
      <w:sz w:val="18"/>
      <w:szCs w:val="18"/>
    </w:rPr>
  </w:style>
  <w:style w:type="character" w:customStyle="1" w:styleId="321">
    <w:name w:val="纯文本 Char1"/>
    <w:qFormat/>
    <w:uiPriority w:val="0"/>
    <w:rPr>
      <w:rFonts w:hint="eastAsia" w:ascii="宋体" w:hAnsi="Courier New" w:eastAsia="宋体"/>
      <w:sz w:val="21"/>
    </w:rPr>
  </w:style>
  <w:style w:type="character" w:customStyle="1" w:styleId="322">
    <w:name w:val="日期 Char1"/>
    <w:basedOn w:val="71"/>
    <w:qFormat/>
    <w:uiPriority w:val="0"/>
    <w:rPr>
      <w:rFonts w:hint="default" w:ascii="Times New Roman" w:hAnsi="Times New Roman" w:eastAsia="宋体" w:cs="Times New Roman"/>
    </w:rPr>
  </w:style>
  <w:style w:type="character" w:customStyle="1" w:styleId="323">
    <w:name w:val="正文文本缩进 2 Char1"/>
    <w:basedOn w:val="71"/>
    <w:qFormat/>
    <w:uiPriority w:val="0"/>
    <w:rPr>
      <w:rFonts w:hint="default" w:ascii="Times New Roman" w:hAnsi="Times New Roman" w:eastAsia="宋体" w:cs="Times New Roman"/>
    </w:rPr>
  </w:style>
  <w:style w:type="character" w:customStyle="1" w:styleId="324">
    <w:name w:val="批注框文本 Char1"/>
    <w:basedOn w:val="71"/>
    <w:qFormat/>
    <w:uiPriority w:val="0"/>
    <w:rPr>
      <w:rFonts w:hint="default" w:ascii="Times New Roman" w:hAnsi="Times New Roman" w:eastAsia="宋体" w:cs="Times New Roman"/>
      <w:sz w:val="18"/>
      <w:szCs w:val="18"/>
    </w:rPr>
  </w:style>
  <w:style w:type="character" w:customStyle="1" w:styleId="325">
    <w:name w:val="正文文本 2 Char1"/>
    <w:basedOn w:val="71"/>
    <w:qFormat/>
    <w:uiPriority w:val="0"/>
    <w:rPr>
      <w:rFonts w:hint="default" w:ascii="Times New Roman" w:hAnsi="Times New Roman" w:eastAsia="宋体" w:cs="Times New Roman"/>
    </w:rPr>
  </w:style>
  <w:style w:type="character" w:customStyle="1" w:styleId="326">
    <w:name w:val="大黑10.5px"/>
    <w:qFormat/>
    <w:uiPriority w:val="0"/>
    <w:rPr>
      <w:rFonts w:hint="eastAsia" w:ascii="方正大黑简体" w:eastAsia="方正大黑简体"/>
      <w:sz w:val="21"/>
    </w:rPr>
  </w:style>
  <w:style w:type="character" w:customStyle="1" w:styleId="327">
    <w:name w:val="黑简10.5px"/>
    <w:qFormat/>
    <w:uiPriority w:val="0"/>
    <w:rPr>
      <w:rFonts w:hint="eastAsia" w:ascii="方正黑体简体" w:hAnsi="方正黑体简体" w:eastAsia="方正黑体简体"/>
      <w:sz w:val="21"/>
    </w:rPr>
  </w:style>
  <w:style w:type="character" w:customStyle="1" w:styleId="328">
    <w:name w:val="jbox-icon-warning"/>
    <w:basedOn w:val="71"/>
    <w:qFormat/>
    <w:uiPriority w:val="0"/>
    <w:rPr>
      <w:rFonts w:hint="default" w:ascii="Times New Roman" w:hAnsi="Times New Roman" w:cs="Times New Roman"/>
    </w:rPr>
  </w:style>
  <w:style w:type="character" w:customStyle="1" w:styleId="329">
    <w:name w:val="hover9"/>
    <w:qFormat/>
    <w:uiPriority w:val="0"/>
    <w:rPr>
      <w:shd w:val="clear" w:color="auto" w:fill="EEEEEE"/>
    </w:rPr>
  </w:style>
  <w:style w:type="character" w:customStyle="1" w:styleId="330">
    <w:name w:val="hour_pm"/>
    <w:basedOn w:val="71"/>
    <w:qFormat/>
    <w:uiPriority w:val="0"/>
    <w:rPr>
      <w:rFonts w:hint="default" w:ascii="Times New Roman" w:hAnsi="Times New Roman" w:cs="Times New Roman"/>
    </w:rPr>
  </w:style>
  <w:style w:type="character" w:customStyle="1" w:styleId="331">
    <w:name w:val="jbox-icon-info"/>
    <w:basedOn w:val="71"/>
    <w:qFormat/>
    <w:uiPriority w:val="0"/>
    <w:rPr>
      <w:rFonts w:hint="default" w:ascii="Times New Roman" w:hAnsi="Times New Roman" w:cs="Times New Roman"/>
    </w:rPr>
  </w:style>
  <w:style w:type="character" w:customStyle="1" w:styleId="332">
    <w:name w:val="black601"/>
    <w:qFormat/>
    <w:uiPriority w:val="0"/>
    <w:rPr>
      <w:color w:val="666666"/>
    </w:rPr>
  </w:style>
  <w:style w:type="character" w:customStyle="1" w:styleId="333">
    <w:name w:val="hour_am"/>
    <w:basedOn w:val="71"/>
    <w:qFormat/>
    <w:uiPriority w:val="0"/>
    <w:rPr>
      <w:rFonts w:hint="default" w:ascii="Times New Roman" w:hAnsi="Times New Roman" w:cs="Times New Roman"/>
    </w:rPr>
  </w:style>
  <w:style w:type="character" w:customStyle="1" w:styleId="334">
    <w:name w:val="jbox-icon-error"/>
    <w:basedOn w:val="71"/>
    <w:qFormat/>
    <w:uiPriority w:val="0"/>
    <w:rPr>
      <w:rFonts w:hint="default" w:ascii="Times New Roman" w:hAnsi="Times New Roman" w:cs="Times New Roman"/>
    </w:rPr>
  </w:style>
  <w:style w:type="character" w:customStyle="1" w:styleId="335">
    <w:name w:val="jbox-icon-success"/>
    <w:basedOn w:val="71"/>
    <w:qFormat/>
    <w:uiPriority w:val="0"/>
    <w:rPr>
      <w:rFonts w:hint="default" w:ascii="Times New Roman" w:hAnsi="Times New Roman" w:cs="Times New Roman"/>
    </w:rPr>
  </w:style>
  <w:style w:type="character" w:customStyle="1" w:styleId="336">
    <w:name w:val="maywed421"/>
    <w:qFormat/>
    <w:uiPriority w:val="0"/>
    <w:rPr>
      <w:color w:val="366FB6"/>
      <w:u w:val="none"/>
    </w:rPr>
  </w:style>
  <w:style w:type="character" w:customStyle="1" w:styleId="337">
    <w:name w:val="正文文本缩进 字符1"/>
    <w:qFormat/>
    <w:uiPriority w:val="0"/>
    <w:rPr>
      <w:rFonts w:hint="eastAsia" w:ascii="宋体" w:hAnsi="Courier New" w:eastAsia="宋体"/>
      <w:spacing w:val="-4"/>
      <w:kern w:val="2"/>
      <w:sz w:val="18"/>
    </w:rPr>
  </w:style>
  <w:style w:type="character" w:customStyle="1" w:styleId="338">
    <w:name w:val="jbox-icon-question"/>
    <w:basedOn w:val="71"/>
    <w:qFormat/>
    <w:uiPriority w:val="0"/>
    <w:rPr>
      <w:rFonts w:hint="default" w:ascii="Times New Roman" w:hAnsi="Times New Roman" w:cs="Times New Roman"/>
    </w:rPr>
  </w:style>
  <w:style w:type="character" w:customStyle="1" w:styleId="339">
    <w:name w:val="jbox-icon-loading"/>
    <w:basedOn w:val="71"/>
    <w:qFormat/>
    <w:uiPriority w:val="0"/>
    <w:rPr>
      <w:rFonts w:hint="default" w:ascii="Times New Roman" w:hAnsi="Times New Roman" w:cs="Times New Roman"/>
    </w:rPr>
  </w:style>
  <w:style w:type="character" w:customStyle="1" w:styleId="340">
    <w:name w:val="标题 1 Char Char"/>
    <w:qFormat/>
    <w:uiPriority w:val="0"/>
    <w:rPr>
      <w:rFonts w:hint="eastAsia" w:ascii="宋体" w:hAnsi="宋体" w:eastAsia="宋体"/>
      <w:b/>
      <w:spacing w:val="-2"/>
      <w:sz w:val="24"/>
      <w:lang w:val="en-US" w:eastAsia="zh-CN"/>
    </w:rPr>
  </w:style>
  <w:style w:type="character" w:customStyle="1" w:styleId="341">
    <w:name w:val="jbox-icon-none"/>
    <w:qFormat/>
    <w:uiPriority w:val="0"/>
    <w:rPr>
      <w:vanish/>
    </w:rPr>
  </w:style>
  <w:style w:type="character" w:customStyle="1" w:styleId="342">
    <w:name w:val="sub_title s0"/>
    <w:basedOn w:val="71"/>
    <w:qFormat/>
    <w:uiPriority w:val="0"/>
    <w:rPr>
      <w:rFonts w:hint="default" w:ascii="Times New Roman" w:hAnsi="Times New Roman" w:cs="Times New Roman"/>
    </w:rPr>
  </w:style>
  <w:style w:type="character" w:customStyle="1" w:styleId="343">
    <w:name w:val="纯文本 字符2"/>
    <w:qFormat/>
    <w:uiPriority w:val="0"/>
    <w:rPr>
      <w:rFonts w:hint="eastAsia" w:ascii="宋体" w:hAnsi="Courier New" w:eastAsia="宋体"/>
      <w:kern w:val="2"/>
      <w:sz w:val="24"/>
    </w:rPr>
  </w:style>
  <w:style w:type="character" w:customStyle="1" w:styleId="344">
    <w:name w:val="jbox-icon"/>
    <w:basedOn w:val="71"/>
    <w:qFormat/>
    <w:uiPriority w:val="0"/>
    <w:rPr>
      <w:rFonts w:hint="default" w:ascii="Times New Roman" w:hAnsi="Times New Roman" w:cs="Times New Roman"/>
    </w:rPr>
  </w:style>
  <w:style w:type="character" w:customStyle="1" w:styleId="345">
    <w:name w:val="old"/>
    <w:qFormat/>
    <w:uiPriority w:val="0"/>
    <w:rPr>
      <w:color w:val="999999"/>
    </w:rPr>
  </w:style>
  <w:style w:type="character" w:customStyle="1" w:styleId="346">
    <w:name w:val="font41"/>
    <w:basedOn w:val="71"/>
    <w:qFormat/>
    <w:uiPriority w:val="0"/>
    <w:rPr>
      <w:rFonts w:hint="eastAsia" w:ascii="宋体" w:hAnsi="宋体" w:eastAsia="宋体" w:cs="宋体"/>
      <w:b/>
      <w:bCs/>
      <w:color w:val="000000"/>
      <w:sz w:val="24"/>
      <w:szCs w:val="24"/>
      <w:u w:val="none"/>
    </w:rPr>
  </w:style>
  <w:style w:type="character" w:customStyle="1" w:styleId="347">
    <w:name w:val="font12"/>
    <w:basedOn w:val="71"/>
    <w:qFormat/>
    <w:uiPriority w:val="0"/>
    <w:rPr>
      <w:rFonts w:hint="default" w:ascii="Times New Roman" w:hAnsi="Times New Roman" w:cs="Times New Roman"/>
      <w:color w:val="000000"/>
      <w:sz w:val="24"/>
      <w:szCs w:val="24"/>
      <w:u w:val="none"/>
    </w:rPr>
  </w:style>
  <w:style w:type="character" w:customStyle="1" w:styleId="348">
    <w:name w:val="font111"/>
    <w:basedOn w:val="71"/>
    <w:qFormat/>
    <w:uiPriority w:val="0"/>
    <w:rPr>
      <w:rFonts w:hint="eastAsia" w:ascii="宋体" w:hAnsi="宋体" w:eastAsia="宋体" w:cs="宋体"/>
      <w:color w:val="000000"/>
      <w:sz w:val="22"/>
      <w:szCs w:val="22"/>
      <w:u w:val="none"/>
    </w:rPr>
  </w:style>
  <w:style w:type="character" w:customStyle="1" w:styleId="349">
    <w:name w:val="标题 7 字符1"/>
    <w:basedOn w:val="71"/>
    <w:semiHidden/>
    <w:qFormat/>
    <w:uiPriority w:val="9"/>
    <w:rPr>
      <w:b/>
      <w:bCs/>
      <w:sz w:val="24"/>
      <w:szCs w:val="24"/>
    </w:rPr>
  </w:style>
  <w:style w:type="character" w:customStyle="1" w:styleId="350">
    <w:name w:val="标题 8 字符1"/>
    <w:basedOn w:val="71"/>
    <w:semiHidden/>
    <w:qFormat/>
    <w:uiPriority w:val="9"/>
    <w:rPr>
      <w:rFonts w:hint="default" w:ascii="Cambria" w:hAnsi="Cambria" w:eastAsia="宋体" w:cs="Times New Roman"/>
      <w:sz w:val="24"/>
      <w:szCs w:val="24"/>
    </w:rPr>
  </w:style>
  <w:style w:type="character" w:customStyle="1" w:styleId="351">
    <w:name w:val="标题 9 字符1"/>
    <w:basedOn w:val="71"/>
    <w:semiHidden/>
    <w:qFormat/>
    <w:uiPriority w:val="9"/>
    <w:rPr>
      <w:rFonts w:hint="default" w:ascii="Cambria" w:hAnsi="Cambria" w:eastAsia="宋体" w:cs="Times New Roman"/>
      <w:szCs w:val="21"/>
    </w:rPr>
  </w:style>
  <w:style w:type="table" w:customStyle="1" w:styleId="352">
    <w:name w:val="Table Normal"/>
    <w:qFormat/>
    <w:uiPriority w:val="59"/>
    <w:tblPr>
      <w:tblCellMar>
        <w:top w:w="0" w:type="dxa"/>
        <w:left w:w="108" w:type="dxa"/>
        <w:bottom w:w="0" w:type="dxa"/>
        <w:right w:w="108" w:type="dxa"/>
      </w:tblCellMar>
    </w:tblPr>
  </w:style>
  <w:style w:type="table" w:customStyle="1" w:styleId="353">
    <w:name w:val="华信表格(五号)"/>
    <w:basedOn w:val="64"/>
    <w:qFormat/>
    <w:uiPriority w:val="99"/>
    <w:pPr>
      <w:adjustRightInd w:val="0"/>
      <w:jc w:val="center"/>
    </w:pPr>
    <w:rPr>
      <w:rFonts w:cs="宋体"/>
    </w:rPr>
    <w:tblP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
    <w:tcPr>
      <w:vAlign w:val="center"/>
    </w:tcPr>
  </w:style>
  <w:style w:type="character" w:customStyle="1" w:styleId="354">
    <w:name w:val="批注主题 Char1"/>
    <w:basedOn w:val="311"/>
    <w:qFormat/>
    <w:uiPriority w:val="0"/>
    <w:rPr>
      <w:rFonts w:hint="default" w:ascii="Times New Roman" w:hAnsi="Times New Roman" w:eastAsia="宋体" w:cs="Times New Roman"/>
      <w:b/>
      <w:bCs/>
    </w:rPr>
  </w:style>
  <w:style w:type="paragraph" w:customStyle="1" w:styleId="355">
    <w:name w:val="Body text|1"/>
    <w:basedOn w:val="1"/>
    <w:qFormat/>
    <w:uiPriority w:val="0"/>
    <w:rPr>
      <w:sz w:val="10"/>
      <w:szCs w:val="10"/>
    </w:rPr>
  </w:style>
  <w:style w:type="paragraph" w:customStyle="1" w:styleId="356">
    <w:name w:val="Picture caption|2"/>
    <w:basedOn w:val="1"/>
    <w:qFormat/>
    <w:uiPriority w:val="0"/>
    <w:rPr>
      <w:sz w:val="10"/>
      <w:szCs w:val="10"/>
      <w:lang w:val="zh-TW" w:eastAsia="zh-TW" w:bidi="zh-TW"/>
    </w:rPr>
  </w:style>
  <w:style w:type="paragraph" w:customStyle="1" w:styleId="357">
    <w:name w:val="Picture caption|1"/>
    <w:basedOn w:val="1"/>
    <w:qFormat/>
    <w:uiPriority w:val="0"/>
    <w:rPr>
      <w:rFonts w:ascii="宋体" w:hAnsi="宋体" w:eastAsia="宋体" w:cs="宋体"/>
      <w:sz w:val="9"/>
      <w:szCs w:val="9"/>
    </w:rPr>
  </w:style>
  <w:style w:type="paragraph" w:customStyle="1" w:styleId="358">
    <w:name w:val="Other|2"/>
    <w:basedOn w:val="1"/>
    <w:qFormat/>
    <w:uiPriority w:val="0"/>
    <w:rPr>
      <w:rFonts w:ascii="宋体" w:hAnsi="宋体" w:eastAsia="宋体" w:cs="宋体"/>
      <w:sz w:val="11"/>
      <w:szCs w:val="11"/>
      <w:lang w:val="zh-TW" w:eastAsia="zh-TW" w:bidi="zh-TW"/>
    </w:rPr>
  </w:style>
  <w:style w:type="paragraph" w:customStyle="1" w:styleId="359">
    <w:name w:val="Other|1"/>
    <w:basedOn w:val="1"/>
    <w:qFormat/>
    <w:uiPriority w:val="0"/>
    <w:rPr>
      <w:b/>
      <w:bCs/>
      <w:sz w:val="9"/>
      <w:szCs w:val="9"/>
      <w:lang w:val="zh-TW" w:eastAsia="zh-TW" w:bidi="zh-TW"/>
    </w:rPr>
  </w:style>
  <w:style w:type="character" w:customStyle="1" w:styleId="360">
    <w:name w:val="font51"/>
    <w:basedOn w:val="71"/>
    <w:qFormat/>
    <w:uiPriority w:val="0"/>
    <w:rPr>
      <w:rFonts w:hint="eastAsia" w:ascii="宋体" w:hAnsi="宋体" w:eastAsia="宋体" w:cs="宋体"/>
      <w:color w:val="000000"/>
      <w:sz w:val="20"/>
      <w:szCs w:val="20"/>
      <w:u w:val="none"/>
      <w:vertAlign w:val="superscript"/>
    </w:rPr>
  </w:style>
  <w:style w:type="paragraph" w:customStyle="1" w:styleId="361">
    <w:name w:val="cover"/>
    <w:link w:val="368"/>
    <w:qFormat/>
    <w:uiPriority w:val="0"/>
    <w:rPr>
      <w:rFonts w:ascii="宋体" w:hAnsi="Cambria" w:eastAsia="宋体" w:cs="宋体"/>
      <w:b/>
      <w:kern w:val="2"/>
      <w:sz w:val="52"/>
      <w:szCs w:val="22"/>
      <w:lang w:val="en-US" w:eastAsia="zh-CN" w:bidi="ar-SA"/>
    </w:rPr>
  </w:style>
  <w:style w:type="character" w:customStyle="1" w:styleId="362">
    <w:name w:val="称呼 字符"/>
    <w:basedOn w:val="71"/>
    <w:link w:val="23"/>
    <w:qFormat/>
    <w:uiPriority w:val="0"/>
    <w:rPr>
      <w:szCs w:val="24"/>
    </w:rPr>
  </w:style>
  <w:style w:type="character" w:customStyle="1" w:styleId="363">
    <w:name w:val="尾注文本 字符"/>
    <w:basedOn w:val="71"/>
    <w:link w:val="42"/>
    <w:qFormat/>
    <w:uiPriority w:val="0"/>
    <w:rPr>
      <w:sz w:val="24"/>
    </w:rPr>
  </w:style>
  <w:style w:type="character" w:customStyle="1" w:styleId="364">
    <w:name w:val="副标题 字符"/>
    <w:basedOn w:val="71"/>
    <w:link w:val="48"/>
    <w:qFormat/>
    <w:uiPriority w:val="0"/>
    <w:rPr>
      <w:rFonts w:ascii="Calibri" w:hAnsi="Calibri" w:cs="宋体"/>
      <w:b/>
      <w:bCs/>
      <w:kern w:val="28"/>
      <w:sz w:val="32"/>
      <w:szCs w:val="32"/>
    </w:rPr>
  </w:style>
  <w:style w:type="character" w:customStyle="1" w:styleId="365">
    <w:name w:val="脚注文本 字符"/>
    <w:basedOn w:val="71"/>
    <w:link w:val="51"/>
    <w:qFormat/>
    <w:uiPriority w:val="0"/>
    <w:rPr>
      <w:rFonts w:ascii="宋体" w:hAnsi="Calibri" w:cs="宋体"/>
      <w:kern w:val="2"/>
      <w:sz w:val="18"/>
      <w:szCs w:val="18"/>
    </w:rPr>
  </w:style>
  <w:style w:type="character" w:customStyle="1" w:styleId="366">
    <w:name w:val="标题 字符"/>
    <w:basedOn w:val="71"/>
    <w:link w:val="59"/>
    <w:qFormat/>
    <w:uiPriority w:val="0"/>
    <w:rPr>
      <w:rFonts w:ascii="Cambria" w:hAnsi="Cambria" w:cs="宋体"/>
      <w:b/>
      <w:bCs/>
      <w:kern w:val="2"/>
      <w:sz w:val="32"/>
      <w:szCs w:val="32"/>
    </w:rPr>
  </w:style>
  <w:style w:type="paragraph" w:customStyle="1" w:styleId="367">
    <w:name w:val="Normal Indent1"/>
    <w:qFormat/>
    <w:uiPriority w:val="0"/>
    <w:pPr>
      <w:widowControl w:val="0"/>
      <w:ind w:firstLine="420" w:firstLineChars="200"/>
      <w:jc w:val="both"/>
    </w:pPr>
    <w:rPr>
      <w:rFonts w:ascii="Times New Roman" w:hAnsi="Times New Roman" w:eastAsia="宋体" w:cs="Times New Roman"/>
      <w:kern w:val="2"/>
      <w:sz w:val="21"/>
      <w:szCs w:val="24"/>
      <w:lang w:val="en-US" w:eastAsia="zh-CN" w:bidi="ar-SA"/>
    </w:rPr>
  </w:style>
  <w:style w:type="character" w:customStyle="1" w:styleId="368">
    <w:name w:val="cover 字符"/>
    <w:basedOn w:val="71"/>
    <w:link w:val="361"/>
    <w:qFormat/>
    <w:uiPriority w:val="0"/>
    <w:rPr>
      <w:rFonts w:ascii="宋体" w:hAnsi="Cambria" w:cs="宋体"/>
      <w:b/>
      <w:kern w:val="2"/>
      <w:sz w:val="52"/>
      <w:szCs w:val="22"/>
    </w:rPr>
  </w:style>
  <w:style w:type="paragraph" w:customStyle="1" w:styleId="369">
    <w:name w:val="index"/>
    <w:basedOn w:val="46"/>
    <w:link w:val="371"/>
    <w:qFormat/>
    <w:uiPriority w:val="0"/>
    <w:pPr>
      <w:tabs>
        <w:tab w:val="left" w:pos="1050"/>
        <w:tab w:val="left" w:pos="1190"/>
        <w:tab w:val="left" w:pos="1470"/>
        <w:tab w:val="right" w:leader="dot" w:pos="8296"/>
      </w:tabs>
      <w:wordWrap w:val="0"/>
      <w:spacing w:line="360" w:lineRule="auto"/>
    </w:pPr>
    <w:rPr>
      <w:rFonts w:hAnsi="Calibri" w:cs="宋体"/>
      <w:szCs w:val="32"/>
    </w:rPr>
  </w:style>
  <w:style w:type="character" w:customStyle="1" w:styleId="370">
    <w:name w:val="TOC 1 字符"/>
    <w:basedOn w:val="71"/>
    <w:link w:val="46"/>
    <w:qFormat/>
    <w:uiPriority w:val="39"/>
    <w:rPr>
      <w:kern w:val="2"/>
      <w:sz w:val="21"/>
      <w:szCs w:val="22"/>
    </w:rPr>
  </w:style>
  <w:style w:type="character" w:customStyle="1" w:styleId="371">
    <w:name w:val="index 字符"/>
    <w:basedOn w:val="370"/>
    <w:link w:val="369"/>
    <w:qFormat/>
    <w:uiPriority w:val="0"/>
    <w:rPr>
      <w:rFonts w:hAnsi="Calibri" w:cs="宋体"/>
      <w:kern w:val="2"/>
      <w:sz w:val="21"/>
      <w:szCs w:val="32"/>
    </w:rPr>
  </w:style>
  <w:style w:type="paragraph" w:customStyle="1" w:styleId="372">
    <w:name w:val="form"/>
    <w:basedOn w:val="1"/>
    <w:link w:val="373"/>
    <w:qFormat/>
    <w:uiPriority w:val="0"/>
    <w:pPr>
      <w:wordWrap w:val="0"/>
      <w:snapToGrid w:val="0"/>
      <w:jc w:val="center"/>
    </w:pPr>
    <w:rPr>
      <w:rFonts w:ascii="宋体" w:hAnsi="Calibri" w:eastAsia="宋体" w:cs="宋体"/>
      <w:szCs w:val="21"/>
    </w:rPr>
  </w:style>
  <w:style w:type="character" w:customStyle="1" w:styleId="373">
    <w:name w:val="form 字符"/>
    <w:basedOn w:val="71"/>
    <w:link w:val="372"/>
    <w:qFormat/>
    <w:uiPriority w:val="0"/>
    <w:rPr>
      <w:rFonts w:ascii="宋体" w:hAnsi="Calibri" w:cs="宋体"/>
      <w:kern w:val="2"/>
      <w:sz w:val="21"/>
      <w:szCs w:val="21"/>
    </w:rPr>
  </w:style>
  <w:style w:type="paragraph" w:customStyle="1" w:styleId="374">
    <w:name w:val="序号列"/>
    <w:basedOn w:val="116"/>
    <w:link w:val="375"/>
    <w:qFormat/>
    <w:uiPriority w:val="0"/>
    <w:pPr>
      <w:wordWrap w:val="0"/>
      <w:spacing w:line="360" w:lineRule="auto"/>
      <w:ind w:firstLine="0" w:firstLineChars="0"/>
    </w:pPr>
    <w:rPr>
      <w:rFonts w:ascii="宋体" w:hAnsi="Calibri" w:eastAsia="宋体" w:cs="宋体"/>
    </w:rPr>
  </w:style>
  <w:style w:type="character" w:customStyle="1" w:styleId="375">
    <w:name w:val="序号列 字符"/>
    <w:basedOn w:val="256"/>
    <w:link w:val="374"/>
    <w:qFormat/>
    <w:uiPriority w:val="0"/>
    <w:rPr>
      <w:rFonts w:ascii="宋体" w:hAnsi="Calibri" w:eastAsia="宋体" w:cs="宋体"/>
      <w:kern w:val="2"/>
      <w:sz w:val="21"/>
      <w:szCs w:val="22"/>
    </w:rPr>
  </w:style>
  <w:style w:type="paragraph" w:customStyle="1" w:styleId="376">
    <w:name w:val="加粗子列表"/>
    <w:basedOn w:val="116"/>
    <w:link w:val="378"/>
    <w:qFormat/>
    <w:uiPriority w:val="0"/>
    <w:pPr>
      <w:numPr>
        <w:ilvl w:val="0"/>
        <w:numId w:val="4"/>
      </w:numPr>
      <w:wordWrap w:val="0"/>
      <w:spacing w:line="360" w:lineRule="auto"/>
      <w:ind w:firstLine="0" w:firstLineChars="0"/>
    </w:pPr>
    <w:rPr>
      <w:rFonts w:ascii="宋体" w:hAnsi="Calibri" w:eastAsia="宋体" w:cs="宋体"/>
      <w:b/>
      <w:bCs/>
    </w:rPr>
  </w:style>
  <w:style w:type="paragraph" w:customStyle="1" w:styleId="377">
    <w:name w:val="子列2"/>
    <w:basedOn w:val="376"/>
    <w:link w:val="380"/>
    <w:qFormat/>
    <w:uiPriority w:val="0"/>
    <w:pPr>
      <w:numPr>
        <w:ilvl w:val="1"/>
        <w:numId w:val="0"/>
      </w:numPr>
    </w:pPr>
    <w:rPr>
      <w:b w:val="0"/>
      <w:bCs w:val="0"/>
    </w:rPr>
  </w:style>
  <w:style w:type="character" w:customStyle="1" w:styleId="378">
    <w:name w:val="加粗子列表 字符"/>
    <w:basedOn w:val="256"/>
    <w:link w:val="376"/>
    <w:qFormat/>
    <w:uiPriority w:val="0"/>
    <w:rPr>
      <w:rFonts w:ascii="宋体" w:hAnsi="Calibri" w:eastAsia="宋体" w:cs="宋体"/>
      <w:b/>
      <w:bCs/>
      <w:kern w:val="2"/>
      <w:sz w:val="21"/>
      <w:szCs w:val="22"/>
    </w:rPr>
  </w:style>
  <w:style w:type="character" w:customStyle="1" w:styleId="379">
    <w:name w:val="纯文本 Char"/>
    <w:link w:val="163"/>
    <w:qFormat/>
    <w:uiPriority w:val="0"/>
    <w:rPr>
      <w:rFonts w:ascii="宋体" w:hAnsi="Courier New" w:eastAsia="Times New Roman"/>
      <w:kern w:val="2"/>
      <w:sz w:val="30"/>
      <w:szCs w:val="24"/>
    </w:rPr>
  </w:style>
  <w:style w:type="character" w:customStyle="1" w:styleId="380">
    <w:name w:val="子列2 字符"/>
    <w:basedOn w:val="378"/>
    <w:link w:val="377"/>
    <w:qFormat/>
    <w:uiPriority w:val="0"/>
    <w:rPr>
      <w:rFonts w:ascii="宋体" w:hAnsi="Calibri" w:eastAsia="宋体" w:cs="宋体"/>
      <w:b w:val="0"/>
      <w:bCs w:val="0"/>
      <w:kern w:val="2"/>
      <w:sz w:val="21"/>
      <w:szCs w:val="22"/>
    </w:rPr>
  </w:style>
  <w:style w:type="paragraph" w:customStyle="1" w:styleId="381">
    <w:name w:val="文本块2"/>
    <w:basedOn w:val="1"/>
    <w:qFormat/>
    <w:uiPriority w:val="0"/>
    <w:pPr>
      <w:adjustRightInd w:val="0"/>
      <w:snapToGrid w:val="0"/>
      <w:spacing w:line="300" w:lineRule="auto"/>
      <w:ind w:left="958" w:right="-120" w:rightChars="-120"/>
      <w:jc w:val="left"/>
    </w:pPr>
    <w:rPr>
      <w:rFonts w:hint="eastAsia" w:ascii="Century Gothic" w:hAnsi="Century Gothic" w:eastAsia="宋体" w:cs="Times New Roman"/>
      <w:sz w:val="28"/>
      <w:szCs w:val="20"/>
    </w:rPr>
  </w:style>
  <w:style w:type="paragraph" w:customStyle="1" w:styleId="382">
    <w:name w:val="纯文本3"/>
    <w:basedOn w:val="1"/>
    <w:qFormat/>
    <w:uiPriority w:val="99"/>
    <w:pPr>
      <w:adjustRightInd w:val="0"/>
      <w:textAlignment w:val="baseline"/>
    </w:pPr>
    <w:rPr>
      <w:rFonts w:ascii="宋体" w:hAnsi="Courier New" w:eastAsia="楷体_GB2312" w:cs="Times New Roman"/>
      <w:sz w:val="26"/>
      <w:szCs w:val="20"/>
    </w:rPr>
  </w:style>
  <w:style w:type="paragraph" w:customStyle="1" w:styleId="383">
    <w:name w:val="纯文本2"/>
    <w:basedOn w:val="1"/>
    <w:qFormat/>
    <w:uiPriority w:val="0"/>
    <w:rPr>
      <w:rFonts w:ascii="宋体" w:hAnsi="Courier New" w:eastAsia="仿宋_GB2312" w:cs="Times New Roman"/>
      <w:sz w:val="30"/>
      <w:szCs w:val="24"/>
    </w:rPr>
  </w:style>
  <w:style w:type="paragraph" w:customStyle="1" w:styleId="384">
    <w:name w:val="Body Text Indent1"/>
    <w:basedOn w:val="1"/>
    <w:qFormat/>
    <w:uiPriority w:val="99"/>
    <w:pPr>
      <w:spacing w:line="200" w:lineRule="exact"/>
      <w:ind w:firstLine="301"/>
    </w:pPr>
    <w:rPr>
      <w:rFonts w:ascii="宋体" w:hAnsi="Courier New" w:eastAsia="宋体" w:cs="Times New Roman"/>
      <w:spacing w:val="-4"/>
      <w:kern w:val="0"/>
      <w:sz w:val="18"/>
      <w:szCs w:val="24"/>
    </w:rPr>
  </w:style>
  <w:style w:type="character" w:customStyle="1" w:styleId="385">
    <w:name w:val="批注框文本 Char"/>
    <w:basedOn w:val="71"/>
    <w:link w:val="386"/>
    <w:qFormat/>
    <w:uiPriority w:val="0"/>
    <w:rPr>
      <w:rFonts w:ascii="Calibri" w:hAnsi="Calibri"/>
      <w:sz w:val="18"/>
      <w:szCs w:val="18"/>
    </w:rPr>
  </w:style>
  <w:style w:type="paragraph" w:customStyle="1" w:styleId="386">
    <w:name w:val="批注框文本1"/>
    <w:basedOn w:val="1"/>
    <w:link w:val="385"/>
    <w:qFormat/>
    <w:uiPriority w:val="0"/>
    <w:rPr>
      <w:rFonts w:ascii="Calibri" w:hAnsi="Calibri" w:eastAsia="宋体" w:cs="Times New Roman"/>
      <w:kern w:val="0"/>
      <w:sz w:val="18"/>
      <w:szCs w:val="18"/>
    </w:rPr>
  </w:style>
  <w:style w:type="paragraph" w:customStyle="1" w:styleId="387">
    <w:name w:val="纯文本5"/>
    <w:basedOn w:val="1"/>
    <w:qFormat/>
    <w:uiPriority w:val="0"/>
    <w:rPr>
      <w:rFonts w:ascii="宋体" w:hAnsi="Courier New" w:eastAsia="仿宋_GB2312" w:cs="Times New Roman"/>
      <w:sz w:val="30"/>
      <w:szCs w:val="24"/>
    </w:rPr>
  </w:style>
  <w:style w:type="paragraph" w:customStyle="1" w:styleId="388">
    <w:name w:val="附件格式"/>
    <w:basedOn w:val="1"/>
    <w:link w:val="389"/>
    <w:qFormat/>
    <w:uiPriority w:val="0"/>
    <w:pPr>
      <w:wordWrap w:val="0"/>
      <w:spacing w:line="360" w:lineRule="auto"/>
      <w:ind w:firstLine="200" w:firstLineChars="200"/>
    </w:pPr>
    <w:rPr>
      <w:rFonts w:ascii="宋体" w:hAnsi="Calibri" w:eastAsia="宋体" w:cs="宋体"/>
      <w:sz w:val="28"/>
    </w:rPr>
  </w:style>
  <w:style w:type="character" w:customStyle="1" w:styleId="389">
    <w:name w:val="附件格式 字符"/>
    <w:basedOn w:val="71"/>
    <w:link w:val="388"/>
    <w:qFormat/>
    <w:uiPriority w:val="0"/>
    <w:rPr>
      <w:rFonts w:ascii="宋体" w:hAnsi="Calibri" w:cs="宋体"/>
      <w:kern w:val="2"/>
      <w:sz w:val="28"/>
      <w:szCs w:val="22"/>
    </w:rPr>
  </w:style>
  <w:style w:type="paragraph" w:customStyle="1" w:styleId="390">
    <w:name w:val="大纲"/>
    <w:next w:val="1"/>
    <w:link w:val="391"/>
    <w:qFormat/>
    <w:uiPriority w:val="0"/>
    <w:pPr>
      <w:spacing w:line="360" w:lineRule="auto"/>
      <w:outlineLvl w:val="1"/>
    </w:pPr>
    <w:rPr>
      <w:rFonts w:ascii="宋体" w:hAnsi="Calibri" w:eastAsia="宋体" w:cs="宋体"/>
      <w:b/>
      <w:bCs/>
      <w:kern w:val="2"/>
      <w:sz w:val="24"/>
      <w:szCs w:val="22"/>
      <w:lang w:val="en-US" w:eastAsia="zh-CN" w:bidi="ar-SA"/>
    </w:rPr>
  </w:style>
  <w:style w:type="character" w:customStyle="1" w:styleId="391">
    <w:name w:val="大纲 字符"/>
    <w:basedOn w:val="71"/>
    <w:link w:val="390"/>
    <w:qFormat/>
    <w:uiPriority w:val="0"/>
    <w:rPr>
      <w:rFonts w:ascii="宋体" w:hAnsi="Calibri" w:cs="宋体"/>
      <w:b/>
      <w:bCs/>
      <w:kern w:val="2"/>
      <w:sz w:val="24"/>
      <w:szCs w:val="22"/>
    </w:rPr>
  </w:style>
  <w:style w:type="character" w:customStyle="1" w:styleId="392">
    <w:name w:val="fontstyle01"/>
    <w:qFormat/>
    <w:uiPriority w:val="0"/>
    <w:rPr>
      <w:rFonts w:hint="eastAsia" w:ascii="宋体" w:hAnsi="宋体" w:eastAsia="宋体"/>
      <w:color w:val="000000"/>
      <w:sz w:val="44"/>
      <w:szCs w:val="44"/>
    </w:rPr>
  </w:style>
  <w:style w:type="character" w:customStyle="1" w:styleId="393">
    <w:name w:val="bookmark-item"/>
    <w:basedOn w:val="71"/>
    <w:qFormat/>
    <w:uiPriority w:val="0"/>
  </w:style>
  <w:style w:type="character" w:customStyle="1" w:styleId="394">
    <w:name w:val="Body Text Indent Char Char"/>
    <w:basedOn w:val="71"/>
    <w:link w:val="395"/>
    <w:qFormat/>
    <w:uiPriority w:val="0"/>
  </w:style>
  <w:style w:type="paragraph" w:customStyle="1" w:styleId="395">
    <w:name w:val="正文文本缩进1"/>
    <w:basedOn w:val="1"/>
    <w:link w:val="394"/>
    <w:qFormat/>
    <w:uiPriority w:val="0"/>
    <w:pPr>
      <w:spacing w:line="200" w:lineRule="exact"/>
      <w:ind w:firstLine="301"/>
    </w:pPr>
    <w:rPr>
      <w:rFonts w:ascii="Times New Roman" w:hAnsi="Times New Roman" w:eastAsia="宋体" w:cs="Times New Roman"/>
      <w:kern w:val="0"/>
      <w:sz w:val="20"/>
      <w:szCs w:val="20"/>
    </w:rPr>
  </w:style>
  <w:style w:type="paragraph" w:customStyle="1" w:styleId="396">
    <w:name w:val="段"/>
    <w:link w:val="415"/>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397">
    <w:name w:val="占位符文本1"/>
    <w:basedOn w:val="71"/>
    <w:qFormat/>
    <w:uiPriority w:val="99"/>
    <w:rPr>
      <w:color w:val="808080"/>
    </w:rPr>
  </w:style>
  <w:style w:type="paragraph" w:customStyle="1" w:styleId="398">
    <w:name w:val="Char Char1"/>
    <w:basedOn w:val="1"/>
    <w:qFormat/>
    <w:uiPriority w:val="0"/>
    <w:pPr>
      <w:spacing w:line="360" w:lineRule="auto"/>
      <w:ind w:firstLine="200" w:firstLineChars="200"/>
    </w:pPr>
    <w:rPr>
      <w:rFonts w:ascii="宋体" w:hAnsi="宋体" w:eastAsia="宋体" w:cs="宋体"/>
      <w:sz w:val="24"/>
      <w:szCs w:val="24"/>
    </w:rPr>
  </w:style>
  <w:style w:type="paragraph" w:customStyle="1" w:styleId="399">
    <w:name w:val="4需求"/>
    <w:next w:val="1"/>
    <w:link w:val="401"/>
    <w:qFormat/>
    <w:uiPriority w:val="0"/>
    <w:pPr>
      <w:numPr>
        <w:ilvl w:val="3"/>
        <w:numId w:val="5"/>
      </w:numPr>
    </w:pPr>
    <w:rPr>
      <w:rFonts w:ascii="宋体" w:hAnsi="Calibri" w:eastAsia="宋体" w:cs="宋体"/>
      <w:b/>
      <w:bCs/>
      <w:kern w:val="2"/>
      <w:sz w:val="21"/>
      <w:szCs w:val="22"/>
      <w:lang w:val="en-US" w:eastAsia="zh-CN" w:bidi="ar-SA"/>
    </w:rPr>
  </w:style>
  <w:style w:type="paragraph" w:customStyle="1" w:styleId="400">
    <w:name w:val="3需求"/>
    <w:next w:val="399"/>
    <w:link w:val="403"/>
    <w:qFormat/>
    <w:uiPriority w:val="0"/>
    <w:pPr>
      <w:numPr>
        <w:ilvl w:val="2"/>
        <w:numId w:val="5"/>
      </w:numPr>
      <w:snapToGrid w:val="0"/>
      <w:spacing w:beforeLines="50"/>
    </w:pPr>
    <w:rPr>
      <w:rFonts w:ascii="宋体" w:hAnsi="Calibri" w:eastAsia="宋体" w:cs="宋体"/>
      <w:b/>
      <w:bCs/>
      <w:kern w:val="2"/>
      <w:sz w:val="24"/>
      <w:szCs w:val="22"/>
      <w:lang w:val="en-US" w:eastAsia="zh-CN" w:bidi="ar-SA"/>
    </w:rPr>
  </w:style>
  <w:style w:type="character" w:customStyle="1" w:styleId="401">
    <w:name w:val="4需求 字符"/>
    <w:basedOn w:val="71"/>
    <w:link w:val="399"/>
    <w:qFormat/>
    <w:uiPriority w:val="0"/>
    <w:rPr>
      <w:rFonts w:ascii="宋体" w:hAnsi="Calibri" w:cs="宋体"/>
      <w:b/>
      <w:bCs/>
      <w:kern w:val="2"/>
      <w:sz w:val="21"/>
      <w:szCs w:val="22"/>
    </w:rPr>
  </w:style>
  <w:style w:type="paragraph" w:customStyle="1" w:styleId="402">
    <w:name w:val="2需求"/>
    <w:next w:val="1"/>
    <w:link w:val="405"/>
    <w:qFormat/>
    <w:uiPriority w:val="0"/>
    <w:pPr>
      <w:numPr>
        <w:ilvl w:val="1"/>
        <w:numId w:val="5"/>
      </w:numPr>
      <w:snapToGrid w:val="0"/>
      <w:spacing w:beforeLines="50"/>
    </w:pPr>
    <w:rPr>
      <w:rFonts w:ascii="宋体" w:hAnsi="Calibri" w:eastAsia="宋体" w:cs="宋体"/>
      <w:b/>
      <w:bCs/>
      <w:kern w:val="2"/>
      <w:sz w:val="24"/>
      <w:szCs w:val="22"/>
      <w:lang w:val="en-US" w:eastAsia="zh-CN" w:bidi="ar-SA"/>
    </w:rPr>
  </w:style>
  <w:style w:type="character" w:customStyle="1" w:styleId="403">
    <w:name w:val="3需求 字符"/>
    <w:basedOn w:val="71"/>
    <w:link w:val="400"/>
    <w:qFormat/>
    <w:uiPriority w:val="0"/>
    <w:rPr>
      <w:rFonts w:ascii="宋体" w:hAnsi="Calibri" w:cs="宋体"/>
      <w:b/>
      <w:bCs/>
      <w:kern w:val="2"/>
      <w:sz w:val="24"/>
      <w:szCs w:val="22"/>
    </w:rPr>
  </w:style>
  <w:style w:type="paragraph" w:customStyle="1" w:styleId="404">
    <w:name w:val="1需求"/>
    <w:next w:val="1"/>
    <w:link w:val="406"/>
    <w:qFormat/>
    <w:uiPriority w:val="0"/>
    <w:pPr>
      <w:numPr>
        <w:ilvl w:val="0"/>
        <w:numId w:val="5"/>
      </w:numPr>
      <w:snapToGrid w:val="0"/>
      <w:spacing w:beforeLines="50"/>
    </w:pPr>
    <w:rPr>
      <w:rFonts w:ascii="宋体" w:hAnsi="Calibri" w:eastAsia="宋体" w:cs="宋体"/>
      <w:b/>
      <w:bCs/>
      <w:kern w:val="2"/>
      <w:sz w:val="28"/>
      <w:szCs w:val="22"/>
      <w:lang w:val="en-US" w:eastAsia="zh-CN" w:bidi="ar-SA"/>
    </w:rPr>
  </w:style>
  <w:style w:type="character" w:customStyle="1" w:styleId="405">
    <w:name w:val="2需求 字符"/>
    <w:basedOn w:val="71"/>
    <w:link w:val="402"/>
    <w:qFormat/>
    <w:uiPriority w:val="0"/>
    <w:rPr>
      <w:rFonts w:ascii="宋体" w:hAnsi="Calibri" w:cs="宋体"/>
      <w:b/>
      <w:bCs/>
      <w:kern w:val="2"/>
      <w:sz w:val="24"/>
      <w:szCs w:val="22"/>
    </w:rPr>
  </w:style>
  <w:style w:type="character" w:customStyle="1" w:styleId="406">
    <w:name w:val="1需求 字符"/>
    <w:basedOn w:val="71"/>
    <w:link w:val="404"/>
    <w:qFormat/>
    <w:uiPriority w:val="0"/>
    <w:rPr>
      <w:rFonts w:ascii="宋体" w:hAnsi="Calibri" w:cs="宋体"/>
      <w:b/>
      <w:bCs/>
      <w:kern w:val="2"/>
      <w:sz w:val="28"/>
      <w:szCs w:val="22"/>
    </w:rPr>
  </w:style>
  <w:style w:type="paragraph" w:customStyle="1" w:styleId="407">
    <w:name w:val="国普正文"/>
    <w:basedOn w:val="1"/>
    <w:qFormat/>
    <w:uiPriority w:val="0"/>
    <w:pPr>
      <w:spacing w:line="360" w:lineRule="auto"/>
      <w:ind w:firstLine="600" w:firstLineChars="200"/>
    </w:pPr>
    <w:rPr>
      <w:rFonts w:ascii="仿宋_GB2312" w:hAnsi="Calibri" w:eastAsia="仿宋_GB2312" w:cs="Times New Roman"/>
      <w:sz w:val="30"/>
      <w:szCs w:val="30"/>
    </w:rPr>
  </w:style>
  <w:style w:type="character" w:customStyle="1" w:styleId="408">
    <w:name w:val="批注框文本 字符1"/>
    <w:qFormat/>
    <w:uiPriority w:val="0"/>
    <w:rPr>
      <w:rFonts w:ascii="Times New Roman" w:hAnsi="Times New Roman" w:eastAsia="宋体" w:cs="Times New Roman"/>
      <w:sz w:val="18"/>
      <w:szCs w:val="18"/>
    </w:rPr>
  </w:style>
  <w:style w:type="character" w:customStyle="1" w:styleId="409">
    <w:name w:val="页眉 字符1"/>
    <w:qFormat/>
    <w:uiPriority w:val="99"/>
    <w:rPr>
      <w:rFonts w:ascii="Times New Roman" w:hAnsi="Times New Roman" w:eastAsia="宋体" w:cs="Times New Roman"/>
      <w:sz w:val="18"/>
      <w:szCs w:val="18"/>
    </w:rPr>
  </w:style>
  <w:style w:type="character" w:customStyle="1" w:styleId="410">
    <w:name w:val="v0066991"/>
    <w:qFormat/>
    <w:uiPriority w:val="0"/>
    <w:rPr>
      <w:rFonts w:ascii="Arial" w:hAnsi="Arial" w:eastAsia="宋体" w:cs="Times New Roman"/>
      <w:color w:val="000000"/>
      <w:sz w:val="26"/>
      <w:u w:val="none"/>
    </w:rPr>
  </w:style>
  <w:style w:type="character" w:customStyle="1" w:styleId="411">
    <w:name w:val="正文2 Char"/>
    <w:link w:val="173"/>
    <w:qFormat/>
    <w:uiPriority w:val="0"/>
    <w:rPr>
      <w:kern w:val="2"/>
      <w:sz w:val="24"/>
    </w:rPr>
  </w:style>
  <w:style w:type="character" w:customStyle="1" w:styleId="412">
    <w:name w:val="Char Char7"/>
    <w:qFormat/>
    <w:uiPriority w:val="0"/>
    <w:rPr>
      <w:rFonts w:ascii="Cambria" w:hAnsi="Cambria" w:eastAsia="仿宋_GB2312" w:cs="Times New Roman"/>
      <w:b/>
      <w:kern w:val="2"/>
      <w:sz w:val="28"/>
    </w:rPr>
  </w:style>
  <w:style w:type="character" w:customStyle="1" w:styleId="413">
    <w:name w:val="Subtle Reference1"/>
    <w:qFormat/>
    <w:uiPriority w:val="0"/>
    <w:rPr>
      <w:rFonts w:ascii="Calibri" w:hAnsi="Calibri" w:eastAsia="宋体" w:cs="Times New Roman"/>
      <w:smallCaps/>
      <w:color w:val="C0504D"/>
      <w:u w:val="single"/>
    </w:rPr>
  </w:style>
  <w:style w:type="character" w:customStyle="1" w:styleId="414">
    <w:name w:val="正文首行缩进 Char"/>
    <w:qFormat/>
    <w:uiPriority w:val="0"/>
    <w:rPr>
      <w:rFonts w:ascii="Times New Roman" w:hAnsi="Times New Roman" w:eastAsia="仿宋_GB2312" w:cs="Times New Roman"/>
      <w:kern w:val="2"/>
      <w:sz w:val="21"/>
      <w:szCs w:val="24"/>
    </w:rPr>
  </w:style>
  <w:style w:type="character" w:customStyle="1" w:styleId="415">
    <w:name w:val="段 Char"/>
    <w:link w:val="396"/>
    <w:qFormat/>
    <w:uiPriority w:val="0"/>
    <w:rPr>
      <w:rFonts w:ascii="宋体"/>
      <w:sz w:val="21"/>
    </w:rPr>
  </w:style>
  <w:style w:type="character" w:customStyle="1" w:styleId="416">
    <w:name w:val="样式1 Char Char"/>
    <w:link w:val="150"/>
    <w:qFormat/>
    <w:uiPriority w:val="0"/>
    <w:rPr>
      <w:rFonts w:ascii="Calibri" w:hAnsi="Calibri"/>
      <w:b/>
      <w:i/>
      <w:sz w:val="24"/>
      <w:szCs w:val="21"/>
      <w:u w:val="thick"/>
    </w:rPr>
  </w:style>
  <w:style w:type="character" w:customStyle="1" w:styleId="417">
    <w:name w:val="17"/>
    <w:qFormat/>
    <w:uiPriority w:val="0"/>
    <w:rPr>
      <w:rFonts w:hint="default" w:ascii="Calibri" w:hAnsi="Calibri" w:eastAsia="宋体" w:cs="Times New Roman"/>
      <w:sz w:val="21"/>
      <w:szCs w:val="21"/>
    </w:rPr>
  </w:style>
  <w:style w:type="character" w:customStyle="1" w:styleId="418">
    <w:name w:val="标题 6 Char1"/>
    <w:qFormat/>
    <w:uiPriority w:val="0"/>
    <w:rPr>
      <w:rFonts w:ascii="Arial" w:hAnsi="Arial" w:eastAsia="黑体" w:cs="Times New Roman"/>
      <w:b/>
      <w:kern w:val="2"/>
      <w:sz w:val="24"/>
    </w:rPr>
  </w:style>
  <w:style w:type="character" w:customStyle="1" w:styleId="419">
    <w:name w:val="自定义正文 Char Char"/>
    <w:qFormat/>
    <w:uiPriority w:val="0"/>
    <w:rPr>
      <w:rFonts w:ascii="Calibri" w:hAnsi="Calibri" w:eastAsia="宋体" w:cs="Times New Roman"/>
      <w:sz w:val="24"/>
    </w:rPr>
  </w:style>
  <w:style w:type="character" w:customStyle="1" w:styleId="420">
    <w:name w:val="正文文本 Char3"/>
    <w:qFormat/>
    <w:uiPriority w:val="0"/>
    <w:rPr>
      <w:rFonts w:ascii="Times New Roman" w:hAnsi="Times New Roman" w:eastAsia="宋体" w:cs="Times New Roman"/>
      <w:sz w:val="20"/>
      <w:szCs w:val="20"/>
    </w:rPr>
  </w:style>
  <w:style w:type="character" w:customStyle="1" w:styleId="421">
    <w:name w:val="标题 2 Char1"/>
    <w:qFormat/>
    <w:uiPriority w:val="0"/>
    <w:rPr>
      <w:rFonts w:ascii="仿宋_GB2312" w:hAnsi="Calibri" w:eastAsia="仿宋_GB2312" w:cs="Times New Roman"/>
      <w:sz w:val="28"/>
    </w:rPr>
  </w:style>
  <w:style w:type="character" w:customStyle="1" w:styleId="422">
    <w:name w:val="批注引用111"/>
    <w:qFormat/>
    <w:uiPriority w:val="0"/>
    <w:rPr>
      <w:rFonts w:ascii="Calibri" w:hAnsi="Calibri" w:eastAsia="宋体" w:cs="Times New Roman"/>
      <w:sz w:val="21"/>
      <w:szCs w:val="21"/>
    </w:rPr>
  </w:style>
  <w:style w:type="character" w:customStyle="1" w:styleId="423">
    <w:name w:val="blue"/>
    <w:qFormat/>
    <w:uiPriority w:val="0"/>
    <w:rPr>
      <w:rFonts w:ascii="Calibri" w:hAnsi="Calibri" w:eastAsia="宋体" w:cs="Times New Roman"/>
    </w:rPr>
  </w:style>
  <w:style w:type="character" w:customStyle="1" w:styleId="424">
    <w:name w:val="段 Char Char"/>
    <w:qFormat/>
    <w:uiPriority w:val="0"/>
    <w:rPr>
      <w:rFonts w:ascii="宋体" w:hAnsi="Calibri" w:eastAsia="宋体" w:cs="Times New Roman"/>
      <w:lang w:val="en-US" w:eastAsia="zh-CN"/>
    </w:rPr>
  </w:style>
  <w:style w:type="character" w:customStyle="1" w:styleId="425">
    <w:name w:val="标题3 Char"/>
    <w:link w:val="426"/>
    <w:qFormat/>
    <w:uiPriority w:val="0"/>
    <w:rPr>
      <w:rFonts w:ascii="宋体" w:hAnsi="宋体" w:eastAsia="华文中宋" w:cs="Arial"/>
      <w:b/>
      <w:sz w:val="24"/>
      <w:szCs w:val="24"/>
    </w:rPr>
  </w:style>
  <w:style w:type="paragraph" w:customStyle="1" w:styleId="426">
    <w:name w:val="标题3"/>
    <w:basedOn w:val="1"/>
    <w:next w:val="1"/>
    <w:link w:val="425"/>
    <w:qFormat/>
    <w:uiPriority w:val="0"/>
    <w:pPr>
      <w:widowControl/>
      <w:jc w:val="left"/>
    </w:pPr>
    <w:rPr>
      <w:rFonts w:ascii="宋体" w:hAnsi="宋体" w:eastAsia="华文中宋" w:cs="Arial"/>
      <w:b/>
      <w:kern w:val="0"/>
      <w:sz w:val="24"/>
      <w:szCs w:val="24"/>
    </w:rPr>
  </w:style>
  <w:style w:type="character" w:customStyle="1" w:styleId="427">
    <w:name w:val="style17"/>
    <w:qFormat/>
    <w:uiPriority w:val="0"/>
    <w:rPr>
      <w:rFonts w:ascii="Calibri" w:hAnsi="Calibri" w:eastAsia="宋体" w:cs="Times New Roman"/>
    </w:rPr>
  </w:style>
  <w:style w:type="character" w:customStyle="1" w:styleId="428">
    <w:name w:val="g1"/>
    <w:qFormat/>
    <w:uiPriority w:val="0"/>
    <w:rPr>
      <w:rFonts w:ascii="Calibri" w:hAnsi="Calibri" w:eastAsia="宋体" w:cs="Times New Roman"/>
      <w:color w:val="008000"/>
    </w:rPr>
  </w:style>
  <w:style w:type="character" w:customStyle="1" w:styleId="429">
    <w:name w:val="Char Char9"/>
    <w:qFormat/>
    <w:uiPriority w:val="0"/>
    <w:rPr>
      <w:rFonts w:ascii="Calibri" w:hAnsi="Calibri" w:eastAsia="宋体" w:cs="Times New Roman"/>
      <w:b/>
      <w:kern w:val="44"/>
      <w:sz w:val="44"/>
    </w:rPr>
  </w:style>
  <w:style w:type="character" w:customStyle="1" w:styleId="430">
    <w:name w:val="页脚 Char3"/>
    <w:qFormat/>
    <w:uiPriority w:val="0"/>
    <w:rPr>
      <w:rFonts w:ascii="Times New Roman" w:hAnsi="Times New Roman" w:eastAsia="宋体" w:cs="Times New Roman"/>
      <w:sz w:val="20"/>
      <w:szCs w:val="20"/>
    </w:rPr>
  </w:style>
  <w:style w:type="character" w:customStyle="1" w:styleId="431">
    <w:name w:val="称呼 Char"/>
    <w:qFormat/>
    <w:uiPriority w:val="0"/>
    <w:rPr>
      <w:rFonts w:ascii="Times New Roman" w:hAnsi="Times New Roman" w:eastAsia="宋体" w:cs="Times New Roman"/>
      <w:kern w:val="2"/>
      <w:sz w:val="21"/>
      <w:szCs w:val="24"/>
    </w:rPr>
  </w:style>
  <w:style w:type="character" w:customStyle="1" w:styleId="432">
    <w:name w:val="●一级符号home Char Char1"/>
    <w:link w:val="433"/>
    <w:qFormat/>
    <w:uiPriority w:val="0"/>
    <w:rPr>
      <w:rFonts w:ascii="Verdana" w:hAnsi="Verdana"/>
      <w:sz w:val="21"/>
      <w:lang w:val="zh-CN"/>
    </w:rPr>
  </w:style>
  <w:style w:type="paragraph" w:customStyle="1" w:styleId="433">
    <w:name w:val="●一级符号home"/>
    <w:basedOn w:val="1"/>
    <w:link w:val="432"/>
    <w:qFormat/>
    <w:uiPriority w:val="0"/>
    <w:pPr>
      <w:tabs>
        <w:tab w:val="left" w:pos="901"/>
      </w:tabs>
      <w:spacing w:line="360" w:lineRule="auto"/>
    </w:pPr>
    <w:rPr>
      <w:rFonts w:ascii="Verdana" w:hAnsi="Verdana" w:eastAsia="宋体" w:cs="Times New Roman"/>
      <w:kern w:val="0"/>
      <w:szCs w:val="20"/>
      <w:lang w:val="zh-CN"/>
    </w:rPr>
  </w:style>
  <w:style w:type="character" w:customStyle="1" w:styleId="434">
    <w:name w:val="15"/>
    <w:qFormat/>
    <w:uiPriority w:val="0"/>
    <w:rPr>
      <w:rFonts w:hint="default" w:ascii="Calibri" w:hAnsi="Calibri" w:eastAsia="宋体" w:cs="Times New Roman"/>
      <w:sz w:val="18"/>
      <w:szCs w:val="18"/>
    </w:rPr>
  </w:style>
  <w:style w:type="character" w:customStyle="1" w:styleId="435">
    <w:name w:val="font81"/>
    <w:qFormat/>
    <w:uiPriority w:val="0"/>
    <w:rPr>
      <w:rFonts w:hint="default" w:ascii="Times New Roman" w:hAnsi="Times New Roman" w:eastAsia="宋体" w:cs="Times New Roman"/>
      <w:color w:val="000000"/>
      <w:sz w:val="18"/>
      <w:szCs w:val="18"/>
      <w:u w:val="none"/>
    </w:rPr>
  </w:style>
  <w:style w:type="character" w:customStyle="1" w:styleId="436">
    <w:name w:val="16"/>
    <w:qFormat/>
    <w:uiPriority w:val="0"/>
    <w:rPr>
      <w:rFonts w:hint="default" w:ascii="Calibri" w:hAnsi="Calibri" w:eastAsia="宋体" w:cs="Times New Roman"/>
      <w:sz w:val="21"/>
      <w:szCs w:val="21"/>
    </w:rPr>
  </w:style>
  <w:style w:type="character" w:customStyle="1" w:styleId="437">
    <w:name w:val="lf3"/>
    <w:qFormat/>
    <w:uiPriority w:val="0"/>
    <w:rPr>
      <w:rFonts w:ascii="Calibri" w:hAnsi="Calibri" w:eastAsia="宋体" w:cs="Times New Roman"/>
    </w:rPr>
  </w:style>
  <w:style w:type="character" w:customStyle="1" w:styleId="438">
    <w:name w:val="正文文本缩进 Char2"/>
    <w:qFormat/>
    <w:uiPriority w:val="0"/>
    <w:rPr>
      <w:rFonts w:ascii="Calibri" w:hAnsi="Calibri" w:eastAsia="宋体" w:cs="Times New Roman"/>
      <w:kern w:val="2"/>
      <w:sz w:val="21"/>
    </w:rPr>
  </w:style>
  <w:style w:type="character" w:customStyle="1" w:styleId="439">
    <w:name w:val="自定义正文 Char"/>
    <w:link w:val="440"/>
    <w:qFormat/>
    <w:uiPriority w:val="0"/>
    <w:rPr>
      <w:kern w:val="2"/>
      <w:sz w:val="24"/>
    </w:rPr>
  </w:style>
  <w:style w:type="paragraph" w:customStyle="1" w:styleId="440">
    <w:name w:val="自定义正文"/>
    <w:basedOn w:val="1"/>
    <w:link w:val="439"/>
    <w:qFormat/>
    <w:uiPriority w:val="0"/>
    <w:pPr>
      <w:spacing w:afterLines="50" w:line="360" w:lineRule="auto"/>
      <w:ind w:firstLine="200" w:firstLineChars="200"/>
      <w:jc w:val="left"/>
    </w:pPr>
    <w:rPr>
      <w:rFonts w:ascii="Times New Roman" w:hAnsi="Times New Roman" w:eastAsia="宋体" w:cs="Times New Roman"/>
      <w:sz w:val="24"/>
      <w:szCs w:val="20"/>
    </w:rPr>
  </w:style>
  <w:style w:type="character" w:customStyle="1" w:styleId="441">
    <w:name w:val="样式 黑体 二号"/>
    <w:qFormat/>
    <w:uiPriority w:val="0"/>
    <w:rPr>
      <w:rFonts w:ascii="Arial" w:hAnsi="Arial" w:eastAsia="黑体" w:cs="Times New Roman"/>
      <w:sz w:val="44"/>
    </w:rPr>
  </w:style>
  <w:style w:type="character" w:customStyle="1" w:styleId="442">
    <w:name w:val="标题 Char1"/>
    <w:qFormat/>
    <w:uiPriority w:val="0"/>
    <w:rPr>
      <w:rFonts w:ascii="Calibri" w:hAnsi="Calibri" w:eastAsia="黑体" w:cs="Times New Roman"/>
      <w:b/>
      <w:sz w:val="28"/>
    </w:rPr>
  </w:style>
  <w:style w:type="character" w:customStyle="1" w:styleId="443">
    <w:name w:val="textfont"/>
    <w:qFormat/>
    <w:uiPriority w:val="0"/>
    <w:rPr>
      <w:rFonts w:ascii="Calibri" w:hAnsi="Calibri" w:eastAsia="宋体" w:cs="Times New Roman"/>
    </w:rPr>
  </w:style>
  <w:style w:type="character" w:customStyle="1" w:styleId="444">
    <w:name w:val="r13"/>
    <w:qFormat/>
    <w:uiPriority w:val="0"/>
    <w:rPr>
      <w:rFonts w:ascii="Calibri" w:hAnsi="Calibri" w:eastAsia="宋体" w:cs="Times New Roman"/>
    </w:rPr>
  </w:style>
  <w:style w:type="character" w:customStyle="1" w:styleId="445">
    <w:name w:val="副标题 Char"/>
    <w:qFormat/>
    <w:uiPriority w:val="0"/>
    <w:rPr>
      <w:rFonts w:ascii="Cambria" w:hAnsi="Cambria" w:eastAsia="宋体" w:cs="Times New Roman"/>
      <w:b/>
      <w:bCs/>
      <w:kern w:val="28"/>
      <w:sz w:val="32"/>
      <w:szCs w:val="32"/>
    </w:rPr>
  </w:style>
  <w:style w:type="character" w:customStyle="1" w:styleId="446">
    <w:name w:val="style15"/>
    <w:qFormat/>
    <w:uiPriority w:val="0"/>
    <w:rPr>
      <w:rFonts w:ascii="Calibri" w:hAnsi="Calibri" w:eastAsia="宋体" w:cs="Times New Roman"/>
    </w:rPr>
  </w:style>
  <w:style w:type="character" w:customStyle="1" w:styleId="447">
    <w:name w:val="页眉 Char2"/>
    <w:qFormat/>
    <w:uiPriority w:val="0"/>
    <w:rPr>
      <w:rFonts w:ascii="Calibri" w:hAnsi="Calibri" w:eastAsia="宋体" w:cs="Times New Roman"/>
      <w:kern w:val="2"/>
      <w:sz w:val="18"/>
    </w:rPr>
  </w:style>
  <w:style w:type="character" w:customStyle="1" w:styleId="448">
    <w:name w:val="headline-content2"/>
    <w:qFormat/>
    <w:uiPriority w:val="0"/>
    <w:rPr>
      <w:rFonts w:ascii="Calibri" w:hAnsi="Calibri" w:eastAsia="宋体" w:cs="Times New Roman"/>
    </w:rPr>
  </w:style>
  <w:style w:type="character" w:customStyle="1" w:styleId="449">
    <w:name w:val="paramname"/>
    <w:qFormat/>
    <w:uiPriority w:val="0"/>
    <w:rPr>
      <w:rFonts w:ascii="Calibri" w:hAnsi="Calibri" w:eastAsia="宋体" w:cs="Times New Roman"/>
    </w:rPr>
  </w:style>
  <w:style w:type="character" w:customStyle="1" w:styleId="450">
    <w:name w:val="页眉 Char Char"/>
    <w:qFormat/>
    <w:uiPriority w:val="0"/>
    <w:rPr>
      <w:rFonts w:ascii="Calibri" w:hAnsi="Calibri" w:eastAsia="宋体" w:cs="Times New Roman"/>
      <w:kern w:val="2"/>
      <w:sz w:val="18"/>
      <w:lang w:val="en-US" w:eastAsia="zh-CN"/>
    </w:rPr>
  </w:style>
  <w:style w:type="character" w:customStyle="1" w:styleId="451">
    <w:name w:val="正文2 Char Char"/>
    <w:qFormat/>
    <w:uiPriority w:val="0"/>
    <w:rPr>
      <w:rFonts w:ascii="Calibri" w:hAnsi="Calibri" w:eastAsia="宋体" w:cs="Times New Roman"/>
      <w:sz w:val="24"/>
    </w:rPr>
  </w:style>
  <w:style w:type="character" w:customStyle="1" w:styleId="452">
    <w:name w:val="正文首行缩进 Char2"/>
    <w:qFormat/>
    <w:uiPriority w:val="0"/>
    <w:rPr>
      <w:rFonts w:ascii="Calibri" w:hAnsi="Calibri" w:eastAsia="宋体" w:cs="Times New Roman"/>
    </w:rPr>
  </w:style>
  <w:style w:type="paragraph" w:customStyle="1" w:styleId="453">
    <w:name w:val="z-Bottom of Form1"/>
    <w:basedOn w:val="1"/>
    <w:next w:val="1"/>
    <w:qFormat/>
    <w:uiPriority w:val="0"/>
    <w:pPr>
      <w:widowControl/>
      <w:pBdr>
        <w:top w:val="single" w:color="auto" w:sz="6" w:space="1"/>
      </w:pBdr>
      <w:jc w:val="center"/>
    </w:pPr>
    <w:rPr>
      <w:rFonts w:ascii="Arial" w:hAnsi="Arial" w:eastAsia="宋体" w:cs="Times New Roman"/>
      <w:vanish/>
      <w:kern w:val="0"/>
      <w:sz w:val="16"/>
      <w:szCs w:val="16"/>
    </w:rPr>
  </w:style>
  <w:style w:type="character" w:customStyle="1" w:styleId="454">
    <w:name w:val="批注引用10"/>
    <w:qFormat/>
    <w:uiPriority w:val="0"/>
    <w:rPr>
      <w:rFonts w:ascii="Calibri" w:hAnsi="Calibri" w:eastAsia="宋体" w:cs="Times New Roman"/>
      <w:sz w:val="21"/>
    </w:rPr>
  </w:style>
  <w:style w:type="character" w:customStyle="1" w:styleId="455">
    <w:name w:val="EmailStyle30"/>
    <w:qFormat/>
    <w:uiPriority w:val="0"/>
    <w:rPr>
      <w:rFonts w:ascii="Calibri" w:hAnsi="Calibri" w:eastAsia="宋体" w:cs="Times New Roman"/>
      <w:color w:val="000000"/>
    </w:rPr>
  </w:style>
  <w:style w:type="character" w:customStyle="1" w:styleId="456">
    <w:name w:val="批注引用5"/>
    <w:qFormat/>
    <w:uiPriority w:val="0"/>
    <w:rPr>
      <w:rFonts w:ascii="Calibri" w:hAnsi="Calibri" w:eastAsia="宋体" w:cs="Times New Roman"/>
      <w:sz w:val="21"/>
    </w:rPr>
  </w:style>
  <w:style w:type="character" w:customStyle="1" w:styleId="457">
    <w:name w:val="apple-style-span"/>
    <w:qFormat/>
    <w:uiPriority w:val="0"/>
    <w:rPr>
      <w:rFonts w:ascii="Calibri" w:hAnsi="Calibri" w:eastAsia="宋体" w:cs="Times New Roman"/>
    </w:rPr>
  </w:style>
  <w:style w:type="character" w:customStyle="1" w:styleId="458">
    <w:name w:val="无 A"/>
    <w:qFormat/>
    <w:uiPriority w:val="0"/>
    <w:rPr>
      <w:rFonts w:ascii="Calibri" w:hAnsi="Calibri" w:eastAsia="宋体" w:cs="Times New Roman"/>
      <w:lang w:val="en-US"/>
    </w:rPr>
  </w:style>
  <w:style w:type="character" w:customStyle="1" w:styleId="459">
    <w:name w:val="custbt1"/>
    <w:qFormat/>
    <w:uiPriority w:val="0"/>
    <w:rPr>
      <w:rFonts w:ascii="Calibri" w:hAnsi="Calibri" w:eastAsia="宋体" w:cs="Times New Roman"/>
      <w:color w:val="0066CC"/>
      <w:sz w:val="20"/>
    </w:rPr>
  </w:style>
  <w:style w:type="character" w:customStyle="1" w:styleId="460">
    <w:name w:val="日期 Char2"/>
    <w:qFormat/>
    <w:uiPriority w:val="0"/>
    <w:rPr>
      <w:rFonts w:ascii="Calibri" w:hAnsi="Calibri" w:eastAsia="宋体" w:cs="Times New Roman"/>
      <w:kern w:val="2"/>
      <w:sz w:val="21"/>
    </w:rPr>
  </w:style>
  <w:style w:type="character" w:customStyle="1" w:styleId="461">
    <w:name w:val="批注引用6"/>
    <w:qFormat/>
    <w:uiPriority w:val="0"/>
    <w:rPr>
      <w:rFonts w:ascii="Calibri" w:hAnsi="Calibri" w:eastAsia="宋体" w:cs="Times New Roman"/>
      <w:sz w:val="21"/>
    </w:rPr>
  </w:style>
  <w:style w:type="character" w:customStyle="1" w:styleId="462">
    <w:name w:val="font71"/>
    <w:qFormat/>
    <w:uiPriority w:val="0"/>
    <w:rPr>
      <w:rFonts w:hint="default" w:ascii="Times New Roman" w:hAnsi="Times New Roman" w:eastAsia="楷体_GB2312" w:cs="Times New Roman"/>
      <w:sz w:val="28"/>
      <w:szCs w:val="24"/>
    </w:rPr>
  </w:style>
  <w:style w:type="character" w:customStyle="1" w:styleId="463">
    <w:name w:val="正文首缩两字 Char1"/>
    <w:link w:val="464"/>
    <w:qFormat/>
    <w:uiPriority w:val="0"/>
    <w:rPr>
      <w:rFonts w:ascii="Verdana" w:hAnsi="Verdana"/>
      <w:sz w:val="24"/>
    </w:rPr>
  </w:style>
  <w:style w:type="paragraph" w:customStyle="1" w:styleId="464">
    <w:name w:val="正文首缩两字"/>
    <w:basedOn w:val="1"/>
    <w:link w:val="463"/>
    <w:qFormat/>
    <w:uiPriority w:val="0"/>
    <w:pPr>
      <w:spacing w:line="360" w:lineRule="auto"/>
      <w:ind w:firstLine="200" w:firstLineChars="200"/>
    </w:pPr>
    <w:rPr>
      <w:rFonts w:ascii="Verdana" w:hAnsi="Verdana" w:eastAsia="宋体" w:cs="Times New Roman"/>
      <w:kern w:val="0"/>
      <w:sz w:val="24"/>
      <w:szCs w:val="20"/>
    </w:rPr>
  </w:style>
  <w:style w:type="character" w:customStyle="1" w:styleId="465">
    <w:name w:val="ss"/>
    <w:qFormat/>
    <w:uiPriority w:val="0"/>
    <w:rPr>
      <w:rFonts w:ascii="Calibri" w:hAnsi="Calibri" w:eastAsia="宋体" w:cs="Times New Roman"/>
    </w:rPr>
  </w:style>
  <w:style w:type="character" w:customStyle="1" w:styleId="466">
    <w:name w:val="Char Char6"/>
    <w:qFormat/>
    <w:uiPriority w:val="0"/>
    <w:rPr>
      <w:rFonts w:ascii="Calibri" w:hAnsi="Calibri" w:eastAsia="宋体" w:cs="Times New Roman"/>
      <w:sz w:val="24"/>
    </w:rPr>
  </w:style>
  <w:style w:type="character" w:customStyle="1" w:styleId="467">
    <w:name w:val="批注文字 Char2"/>
    <w:qFormat/>
    <w:uiPriority w:val="0"/>
    <w:rPr>
      <w:rFonts w:ascii="Calibri" w:hAnsi="Calibri" w:eastAsia="宋体" w:cs="Times New Roman"/>
      <w:kern w:val="2"/>
      <w:sz w:val="21"/>
    </w:rPr>
  </w:style>
  <w:style w:type="character" w:customStyle="1" w:styleId="468">
    <w:name w:val="font_8"/>
    <w:qFormat/>
    <w:uiPriority w:val="0"/>
    <w:rPr>
      <w:rFonts w:ascii="Calibri" w:hAnsi="Calibri" w:eastAsia="宋体" w:cs="Times New Roman"/>
    </w:rPr>
  </w:style>
  <w:style w:type="character" w:customStyle="1" w:styleId="469">
    <w:name w:val="批注主题 Char2"/>
    <w:qFormat/>
    <w:uiPriority w:val="0"/>
    <w:rPr>
      <w:rFonts w:ascii="Calibri" w:hAnsi="Calibri" w:eastAsia="宋体" w:cs="Times New Roman"/>
      <w:b/>
      <w:kern w:val="2"/>
      <w:sz w:val="21"/>
    </w:rPr>
  </w:style>
  <w:style w:type="character" w:customStyle="1" w:styleId="470">
    <w:name w:val="Char Char Char Char Char"/>
    <w:qFormat/>
    <w:uiPriority w:val="0"/>
    <w:rPr>
      <w:rFonts w:ascii="宋体" w:hAnsi="Courier New" w:cs="Times New Roman"/>
    </w:rPr>
  </w:style>
  <w:style w:type="character" w:customStyle="1" w:styleId="471">
    <w:name w:val="一级条标题 Char"/>
    <w:link w:val="472"/>
    <w:qFormat/>
    <w:uiPriority w:val="0"/>
    <w:rPr>
      <w:rFonts w:ascii="黑体" w:eastAsia="黑体"/>
      <w:sz w:val="21"/>
    </w:rPr>
  </w:style>
  <w:style w:type="paragraph" w:customStyle="1" w:styleId="472">
    <w:name w:val="一级条标题"/>
    <w:basedOn w:val="1"/>
    <w:next w:val="396"/>
    <w:link w:val="471"/>
    <w:qFormat/>
    <w:uiPriority w:val="0"/>
    <w:pPr>
      <w:widowControl/>
      <w:tabs>
        <w:tab w:val="left" w:pos="1200"/>
      </w:tabs>
      <w:ind w:left="1200" w:hanging="420"/>
      <w:outlineLvl w:val="2"/>
    </w:pPr>
    <w:rPr>
      <w:rFonts w:ascii="黑体" w:hAnsi="Times New Roman" w:eastAsia="黑体" w:cs="Times New Roman"/>
      <w:kern w:val="0"/>
      <w:szCs w:val="20"/>
    </w:rPr>
  </w:style>
  <w:style w:type="character" w:customStyle="1" w:styleId="473">
    <w:name w:val="标题 Char3"/>
    <w:qFormat/>
    <w:uiPriority w:val="0"/>
    <w:rPr>
      <w:rFonts w:ascii="Cambria" w:hAnsi="Cambria" w:eastAsia="宋体" w:cs="黑体"/>
      <w:b/>
      <w:bCs/>
      <w:sz w:val="32"/>
      <w:szCs w:val="32"/>
    </w:rPr>
  </w:style>
  <w:style w:type="character" w:customStyle="1" w:styleId="474">
    <w:name w:val="List Paragraph Char Char"/>
    <w:qFormat/>
    <w:locked/>
    <w:uiPriority w:val="0"/>
    <w:rPr>
      <w:rFonts w:ascii="宋体" w:hAnsi="宋体" w:cs="Times New Roman"/>
      <w:kern w:val="2"/>
      <w:sz w:val="21"/>
      <w:szCs w:val="24"/>
    </w:rPr>
  </w:style>
  <w:style w:type="character" w:customStyle="1" w:styleId="475">
    <w:name w:val="wz1"/>
    <w:qFormat/>
    <w:uiPriority w:val="0"/>
    <w:rPr>
      <w:rFonts w:ascii="Calibri" w:hAnsi="Calibri" w:eastAsia="宋体" w:cs="Times New Roman"/>
      <w:color w:val="5A5A5A"/>
      <w:sz w:val="18"/>
      <w:u w:val="none"/>
    </w:rPr>
  </w:style>
  <w:style w:type="character" w:customStyle="1" w:styleId="476">
    <w:name w:val="aa1"/>
    <w:qFormat/>
    <w:uiPriority w:val="0"/>
    <w:rPr>
      <w:rFonts w:ascii="Calibri" w:hAnsi="Calibri" w:eastAsia="宋体" w:cs="Times New Roman"/>
      <w:sz w:val="20"/>
      <w:u w:val="none"/>
    </w:rPr>
  </w:style>
  <w:style w:type="character" w:customStyle="1" w:styleId="477">
    <w:name w:val="style14"/>
    <w:qFormat/>
    <w:uiPriority w:val="0"/>
    <w:rPr>
      <w:rFonts w:ascii="Calibri" w:hAnsi="Calibri" w:eastAsia="宋体" w:cs="Times New Roman"/>
    </w:rPr>
  </w:style>
  <w:style w:type="character" w:customStyle="1" w:styleId="478">
    <w:name w:val="正文首行缩进 Char1"/>
    <w:qFormat/>
    <w:uiPriority w:val="0"/>
    <w:rPr>
      <w:rFonts w:ascii="Calibri" w:hAnsi="Calibri" w:eastAsia="宋体" w:cs="Times New Roman"/>
      <w:kern w:val="2"/>
      <w:sz w:val="22"/>
      <w:lang w:val="en-US" w:eastAsia="zh-CN"/>
    </w:rPr>
  </w:style>
  <w:style w:type="character" w:customStyle="1" w:styleId="479">
    <w:name w:val="正文文本 2 Char2"/>
    <w:qFormat/>
    <w:uiPriority w:val="0"/>
    <w:rPr>
      <w:rFonts w:ascii="Calibri" w:hAnsi="Calibri" w:eastAsia="宋体" w:cs="Times New Roman"/>
      <w:kern w:val="2"/>
      <w:sz w:val="21"/>
    </w:rPr>
  </w:style>
  <w:style w:type="paragraph" w:customStyle="1" w:styleId="480">
    <w:name w:val="z-Top of Form1"/>
    <w:basedOn w:val="1"/>
    <w:next w:val="1"/>
    <w:qFormat/>
    <w:uiPriority w:val="0"/>
    <w:pPr>
      <w:widowControl/>
      <w:pBdr>
        <w:bottom w:val="single" w:color="auto" w:sz="6" w:space="1"/>
      </w:pBdr>
      <w:jc w:val="center"/>
    </w:pPr>
    <w:rPr>
      <w:rFonts w:ascii="Arial" w:hAnsi="Arial" w:eastAsia="宋体" w:cs="Times New Roman"/>
      <w:vanish/>
      <w:kern w:val="0"/>
      <w:sz w:val="16"/>
      <w:szCs w:val="16"/>
    </w:rPr>
  </w:style>
  <w:style w:type="character" w:customStyle="1" w:styleId="481">
    <w:name w:val="Char Char5"/>
    <w:qFormat/>
    <w:uiPriority w:val="0"/>
    <w:rPr>
      <w:rFonts w:ascii="Calibri" w:hAnsi="Calibri" w:eastAsia="宋体" w:cs="Times New Roman"/>
      <w:sz w:val="18"/>
    </w:rPr>
  </w:style>
  <w:style w:type="character" w:customStyle="1" w:styleId="482">
    <w:name w:val="正文2 Char Char Char"/>
    <w:qFormat/>
    <w:uiPriority w:val="0"/>
    <w:rPr>
      <w:rFonts w:ascii="Calibri" w:hAnsi="Calibri" w:eastAsia="宋体" w:cs="Times New Roman"/>
      <w:kern w:val="2"/>
      <w:sz w:val="24"/>
      <w:lang w:val="en-US" w:eastAsia="zh-CN"/>
    </w:rPr>
  </w:style>
  <w:style w:type="character" w:customStyle="1" w:styleId="483">
    <w:name w:val="标题 1 Char1"/>
    <w:qFormat/>
    <w:uiPriority w:val="0"/>
    <w:rPr>
      <w:rFonts w:ascii="仿宋_GB2312" w:hAnsi="Calibri" w:eastAsia="仿宋_GB2312" w:cs="Times New Roman"/>
      <w:b/>
      <w:color w:val="000000"/>
      <w:kern w:val="2"/>
      <w:sz w:val="36"/>
    </w:rPr>
  </w:style>
  <w:style w:type="character" w:customStyle="1" w:styleId="484">
    <w:name w:val="批注引用4"/>
    <w:qFormat/>
    <w:uiPriority w:val="0"/>
    <w:rPr>
      <w:rFonts w:ascii="Calibri" w:hAnsi="Calibri" w:eastAsia="宋体" w:cs="Times New Roman"/>
      <w:sz w:val="21"/>
    </w:rPr>
  </w:style>
  <w:style w:type="character" w:customStyle="1" w:styleId="485">
    <w:name w:val="style141"/>
    <w:qFormat/>
    <w:uiPriority w:val="0"/>
    <w:rPr>
      <w:rFonts w:ascii="Calibri" w:hAnsi="Calibri" w:eastAsia="宋体" w:cs="Times New Roman"/>
    </w:rPr>
  </w:style>
  <w:style w:type="character" w:customStyle="1" w:styleId="486">
    <w:name w:val="文档结构图 Char2"/>
    <w:qFormat/>
    <w:uiPriority w:val="0"/>
    <w:rPr>
      <w:rFonts w:ascii="宋体" w:hAnsi="Calibri" w:eastAsia="宋体" w:cs="Times New Roman"/>
      <w:kern w:val="2"/>
      <w:sz w:val="18"/>
    </w:rPr>
  </w:style>
  <w:style w:type="character" w:customStyle="1" w:styleId="487">
    <w:name w:val="批注框文本 Char2"/>
    <w:qFormat/>
    <w:uiPriority w:val="0"/>
    <w:rPr>
      <w:rFonts w:ascii="Calibri" w:hAnsi="Calibri" w:eastAsia="宋体" w:cs="Times New Roman"/>
      <w:kern w:val="2"/>
      <w:sz w:val="18"/>
    </w:rPr>
  </w:style>
  <w:style w:type="character" w:customStyle="1" w:styleId="488">
    <w:name w:val="font61"/>
    <w:basedOn w:val="71"/>
    <w:qFormat/>
    <w:uiPriority w:val="0"/>
    <w:rPr>
      <w:rFonts w:ascii="Arial" w:hAnsi="Arial" w:eastAsia="宋体" w:cs="Arial"/>
      <w:color w:val="000000"/>
      <w:sz w:val="20"/>
      <w:szCs w:val="20"/>
      <w:u w:val="none"/>
    </w:rPr>
  </w:style>
  <w:style w:type="character" w:customStyle="1" w:styleId="489">
    <w:name w:val="fontblank12"/>
    <w:qFormat/>
    <w:uiPriority w:val="0"/>
    <w:rPr>
      <w:rFonts w:ascii="Calibri" w:hAnsi="Calibri" w:eastAsia="宋体" w:cs="Times New Roman"/>
    </w:rPr>
  </w:style>
  <w:style w:type="character" w:customStyle="1" w:styleId="490">
    <w:name w:val="标题 9 Char1"/>
    <w:qFormat/>
    <w:uiPriority w:val="0"/>
    <w:rPr>
      <w:rFonts w:ascii="Arial" w:hAnsi="Arial" w:eastAsia="黑体" w:cs="Times New Roman"/>
      <w:kern w:val="2"/>
      <w:sz w:val="21"/>
    </w:rPr>
  </w:style>
  <w:style w:type="character" w:customStyle="1" w:styleId="491">
    <w:name w:val="high-light-bg4"/>
    <w:qFormat/>
    <w:uiPriority w:val="0"/>
    <w:rPr>
      <w:rFonts w:ascii="Calibri" w:hAnsi="Calibri" w:eastAsia="宋体" w:cs="Times New Roman"/>
    </w:rPr>
  </w:style>
  <w:style w:type="character" w:customStyle="1" w:styleId="492">
    <w:name w:val="正文文本 3 Char2"/>
    <w:qFormat/>
    <w:uiPriority w:val="0"/>
    <w:rPr>
      <w:rFonts w:ascii="Calibri" w:hAnsi="Calibri" w:eastAsia="宋体" w:cs="Times New Roman"/>
      <w:kern w:val="2"/>
      <w:sz w:val="16"/>
    </w:rPr>
  </w:style>
  <w:style w:type="character" w:customStyle="1" w:styleId="493">
    <w:name w:val="正文缩进 Char1"/>
    <w:qFormat/>
    <w:uiPriority w:val="0"/>
    <w:rPr>
      <w:rFonts w:ascii="Calibri" w:hAnsi="Calibri" w:eastAsia="宋体" w:cs="Times New Roman"/>
      <w:kern w:val="2"/>
      <w:sz w:val="21"/>
    </w:rPr>
  </w:style>
  <w:style w:type="character" w:customStyle="1" w:styleId="494">
    <w:name w:val="批注引用1"/>
    <w:qFormat/>
    <w:uiPriority w:val="0"/>
    <w:rPr>
      <w:rFonts w:ascii="Calibri" w:hAnsi="Calibri" w:eastAsia="宋体" w:cs="Times New Roman"/>
      <w:sz w:val="21"/>
      <w:szCs w:val="21"/>
    </w:rPr>
  </w:style>
  <w:style w:type="character" w:customStyle="1" w:styleId="495">
    <w:name w:val="正文文本 2 Char"/>
    <w:qFormat/>
    <w:uiPriority w:val="0"/>
    <w:rPr>
      <w:rFonts w:ascii="Times New Roman" w:hAnsi="Times New Roman" w:eastAsia="宋体" w:cs="Times New Roman"/>
      <w:kern w:val="2"/>
      <w:sz w:val="21"/>
      <w:szCs w:val="24"/>
    </w:rPr>
  </w:style>
  <w:style w:type="character" w:customStyle="1" w:styleId="496">
    <w:name w:val="Table Text Char Char"/>
    <w:link w:val="497"/>
    <w:qFormat/>
    <w:uiPriority w:val="0"/>
    <w:rPr>
      <w:rFonts w:ascii="Arial" w:hAnsi="Arial"/>
      <w:sz w:val="18"/>
    </w:rPr>
  </w:style>
  <w:style w:type="paragraph" w:customStyle="1" w:styleId="497">
    <w:name w:val="Table Text"/>
    <w:link w:val="496"/>
    <w:qFormat/>
    <w:uiPriority w:val="0"/>
    <w:pPr>
      <w:snapToGrid w:val="0"/>
      <w:spacing w:before="80" w:after="80"/>
    </w:pPr>
    <w:rPr>
      <w:rFonts w:ascii="Arial" w:hAnsi="Arial" w:eastAsia="宋体" w:cs="Times New Roman"/>
      <w:sz w:val="18"/>
      <w:lang w:val="en-US" w:eastAsia="zh-CN" w:bidi="ar-SA"/>
    </w:rPr>
  </w:style>
  <w:style w:type="character" w:customStyle="1" w:styleId="498">
    <w:name w:val="批注文字 Char3"/>
    <w:qFormat/>
    <w:uiPriority w:val="0"/>
    <w:rPr>
      <w:rFonts w:ascii="Times New Roman" w:hAnsi="Times New Roman" w:eastAsia="宋体" w:cs="Times New Roman"/>
      <w:sz w:val="20"/>
      <w:szCs w:val="20"/>
    </w:rPr>
  </w:style>
  <w:style w:type="character" w:customStyle="1" w:styleId="499">
    <w:name w:val="普通文字 Char2"/>
    <w:qFormat/>
    <w:uiPriority w:val="0"/>
    <w:rPr>
      <w:rFonts w:ascii="宋体" w:hAnsi="Courier New" w:eastAsia="宋体" w:cs="Times New Roman"/>
      <w:kern w:val="2"/>
      <w:sz w:val="21"/>
      <w:lang w:val="en-US" w:eastAsia="zh-CN"/>
    </w:rPr>
  </w:style>
  <w:style w:type="character" w:customStyle="1" w:styleId="500">
    <w:name w:val="正文文本 3 Char"/>
    <w:qFormat/>
    <w:uiPriority w:val="0"/>
    <w:rPr>
      <w:rFonts w:ascii="Times New Roman" w:hAnsi="Times New Roman" w:eastAsia="宋体" w:cs="Times New Roman"/>
      <w:kern w:val="2"/>
      <w:sz w:val="16"/>
      <w:szCs w:val="16"/>
    </w:rPr>
  </w:style>
  <w:style w:type="character" w:customStyle="1" w:styleId="501">
    <w:name w:val="HTML 预设格式 Char"/>
    <w:qFormat/>
    <w:uiPriority w:val="0"/>
    <w:rPr>
      <w:rFonts w:ascii="Courier New" w:hAnsi="Courier New" w:eastAsia="宋体" w:cs="Courier New"/>
      <w:kern w:val="2"/>
    </w:rPr>
  </w:style>
  <w:style w:type="character" w:customStyle="1" w:styleId="502">
    <w:name w:val="页眉 Char1"/>
    <w:qFormat/>
    <w:uiPriority w:val="0"/>
    <w:rPr>
      <w:rFonts w:ascii="Calibri" w:hAnsi="Calibri" w:eastAsia="宋体" w:cs="Times New Roman"/>
      <w:kern w:val="2"/>
      <w:sz w:val="18"/>
    </w:rPr>
  </w:style>
  <w:style w:type="character" w:customStyle="1" w:styleId="503">
    <w:name w:val="标题 8 Char1"/>
    <w:qFormat/>
    <w:uiPriority w:val="0"/>
    <w:rPr>
      <w:rFonts w:ascii="Arial" w:hAnsi="Arial" w:eastAsia="黑体" w:cs="Times New Roman"/>
      <w:kern w:val="2"/>
      <w:sz w:val="24"/>
    </w:rPr>
  </w:style>
  <w:style w:type="character" w:customStyle="1" w:styleId="504">
    <w:name w:val="Char Char8"/>
    <w:qFormat/>
    <w:uiPriority w:val="0"/>
    <w:rPr>
      <w:rFonts w:ascii="Calibri" w:hAnsi="Calibri" w:eastAsia="仿宋_GB2312" w:cs="Times New Roman"/>
      <w:b/>
      <w:kern w:val="2"/>
      <w:sz w:val="32"/>
    </w:rPr>
  </w:style>
  <w:style w:type="character" w:customStyle="1" w:styleId="505">
    <w:name w:val="正文文本缩进 3 Char2"/>
    <w:qFormat/>
    <w:uiPriority w:val="0"/>
    <w:rPr>
      <w:rFonts w:ascii="Calibri" w:hAnsi="Calibri" w:eastAsia="宋体" w:cs="Times New Roman"/>
      <w:kern w:val="2"/>
      <w:sz w:val="16"/>
    </w:rPr>
  </w:style>
  <w:style w:type="character" w:customStyle="1" w:styleId="506">
    <w:name w:val="◆ 二级符号end Char Char"/>
    <w:link w:val="507"/>
    <w:qFormat/>
    <w:uiPriority w:val="0"/>
    <w:rPr>
      <w:rFonts w:ascii="Verdana" w:hAnsi="Verdana"/>
      <w:sz w:val="24"/>
    </w:rPr>
  </w:style>
  <w:style w:type="paragraph" w:customStyle="1" w:styleId="507">
    <w:name w:val="◆ 二级符号end"/>
    <w:basedOn w:val="1"/>
    <w:link w:val="506"/>
    <w:qFormat/>
    <w:uiPriority w:val="0"/>
    <w:pPr>
      <w:tabs>
        <w:tab w:val="left" w:pos="1320"/>
      </w:tabs>
      <w:spacing w:line="360" w:lineRule="auto"/>
      <w:ind w:left="1320" w:hanging="420"/>
    </w:pPr>
    <w:rPr>
      <w:rFonts w:ascii="Verdana" w:hAnsi="Verdana" w:eastAsia="宋体" w:cs="Times New Roman"/>
      <w:kern w:val="0"/>
      <w:sz w:val="24"/>
      <w:szCs w:val="20"/>
    </w:rPr>
  </w:style>
  <w:style w:type="character" w:customStyle="1" w:styleId="508">
    <w:name w:val="正文文本 Char2"/>
    <w:qFormat/>
    <w:uiPriority w:val="0"/>
    <w:rPr>
      <w:rFonts w:ascii="Calibri" w:hAnsi="Calibri" w:eastAsia="宋体" w:cs="Times New Roman"/>
      <w:kern w:val="2"/>
      <w:sz w:val="21"/>
    </w:rPr>
  </w:style>
  <w:style w:type="character" w:customStyle="1" w:styleId="509">
    <w:name w:val="批注引用11"/>
    <w:qFormat/>
    <w:uiPriority w:val="0"/>
    <w:rPr>
      <w:rFonts w:ascii="Calibri" w:hAnsi="Calibri" w:eastAsia="宋体" w:cs="Times New Roman"/>
      <w:sz w:val="21"/>
    </w:rPr>
  </w:style>
  <w:style w:type="character" w:customStyle="1" w:styleId="510">
    <w:name w:val="标题 5 Char1"/>
    <w:qFormat/>
    <w:uiPriority w:val="0"/>
    <w:rPr>
      <w:rFonts w:ascii="Calibri" w:hAnsi="Calibri" w:eastAsia="宋体" w:cs="Times New Roman"/>
      <w:b/>
      <w:kern w:val="2"/>
      <w:sz w:val="28"/>
    </w:rPr>
  </w:style>
  <w:style w:type="character" w:customStyle="1" w:styleId="511">
    <w:name w:val="批注引用9"/>
    <w:qFormat/>
    <w:uiPriority w:val="0"/>
    <w:rPr>
      <w:rFonts w:ascii="Calibri" w:hAnsi="Calibri" w:eastAsia="宋体" w:cs="Times New Roman"/>
      <w:sz w:val="21"/>
    </w:rPr>
  </w:style>
  <w:style w:type="character" w:customStyle="1" w:styleId="512">
    <w:name w:val="标题 7 Char1"/>
    <w:qFormat/>
    <w:uiPriority w:val="0"/>
    <w:rPr>
      <w:rFonts w:ascii="Calibri" w:hAnsi="Calibri" w:eastAsia="宋体" w:cs="Times New Roman"/>
      <w:b/>
      <w:kern w:val="2"/>
      <w:sz w:val="24"/>
    </w:rPr>
  </w:style>
  <w:style w:type="character" w:customStyle="1" w:styleId="513">
    <w:name w:val="SANGFOR_6_正文 Char"/>
    <w:link w:val="514"/>
    <w:qFormat/>
    <w:uiPriority w:val="0"/>
    <w:rPr>
      <w:rFonts w:ascii="宋体" w:hAnsi="宋体"/>
      <w:sz w:val="28"/>
      <w:szCs w:val="28"/>
    </w:rPr>
  </w:style>
  <w:style w:type="paragraph" w:customStyle="1" w:styleId="514">
    <w:name w:val="SANGFOR_6_正文"/>
    <w:basedOn w:val="1"/>
    <w:link w:val="513"/>
    <w:qFormat/>
    <w:uiPriority w:val="0"/>
    <w:pPr>
      <w:spacing w:line="360" w:lineRule="auto"/>
      <w:ind w:left="420"/>
      <w:jc w:val="left"/>
    </w:pPr>
    <w:rPr>
      <w:rFonts w:ascii="宋体" w:hAnsi="宋体" w:eastAsia="宋体" w:cs="Times New Roman"/>
      <w:kern w:val="0"/>
      <w:sz w:val="28"/>
      <w:szCs w:val="28"/>
    </w:rPr>
  </w:style>
  <w:style w:type="character" w:customStyle="1" w:styleId="515">
    <w:name w:val="标题 3 Char1"/>
    <w:qFormat/>
    <w:uiPriority w:val="0"/>
    <w:rPr>
      <w:rFonts w:ascii="Calibri" w:hAnsi="Calibri" w:eastAsia="宋体" w:cs="Times New Roman"/>
      <w:b/>
      <w:kern w:val="2"/>
      <w:sz w:val="32"/>
    </w:rPr>
  </w:style>
  <w:style w:type="character" w:customStyle="1" w:styleId="516">
    <w:name w:val="页脚 Char1"/>
    <w:qFormat/>
    <w:uiPriority w:val="0"/>
    <w:rPr>
      <w:rFonts w:ascii="Calibri" w:hAnsi="Calibri" w:eastAsia="宋体" w:cs="Times New Roman"/>
      <w:kern w:val="2"/>
      <w:sz w:val="18"/>
    </w:rPr>
  </w:style>
  <w:style w:type="character" w:customStyle="1" w:styleId="517">
    <w:name w:val="页脚 Char2"/>
    <w:qFormat/>
    <w:uiPriority w:val="0"/>
    <w:rPr>
      <w:rFonts w:ascii="Calibri" w:hAnsi="Calibri" w:eastAsia="宋体" w:cs="Times New Roman"/>
      <w:kern w:val="2"/>
      <w:sz w:val="18"/>
    </w:rPr>
  </w:style>
  <w:style w:type="character" w:customStyle="1" w:styleId="518">
    <w:name w:val="正文1 Char"/>
    <w:link w:val="171"/>
    <w:qFormat/>
    <w:uiPriority w:val="0"/>
    <w:rPr>
      <w:rFonts w:ascii="Calibri" w:hAnsi="Calibri" w:cs="Calibri"/>
      <w:kern w:val="2"/>
      <w:sz w:val="21"/>
      <w:szCs w:val="21"/>
    </w:rPr>
  </w:style>
  <w:style w:type="character" w:customStyle="1" w:styleId="519">
    <w:name w:val="批注引用2"/>
    <w:qFormat/>
    <w:uiPriority w:val="0"/>
    <w:rPr>
      <w:rFonts w:ascii="Calibri" w:hAnsi="Calibri" w:eastAsia="宋体" w:cs="Times New Roman"/>
      <w:sz w:val="21"/>
    </w:rPr>
  </w:style>
  <w:style w:type="character" w:customStyle="1" w:styleId="520">
    <w:name w:val="标题 Char2"/>
    <w:qFormat/>
    <w:uiPriority w:val="0"/>
    <w:rPr>
      <w:rFonts w:ascii="Cambria" w:hAnsi="Cambria" w:eastAsia="宋体" w:cs="Times New Roman"/>
      <w:b/>
      <w:kern w:val="2"/>
      <w:sz w:val="32"/>
    </w:rPr>
  </w:style>
  <w:style w:type="character" w:customStyle="1" w:styleId="521">
    <w:name w:val="c1"/>
    <w:qFormat/>
    <w:uiPriority w:val="0"/>
    <w:rPr>
      <w:rFonts w:ascii="Calibri" w:hAnsi="Calibri" w:eastAsia="宋体" w:cs="Times New Roman"/>
      <w:sz w:val="24"/>
    </w:rPr>
  </w:style>
  <w:style w:type="character" w:customStyle="1" w:styleId="522">
    <w:name w:val="font121"/>
    <w:qFormat/>
    <w:uiPriority w:val="0"/>
    <w:rPr>
      <w:rFonts w:hint="default" w:ascii="???" w:hAnsi="???" w:eastAsia="宋体" w:cs="Times New Roman"/>
      <w:color w:val="333333"/>
      <w:sz w:val="18"/>
      <w:szCs w:val="18"/>
      <w:u w:val="none"/>
    </w:rPr>
  </w:style>
  <w:style w:type="character" w:customStyle="1" w:styleId="523">
    <w:name w:val="标准文本 Char Char"/>
    <w:link w:val="524"/>
    <w:qFormat/>
    <w:uiPriority w:val="0"/>
  </w:style>
  <w:style w:type="paragraph" w:customStyle="1" w:styleId="524">
    <w:name w:val="标准文本"/>
    <w:basedOn w:val="1"/>
    <w:link w:val="523"/>
    <w:qFormat/>
    <w:uiPriority w:val="0"/>
    <w:pPr>
      <w:spacing w:line="360" w:lineRule="auto"/>
      <w:ind w:firstLine="480" w:firstLineChars="200"/>
    </w:pPr>
    <w:rPr>
      <w:rFonts w:ascii="Times New Roman" w:hAnsi="Times New Roman" w:eastAsia="宋体" w:cs="Times New Roman"/>
      <w:kern w:val="0"/>
      <w:sz w:val="20"/>
      <w:szCs w:val="20"/>
    </w:rPr>
  </w:style>
  <w:style w:type="character" w:customStyle="1" w:styleId="525">
    <w:name w:val="尾注文本 Char"/>
    <w:qFormat/>
    <w:uiPriority w:val="0"/>
    <w:rPr>
      <w:rFonts w:ascii="Times New Roman" w:hAnsi="Times New Roman" w:eastAsia="宋体" w:cs="Times New Roman"/>
      <w:kern w:val="2"/>
      <w:sz w:val="21"/>
      <w:szCs w:val="24"/>
    </w:rPr>
  </w:style>
  <w:style w:type="character" w:customStyle="1" w:styleId="526">
    <w:name w:val="标题 4 Char1"/>
    <w:qFormat/>
    <w:uiPriority w:val="0"/>
    <w:rPr>
      <w:rFonts w:ascii="Arial" w:hAnsi="Arial" w:eastAsia="黑体" w:cs="Times New Roman"/>
      <w:b/>
      <w:kern w:val="2"/>
      <w:sz w:val="28"/>
    </w:rPr>
  </w:style>
  <w:style w:type="character" w:customStyle="1" w:styleId="527">
    <w:name w:val="批注文字 Char4"/>
    <w:qFormat/>
    <w:uiPriority w:val="0"/>
    <w:rPr>
      <w:rFonts w:ascii="Times New Roman" w:hAnsi="Times New Roman" w:eastAsia="宋体" w:cs="Times New Roman"/>
      <w:szCs w:val="20"/>
    </w:rPr>
  </w:style>
  <w:style w:type="character" w:customStyle="1" w:styleId="528">
    <w:name w:val="批注引用8"/>
    <w:qFormat/>
    <w:uiPriority w:val="0"/>
    <w:rPr>
      <w:rFonts w:ascii="Calibri" w:hAnsi="Calibri" w:eastAsia="宋体" w:cs="Times New Roman"/>
      <w:sz w:val="21"/>
    </w:rPr>
  </w:style>
  <w:style w:type="character" w:customStyle="1" w:styleId="529">
    <w:name w:val="彩色列表 - 强调文字颜色 1 Char"/>
    <w:link w:val="192"/>
    <w:qFormat/>
    <w:uiPriority w:val="0"/>
    <w:rPr>
      <w:rFonts w:ascii="Calibri" w:hAnsi="Calibri"/>
      <w:kern w:val="2"/>
      <w:sz w:val="21"/>
      <w:szCs w:val="22"/>
    </w:rPr>
  </w:style>
  <w:style w:type="character" w:customStyle="1" w:styleId="530">
    <w:name w:val="DH 正文 Char"/>
    <w:link w:val="531"/>
    <w:qFormat/>
    <w:uiPriority w:val="0"/>
    <w:rPr>
      <w:rFonts w:ascii="宋体"/>
      <w:kern w:val="2"/>
      <w:sz w:val="24"/>
      <w:szCs w:val="24"/>
    </w:rPr>
  </w:style>
  <w:style w:type="paragraph" w:customStyle="1" w:styleId="531">
    <w:name w:val="DH 正文"/>
    <w:basedOn w:val="1"/>
    <w:link w:val="530"/>
    <w:qFormat/>
    <w:uiPriority w:val="0"/>
    <w:pPr>
      <w:spacing w:line="360" w:lineRule="auto"/>
      <w:ind w:firstLine="200" w:firstLineChars="200"/>
    </w:pPr>
    <w:rPr>
      <w:rFonts w:ascii="宋体" w:hAnsi="Times New Roman" w:eastAsia="宋体" w:cs="Times New Roman"/>
      <w:sz w:val="24"/>
      <w:szCs w:val="24"/>
    </w:rPr>
  </w:style>
  <w:style w:type="character" w:customStyle="1" w:styleId="532">
    <w:name w:val="unnamed21"/>
    <w:qFormat/>
    <w:uiPriority w:val="0"/>
    <w:rPr>
      <w:rFonts w:ascii="Calibri" w:hAnsi="Calibri" w:eastAsia="宋体" w:cs="Times New Roman"/>
      <w:color w:val="000000"/>
      <w:sz w:val="20"/>
    </w:rPr>
  </w:style>
  <w:style w:type="character" w:customStyle="1" w:styleId="533">
    <w:name w:val="news1"/>
    <w:qFormat/>
    <w:uiPriority w:val="0"/>
    <w:rPr>
      <w:rFonts w:ascii="Calibri" w:hAnsi="Calibri" w:eastAsia="宋体" w:cs="Times New Roman"/>
      <w:color w:val="4D4D4D"/>
      <w:sz w:val="18"/>
    </w:rPr>
  </w:style>
  <w:style w:type="character" w:customStyle="1" w:styleId="534">
    <w:name w:val="批注引用7"/>
    <w:qFormat/>
    <w:uiPriority w:val="0"/>
    <w:rPr>
      <w:rFonts w:ascii="Calibri" w:hAnsi="Calibri" w:eastAsia="宋体" w:cs="Times New Roman"/>
      <w:sz w:val="21"/>
    </w:rPr>
  </w:style>
  <w:style w:type="character" w:customStyle="1" w:styleId="535">
    <w:name w:val="line1"/>
    <w:qFormat/>
    <w:uiPriority w:val="0"/>
    <w:rPr>
      <w:rFonts w:ascii="Calibri" w:hAnsi="Calibri" w:eastAsia="宋体" w:cs="Times New Roman"/>
    </w:rPr>
  </w:style>
  <w:style w:type="character" w:customStyle="1" w:styleId="536">
    <w:name w:val="Char Char4"/>
    <w:qFormat/>
    <w:uiPriority w:val="0"/>
    <w:rPr>
      <w:rFonts w:ascii="Calibri" w:hAnsi="Calibri" w:eastAsia="宋体" w:cs="Times New Roman"/>
      <w:sz w:val="18"/>
    </w:rPr>
  </w:style>
  <w:style w:type="character" w:customStyle="1" w:styleId="537">
    <w:name w:val="批注引用3"/>
    <w:qFormat/>
    <w:uiPriority w:val="0"/>
    <w:rPr>
      <w:rFonts w:ascii="Calibri" w:hAnsi="Calibri" w:eastAsia="宋体" w:cs="Times New Roman"/>
      <w:sz w:val="21"/>
      <w:szCs w:val="21"/>
    </w:rPr>
  </w:style>
  <w:style w:type="character" w:customStyle="1" w:styleId="538">
    <w:name w:val="样式 8 磅"/>
    <w:qFormat/>
    <w:uiPriority w:val="0"/>
    <w:rPr>
      <w:rFonts w:ascii="Calibri" w:hAnsi="Calibri" w:eastAsia="宋体" w:cs="Times New Roman"/>
      <w:sz w:val="18"/>
    </w:rPr>
  </w:style>
  <w:style w:type="paragraph" w:customStyle="1" w:styleId="539">
    <w:name w:val="Char Char1 Char Char Char Char Char Char Char"/>
    <w:basedOn w:val="1"/>
    <w:qFormat/>
    <w:uiPriority w:val="0"/>
    <w:rPr>
      <w:rFonts w:ascii="Calibri" w:hAnsi="Calibri" w:eastAsia="宋体" w:cs="Times New Roman"/>
      <w:szCs w:val="24"/>
    </w:rPr>
  </w:style>
  <w:style w:type="paragraph" w:customStyle="1" w:styleId="540">
    <w:name w:val="默认段落字体 Para Char Char Char Char"/>
    <w:basedOn w:val="1"/>
    <w:qFormat/>
    <w:uiPriority w:val="0"/>
    <w:pPr>
      <w:widowControl/>
      <w:jc w:val="left"/>
    </w:pPr>
    <w:rPr>
      <w:rFonts w:ascii="Calibri" w:hAnsi="Calibri" w:eastAsia="宋体" w:cs="Times New Roman"/>
      <w:szCs w:val="24"/>
    </w:rPr>
  </w:style>
  <w:style w:type="paragraph" w:customStyle="1" w:styleId="541">
    <w:name w:val="xl60"/>
    <w:basedOn w:val="1"/>
    <w:qFormat/>
    <w:uiPriority w:val="0"/>
    <w:pPr>
      <w:widowControl/>
      <w:pBdr>
        <w:top w:val="single" w:color="auto" w:sz="4"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42">
    <w:name w:val="Char Char Char Char Char Char Char Char Char1 Char"/>
    <w:basedOn w:val="1"/>
    <w:qFormat/>
    <w:uiPriority w:val="0"/>
    <w:pPr>
      <w:widowControl/>
      <w:jc w:val="left"/>
    </w:pPr>
    <w:rPr>
      <w:rFonts w:ascii="仿宋_GB2312" w:hAnsi="Calibri" w:eastAsia="仿宋_GB2312" w:cs="Times New Roman"/>
      <w:b/>
      <w:sz w:val="32"/>
      <w:szCs w:val="32"/>
    </w:rPr>
  </w:style>
  <w:style w:type="paragraph" w:customStyle="1" w:styleId="543">
    <w:name w:val="普通(网站)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44">
    <w:name w:val="L正文"/>
    <w:basedOn w:val="1"/>
    <w:qFormat/>
    <w:uiPriority w:val="0"/>
    <w:pPr>
      <w:spacing w:afterLines="50"/>
      <w:ind w:left="160" w:leftChars="160" w:firstLine="200" w:firstLineChars="200"/>
    </w:pPr>
    <w:rPr>
      <w:rFonts w:ascii="Calibri" w:hAnsi="Calibri" w:eastAsia="宋体" w:cs="Times New Roman"/>
      <w:b/>
      <w:szCs w:val="24"/>
    </w:rPr>
  </w:style>
  <w:style w:type="paragraph" w:customStyle="1" w:styleId="545">
    <w:name w:val="xl33"/>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46">
    <w:name w:val="需求正文"/>
    <w:basedOn w:val="1"/>
    <w:qFormat/>
    <w:uiPriority w:val="0"/>
    <w:pPr>
      <w:widowControl/>
      <w:spacing w:line="300" w:lineRule="auto"/>
      <w:ind w:firstLine="560" w:firstLineChars="200"/>
      <w:jc w:val="left"/>
    </w:pPr>
    <w:rPr>
      <w:rFonts w:ascii="Arial" w:hAnsi="Arial" w:eastAsia="仿宋_GB2312" w:cs="Times New Roman"/>
      <w:sz w:val="28"/>
      <w:szCs w:val="20"/>
    </w:rPr>
  </w:style>
  <w:style w:type="paragraph" w:customStyle="1" w:styleId="547">
    <w:name w:val="列出段落3"/>
    <w:basedOn w:val="1"/>
    <w:qFormat/>
    <w:uiPriority w:val="0"/>
    <w:pPr>
      <w:ind w:firstLine="420" w:firstLineChars="200"/>
    </w:pPr>
    <w:rPr>
      <w:rFonts w:ascii="Cambria" w:hAnsi="Cambria" w:eastAsia="宋体" w:cs="Times New Roman"/>
      <w:sz w:val="24"/>
      <w:szCs w:val="24"/>
    </w:rPr>
  </w:style>
  <w:style w:type="paragraph" w:customStyle="1" w:styleId="548">
    <w:name w:val="Char1"/>
    <w:basedOn w:val="1"/>
    <w:qFormat/>
    <w:uiPriority w:val="0"/>
    <w:pPr>
      <w:widowControl/>
      <w:jc w:val="left"/>
    </w:pPr>
    <w:rPr>
      <w:rFonts w:ascii="仿宋_GB2312" w:hAnsi="Calibri" w:eastAsia="仿宋_GB2312" w:cs="Times New Roman"/>
      <w:b/>
      <w:sz w:val="32"/>
      <w:szCs w:val="20"/>
    </w:rPr>
  </w:style>
  <w:style w:type="paragraph" w:customStyle="1" w:styleId="549">
    <w:name w:val="样式 宋体 小四 黑色 行距: 1.5 倍行距1"/>
    <w:basedOn w:val="1"/>
    <w:qFormat/>
    <w:uiPriority w:val="0"/>
    <w:pPr>
      <w:spacing w:line="360" w:lineRule="auto"/>
      <w:ind w:firstLine="480" w:firstLineChars="200"/>
    </w:pPr>
    <w:rPr>
      <w:rFonts w:ascii="宋体" w:hAnsi="宋体" w:eastAsia="宋体" w:cs="宋体"/>
      <w:color w:val="000000"/>
      <w:kern w:val="0"/>
      <w:szCs w:val="20"/>
    </w:rPr>
  </w:style>
  <w:style w:type="paragraph" w:customStyle="1" w:styleId="550">
    <w:name w:val="p1"/>
    <w:basedOn w:val="1"/>
    <w:qFormat/>
    <w:uiPriority w:val="0"/>
    <w:pPr>
      <w:widowControl/>
      <w:jc w:val="left"/>
    </w:pPr>
    <w:rPr>
      <w:rFonts w:ascii="Helvetica" w:hAnsi="Helvetica" w:eastAsia="等线" w:cs="Times New Roman"/>
      <w:kern w:val="0"/>
      <w:sz w:val="16"/>
      <w:szCs w:val="16"/>
    </w:rPr>
  </w:style>
  <w:style w:type="paragraph" w:customStyle="1" w:styleId="551">
    <w:name w:val="方案正文"/>
    <w:basedOn w:val="1"/>
    <w:qFormat/>
    <w:uiPriority w:val="0"/>
    <w:pPr>
      <w:widowControl/>
      <w:autoSpaceDE w:val="0"/>
      <w:autoSpaceDN w:val="0"/>
      <w:adjustRightInd w:val="0"/>
      <w:snapToGrid w:val="0"/>
      <w:spacing w:line="500" w:lineRule="atLeast"/>
      <w:ind w:firstLine="561"/>
      <w:jc w:val="left"/>
    </w:pPr>
    <w:rPr>
      <w:rFonts w:ascii="仿宋_GB2312" w:hAnsi="Calibri" w:eastAsia="仿宋_GB2312" w:cs="Times New Roman"/>
      <w:kern w:val="0"/>
      <w:sz w:val="28"/>
      <w:szCs w:val="20"/>
    </w:rPr>
  </w:style>
  <w:style w:type="paragraph" w:customStyle="1" w:styleId="55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553">
    <w:name w:val="正文缩进2格"/>
    <w:basedOn w:val="1"/>
    <w:qFormat/>
    <w:uiPriority w:val="0"/>
    <w:pPr>
      <w:autoSpaceDE w:val="0"/>
      <w:autoSpaceDN w:val="0"/>
      <w:adjustRightInd w:val="0"/>
      <w:spacing w:line="600" w:lineRule="exact"/>
      <w:ind w:firstLine="639" w:firstLineChars="206"/>
    </w:pPr>
    <w:rPr>
      <w:rFonts w:ascii="仿宋_GB2312" w:hAnsi="宋体" w:eastAsia="仿宋_GB2312" w:cs="Times New Roman"/>
      <w:color w:val="000000"/>
      <w:sz w:val="31"/>
      <w:szCs w:val="28"/>
    </w:rPr>
  </w:style>
  <w:style w:type="paragraph" w:customStyle="1" w:styleId="554">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555">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56">
    <w:name w:val="TOC 标题1"/>
    <w:basedOn w:val="3"/>
    <w:next w:val="1"/>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557">
    <w:name w:val="标准段落"/>
    <w:basedOn w:val="1"/>
    <w:qFormat/>
    <w:uiPriority w:val="0"/>
    <w:pPr>
      <w:widowControl/>
      <w:topLinePunct/>
      <w:autoSpaceDE w:val="0"/>
      <w:autoSpaceDN w:val="0"/>
      <w:spacing w:line="360" w:lineRule="auto"/>
      <w:ind w:firstLine="560" w:firstLineChars="200"/>
      <w:jc w:val="left"/>
    </w:pPr>
    <w:rPr>
      <w:rFonts w:ascii="Calibri" w:hAnsi="宋体" w:eastAsia="宋体" w:cs="Times New Roman"/>
      <w:color w:val="FF0000"/>
      <w:sz w:val="28"/>
      <w:szCs w:val="24"/>
    </w:rPr>
  </w:style>
  <w:style w:type="paragraph" w:customStyle="1" w:styleId="558">
    <w:name w:val="正文缩进1"/>
    <w:basedOn w:val="1"/>
    <w:next w:val="18"/>
    <w:qFormat/>
    <w:uiPriority w:val="0"/>
    <w:pPr>
      <w:widowControl/>
      <w:autoSpaceDE w:val="0"/>
      <w:autoSpaceDN w:val="0"/>
      <w:adjustRightInd w:val="0"/>
      <w:snapToGrid w:val="0"/>
      <w:spacing w:after="120" w:line="360" w:lineRule="auto"/>
      <w:ind w:left="420" w:leftChars="200" w:firstLine="480" w:firstLineChars="200"/>
      <w:jc w:val="left"/>
    </w:pPr>
    <w:rPr>
      <w:rFonts w:ascii="Calibri" w:hAnsi="Calibri" w:eastAsia="宋体" w:cs="Times New Roman"/>
      <w:sz w:val="24"/>
      <w:szCs w:val="20"/>
    </w:rPr>
  </w:style>
  <w:style w:type="paragraph" w:customStyle="1" w:styleId="559">
    <w:name w:val="标书正文格式"/>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paragraph" w:customStyle="1" w:styleId="560">
    <w:name w:val="表文1"/>
    <w:basedOn w:val="1"/>
    <w:qFormat/>
    <w:uiPriority w:val="0"/>
    <w:pPr>
      <w:widowControl/>
      <w:spacing w:line="360" w:lineRule="auto"/>
      <w:ind w:left="-158" w:leftChars="-75" w:firstLine="471" w:firstLineChars="157"/>
      <w:jc w:val="left"/>
    </w:pPr>
    <w:rPr>
      <w:rFonts w:ascii="宋体" w:hAnsi="宋体" w:eastAsia="宋体" w:cs="Times New Roman"/>
      <w:color w:val="000000"/>
      <w:spacing w:val="10"/>
      <w:kern w:val="0"/>
      <w:sz w:val="28"/>
      <w:szCs w:val="18"/>
    </w:rPr>
  </w:style>
  <w:style w:type="paragraph" w:customStyle="1" w:styleId="561">
    <w:name w:val="a"/>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62">
    <w:name w:val="List Paragraph2"/>
    <w:basedOn w:val="1"/>
    <w:qFormat/>
    <w:uiPriority w:val="0"/>
    <w:pPr>
      <w:widowControl/>
      <w:ind w:firstLine="420" w:firstLineChars="200"/>
      <w:jc w:val="left"/>
    </w:pPr>
    <w:rPr>
      <w:rFonts w:ascii="Calibri" w:hAnsi="Calibri" w:eastAsia="宋体" w:cs="Times New Roman"/>
      <w:kern w:val="0"/>
      <w:sz w:val="20"/>
      <w:szCs w:val="20"/>
    </w:rPr>
  </w:style>
  <w:style w:type="paragraph" w:customStyle="1" w:styleId="563">
    <w:name w:val="Item Step in Table"/>
    <w:qFormat/>
    <w:uiPriority w:val="0"/>
    <w:pPr>
      <w:tabs>
        <w:tab w:val="left" w:pos="397"/>
      </w:tabs>
      <w:spacing w:before="40" w:after="40"/>
      <w:ind w:firstLine="403"/>
      <w:jc w:val="both"/>
    </w:pPr>
    <w:rPr>
      <w:rFonts w:ascii="Arial" w:hAnsi="Arial" w:eastAsia="宋体" w:cs="Arial"/>
      <w:sz w:val="18"/>
      <w:szCs w:val="18"/>
      <w:lang w:val="en-US" w:eastAsia="zh-CN" w:bidi="ar-SA"/>
    </w:rPr>
  </w:style>
  <w:style w:type="paragraph" w:customStyle="1" w:styleId="564">
    <w:name w:val="Pa9"/>
    <w:basedOn w:val="1"/>
    <w:next w:val="1"/>
    <w:qFormat/>
    <w:uiPriority w:val="0"/>
    <w:pPr>
      <w:widowControl/>
      <w:autoSpaceDE w:val="0"/>
      <w:autoSpaceDN w:val="0"/>
      <w:adjustRightInd w:val="0"/>
      <w:spacing w:before="40" w:line="146" w:lineRule="atLeast"/>
      <w:jc w:val="left"/>
    </w:pPr>
    <w:rPr>
      <w:rFonts w:ascii="Stone Sans" w:hAnsi="Stone Sans" w:eastAsia="宋体" w:cs="Times New Roman"/>
      <w:kern w:val="0"/>
      <w:sz w:val="24"/>
      <w:szCs w:val="24"/>
    </w:rPr>
  </w:style>
  <w:style w:type="paragraph" w:customStyle="1" w:styleId="565">
    <w:name w:val="文档正文 Char"/>
    <w:basedOn w:val="1"/>
    <w:qFormat/>
    <w:uiPriority w:val="0"/>
    <w:pPr>
      <w:widowControl/>
      <w:adjustRightInd w:val="0"/>
      <w:spacing w:line="480" w:lineRule="atLeast"/>
      <w:ind w:firstLine="567"/>
      <w:jc w:val="left"/>
      <w:textAlignment w:val="baseline"/>
    </w:pPr>
    <w:rPr>
      <w:rFonts w:ascii="仿宋_GB2312" w:hAnsi="Calibri" w:eastAsia="仿宋_GB2312" w:cs="仿宋_GB2312"/>
      <w:kern w:val="0"/>
      <w:sz w:val="28"/>
      <w:szCs w:val="28"/>
    </w:rPr>
  </w:style>
  <w:style w:type="paragraph" w:customStyle="1" w:styleId="566">
    <w:name w:val="xl35"/>
    <w:basedOn w:val="1"/>
    <w:qFormat/>
    <w:uiPriority w:val="0"/>
    <w:pPr>
      <w:widowControl/>
      <w:spacing w:before="100" w:beforeAutospacing="1" w:after="100" w:afterAutospacing="1"/>
      <w:jc w:val="center"/>
      <w:textAlignment w:val="center"/>
    </w:pPr>
    <w:rPr>
      <w:rFonts w:ascii="宋体" w:hAnsi="宋体" w:eastAsia="宋体" w:cs="Times New Roman"/>
      <w:b/>
      <w:bCs/>
      <w:kern w:val="0"/>
      <w:sz w:val="36"/>
      <w:szCs w:val="36"/>
    </w:rPr>
  </w:style>
  <w:style w:type="paragraph" w:customStyle="1" w:styleId="567">
    <w:name w:val="xl29"/>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68">
    <w:name w:val="Char Char Char 字元 字元"/>
    <w:basedOn w:val="1"/>
    <w:qFormat/>
    <w:uiPriority w:val="0"/>
    <w:pPr>
      <w:widowControl/>
      <w:spacing w:line="360" w:lineRule="auto"/>
      <w:ind w:firstLine="200" w:firstLineChars="200"/>
      <w:jc w:val="left"/>
    </w:pPr>
    <w:rPr>
      <w:rFonts w:ascii="Calibri" w:hAnsi="Calibri" w:eastAsia="宋体" w:cs="Times New Roman"/>
      <w:szCs w:val="20"/>
    </w:rPr>
  </w:style>
  <w:style w:type="paragraph" w:customStyle="1" w:styleId="569">
    <w:name w:val="xl2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Calibri" w:hAnsi="Calibri" w:eastAsia="宋体" w:cs="Times New Roman"/>
      <w:kern w:val="0"/>
      <w:sz w:val="24"/>
      <w:szCs w:val="24"/>
    </w:rPr>
  </w:style>
  <w:style w:type="paragraph" w:customStyle="1" w:styleId="570">
    <w:name w:val="p16"/>
    <w:basedOn w:val="1"/>
    <w:qFormat/>
    <w:uiPriority w:val="0"/>
    <w:pPr>
      <w:widowControl/>
      <w:spacing w:before="80" w:after="80"/>
      <w:jc w:val="left"/>
    </w:pPr>
    <w:rPr>
      <w:rFonts w:ascii="Arial" w:hAnsi="Arial" w:eastAsia="宋体" w:cs="Arial"/>
      <w:kern w:val="0"/>
      <w:sz w:val="18"/>
      <w:szCs w:val="18"/>
    </w:rPr>
  </w:style>
  <w:style w:type="paragraph" w:customStyle="1" w:styleId="571">
    <w:name w:val="xl45"/>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72">
    <w:name w:val="列出段落11"/>
    <w:basedOn w:val="1"/>
    <w:qFormat/>
    <w:uiPriority w:val="0"/>
    <w:pPr>
      <w:widowControl/>
      <w:ind w:firstLine="420" w:firstLineChars="200"/>
      <w:jc w:val="left"/>
    </w:pPr>
    <w:rPr>
      <w:rFonts w:ascii="Calibri" w:hAnsi="Calibri" w:eastAsia="宋体" w:cs="Times New Roman"/>
      <w:kern w:val="0"/>
      <w:sz w:val="24"/>
      <w:szCs w:val="20"/>
    </w:rPr>
  </w:style>
  <w:style w:type="paragraph" w:customStyle="1" w:styleId="573">
    <w:name w:val="正文段落"/>
    <w:basedOn w:val="1"/>
    <w:qFormat/>
    <w:uiPriority w:val="0"/>
    <w:pPr>
      <w:spacing w:line="360" w:lineRule="auto"/>
      <w:ind w:firstLine="440" w:firstLineChars="200"/>
    </w:pPr>
    <w:rPr>
      <w:rFonts w:ascii="宋体" w:hAnsi="宋体" w:eastAsia="宋体" w:cs="宋体"/>
      <w:kern w:val="0"/>
      <w:szCs w:val="20"/>
    </w:rPr>
  </w:style>
  <w:style w:type="paragraph" w:customStyle="1" w:styleId="574">
    <w:name w:val="C11"/>
    <w:basedOn w:val="1"/>
    <w:qFormat/>
    <w:uiPriority w:val="0"/>
    <w:pPr>
      <w:widowControl/>
      <w:tabs>
        <w:tab w:val="left" w:pos="360"/>
      </w:tabs>
      <w:autoSpaceDE w:val="0"/>
      <w:autoSpaceDN w:val="0"/>
      <w:adjustRightInd w:val="0"/>
      <w:spacing w:before="60" w:line="288" w:lineRule="auto"/>
      <w:jc w:val="left"/>
      <w:textAlignment w:val="bottom"/>
    </w:pPr>
    <w:rPr>
      <w:rFonts w:ascii="Calibri" w:hAnsi="Calibri" w:eastAsia="華康細圓體" w:cs="Times New Roman"/>
      <w:kern w:val="0"/>
      <w:sz w:val="22"/>
      <w:szCs w:val="20"/>
      <w:lang w:eastAsia="zh-TW"/>
    </w:rPr>
  </w:style>
  <w:style w:type="paragraph" w:customStyle="1" w:styleId="575">
    <w:name w:val="Char Char Char Char Char Char Char Char Char Char"/>
    <w:basedOn w:val="21"/>
    <w:qFormat/>
    <w:uiPriority w:val="0"/>
    <w:rPr>
      <w:rFonts w:ascii="Tahoma" w:hAnsi="Tahoma" w:cs="Times New Roman"/>
      <w:kern w:val="0"/>
      <w:sz w:val="24"/>
      <w:szCs w:val="24"/>
    </w:rPr>
  </w:style>
  <w:style w:type="paragraph" w:customStyle="1" w:styleId="576">
    <w:name w:val="4"/>
    <w:basedOn w:val="1"/>
    <w:next w:val="58"/>
    <w:qFormat/>
    <w:uiPriority w:val="0"/>
    <w:pPr>
      <w:widowControl/>
      <w:spacing w:before="100" w:beforeAutospacing="1" w:after="100" w:afterAutospacing="1"/>
      <w:jc w:val="left"/>
    </w:pPr>
    <w:rPr>
      <w:rFonts w:ascii="宋体" w:hAnsi="宋体" w:eastAsia="宋体" w:cs="Times New Roman"/>
      <w:kern w:val="0"/>
      <w:sz w:val="24"/>
      <w:szCs w:val="24"/>
    </w:rPr>
  </w:style>
  <w:style w:type="paragraph" w:customStyle="1" w:styleId="577">
    <w:name w:val="项目"/>
    <w:basedOn w:val="12"/>
    <w:qFormat/>
    <w:uiPriority w:val="0"/>
    <w:pPr>
      <w:tabs>
        <w:tab w:val="left" w:pos="1140"/>
        <w:tab w:val="left" w:pos="1389"/>
      </w:tabs>
      <w:spacing w:after="120"/>
      <w:ind w:left="1140" w:leftChars="0" w:hanging="420" w:firstLineChars="0"/>
    </w:pPr>
    <w:rPr>
      <w:rFonts w:ascii="华文中宋" w:hAnsi="Verdana" w:eastAsia="华文中宋"/>
      <w:color w:val="000066"/>
      <w:szCs w:val="21"/>
    </w:rPr>
  </w:style>
  <w:style w:type="paragraph" w:customStyle="1" w:styleId="578">
    <w:name w:val="xl32"/>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579">
    <w:name w:val="5"/>
    <w:basedOn w:val="1"/>
    <w:next w:val="26"/>
    <w:qFormat/>
    <w:uiPriority w:val="0"/>
    <w:pPr>
      <w:widowControl/>
      <w:ind w:right="26"/>
      <w:jc w:val="left"/>
    </w:pPr>
    <w:rPr>
      <w:rFonts w:ascii="楷体_GB2312" w:hAnsi="Calibri" w:eastAsia="楷体_GB2312" w:cs="Times New Roman"/>
      <w:spacing w:val="4"/>
      <w:kern w:val="0"/>
      <w:sz w:val="28"/>
      <w:szCs w:val="20"/>
    </w:rPr>
  </w:style>
  <w:style w:type="paragraph" w:customStyle="1" w:styleId="580">
    <w:name w:val="xl44"/>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581">
    <w:name w:val="表格内文"/>
    <w:basedOn w:val="1"/>
    <w:qFormat/>
    <w:uiPriority w:val="0"/>
    <w:pPr>
      <w:widowControl/>
      <w:spacing w:line="360" w:lineRule="auto"/>
      <w:jc w:val="left"/>
    </w:pPr>
    <w:rPr>
      <w:rFonts w:ascii="宋体" w:hAnsi="宋体" w:eastAsia="宋体" w:cs="宋体"/>
      <w:color w:val="000000"/>
      <w:szCs w:val="21"/>
    </w:rPr>
  </w:style>
  <w:style w:type="paragraph" w:customStyle="1" w:styleId="582">
    <w:name w:val="Retrait 2"/>
    <w:basedOn w:val="1"/>
    <w:qFormat/>
    <w:uiPriority w:val="0"/>
    <w:pPr>
      <w:widowControl/>
      <w:spacing w:line="360" w:lineRule="auto"/>
      <w:ind w:left="1417" w:hanging="283"/>
      <w:jc w:val="left"/>
    </w:pPr>
    <w:rPr>
      <w:rFonts w:ascii="Calibri" w:hAnsi="Calibri" w:eastAsia="楷体_GB2312" w:cs="Times New Roman"/>
      <w:bCs/>
      <w:sz w:val="28"/>
      <w:szCs w:val="20"/>
    </w:rPr>
  </w:style>
  <w:style w:type="paragraph" w:customStyle="1" w:styleId="583">
    <w:name w:val="xl46"/>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Unicode MS" w:hAnsi="Arial Unicode MS" w:eastAsia="宋体" w:cs="Times New Roman"/>
      <w:kern w:val="0"/>
      <w:sz w:val="52"/>
      <w:szCs w:val="52"/>
    </w:rPr>
  </w:style>
  <w:style w:type="paragraph" w:customStyle="1" w:styleId="584">
    <w:name w:val="默认段落字体 Para Char Char Char Char Char Char Char Char Char1"/>
    <w:basedOn w:val="1"/>
    <w:qFormat/>
    <w:uiPriority w:val="0"/>
    <w:pPr>
      <w:widowControl/>
      <w:jc w:val="left"/>
    </w:pPr>
    <w:rPr>
      <w:rFonts w:ascii="Calibri" w:hAnsi="Calibri" w:eastAsia="宋体" w:cs="Times New Roman"/>
      <w:szCs w:val="21"/>
    </w:rPr>
  </w:style>
  <w:style w:type="paragraph" w:customStyle="1" w:styleId="585">
    <w:name w:val="tabletex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586">
    <w:name w:val="正文3"/>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587">
    <w:name w:val="xl57"/>
    <w:basedOn w:val="1"/>
    <w:qFormat/>
    <w:uiPriority w:val="0"/>
    <w:pPr>
      <w:widowControl/>
      <w:pBdr>
        <w:top w:val="single" w:color="auto" w:sz="4"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588">
    <w:name w:val="_Style 76"/>
    <w:next w:val="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589">
    <w:name w:val="小标题 1"/>
    <w:basedOn w:val="1"/>
    <w:qFormat/>
    <w:uiPriority w:val="0"/>
    <w:pPr>
      <w:widowControl/>
      <w:autoSpaceDE w:val="0"/>
      <w:autoSpaceDN w:val="0"/>
      <w:adjustRightInd w:val="0"/>
      <w:spacing w:line="360" w:lineRule="atLeast"/>
      <w:jc w:val="left"/>
    </w:pPr>
    <w:rPr>
      <w:rFonts w:ascii="文鼎粗黑" w:hAnsi="Calibri" w:eastAsia="文鼎粗黑" w:cs="Times New Roman"/>
      <w:kern w:val="0"/>
      <w:sz w:val="22"/>
      <w:szCs w:val="20"/>
    </w:rPr>
  </w:style>
  <w:style w:type="paragraph" w:customStyle="1" w:styleId="590">
    <w:name w:val="正文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1">
    <w:name w:val="xl23"/>
    <w:basedOn w:val="1"/>
    <w:qFormat/>
    <w:uiPriority w:val="0"/>
    <w:pPr>
      <w:widowControl/>
      <w:pBdr>
        <w:top w:val="single" w:color="auto" w:sz="8" w:space="0"/>
      </w:pBdr>
      <w:shd w:val="clear" w:color="auto" w:fill="FFFFFF"/>
      <w:spacing w:before="100" w:beforeAutospacing="1" w:after="100" w:afterAutospacing="1"/>
      <w:jc w:val="center"/>
      <w:textAlignment w:val="bottom"/>
    </w:pPr>
    <w:rPr>
      <w:rFonts w:ascii="Arial" w:hAnsi="Arial" w:eastAsia="宋体" w:cs="Arial"/>
      <w:b/>
      <w:bCs/>
      <w:kern w:val="0"/>
      <w:sz w:val="44"/>
      <w:szCs w:val="44"/>
    </w:rPr>
  </w:style>
  <w:style w:type="paragraph" w:customStyle="1" w:styleId="592">
    <w:name w:val="E 正文"/>
    <w:basedOn w:val="1"/>
    <w:qFormat/>
    <w:uiPriority w:val="0"/>
    <w:pPr>
      <w:widowControl/>
      <w:spacing w:line="360" w:lineRule="auto"/>
      <w:jc w:val="left"/>
    </w:pPr>
    <w:rPr>
      <w:rFonts w:ascii="Times New Roman" w:hAnsi="Times New Roman" w:eastAsia="宋体" w:cs="黑体"/>
      <w:color w:val="000000"/>
      <w:kern w:val="0"/>
      <w:sz w:val="24"/>
      <w:szCs w:val="24"/>
    </w:rPr>
  </w:style>
  <w:style w:type="paragraph" w:customStyle="1" w:styleId="593">
    <w:name w:val="xl38"/>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594">
    <w:name w:val="xl59"/>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595">
    <w:name w:val="Char1 Char Char Char"/>
    <w:basedOn w:val="1"/>
    <w:qFormat/>
    <w:uiPriority w:val="0"/>
    <w:pPr>
      <w:widowControl/>
      <w:jc w:val="left"/>
    </w:pPr>
    <w:rPr>
      <w:rFonts w:ascii="仿宋_GB2312" w:hAnsi="Calibri" w:eastAsia="仿宋_GB2312" w:cs="Times New Roman"/>
      <w:b/>
      <w:sz w:val="32"/>
      <w:szCs w:val="32"/>
    </w:rPr>
  </w:style>
  <w:style w:type="paragraph" w:customStyle="1" w:styleId="596">
    <w:name w:val="C标书正文（加粗后加）"/>
    <w:basedOn w:val="1"/>
    <w:qFormat/>
    <w:uiPriority w:val="0"/>
    <w:pPr>
      <w:widowControl/>
      <w:spacing w:after="240" w:line="360" w:lineRule="auto"/>
      <w:ind w:firstLine="426"/>
    </w:pPr>
    <w:rPr>
      <w:rFonts w:ascii="仿宋" w:hAnsi="仿宋" w:eastAsia="仿宋" w:cs="黑体"/>
      <w:b/>
      <w:color w:val="000000"/>
      <w:kern w:val="0"/>
      <w:sz w:val="24"/>
      <w:szCs w:val="24"/>
    </w:rPr>
  </w:style>
  <w:style w:type="paragraph" w:customStyle="1" w:styleId="597">
    <w:name w:val="straightmatter"/>
    <w:basedOn w:val="1"/>
    <w:qFormat/>
    <w:uiPriority w:val="0"/>
    <w:pPr>
      <w:widowControl/>
      <w:spacing w:before="120" w:after="120" w:line="288" w:lineRule="atLeast"/>
      <w:ind w:left="120" w:right="120"/>
      <w:jc w:val="left"/>
    </w:pPr>
    <w:rPr>
      <w:rFonts w:ascii="宋体" w:hAnsi="宋体" w:eastAsia="宋体" w:cs="Times New Roman"/>
      <w:color w:val="52987C"/>
      <w:kern w:val="0"/>
      <w:sz w:val="24"/>
      <w:szCs w:val="24"/>
    </w:rPr>
  </w:style>
  <w:style w:type="paragraph" w:customStyle="1" w:styleId="598">
    <w:name w:val="F11-1"/>
    <w:basedOn w:val="1"/>
    <w:qFormat/>
    <w:uiPriority w:val="0"/>
    <w:pPr>
      <w:widowControl/>
      <w:tabs>
        <w:tab w:val="left" w:pos="240"/>
        <w:tab w:val="left" w:pos="4680"/>
      </w:tabs>
      <w:adjustRightInd w:val="0"/>
      <w:spacing w:after="120"/>
      <w:jc w:val="left"/>
      <w:textAlignment w:val="baseline"/>
    </w:pPr>
    <w:rPr>
      <w:rFonts w:ascii="Calibri" w:hAnsi="Calibri" w:eastAsia="華康細圓體" w:cs="Times New Roman"/>
      <w:kern w:val="0"/>
      <w:sz w:val="24"/>
      <w:szCs w:val="20"/>
      <w:lang w:eastAsia="zh-TW"/>
    </w:rPr>
  </w:style>
  <w:style w:type="paragraph" w:customStyle="1" w:styleId="599">
    <w:name w:val="前言、引言标题"/>
    <w:next w:val="1"/>
    <w:qFormat/>
    <w:uiPriority w:val="0"/>
    <w:pPr>
      <w:shd w:val="clear" w:color="auto" w:fill="FFFFFF"/>
      <w:spacing w:before="640" w:after="560"/>
      <w:jc w:val="center"/>
      <w:outlineLvl w:val="0"/>
    </w:pPr>
    <w:rPr>
      <w:rFonts w:ascii="黑体" w:hAnsi="Times New Roman" w:eastAsia="黑体" w:cs="Times New Roman"/>
      <w:sz w:val="32"/>
      <w:lang w:val="en-US" w:eastAsia="zh-CN" w:bidi="ar-SA"/>
    </w:rPr>
  </w:style>
  <w:style w:type="paragraph" w:customStyle="1" w:styleId="600">
    <w:name w:val="xl53"/>
    <w:basedOn w:val="1"/>
    <w:qFormat/>
    <w:uiPriority w:val="0"/>
    <w:pPr>
      <w:widowControl/>
      <w:pBdr>
        <w:bottom w:val="single" w:color="auto" w:sz="8" w:space="0"/>
        <w:right w:val="single" w:color="auto" w:sz="4"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01">
    <w:name w:val="默认段落字体 Para Char Char Char Char Char Char Char Char Char"/>
    <w:basedOn w:val="1"/>
    <w:qFormat/>
    <w:uiPriority w:val="0"/>
    <w:pPr>
      <w:widowControl/>
      <w:jc w:val="left"/>
    </w:pPr>
    <w:rPr>
      <w:rFonts w:ascii="Tahoma" w:hAnsi="Tahoma" w:eastAsia="宋体" w:cs="Tahoma"/>
      <w:sz w:val="24"/>
      <w:szCs w:val="24"/>
    </w:rPr>
  </w:style>
  <w:style w:type="paragraph" w:customStyle="1" w:styleId="602">
    <w:name w:val="msolistparagraph"/>
    <w:basedOn w:val="1"/>
    <w:qFormat/>
    <w:uiPriority w:val="0"/>
    <w:pPr>
      <w:ind w:firstLine="420" w:firstLineChars="200"/>
    </w:pPr>
    <w:rPr>
      <w:rFonts w:ascii="Calibri" w:hAnsi="Calibri" w:eastAsia="宋体" w:cs="Times New Roman"/>
      <w:szCs w:val="20"/>
    </w:rPr>
  </w:style>
  <w:style w:type="paragraph" w:customStyle="1" w:styleId="603">
    <w:name w:val="txt"/>
    <w:basedOn w:val="1"/>
    <w:qFormat/>
    <w:uiPriority w:val="0"/>
    <w:pPr>
      <w:widowControl/>
      <w:spacing w:before="100" w:beforeAutospacing="1" w:after="100" w:afterAutospacing="1" w:line="500" w:lineRule="atLeast"/>
      <w:jc w:val="left"/>
    </w:pPr>
    <w:rPr>
      <w:rFonts w:ascii="宋体" w:hAnsi="宋体" w:eastAsia="宋体" w:cs="Times New Roman"/>
      <w:kern w:val="0"/>
      <w:sz w:val="24"/>
      <w:szCs w:val="24"/>
    </w:rPr>
  </w:style>
  <w:style w:type="paragraph" w:customStyle="1" w:styleId="604">
    <w:name w:val="xl54"/>
    <w:basedOn w:val="1"/>
    <w:qFormat/>
    <w:uiPriority w:val="0"/>
    <w:pPr>
      <w:widowControl/>
      <w:pBdr>
        <w:bottom w:val="single" w:color="auto" w:sz="8" w:space="0"/>
        <w:right w:val="single" w:color="auto" w:sz="4" w:space="0"/>
      </w:pBdr>
      <w:spacing w:before="100" w:beforeAutospacing="1" w:after="100" w:afterAutospacing="1"/>
      <w:jc w:val="left"/>
    </w:pPr>
    <w:rPr>
      <w:rFonts w:ascii="Arial" w:hAnsi="Arial" w:eastAsia="宋体" w:cs="Arial"/>
      <w:b/>
      <w:bCs/>
      <w:kern w:val="0"/>
      <w:sz w:val="24"/>
      <w:szCs w:val="24"/>
    </w:rPr>
  </w:style>
  <w:style w:type="paragraph" w:customStyle="1" w:styleId="605">
    <w:name w:val="a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6">
    <w:name w:val="a1"/>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07">
    <w:name w:val="五级条标题"/>
    <w:basedOn w:val="608"/>
    <w:next w:val="396"/>
    <w:qFormat/>
    <w:uiPriority w:val="0"/>
    <w:pPr>
      <w:tabs>
        <w:tab w:val="left" w:pos="1200"/>
      </w:tabs>
      <w:outlineLvl w:val="6"/>
    </w:pPr>
  </w:style>
  <w:style w:type="paragraph" w:customStyle="1" w:styleId="608">
    <w:name w:val="四级条标题"/>
    <w:basedOn w:val="609"/>
    <w:next w:val="396"/>
    <w:qFormat/>
    <w:uiPriority w:val="0"/>
    <w:pPr>
      <w:tabs>
        <w:tab w:val="left" w:pos="1200"/>
      </w:tabs>
      <w:outlineLvl w:val="5"/>
    </w:pPr>
  </w:style>
  <w:style w:type="paragraph" w:customStyle="1" w:styleId="609">
    <w:name w:val="三级条标题"/>
    <w:basedOn w:val="610"/>
    <w:next w:val="396"/>
    <w:qFormat/>
    <w:uiPriority w:val="0"/>
    <w:pPr>
      <w:tabs>
        <w:tab w:val="left" w:pos="1200"/>
      </w:tabs>
      <w:outlineLvl w:val="4"/>
    </w:pPr>
  </w:style>
  <w:style w:type="paragraph" w:customStyle="1" w:styleId="610">
    <w:name w:val="二级条标题"/>
    <w:basedOn w:val="472"/>
    <w:next w:val="396"/>
    <w:qFormat/>
    <w:uiPriority w:val="0"/>
    <w:pPr>
      <w:outlineLvl w:val="3"/>
    </w:pPr>
    <w:rPr>
      <w:rFonts w:ascii="Calibri" w:hAnsi="Calibri" w:eastAsia="宋体"/>
    </w:rPr>
  </w:style>
  <w:style w:type="paragraph" w:customStyle="1" w:styleId="611">
    <w:name w:val="xl48"/>
    <w:basedOn w:val="1"/>
    <w:qFormat/>
    <w:uiPriority w:val="0"/>
    <w:pPr>
      <w:widowControl/>
      <w:pBdr>
        <w:top w:val="single" w:color="auto" w:sz="4"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12">
    <w:name w:val="正文31"/>
    <w:qFormat/>
    <w:uiPriority w:val="0"/>
    <w:pPr>
      <w:widowControl w:val="0"/>
      <w:adjustRightInd w:val="0"/>
      <w:spacing w:line="315" w:lineRule="atLeast"/>
      <w:jc w:val="both"/>
      <w:textAlignment w:val="baseline"/>
    </w:pPr>
    <w:rPr>
      <w:rFonts w:ascii="宋体" w:hAnsi="Times New Roman" w:eastAsia="宋体" w:cs="Times New Roman"/>
      <w:sz w:val="24"/>
      <w:lang w:val="en-US" w:eastAsia="zh-CN" w:bidi="ar-SA"/>
    </w:rPr>
  </w:style>
  <w:style w:type="paragraph" w:customStyle="1" w:styleId="613">
    <w:name w:val="标书表格字体格式"/>
    <w:next w:val="1"/>
    <w:qFormat/>
    <w:uiPriority w:val="0"/>
    <w:rPr>
      <w:rFonts w:ascii="Times New Roman" w:hAnsi="Times New Roman" w:eastAsia="宋体" w:cs="Times New Roman"/>
      <w:kern w:val="2"/>
      <w:sz w:val="21"/>
      <w:szCs w:val="24"/>
      <w:lang w:val="en-US" w:eastAsia="zh-CN" w:bidi="ar-SA"/>
    </w:rPr>
  </w:style>
  <w:style w:type="paragraph" w:customStyle="1" w:styleId="614">
    <w:name w:val="默认段落字体 Para Char Char Char Char Char Char Char Char Char Char Char Char Char Char Char Char Char Char Char"/>
    <w:basedOn w:val="1"/>
    <w:qFormat/>
    <w:uiPriority w:val="0"/>
    <w:pPr>
      <w:widowControl/>
      <w:jc w:val="left"/>
    </w:pPr>
    <w:rPr>
      <w:rFonts w:ascii="Tahoma" w:hAnsi="Tahoma" w:eastAsia="宋体" w:cs="Times New Roman"/>
      <w:sz w:val="24"/>
      <w:szCs w:val="20"/>
    </w:rPr>
  </w:style>
  <w:style w:type="paragraph" w:customStyle="1" w:styleId="615">
    <w:name w:val="默认段落字体 Para Char Char Char Char111"/>
    <w:basedOn w:val="1"/>
    <w:qFormat/>
    <w:uiPriority w:val="0"/>
    <w:pPr>
      <w:widowControl/>
      <w:jc w:val="left"/>
    </w:pPr>
    <w:rPr>
      <w:rFonts w:ascii="Calibri" w:hAnsi="Calibri" w:eastAsia="宋体" w:cs="Calibri"/>
      <w:kern w:val="0"/>
      <w:sz w:val="24"/>
      <w:szCs w:val="24"/>
      <w:lang w:eastAsia="en-US"/>
    </w:rPr>
  </w:style>
  <w:style w:type="paragraph" w:customStyle="1" w:styleId="616">
    <w:name w:val="Revision1"/>
    <w:qFormat/>
    <w:uiPriority w:val="0"/>
    <w:rPr>
      <w:rFonts w:ascii="Times New Roman" w:hAnsi="Times New Roman" w:eastAsia="宋体" w:cs="Times New Roman"/>
      <w:kern w:val="2"/>
      <w:sz w:val="21"/>
      <w:lang w:val="en-US" w:eastAsia="zh-CN" w:bidi="ar-SA"/>
    </w:rPr>
  </w:style>
  <w:style w:type="paragraph" w:customStyle="1" w:styleId="617">
    <w:name w:val="xl52"/>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w:hAnsi="Arial" w:eastAsia="宋体" w:cs="Arial"/>
      <w:kern w:val="0"/>
      <w:sz w:val="20"/>
      <w:szCs w:val="20"/>
    </w:rPr>
  </w:style>
  <w:style w:type="paragraph" w:customStyle="1" w:styleId="618">
    <w:name w:val="Char Char Char Char Char Char Char Char"/>
    <w:basedOn w:val="1"/>
    <w:qFormat/>
    <w:uiPriority w:val="0"/>
    <w:pPr>
      <w:widowControl/>
      <w:tabs>
        <w:tab w:val="left" w:pos="360"/>
      </w:tabs>
      <w:jc w:val="left"/>
    </w:pPr>
    <w:rPr>
      <w:rFonts w:ascii="Calibri" w:hAnsi="Calibri" w:eastAsia="宋体" w:cs="Times New Roman"/>
      <w:sz w:val="24"/>
      <w:szCs w:val="24"/>
    </w:rPr>
  </w:style>
  <w:style w:type="paragraph" w:customStyle="1" w:styleId="619">
    <w:name w:val="outden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20">
    <w:name w:val="默认段落字体 Para Char Char Char Char Char Char Char"/>
    <w:basedOn w:val="1"/>
    <w:qFormat/>
    <w:uiPriority w:val="0"/>
    <w:pPr>
      <w:widowControl/>
      <w:jc w:val="left"/>
    </w:pPr>
    <w:rPr>
      <w:rFonts w:ascii="Tahoma" w:hAnsi="Tahoma" w:eastAsia="宋体" w:cs="Times New Roman"/>
      <w:sz w:val="24"/>
      <w:szCs w:val="20"/>
    </w:rPr>
  </w:style>
  <w:style w:type="paragraph" w:customStyle="1" w:styleId="621">
    <w:name w:val="Char Char Char Char Char Char Char Char Char Char Char Char Char"/>
    <w:basedOn w:val="1"/>
    <w:qFormat/>
    <w:uiPriority w:val="0"/>
    <w:pPr>
      <w:tabs>
        <w:tab w:val="left" w:pos="432"/>
      </w:tabs>
      <w:ind w:left="432" w:hanging="432"/>
    </w:pPr>
    <w:rPr>
      <w:rFonts w:ascii="Calibri" w:hAnsi="Calibri" w:eastAsia="宋体" w:cs="Times New Roman"/>
    </w:rPr>
  </w:style>
  <w:style w:type="paragraph" w:customStyle="1" w:styleId="622">
    <w:name w:val="无间隔11"/>
    <w:basedOn w:val="1"/>
    <w:qFormat/>
    <w:uiPriority w:val="0"/>
    <w:pPr>
      <w:widowControl/>
    </w:pPr>
    <w:rPr>
      <w:rFonts w:ascii="Calibri" w:hAnsi="Calibri" w:eastAsia="宋体" w:cs="Calibri"/>
      <w:kern w:val="0"/>
      <w:szCs w:val="24"/>
      <w:lang w:eastAsia="en-US"/>
    </w:rPr>
  </w:style>
  <w:style w:type="paragraph" w:customStyle="1" w:styleId="623">
    <w:name w:val="xl61"/>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pPr>
    <w:rPr>
      <w:rFonts w:ascii="Arial Unicode MS" w:hAnsi="Arial Unicode MS" w:eastAsia="宋体" w:cs="Times New Roman"/>
      <w:kern w:val="0"/>
      <w:sz w:val="24"/>
      <w:szCs w:val="24"/>
    </w:rPr>
  </w:style>
  <w:style w:type="paragraph" w:customStyle="1" w:styleId="624">
    <w:name w:val="p21"/>
    <w:basedOn w:val="1"/>
    <w:qFormat/>
    <w:uiPriority w:val="0"/>
    <w:pPr>
      <w:widowControl/>
      <w:ind w:firstLine="420"/>
    </w:pPr>
    <w:rPr>
      <w:rFonts w:ascii="Calibri" w:hAnsi="Calibri" w:eastAsia="宋体" w:cs="宋体"/>
      <w:kern w:val="0"/>
      <w:szCs w:val="21"/>
    </w:rPr>
  </w:style>
  <w:style w:type="paragraph" w:customStyle="1" w:styleId="625">
    <w:name w:val="Pa0"/>
    <w:basedOn w:val="1"/>
    <w:next w:val="1"/>
    <w:qFormat/>
    <w:uiPriority w:val="0"/>
    <w:pPr>
      <w:widowControl/>
      <w:autoSpaceDE w:val="0"/>
      <w:autoSpaceDN w:val="0"/>
      <w:adjustRightInd w:val="0"/>
      <w:spacing w:line="241" w:lineRule="atLeast"/>
      <w:jc w:val="left"/>
    </w:pPr>
    <w:rPr>
      <w:rFonts w:ascii="H Yg 2gj" w:hAnsi="Calibri" w:eastAsia="H Yg 2gj" w:cs="Times New Roman"/>
      <w:kern w:val="0"/>
      <w:sz w:val="24"/>
      <w:szCs w:val="24"/>
    </w:rPr>
  </w:style>
  <w:style w:type="paragraph" w:customStyle="1" w:styleId="626">
    <w:name w:val="xl50"/>
    <w:basedOn w:val="1"/>
    <w:qFormat/>
    <w:uiPriority w:val="0"/>
    <w:pPr>
      <w:widowControl/>
      <w:pBdr>
        <w:bottom w:val="single" w:color="auto" w:sz="4" w:space="0"/>
        <w:right w:val="single" w:color="auto" w:sz="8" w:space="0"/>
      </w:pBdr>
      <w:spacing w:before="100" w:beforeAutospacing="1" w:after="100" w:afterAutospacing="1"/>
      <w:jc w:val="center"/>
      <w:textAlignment w:val="center"/>
    </w:pPr>
    <w:rPr>
      <w:rFonts w:ascii="Arial Unicode MS" w:hAnsi="Arial Unicode MS" w:eastAsia="宋体" w:cs="Times New Roman"/>
      <w:kern w:val="0"/>
      <w:sz w:val="20"/>
      <w:szCs w:val="20"/>
    </w:rPr>
  </w:style>
  <w:style w:type="paragraph" w:customStyle="1" w:styleId="627">
    <w:name w:val="xl42"/>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Calibri" w:hAnsi="Calibri" w:eastAsia="宋体" w:cs="Times New Roman"/>
      <w:b/>
      <w:bCs/>
      <w:kern w:val="0"/>
      <w:sz w:val="52"/>
      <w:szCs w:val="52"/>
    </w:rPr>
  </w:style>
  <w:style w:type="paragraph" w:customStyle="1" w:styleId="628">
    <w:name w:val="xl62"/>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w:hAnsi="Arial" w:eastAsia="宋体" w:cs="Arial"/>
      <w:kern w:val="0"/>
      <w:sz w:val="32"/>
      <w:szCs w:val="32"/>
    </w:rPr>
  </w:style>
  <w:style w:type="paragraph" w:customStyle="1" w:styleId="629">
    <w:name w:val="標題 1-1"/>
    <w:qFormat/>
    <w:uiPriority w:val="0"/>
    <w:pPr>
      <w:pBdr>
        <w:bottom w:val="threeDEngrave" w:color="auto" w:sz="36" w:space="1"/>
      </w:pBdr>
      <w:tabs>
        <w:tab w:val="left" w:pos="420"/>
      </w:tabs>
      <w:spacing w:after="480"/>
      <w:ind w:left="420" w:right="709" w:hanging="420"/>
    </w:pPr>
    <w:rPr>
      <w:rFonts w:ascii="Arial" w:hAnsi="Arial" w:eastAsia="PMingLiU" w:cs="Times New Roman"/>
      <w:b/>
      <w:sz w:val="40"/>
      <w:lang w:val="en-US" w:eastAsia="zh-CN" w:bidi="ar-SA"/>
    </w:rPr>
  </w:style>
  <w:style w:type="paragraph" w:customStyle="1" w:styleId="630">
    <w:name w:val="数字编号列项（二级）"/>
    <w:qFormat/>
    <w:uiPriority w:val="0"/>
    <w:pPr>
      <w:tabs>
        <w:tab w:val="left" w:pos="1260"/>
      </w:tabs>
      <w:ind w:left="1259" w:hanging="419"/>
      <w:jc w:val="both"/>
    </w:pPr>
    <w:rPr>
      <w:rFonts w:ascii="宋体" w:hAnsi="Times New Roman" w:eastAsia="宋体" w:cs="Times New Roman"/>
      <w:sz w:val="21"/>
      <w:lang w:val="en-US" w:eastAsia="zh-CN" w:bidi="ar-SA"/>
    </w:rPr>
  </w:style>
  <w:style w:type="paragraph" w:customStyle="1" w:styleId="631">
    <w:name w:val="xl24"/>
    <w:basedOn w:val="1"/>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32">
    <w:name w:val="xl36"/>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kern w:val="0"/>
      <w:sz w:val="24"/>
      <w:szCs w:val="24"/>
    </w:rPr>
  </w:style>
  <w:style w:type="paragraph" w:customStyle="1" w:styleId="633">
    <w:name w:val="缺省文本"/>
    <w:basedOn w:val="1"/>
    <w:qFormat/>
    <w:uiPriority w:val="0"/>
    <w:pPr>
      <w:autoSpaceDE w:val="0"/>
      <w:autoSpaceDN w:val="0"/>
      <w:adjustRightInd w:val="0"/>
      <w:jc w:val="left"/>
    </w:pPr>
    <w:rPr>
      <w:rFonts w:ascii="Calibri" w:hAnsi="Calibri" w:eastAsia="宋体" w:cs="Times New Roman"/>
      <w:kern w:val="0"/>
      <w:sz w:val="24"/>
      <w:szCs w:val="24"/>
    </w:rPr>
  </w:style>
  <w:style w:type="paragraph" w:customStyle="1" w:styleId="634">
    <w:name w:val="Char Char1 Char"/>
    <w:basedOn w:val="1"/>
    <w:qFormat/>
    <w:uiPriority w:val="0"/>
    <w:pPr>
      <w:widowControl/>
      <w:jc w:val="left"/>
    </w:pPr>
    <w:rPr>
      <w:rFonts w:ascii="仿宋_GB2312" w:hAnsi="Calibri" w:eastAsia="仿宋_GB2312" w:cs="Times New Roman"/>
      <w:b/>
      <w:sz w:val="32"/>
      <w:szCs w:val="20"/>
    </w:rPr>
  </w:style>
  <w:style w:type="paragraph" w:customStyle="1" w:styleId="635">
    <w:name w:val="章标题"/>
    <w:next w:val="396"/>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636">
    <w:name w:val="xl49"/>
    <w:basedOn w:val="1"/>
    <w:qFormat/>
    <w:uiPriority w:val="0"/>
    <w:pPr>
      <w:widowControl/>
      <w:pBdr>
        <w:top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37">
    <w:name w:val="List Paragraph3"/>
    <w:basedOn w:val="1"/>
    <w:qFormat/>
    <w:uiPriority w:val="0"/>
    <w:pPr>
      <w:ind w:firstLine="420" w:firstLineChars="200"/>
    </w:pPr>
    <w:rPr>
      <w:rFonts w:ascii="Calibri" w:hAnsi="Calibri" w:eastAsia="宋体" w:cs="Times New Roman"/>
    </w:rPr>
  </w:style>
  <w:style w:type="paragraph" w:customStyle="1" w:styleId="638">
    <w:name w:val="a2"/>
    <w:basedOn w:val="1"/>
    <w:qFormat/>
    <w:uiPriority w:val="0"/>
    <w:pPr>
      <w:widowControl/>
      <w:spacing w:before="100" w:beforeAutospacing="1" w:after="100" w:afterAutospacing="1"/>
      <w:jc w:val="left"/>
    </w:pPr>
    <w:rPr>
      <w:rFonts w:ascii="Arial Unicode MS" w:hAnsi="Arial Unicode MS" w:eastAsia="宋体" w:cs="Times New Roman"/>
      <w:kern w:val="0"/>
      <w:sz w:val="24"/>
      <w:szCs w:val="24"/>
    </w:rPr>
  </w:style>
  <w:style w:type="paragraph" w:customStyle="1" w:styleId="639">
    <w:name w:val="樣式1"/>
    <w:basedOn w:val="640"/>
    <w:qFormat/>
    <w:uiPriority w:val="0"/>
    <w:pPr>
      <w:tabs>
        <w:tab w:val="left" w:pos="420"/>
        <w:tab w:val="left" w:pos="567"/>
        <w:tab w:val="left" w:pos="840"/>
        <w:tab w:val="left" w:pos="966"/>
        <w:tab w:val="left" w:pos="1800"/>
        <w:tab w:val="left" w:pos="2552"/>
      </w:tabs>
      <w:spacing w:before="40" w:after="40"/>
      <w:ind w:left="1276" w:hanging="284"/>
    </w:pPr>
    <w:rPr>
      <w:rFonts w:eastAsia="宋体"/>
    </w:rPr>
  </w:style>
  <w:style w:type="paragraph" w:customStyle="1" w:styleId="640">
    <w:name w:val="Bullet"/>
    <w:basedOn w:val="1"/>
    <w:qFormat/>
    <w:uiPriority w:val="0"/>
    <w:pPr>
      <w:widowControl/>
      <w:tabs>
        <w:tab w:val="left" w:pos="420"/>
        <w:tab w:val="left" w:pos="2552"/>
      </w:tabs>
      <w:snapToGrid w:val="0"/>
      <w:spacing w:before="60" w:after="60"/>
      <w:ind w:left="420" w:right="709" w:hanging="420"/>
      <w:jc w:val="left"/>
    </w:pPr>
    <w:rPr>
      <w:rFonts w:ascii="Calibri" w:hAnsi="Calibri" w:eastAsia="2OcuAe" w:cs="Times New Roman"/>
      <w:spacing w:val="2"/>
      <w:kern w:val="0"/>
      <w:sz w:val="20"/>
      <w:szCs w:val="20"/>
      <w:lang w:eastAsia="zh-TW"/>
    </w:rPr>
  </w:style>
  <w:style w:type="paragraph" w:customStyle="1" w:styleId="641">
    <w:name w:val="Char Char Char Char Char Char1"/>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642">
    <w:name w:val="Char Char2 Char"/>
    <w:basedOn w:val="1"/>
    <w:qFormat/>
    <w:uiPriority w:val="0"/>
    <w:pPr>
      <w:keepNext/>
      <w:keepLines/>
      <w:pageBreakBefore/>
      <w:widowControl/>
      <w:tabs>
        <w:tab w:val="left" w:pos="845"/>
      </w:tabs>
      <w:ind w:left="845" w:hanging="420"/>
      <w:jc w:val="left"/>
    </w:pPr>
    <w:rPr>
      <w:rFonts w:ascii="Tahoma" w:hAnsi="Tahoma" w:eastAsia="宋体" w:cs="Times New Roman"/>
      <w:sz w:val="24"/>
      <w:szCs w:val="20"/>
    </w:rPr>
  </w:style>
  <w:style w:type="paragraph" w:customStyle="1" w:styleId="643">
    <w:name w:val="部分1"/>
    <w:basedOn w:val="1"/>
    <w:qFormat/>
    <w:uiPriority w:val="0"/>
    <w:pPr>
      <w:keepNext/>
      <w:pageBreakBefore/>
      <w:tabs>
        <w:tab w:val="left" w:pos="720"/>
      </w:tabs>
      <w:spacing w:line="360" w:lineRule="auto"/>
      <w:jc w:val="center"/>
      <w:outlineLvl w:val="0"/>
    </w:pPr>
    <w:rPr>
      <w:rFonts w:ascii="Calibri" w:hAnsi="Calibri" w:eastAsia="黑体" w:cs="Times New Roman"/>
      <w:b/>
      <w:kern w:val="44"/>
      <w:sz w:val="36"/>
      <w:szCs w:val="20"/>
    </w:rPr>
  </w:style>
  <w:style w:type="paragraph" w:customStyle="1" w:styleId="644">
    <w:name w:val="标书正文格式 Char Char"/>
    <w:qFormat/>
    <w:uiPriority w:val="0"/>
    <w:pPr>
      <w:spacing w:line="360" w:lineRule="auto"/>
      <w:ind w:firstLine="200" w:firstLineChars="200"/>
    </w:pPr>
    <w:rPr>
      <w:rFonts w:ascii="Times New Roman" w:hAnsi="Times New Roman" w:eastAsia="仿宋_GB2312" w:cs="Times New Roman"/>
      <w:kern w:val="2"/>
      <w:sz w:val="30"/>
      <w:szCs w:val="24"/>
      <w:lang w:val="en-US" w:eastAsia="zh-CN" w:bidi="ar-SA"/>
    </w:rPr>
  </w:style>
  <w:style w:type="paragraph" w:customStyle="1" w:styleId="645">
    <w:name w:val="Char2"/>
    <w:basedOn w:val="1"/>
    <w:qFormat/>
    <w:uiPriority w:val="0"/>
    <w:pPr>
      <w:widowControl/>
      <w:jc w:val="left"/>
    </w:pPr>
    <w:rPr>
      <w:rFonts w:ascii="Calibri" w:hAnsi="Calibri" w:eastAsia="仿宋_GB2312" w:cs="Times New Roman"/>
      <w:sz w:val="28"/>
      <w:szCs w:val="20"/>
    </w:rPr>
  </w:style>
  <w:style w:type="paragraph" w:customStyle="1" w:styleId="646">
    <w:name w:val="b"/>
    <w:basedOn w:val="1"/>
    <w:qFormat/>
    <w:uiPriority w:val="0"/>
    <w:pPr>
      <w:widowControl/>
      <w:adjustRightInd w:val="0"/>
      <w:snapToGrid w:val="0"/>
      <w:jc w:val="center"/>
    </w:pPr>
    <w:rPr>
      <w:rFonts w:ascii="仿宋_GB2312" w:hAnsi="Calibri" w:eastAsia="仿宋_GB2312" w:cs="Times New Roman"/>
      <w:sz w:val="24"/>
      <w:szCs w:val="24"/>
    </w:rPr>
  </w:style>
  <w:style w:type="paragraph" w:customStyle="1" w:styleId="647">
    <w:name w:val="正文文本缩进2"/>
    <w:basedOn w:val="1"/>
    <w:qFormat/>
    <w:uiPriority w:val="0"/>
    <w:pPr>
      <w:widowControl/>
      <w:spacing w:line="200" w:lineRule="atLeast"/>
      <w:ind w:firstLine="301"/>
      <w:jc w:val="left"/>
    </w:pPr>
    <w:rPr>
      <w:rFonts w:ascii="宋体" w:hAnsi="Courier New" w:eastAsia="宋体" w:cs="Times New Roman"/>
      <w:spacing w:val="-4"/>
      <w:sz w:val="18"/>
      <w:szCs w:val="20"/>
    </w:rPr>
  </w:style>
  <w:style w:type="paragraph" w:customStyle="1" w:styleId="648">
    <w:name w:val="content"/>
    <w:basedOn w:val="1"/>
    <w:qFormat/>
    <w:uiPriority w:val="0"/>
    <w:pPr>
      <w:widowControl/>
      <w:spacing w:before="100" w:beforeAutospacing="1" w:after="100" w:afterAutospacing="1" w:line="360" w:lineRule="atLeast"/>
      <w:jc w:val="left"/>
    </w:pPr>
    <w:rPr>
      <w:rFonts w:ascii="宋体" w:hAnsi="宋体" w:eastAsia="宋体" w:cs="Times New Roman"/>
      <w:color w:val="333333"/>
      <w:kern w:val="0"/>
      <w:szCs w:val="21"/>
    </w:rPr>
  </w:style>
  <w:style w:type="paragraph" w:customStyle="1" w:styleId="649">
    <w:name w:val="xl37"/>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Calibri" w:hAnsi="Calibri" w:eastAsia="宋体" w:cs="Times New Roman"/>
      <w:b/>
      <w:bCs/>
      <w:kern w:val="0"/>
      <w:sz w:val="24"/>
      <w:szCs w:val="24"/>
    </w:rPr>
  </w:style>
  <w:style w:type="paragraph" w:customStyle="1" w:styleId="650">
    <w:name w:val="xl41"/>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kern w:val="0"/>
      <w:sz w:val="52"/>
      <w:szCs w:val="52"/>
    </w:rPr>
  </w:style>
  <w:style w:type="paragraph" w:customStyle="1" w:styleId="651">
    <w:name w:val="xl63"/>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ascii="Arial" w:hAnsi="Arial" w:eastAsia="宋体" w:cs="Arial"/>
      <w:kern w:val="0"/>
      <w:sz w:val="32"/>
      <w:szCs w:val="32"/>
    </w:rPr>
  </w:style>
  <w:style w:type="paragraph" w:customStyle="1" w:styleId="652">
    <w:name w:val="中等深浅网格 1 - 强调文字颜色 21"/>
    <w:basedOn w:val="1"/>
    <w:qFormat/>
    <w:uiPriority w:val="0"/>
    <w:pPr>
      <w:widowControl/>
      <w:spacing w:after="200" w:line="276" w:lineRule="auto"/>
      <w:ind w:left="720"/>
      <w:contextualSpacing/>
      <w:jc w:val="left"/>
    </w:pPr>
    <w:rPr>
      <w:rFonts w:ascii="Calibri" w:hAnsi="Calibri" w:eastAsia="宋体" w:cs="Times New Roman"/>
      <w:kern w:val="0"/>
      <w:sz w:val="22"/>
      <w:lang w:eastAsia="en-US"/>
    </w:rPr>
  </w:style>
  <w:style w:type="paragraph" w:customStyle="1" w:styleId="653">
    <w:name w:val="表身"/>
    <w:basedOn w:val="1"/>
    <w:qFormat/>
    <w:uiPriority w:val="0"/>
    <w:pPr>
      <w:autoSpaceDE w:val="0"/>
      <w:autoSpaceDN w:val="0"/>
      <w:adjustRightInd w:val="0"/>
      <w:jc w:val="left"/>
    </w:pPr>
    <w:rPr>
      <w:rFonts w:ascii="Calibri" w:hAnsi="Calibri" w:eastAsia="宋体" w:cs="Times New Roman"/>
      <w:kern w:val="0"/>
      <w:sz w:val="18"/>
      <w:szCs w:val="20"/>
    </w:rPr>
  </w:style>
  <w:style w:type="paragraph" w:customStyle="1" w:styleId="654">
    <w:name w:val="font10"/>
    <w:basedOn w:val="1"/>
    <w:qFormat/>
    <w:uiPriority w:val="0"/>
    <w:pPr>
      <w:widowControl/>
      <w:spacing w:before="100" w:beforeAutospacing="1" w:after="100" w:afterAutospacing="1"/>
      <w:jc w:val="left"/>
    </w:pPr>
    <w:rPr>
      <w:rFonts w:ascii="Calibri" w:hAnsi="Calibri" w:eastAsia="宋体" w:cs="Times New Roman"/>
      <w:color w:val="FF0000"/>
      <w:kern w:val="0"/>
      <w:sz w:val="16"/>
      <w:szCs w:val="16"/>
    </w:rPr>
  </w:style>
  <w:style w:type="paragraph" w:customStyle="1" w:styleId="655">
    <w:name w:val="说明书3级标题"/>
    <w:basedOn w:val="1"/>
    <w:next w:val="1"/>
    <w:qFormat/>
    <w:uiPriority w:val="0"/>
    <w:pPr>
      <w:tabs>
        <w:tab w:val="left" w:pos="1572"/>
      </w:tabs>
      <w:spacing w:line="360" w:lineRule="auto"/>
      <w:ind w:left="1572" w:hanging="720"/>
    </w:pPr>
    <w:rPr>
      <w:rFonts w:ascii="Calibri" w:hAnsi="Calibri" w:eastAsia="黑体" w:cs="Times New Roman"/>
      <w:sz w:val="24"/>
      <w:szCs w:val="24"/>
    </w:rPr>
  </w:style>
  <w:style w:type="paragraph" w:customStyle="1" w:styleId="656">
    <w:name w:val="pchart_bodycm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7">
    <w:name w:val="xl64"/>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textAlignment w:val="center"/>
    </w:pPr>
    <w:rPr>
      <w:rFonts w:ascii="Arial Unicode MS" w:hAnsi="Arial Unicode MS" w:eastAsia="宋体" w:cs="Times New Roman"/>
      <w:kern w:val="0"/>
      <w:sz w:val="32"/>
      <w:szCs w:val="32"/>
    </w:rPr>
  </w:style>
  <w:style w:type="paragraph" w:customStyle="1" w:styleId="658">
    <w:name w:val="tableheading"/>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59">
    <w:name w:val="xl47"/>
    <w:basedOn w:val="1"/>
    <w:qFormat/>
    <w:uiPriority w:val="0"/>
    <w:pPr>
      <w:widowControl/>
      <w:pBdr>
        <w:top w:val="single" w:color="auto" w:sz="4" w:space="0"/>
        <w:left w:val="single" w:color="auto" w:sz="8" w:space="0"/>
        <w:bottom w:val="single" w:color="auto" w:sz="8" w:space="0"/>
      </w:pBdr>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60">
    <w:name w:val="B标书正文（后加）"/>
    <w:qFormat/>
    <w:uiPriority w:val="0"/>
    <w:pPr>
      <w:spacing w:after="240" w:line="360" w:lineRule="auto"/>
      <w:ind w:firstLine="425" w:firstLineChars="177"/>
      <w:jc w:val="both"/>
    </w:pPr>
    <w:rPr>
      <w:rFonts w:ascii="仿宋" w:hAnsi="仿宋" w:eastAsia="仿宋" w:cs="Times New Roman"/>
      <w:color w:val="000000"/>
      <w:kern w:val="2"/>
      <w:sz w:val="24"/>
      <w:szCs w:val="24"/>
      <w:lang w:val="en-US" w:eastAsia="zh-CN" w:bidi="ar-SA"/>
    </w:rPr>
  </w:style>
  <w:style w:type="paragraph" w:customStyle="1" w:styleId="661">
    <w:name w:val="Pa10"/>
    <w:basedOn w:val="1"/>
    <w:next w:val="1"/>
    <w:qFormat/>
    <w:uiPriority w:val="0"/>
    <w:pPr>
      <w:widowControl/>
      <w:autoSpaceDE w:val="0"/>
      <w:autoSpaceDN w:val="0"/>
      <w:adjustRightInd w:val="0"/>
      <w:spacing w:before="20" w:line="136" w:lineRule="atLeast"/>
      <w:jc w:val="left"/>
    </w:pPr>
    <w:rPr>
      <w:rFonts w:ascii="Stone Sans" w:hAnsi="Stone Sans" w:eastAsia="宋体" w:cs="Times New Roman"/>
      <w:kern w:val="0"/>
      <w:sz w:val="24"/>
      <w:szCs w:val="24"/>
    </w:rPr>
  </w:style>
  <w:style w:type="paragraph" w:customStyle="1" w:styleId="662">
    <w:name w:val="标题3级"/>
    <w:basedOn w:val="5"/>
    <w:qFormat/>
    <w:uiPriority w:val="0"/>
    <w:pPr>
      <w:numPr>
        <w:ilvl w:val="2"/>
        <w:numId w:val="4"/>
      </w:numPr>
      <w:tabs>
        <w:tab w:val="left" w:pos="425"/>
        <w:tab w:val="left" w:pos="851"/>
        <w:tab w:val="left" w:pos="902"/>
        <w:tab w:val="clear" w:pos="567"/>
      </w:tabs>
      <w:spacing w:beforeLines="0"/>
      <w:ind w:firstLine="100" w:firstLineChars="100"/>
    </w:pPr>
    <w:rPr>
      <w:rFonts w:eastAsia="宋体"/>
      <w:bCs w:val="0"/>
      <w:color w:val="000000"/>
      <w:sz w:val="32"/>
      <w:szCs w:val="20"/>
    </w:rPr>
  </w:style>
  <w:style w:type="paragraph" w:customStyle="1" w:styleId="663">
    <w:name w:val="Pa11"/>
    <w:basedOn w:val="1"/>
    <w:next w:val="1"/>
    <w:qFormat/>
    <w:uiPriority w:val="0"/>
    <w:pPr>
      <w:autoSpaceDE w:val="0"/>
      <w:autoSpaceDN w:val="0"/>
      <w:adjustRightInd w:val="0"/>
      <w:spacing w:line="161" w:lineRule="atLeast"/>
      <w:jc w:val="left"/>
    </w:pPr>
    <w:rPr>
      <w:rFonts w:ascii="HP Simplified Hans Light" w:hAnsi="Calibri" w:eastAsia="HP Simplified Hans Light" w:cs="Times New Roman"/>
      <w:kern w:val="0"/>
      <w:sz w:val="24"/>
      <w:szCs w:val="24"/>
    </w:rPr>
  </w:style>
  <w:style w:type="paragraph" w:customStyle="1" w:styleId="664">
    <w:name w:val="TOC Heading1"/>
    <w:basedOn w:val="3"/>
    <w:next w:val="1"/>
    <w:qFormat/>
    <w:uiPriority w:val="0"/>
    <w:pPr>
      <w:tabs>
        <w:tab w:val="clear" w:pos="1440"/>
      </w:tabs>
      <w:spacing w:beforeLines="0" w:line="276" w:lineRule="auto"/>
      <w:jc w:val="left"/>
      <w:outlineLvl w:val="9"/>
    </w:pPr>
    <w:rPr>
      <w:rFonts w:ascii="Cambria" w:hAnsi="Cambria" w:eastAsia="宋体"/>
      <w:color w:val="365F91"/>
      <w:kern w:val="0"/>
      <w:sz w:val="28"/>
      <w:szCs w:val="28"/>
    </w:rPr>
  </w:style>
  <w:style w:type="paragraph" w:customStyle="1" w:styleId="665">
    <w:name w:val="xl39"/>
    <w:basedOn w:val="1"/>
    <w:qFormat/>
    <w:uiPriority w:val="0"/>
    <w:pPr>
      <w:widowControl/>
      <w:spacing w:before="100" w:beforeAutospacing="1" w:after="100" w:afterAutospacing="1"/>
      <w:jc w:val="left"/>
    </w:pPr>
    <w:rPr>
      <w:rFonts w:ascii="宋体" w:hAnsi="宋体" w:eastAsia="宋体" w:cs="Times New Roman"/>
      <w:b/>
      <w:bCs/>
      <w:kern w:val="0"/>
      <w:sz w:val="24"/>
      <w:szCs w:val="24"/>
    </w:rPr>
  </w:style>
  <w:style w:type="paragraph" w:customStyle="1" w:styleId="666">
    <w:name w:val="表项"/>
    <w:basedOn w:val="1"/>
    <w:qFormat/>
    <w:uiPriority w:val="0"/>
    <w:pPr>
      <w:autoSpaceDE w:val="0"/>
      <w:autoSpaceDN w:val="0"/>
      <w:adjustRightInd w:val="0"/>
      <w:spacing w:line="300" w:lineRule="auto"/>
      <w:jc w:val="center"/>
    </w:pPr>
    <w:rPr>
      <w:rFonts w:ascii="Arial" w:hAnsi="Arial" w:eastAsia="黑体" w:cs="Times New Roman"/>
      <w:kern w:val="0"/>
      <w:sz w:val="18"/>
      <w:szCs w:val="20"/>
    </w:rPr>
  </w:style>
  <w:style w:type="paragraph" w:customStyle="1" w:styleId="667">
    <w:name w:val="No Spacing1"/>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68">
    <w:name w:val="b13"/>
    <w:basedOn w:val="1"/>
    <w:qFormat/>
    <w:uiPriority w:val="0"/>
    <w:pPr>
      <w:widowControl/>
      <w:autoSpaceDE w:val="0"/>
      <w:autoSpaceDN w:val="0"/>
      <w:adjustRightInd w:val="0"/>
      <w:spacing w:after="120"/>
      <w:jc w:val="left"/>
      <w:textAlignment w:val="bottom"/>
    </w:pPr>
    <w:rPr>
      <w:rFonts w:ascii="Calibri" w:hAnsi="Calibri" w:eastAsia="華康粗圓體" w:cs="Times New Roman"/>
      <w:kern w:val="0"/>
      <w:sz w:val="26"/>
      <w:szCs w:val="20"/>
      <w:lang w:eastAsia="zh-TW"/>
    </w:rPr>
  </w:style>
  <w:style w:type="paragraph" w:customStyle="1" w:styleId="669">
    <w:name w:val="xl40"/>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Calibri" w:hAnsi="Calibri" w:eastAsia="宋体" w:cs="Times New Roman"/>
      <w:kern w:val="0"/>
      <w:sz w:val="52"/>
      <w:szCs w:val="52"/>
    </w:rPr>
  </w:style>
  <w:style w:type="paragraph" w:customStyle="1" w:styleId="670">
    <w:name w:val="xl31"/>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eastAsia="宋体" w:cs="Times New Roman"/>
      <w:b/>
      <w:bCs/>
      <w:kern w:val="0"/>
      <w:sz w:val="24"/>
      <w:szCs w:val="24"/>
    </w:rPr>
  </w:style>
  <w:style w:type="paragraph" w:customStyle="1" w:styleId="671">
    <w:name w:val="itemlist"/>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2">
    <w:name w:val="Char Char Char"/>
    <w:basedOn w:val="1"/>
    <w:qFormat/>
    <w:uiPriority w:val="0"/>
    <w:pPr>
      <w:widowControl/>
      <w:jc w:val="left"/>
    </w:pPr>
    <w:rPr>
      <w:rFonts w:ascii="Tahoma" w:hAnsi="Tahoma" w:eastAsia="宋体" w:cs="Times New Roman"/>
      <w:sz w:val="24"/>
      <w:szCs w:val="20"/>
    </w:rPr>
  </w:style>
  <w:style w:type="paragraph" w:customStyle="1" w:styleId="673">
    <w:name w:val="小四 段落 宋体 Char Char Char"/>
    <w:basedOn w:val="16"/>
    <w:qFormat/>
    <w:uiPriority w:val="0"/>
    <w:pPr>
      <w:tabs>
        <w:tab w:val="left" w:pos="1320"/>
      </w:tabs>
      <w:spacing w:line="360" w:lineRule="auto"/>
      <w:ind w:left="0" w:right="-33" w:firstLine="480" w:firstLineChars="200"/>
      <w:jc w:val="left"/>
    </w:pPr>
    <w:rPr>
      <w:sz w:val="24"/>
      <w:szCs w:val="24"/>
    </w:rPr>
  </w:style>
  <w:style w:type="paragraph" w:customStyle="1" w:styleId="674">
    <w:name w:val="xl55"/>
    <w:basedOn w:val="1"/>
    <w:qFormat/>
    <w:uiPriority w:val="0"/>
    <w:pPr>
      <w:widowControl/>
      <w:pBdr>
        <w:bottom w:val="single" w:color="auto" w:sz="8" w:space="0"/>
        <w:right w:val="single" w:color="auto" w:sz="8" w:space="0"/>
      </w:pBdr>
      <w:spacing w:before="100" w:beforeAutospacing="1" w:after="100" w:afterAutospacing="1"/>
      <w:jc w:val="left"/>
    </w:pPr>
    <w:rPr>
      <w:rFonts w:ascii="Arial Unicode MS" w:hAnsi="Arial Unicode MS" w:eastAsia="宋体" w:cs="Times New Roman"/>
      <w:kern w:val="0"/>
      <w:sz w:val="24"/>
      <w:szCs w:val="24"/>
    </w:rPr>
  </w:style>
  <w:style w:type="paragraph" w:customStyle="1" w:styleId="675">
    <w:name w:val="font0"/>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676">
    <w:name w:val="ordinary-output"/>
    <w:basedOn w:val="1"/>
    <w:qFormat/>
    <w:uiPriority w:val="0"/>
    <w:pPr>
      <w:widowControl/>
      <w:spacing w:before="100" w:beforeAutospacing="1" w:after="75" w:line="330" w:lineRule="atLeast"/>
      <w:jc w:val="left"/>
    </w:pPr>
    <w:rPr>
      <w:rFonts w:ascii="宋体" w:hAnsi="宋体" w:eastAsia="宋体" w:cs="宋体"/>
      <w:color w:val="333333"/>
      <w:kern w:val="0"/>
      <w:sz w:val="27"/>
      <w:szCs w:val="27"/>
    </w:rPr>
  </w:style>
  <w:style w:type="paragraph" w:customStyle="1" w:styleId="677">
    <w:name w:val="字母编号列项（一级）"/>
    <w:qFormat/>
    <w:uiPriority w:val="0"/>
    <w:pPr>
      <w:tabs>
        <w:tab w:val="left" w:pos="840"/>
      </w:tabs>
      <w:ind w:left="839" w:hanging="419"/>
      <w:jc w:val="both"/>
    </w:pPr>
    <w:rPr>
      <w:rFonts w:ascii="宋体" w:hAnsi="Times New Roman" w:eastAsia="宋体" w:cs="Times New Roman"/>
      <w:sz w:val="21"/>
      <w:lang w:val="en-US" w:eastAsia="zh-CN" w:bidi="ar-SA"/>
    </w:rPr>
  </w:style>
  <w:style w:type="paragraph" w:customStyle="1" w:styleId="678">
    <w:name w:val="xl56"/>
    <w:basedOn w:val="1"/>
    <w:qFormat/>
    <w:uiPriority w:val="0"/>
    <w:pPr>
      <w:widowControl/>
      <w:pBdr>
        <w:top w:val="single" w:color="auto" w:sz="4" w:space="0"/>
        <w:left w:val="single" w:color="auto" w:sz="8" w:space="0"/>
        <w:bottom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79">
    <w:name w:val="Char1 Char Char Char Char Char Char"/>
    <w:basedOn w:val="1"/>
    <w:qFormat/>
    <w:uiPriority w:val="0"/>
    <w:rPr>
      <w:rFonts w:ascii="Calibri" w:hAnsi="Calibri" w:eastAsia="宋体" w:cs="Times New Roman"/>
      <w:szCs w:val="20"/>
    </w:rPr>
  </w:style>
  <w:style w:type="paragraph" w:customStyle="1" w:styleId="680">
    <w:name w:val="正文文本1"/>
    <w:basedOn w:val="1"/>
    <w:qFormat/>
    <w:uiPriority w:val="0"/>
    <w:pPr>
      <w:spacing w:after="120"/>
    </w:pPr>
    <w:rPr>
      <w:rFonts w:ascii="Calibri" w:hAnsi="Calibri" w:eastAsia="宋体" w:cs="Times New Roman"/>
      <w:kern w:val="0"/>
      <w:sz w:val="20"/>
      <w:szCs w:val="24"/>
    </w:rPr>
  </w:style>
  <w:style w:type="paragraph" w:customStyle="1" w:styleId="681">
    <w:name w:val="pied de page r閒.2"/>
    <w:qFormat/>
    <w:uiPriority w:val="0"/>
    <w:pPr>
      <w:spacing w:before="140"/>
      <w:jc w:val="center"/>
    </w:pPr>
    <w:rPr>
      <w:rFonts w:ascii="Helvetica" w:hAnsi="Helvetica" w:eastAsia="宋体" w:cs="Times New Roman"/>
      <w:caps/>
      <w:lang w:val="en-US" w:eastAsia="en-US" w:bidi="ar-SA"/>
    </w:rPr>
  </w:style>
  <w:style w:type="paragraph" w:customStyle="1" w:styleId="682">
    <w:name w:val="List 1"/>
    <w:basedOn w:val="1"/>
    <w:qFormat/>
    <w:uiPriority w:val="0"/>
    <w:pPr>
      <w:widowControl/>
      <w:overflowPunct w:val="0"/>
      <w:autoSpaceDE w:val="0"/>
      <w:autoSpaceDN w:val="0"/>
      <w:adjustRightInd w:val="0"/>
      <w:spacing w:line="360" w:lineRule="auto"/>
      <w:ind w:left="2520" w:hanging="360"/>
      <w:jc w:val="left"/>
      <w:textAlignment w:val="baseline"/>
    </w:pPr>
    <w:rPr>
      <w:rFonts w:ascii="宋体" w:hAnsi="Calibri" w:eastAsia="宋体" w:cs="Times New Roman"/>
      <w:kern w:val="0"/>
      <w:sz w:val="24"/>
      <w:szCs w:val="20"/>
    </w:rPr>
  </w:style>
  <w:style w:type="paragraph" w:customStyle="1" w:styleId="683">
    <w:name w:val="xl22"/>
    <w:basedOn w:val="1"/>
    <w:qFormat/>
    <w:uiPriority w:val="0"/>
    <w:pPr>
      <w:widowControl/>
      <w:pBdr>
        <w:top w:val="single" w:color="auto" w:sz="8" w:space="0"/>
        <w:left w:val="single" w:color="auto" w:sz="8" w:space="0"/>
      </w:pBdr>
      <w:shd w:val="clear" w:color="auto" w:fill="FFFFFF"/>
      <w:spacing w:before="100" w:beforeAutospacing="1" w:after="100" w:afterAutospacing="1"/>
      <w:jc w:val="left"/>
      <w:textAlignment w:val="bottom"/>
    </w:pPr>
    <w:rPr>
      <w:rFonts w:ascii="宋体" w:hAnsi="宋体" w:eastAsia="宋体" w:cs="Times New Roman"/>
      <w:b/>
      <w:bCs/>
      <w:kern w:val="0"/>
      <w:sz w:val="44"/>
      <w:szCs w:val="44"/>
    </w:rPr>
  </w:style>
  <w:style w:type="paragraph" w:customStyle="1" w:styleId="684">
    <w:name w:val="样式 样式 标题 4H4PIM 4h4bulletblbb标题 4 Charsect 1.2.3.4Ref Head... + ..."/>
    <w:basedOn w:val="1"/>
    <w:qFormat/>
    <w:uiPriority w:val="0"/>
    <w:pPr>
      <w:keepNext/>
      <w:keepLines/>
      <w:spacing w:beforeLines="50" w:afterLines="50" w:line="360" w:lineRule="auto"/>
      <w:ind w:left="3011" w:hanging="851"/>
      <w:jc w:val="left"/>
      <w:outlineLvl w:val="3"/>
    </w:pPr>
    <w:rPr>
      <w:rFonts w:ascii="黑体" w:hAnsi="宋体" w:eastAsia="黑体" w:cs="Times New Roman"/>
      <w:b/>
      <w:spacing w:val="-5"/>
      <w:sz w:val="28"/>
      <w:szCs w:val="20"/>
    </w:rPr>
  </w:style>
  <w:style w:type="paragraph" w:customStyle="1" w:styleId="685">
    <w:name w:val="Char Char19"/>
    <w:basedOn w:val="1"/>
    <w:qFormat/>
    <w:uiPriority w:val="0"/>
    <w:pPr>
      <w:widowControl/>
      <w:jc w:val="left"/>
    </w:pPr>
    <w:rPr>
      <w:rFonts w:ascii="Tahoma" w:hAnsi="Tahoma" w:eastAsia="宋体" w:cs="Times New Roman"/>
      <w:sz w:val="24"/>
      <w:szCs w:val="20"/>
    </w:rPr>
  </w:style>
  <w:style w:type="paragraph" w:customStyle="1" w:styleId="686">
    <w:name w:val="xl58"/>
    <w:basedOn w:val="1"/>
    <w:qFormat/>
    <w:uiPriority w:val="0"/>
    <w:pPr>
      <w:widowControl/>
      <w:pBdr>
        <w:top w:val="single" w:color="auto" w:sz="4" w:space="0"/>
        <w:bottom w:val="single" w:color="auto" w:sz="4" w:space="0"/>
        <w:right w:val="single" w:color="auto" w:sz="4" w:space="0"/>
      </w:pBdr>
      <w:spacing w:before="100" w:beforeAutospacing="1" w:after="100" w:afterAutospacing="1"/>
      <w:jc w:val="left"/>
      <w:textAlignment w:val="center"/>
    </w:pPr>
    <w:rPr>
      <w:rFonts w:ascii="Arial" w:hAnsi="Arial" w:eastAsia="宋体" w:cs="Arial"/>
      <w:kern w:val="0"/>
      <w:sz w:val="20"/>
      <w:szCs w:val="20"/>
    </w:rPr>
  </w:style>
  <w:style w:type="paragraph" w:customStyle="1" w:styleId="687">
    <w:name w:val="样式 首行缩进:  2 字符"/>
    <w:basedOn w:val="1"/>
    <w:qFormat/>
    <w:uiPriority w:val="0"/>
    <w:pPr>
      <w:spacing w:line="400" w:lineRule="exact"/>
      <w:ind w:firstLine="200" w:firstLineChars="200"/>
    </w:pPr>
    <w:rPr>
      <w:rFonts w:ascii="Times New Roman" w:hAnsi="Times New Roman" w:eastAsia="宋体" w:cs="宋体"/>
      <w:sz w:val="24"/>
      <w:szCs w:val="24"/>
    </w:rPr>
  </w:style>
  <w:style w:type="paragraph" w:customStyle="1" w:styleId="688">
    <w:name w:val="10号线正文"/>
    <w:basedOn w:val="1"/>
    <w:qFormat/>
    <w:uiPriority w:val="0"/>
    <w:pPr>
      <w:widowControl/>
      <w:spacing w:line="360" w:lineRule="auto"/>
      <w:ind w:firstLine="482" w:firstLineChars="200"/>
      <w:jc w:val="left"/>
    </w:pPr>
    <w:rPr>
      <w:rFonts w:ascii="宋体" w:hAnsi="Calibri" w:eastAsia="宋体" w:cs="宋体"/>
      <w:sz w:val="24"/>
      <w:szCs w:val="24"/>
    </w:rPr>
  </w:style>
  <w:style w:type="paragraph" w:customStyle="1" w:styleId="689">
    <w:name w:val="TOC 标题2"/>
    <w:basedOn w:val="3"/>
    <w:next w:val="1"/>
    <w:qFormat/>
    <w:uiPriority w:val="0"/>
    <w:pPr>
      <w:tabs>
        <w:tab w:val="clear" w:pos="1440"/>
      </w:tabs>
      <w:spacing w:beforeLines="0" w:line="276" w:lineRule="auto"/>
      <w:jc w:val="left"/>
      <w:outlineLvl w:val="9"/>
    </w:pPr>
    <w:rPr>
      <w:rFonts w:ascii="Cambria" w:hAnsi="Cambria" w:eastAsia="宋体"/>
      <w:color w:val="365F90"/>
      <w:kern w:val="0"/>
      <w:sz w:val="28"/>
      <w:szCs w:val="28"/>
    </w:rPr>
  </w:style>
  <w:style w:type="paragraph" w:customStyle="1" w:styleId="690">
    <w:name w:val="xl51"/>
    <w:basedOn w:val="1"/>
    <w:qFormat/>
    <w:uiPriority w:val="0"/>
    <w:pPr>
      <w:widowControl/>
      <w:pBdr>
        <w:bottom w:val="single" w:color="auto" w:sz="4" w:space="0"/>
        <w:right w:val="single" w:color="auto" w:sz="4" w:space="0"/>
      </w:pBdr>
      <w:spacing w:before="100" w:beforeAutospacing="1" w:after="100" w:afterAutospacing="1"/>
      <w:jc w:val="left"/>
      <w:textAlignment w:val="center"/>
    </w:pPr>
    <w:rPr>
      <w:rFonts w:ascii="Arial" w:hAnsi="Arial" w:eastAsia="宋体" w:cs="Arial"/>
      <w:color w:val="000000"/>
      <w:kern w:val="0"/>
      <w:sz w:val="20"/>
      <w:szCs w:val="20"/>
    </w:rPr>
  </w:style>
  <w:style w:type="paragraph" w:customStyle="1" w:styleId="691">
    <w:name w:val="样式 Verdana 首行缩进:  0.74 厘米"/>
    <w:basedOn w:val="1"/>
    <w:qFormat/>
    <w:uiPriority w:val="0"/>
    <w:pPr>
      <w:widowControl/>
      <w:jc w:val="left"/>
    </w:pPr>
    <w:rPr>
      <w:rFonts w:ascii="Verdana" w:hAnsi="Verdana" w:eastAsia="宋体" w:cs="Times New Roman"/>
      <w:szCs w:val="20"/>
    </w:rPr>
  </w:style>
  <w:style w:type="paragraph" w:customStyle="1" w:styleId="692">
    <w:name w:val="集群正文"/>
    <w:basedOn w:val="1"/>
    <w:qFormat/>
    <w:uiPriority w:val="0"/>
    <w:pPr>
      <w:spacing w:beforeLines="50" w:line="312" w:lineRule="auto"/>
      <w:ind w:firstLine="480" w:firstLineChars="200"/>
    </w:pPr>
    <w:rPr>
      <w:rFonts w:ascii="Calibri" w:hAnsi="Calibri" w:eastAsia="宋体" w:cs="Times New Roman"/>
      <w:sz w:val="28"/>
      <w:szCs w:val="20"/>
    </w:rPr>
  </w:style>
  <w:style w:type="paragraph" w:customStyle="1" w:styleId="693">
    <w:name w:val="引用1"/>
    <w:qFormat/>
    <w:uiPriority w:val="0"/>
    <w:pPr>
      <w:spacing w:after="160" w:line="240" w:lineRule="atLeast"/>
    </w:pPr>
    <w:rPr>
      <w:rFonts w:ascii="Arial" w:hAnsi="Arial" w:eastAsia="宋体" w:cs="Times New Roman"/>
      <w:i/>
      <w:color w:val="808080"/>
      <w:lang w:val="en-US" w:eastAsia="en-US" w:bidi="ar-SA"/>
    </w:rPr>
  </w:style>
  <w:style w:type="paragraph" w:customStyle="1" w:styleId="694">
    <w:name w:val="xl34"/>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eastAsia="宋体" w:cs="Times New Roman"/>
      <w:b/>
      <w:bCs/>
      <w:kern w:val="0"/>
      <w:sz w:val="22"/>
    </w:rPr>
  </w:style>
  <w:style w:type="paragraph" w:customStyle="1" w:styleId="695">
    <w:name w:val="xl4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spacing w:before="100" w:beforeAutospacing="1" w:after="100" w:afterAutospacing="1"/>
      <w:jc w:val="center"/>
      <w:textAlignment w:val="center"/>
    </w:pPr>
    <w:rPr>
      <w:rFonts w:ascii="Arial Unicode MS" w:hAnsi="Arial Unicode MS" w:eastAsia="宋体" w:cs="Times New Roman"/>
      <w:b/>
      <w:bCs/>
      <w:kern w:val="0"/>
      <w:sz w:val="52"/>
      <w:szCs w:val="52"/>
    </w:rPr>
  </w:style>
  <w:style w:type="paragraph" w:customStyle="1" w:styleId="696">
    <w:name w:val="font9"/>
    <w:basedOn w:val="1"/>
    <w:qFormat/>
    <w:uiPriority w:val="0"/>
    <w:pPr>
      <w:widowControl/>
      <w:spacing w:before="100" w:beforeAutospacing="1" w:after="100" w:afterAutospacing="1"/>
      <w:jc w:val="left"/>
    </w:pPr>
    <w:rPr>
      <w:rFonts w:ascii="Arial" w:hAnsi="Arial" w:eastAsia="宋体" w:cs="Arial"/>
      <w:color w:val="000000"/>
      <w:kern w:val="0"/>
      <w:sz w:val="20"/>
      <w:szCs w:val="20"/>
    </w:rPr>
  </w:style>
  <w:style w:type="paragraph" w:customStyle="1" w:styleId="697">
    <w:name w:val="技术方案正文样式"/>
    <w:basedOn w:val="1"/>
    <w:qFormat/>
    <w:uiPriority w:val="0"/>
    <w:pPr>
      <w:autoSpaceDE w:val="0"/>
      <w:autoSpaceDN w:val="0"/>
      <w:adjustRightInd w:val="0"/>
      <w:spacing w:line="400" w:lineRule="exact"/>
      <w:ind w:firstLine="480" w:firstLineChars="200"/>
    </w:pPr>
    <w:rPr>
      <w:rFonts w:ascii="宋体" w:hAnsi="宋体" w:eastAsia="宋体" w:cs="宋体"/>
      <w:sz w:val="24"/>
      <w:szCs w:val="21"/>
    </w:rPr>
  </w:style>
  <w:style w:type="paragraph" w:customStyle="1" w:styleId="698">
    <w:name w:val="Char Char Char Char Char Char Char"/>
    <w:basedOn w:val="1"/>
    <w:qFormat/>
    <w:uiPriority w:val="0"/>
    <w:pPr>
      <w:widowControl/>
      <w:tabs>
        <w:tab w:val="left" w:pos="432"/>
      </w:tabs>
      <w:ind w:left="432" w:hanging="432"/>
      <w:jc w:val="left"/>
    </w:pPr>
    <w:rPr>
      <w:rFonts w:ascii="Tahoma" w:hAnsi="Tahoma" w:eastAsia="宋体" w:cs="Times New Roman"/>
      <w:sz w:val="24"/>
      <w:szCs w:val="20"/>
    </w:rPr>
  </w:style>
  <w:style w:type="paragraph" w:customStyle="1" w:styleId="699">
    <w:name w:val="Char Char1 Char Char Char Char Char Char Char Char Char Char Char Char Char"/>
    <w:basedOn w:val="1"/>
    <w:qFormat/>
    <w:uiPriority w:val="0"/>
    <w:pPr>
      <w:widowControl/>
      <w:spacing w:after="160" w:line="240" w:lineRule="exact"/>
      <w:jc w:val="left"/>
    </w:pPr>
    <w:rPr>
      <w:rFonts w:ascii="Verdana" w:hAnsi="Verdana" w:eastAsia="宋体" w:cs="Times New Roman"/>
      <w:kern w:val="0"/>
      <w:sz w:val="20"/>
      <w:szCs w:val="20"/>
      <w:lang w:eastAsia="en-US"/>
    </w:rPr>
  </w:style>
  <w:style w:type="paragraph" w:customStyle="1" w:styleId="700">
    <w:name w:val="Char11"/>
    <w:basedOn w:val="1"/>
    <w:qFormat/>
    <w:uiPriority w:val="0"/>
    <w:pPr>
      <w:widowControl/>
      <w:jc w:val="left"/>
    </w:pPr>
    <w:rPr>
      <w:rFonts w:ascii="仿宋_GB2312" w:hAnsi="Calibri" w:eastAsia="仿宋_GB2312" w:cs="Times New Roman"/>
      <w:b/>
      <w:sz w:val="32"/>
      <w:szCs w:val="20"/>
    </w:rPr>
  </w:style>
  <w:style w:type="paragraph" w:customStyle="1" w:styleId="701">
    <w:name w:val="无间隔3"/>
    <w:basedOn w:val="1"/>
    <w:qFormat/>
    <w:uiPriority w:val="0"/>
    <w:pPr>
      <w:snapToGrid w:val="0"/>
    </w:pPr>
    <w:rPr>
      <w:rFonts w:ascii="仿宋_GB2312" w:hAnsi="Calibri" w:eastAsia="仿宋_GB2312" w:cs="Times New Roman"/>
      <w:b/>
      <w:kern w:val="0"/>
      <w:sz w:val="30"/>
      <w:szCs w:val="24"/>
    </w:rPr>
  </w:style>
  <w:style w:type="paragraph" w:customStyle="1" w:styleId="702">
    <w:name w:val="彩色列表 - 强调文字颜色 111"/>
    <w:basedOn w:val="1"/>
    <w:qFormat/>
    <w:uiPriority w:val="34"/>
    <w:pPr>
      <w:ind w:firstLine="420" w:firstLineChars="200"/>
    </w:pPr>
    <w:rPr>
      <w:rFonts w:ascii="Calibri" w:hAnsi="Calibri" w:eastAsia="宋体" w:cs="Times New Roman"/>
    </w:rPr>
  </w:style>
  <w:style w:type="paragraph" w:customStyle="1" w:styleId="703">
    <w:name w:val="小四 段落 宋体 Char Char"/>
    <w:basedOn w:val="1"/>
    <w:qFormat/>
    <w:uiPriority w:val="0"/>
    <w:pPr>
      <w:widowControl/>
      <w:spacing w:line="360" w:lineRule="auto"/>
      <w:ind w:firstLine="480" w:firstLineChars="200"/>
      <w:jc w:val="left"/>
    </w:pPr>
    <w:rPr>
      <w:rFonts w:ascii="宋体" w:hAnsi="宋体" w:eastAsia="宋体" w:cs="Times New Roman"/>
      <w:sz w:val="24"/>
      <w:szCs w:val="24"/>
    </w:rPr>
  </w:style>
  <w:style w:type="table" w:customStyle="1" w:styleId="704">
    <w:name w:val="中等深浅网格 31"/>
    <w:basedOn w:val="62"/>
    <w:qFormat/>
    <w:uiPriority w:val="0"/>
    <w:tblPr>
      <w:tblBorders>
        <w:top w:val="single" w:color="CCE8CF" w:sz="8" w:space="0"/>
        <w:left w:val="single" w:color="CCE8CF" w:sz="8" w:space="0"/>
        <w:bottom w:val="single" w:color="CCE8CF" w:sz="8" w:space="0"/>
        <w:right w:val="single" w:color="CCE8CF" w:sz="8" w:space="0"/>
        <w:insideH w:val="single" w:color="CCE8CF" w:sz="6" w:space="0"/>
        <w:insideV w:val="single" w:color="CCE8CF" w:sz="6" w:space="0"/>
      </w:tblBorders>
    </w:tblPr>
    <w:tcPr>
      <w:shd w:val="clear" w:color="auto" w:fill="C0C0C0"/>
    </w:tcPr>
    <w:tblStylePr w:type="firstRow">
      <w:tcPr>
        <w:tcBorders>
          <w:top w:val="single" w:color="CCE8CF" w:sz="8" w:space="0"/>
          <w:left w:val="single" w:color="CCE8CF" w:sz="8" w:space="0"/>
          <w:bottom w:val="single" w:color="CCE8CF" w:sz="24" w:space="0"/>
          <w:right w:val="single" w:color="CCE8CF" w:sz="8" w:space="0"/>
          <w:insideH w:val="nil"/>
          <w:insideV w:val="single" w:sz="8" w:space="0"/>
          <w:tl2br w:val="nil"/>
          <w:tr2bl w:val="nil"/>
        </w:tcBorders>
        <w:shd w:val="clear" w:color="auto" w:fill="000000"/>
      </w:tcPr>
    </w:tblStylePr>
    <w:tblStylePr w:type="lastRow">
      <w:tcPr>
        <w:tcBorders>
          <w:top w:val="single" w:color="CCE8CF" w:sz="24" w:space="0"/>
          <w:left w:val="single" w:color="CCE8CF" w:sz="8" w:space="0"/>
          <w:bottom w:val="single" w:color="CCE8CF" w:sz="8" w:space="0"/>
          <w:right w:val="single" w:color="CCE8CF" w:sz="8" w:space="0"/>
          <w:insideH w:val="nil"/>
          <w:insideV w:val="single" w:sz="8" w:space="0"/>
          <w:tl2br w:val="nil"/>
          <w:tr2bl w:val="nil"/>
        </w:tcBorders>
        <w:shd w:val="clear" w:color="auto" w:fill="000000"/>
      </w:tcPr>
    </w:tblStylePr>
    <w:tblStylePr w:type="firstCol">
      <w:tcPr>
        <w:tcBorders>
          <w:top w:val="nil"/>
          <w:left w:val="single" w:color="CCE8CF" w:sz="8" w:space="0"/>
          <w:bottom w:val="nil"/>
          <w:right w:val="single" w:color="CCE8CF" w:sz="24" w:space="0"/>
          <w:insideH w:val="nil"/>
          <w:insideV w:val="nil"/>
          <w:tl2br w:val="nil"/>
          <w:tr2bl w:val="nil"/>
        </w:tcBorders>
        <w:shd w:val="clear" w:color="auto" w:fill="000000"/>
      </w:tcPr>
    </w:tblStylePr>
    <w:tblStylePr w:type="lastCol">
      <w:tcPr>
        <w:tcBorders>
          <w:top w:val="nil"/>
          <w:left w:val="single" w:color="CCE8CF" w:sz="24" w:space="0"/>
          <w:bottom w:val="nil"/>
          <w:right w:val="nil"/>
          <w:insideH w:val="nil"/>
          <w:insideV w:val="nil"/>
          <w:tl2br w:val="nil"/>
          <w:tr2bl w:val="nil"/>
        </w:tcBorders>
        <w:shd w:val="clear" w:color="auto" w:fill="000000"/>
      </w:tcPr>
    </w:tblStylePr>
    <w:tblStylePr w:type="band1Vert">
      <w:tcPr>
        <w:tcBorders>
          <w:top w:val="single" w:color="CCE8CF" w:sz="8" w:space="0"/>
          <w:left w:val="single" w:color="CCE8CF" w:sz="8" w:space="0"/>
          <w:bottom w:val="single" w:color="CCE8CF" w:sz="8" w:space="0"/>
          <w:right w:val="single" w:color="CCE8CF" w:sz="8" w:space="0"/>
          <w:insideH w:val="nil"/>
          <w:insideV w:val="nil"/>
          <w:tl2br w:val="nil"/>
          <w:tr2bl w:val="nil"/>
        </w:tcBorders>
        <w:shd w:val="clear" w:color="auto" w:fill="808080"/>
      </w:tcPr>
    </w:tblStylePr>
    <w:tblStylePr w:type="band1Horz">
      <w:tcPr>
        <w:tcBorders>
          <w:top w:val="single" w:color="CCE8CF" w:sz="8" w:space="0"/>
          <w:left w:val="single" w:color="CCE8CF" w:sz="8" w:space="0"/>
          <w:bottom w:val="single" w:color="CCE8CF" w:sz="8" w:space="0"/>
          <w:right w:val="single" w:color="CCE8CF" w:sz="8" w:space="0"/>
          <w:insideH w:val="single" w:sz="8" w:space="0"/>
          <w:insideV w:val="single" w:sz="8" w:space="0"/>
          <w:tl2br w:val="nil"/>
          <w:tr2bl w:val="nil"/>
        </w:tcBorders>
        <w:shd w:val="clear" w:color="auto" w:fill="808080"/>
      </w:tcPr>
    </w:tblStylePr>
  </w:style>
  <w:style w:type="paragraph" w:customStyle="1" w:styleId="705">
    <w:name w:val="题注1"/>
    <w:basedOn w:val="1"/>
    <w:next w:val="1"/>
    <w:unhideWhenUsed/>
    <w:qFormat/>
    <w:uiPriority w:val="99"/>
    <w:rPr>
      <w:rFonts w:ascii="Calibri Light" w:hAnsi="Calibri Light" w:eastAsia="黑体" w:cs="Times New Roman"/>
      <w:sz w:val="20"/>
      <w:szCs w:val="20"/>
    </w:rPr>
  </w:style>
  <w:style w:type="table" w:customStyle="1" w:styleId="706">
    <w:name w:val="网格型1"/>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07">
    <w:name w:val="批注文字 Char"/>
    <w:basedOn w:val="71"/>
    <w:qFormat/>
    <w:uiPriority w:val="99"/>
    <w:rPr>
      <w:rFonts w:ascii="Calibri" w:hAnsi="Calibri" w:eastAsia="宋体" w:cs="Times New Roman"/>
    </w:rPr>
  </w:style>
  <w:style w:type="paragraph" w:customStyle="1" w:styleId="708">
    <w:name w:val="ZJGIS-五级标题"/>
    <w:basedOn w:val="1"/>
    <w:qFormat/>
    <w:uiPriority w:val="0"/>
    <w:pPr>
      <w:numPr>
        <w:ilvl w:val="4"/>
        <w:numId w:val="5"/>
      </w:numPr>
      <w:spacing w:line="360" w:lineRule="auto"/>
      <w:ind w:firstLine="482" w:firstLineChars="200"/>
    </w:pPr>
    <w:rPr>
      <w:rFonts w:ascii="仿宋" w:hAnsi="仿宋" w:eastAsia="仿宋" w:cs="Times New Roman"/>
      <w:b/>
      <w:sz w:val="24"/>
      <w:szCs w:val="24"/>
    </w:rPr>
  </w:style>
  <w:style w:type="paragraph" w:customStyle="1" w:styleId="709">
    <w:name w:val="标题2"/>
    <w:basedOn w:val="4"/>
    <w:qFormat/>
    <w:uiPriority w:val="0"/>
    <w:pPr>
      <w:tabs>
        <w:tab w:val="left" w:pos="840"/>
      </w:tabs>
      <w:spacing w:line="416" w:lineRule="auto"/>
      <w:ind w:left="567" w:hanging="420"/>
    </w:pPr>
    <w:rPr>
      <w:rFonts w:ascii="Cambria" w:hAnsi="Cambria" w:eastAsia="宋体"/>
      <w:bCs/>
      <w:color w:val="000000"/>
      <w:szCs w:val="32"/>
    </w:rPr>
  </w:style>
  <w:style w:type="paragraph" w:customStyle="1" w:styleId="710">
    <w:name w:val="z-窗体底端1"/>
    <w:basedOn w:val="1"/>
    <w:next w:val="1"/>
    <w:qFormat/>
    <w:uiPriority w:val="0"/>
    <w:pPr>
      <w:pBdr>
        <w:top w:val="single" w:color="auto" w:sz="6" w:space="1"/>
      </w:pBdr>
      <w:jc w:val="center"/>
    </w:pPr>
    <w:rPr>
      <w:rFonts w:ascii="Arial" w:hAnsi="Arial" w:eastAsia="宋体" w:cs="Times New Roman"/>
      <w:vanish/>
      <w:sz w:val="16"/>
      <w:szCs w:val="16"/>
      <w:lang w:val="zh-CN"/>
    </w:rPr>
  </w:style>
  <w:style w:type="paragraph" w:customStyle="1" w:styleId="711">
    <w:name w:val="文章正文"/>
    <w:basedOn w:val="123"/>
    <w:qFormat/>
    <w:uiPriority w:val="0"/>
    <w:pPr>
      <w:widowControl/>
      <w:adjustRightInd w:val="0"/>
      <w:spacing w:beforeLines="0" w:afterLines="50" w:line="360" w:lineRule="auto"/>
      <w:ind w:firstLine="200" w:firstLineChars="200"/>
      <w:jc w:val="left"/>
      <w:textAlignment w:val="baseline"/>
    </w:pPr>
    <w:rPr>
      <w:rFonts w:ascii="Calibri" w:hAnsi="Calibri" w:eastAsia="仿宋_GB2312" w:cs="Times New Roman"/>
      <w:sz w:val="28"/>
      <w:szCs w:val="20"/>
    </w:rPr>
  </w:style>
  <w:style w:type="paragraph" w:customStyle="1" w:styleId="712">
    <w:name w:val="_Style 31"/>
    <w:basedOn w:val="1"/>
    <w:next w:val="116"/>
    <w:qFormat/>
    <w:uiPriority w:val="34"/>
    <w:pPr>
      <w:widowControl/>
      <w:adjustRightInd w:val="0"/>
      <w:spacing w:afterLines="50" w:line="360" w:lineRule="auto"/>
      <w:ind w:firstLine="420" w:firstLineChars="200"/>
      <w:jc w:val="left"/>
      <w:textAlignment w:val="baseline"/>
    </w:pPr>
    <w:rPr>
      <w:rFonts w:ascii="等线" w:hAnsi="等线" w:eastAsia="等线" w:cs="Times New Roman"/>
      <w:kern w:val="0"/>
      <w:sz w:val="28"/>
      <w:szCs w:val="20"/>
    </w:rPr>
  </w:style>
  <w:style w:type="paragraph" w:customStyle="1" w:styleId="713">
    <w:name w:val="列表段落11"/>
    <w:basedOn w:val="1"/>
    <w:qFormat/>
    <w:uiPriority w:val="34"/>
    <w:pPr>
      <w:ind w:firstLine="420" w:firstLineChars="200"/>
    </w:pPr>
    <w:rPr>
      <w:rFonts w:ascii="Calibri" w:hAnsi="Calibri" w:eastAsia="宋体" w:cs="Times New Roman"/>
    </w:rPr>
  </w:style>
  <w:style w:type="paragraph" w:customStyle="1" w:styleId="714">
    <w:name w:val="_Style 45"/>
    <w:basedOn w:val="1"/>
    <w:next w:val="116"/>
    <w:qFormat/>
    <w:uiPriority w:val="34"/>
    <w:pPr>
      <w:ind w:firstLine="420" w:firstLineChars="200"/>
    </w:pPr>
    <w:rPr>
      <w:rFonts w:ascii="Times New Roman" w:hAnsi="Times New Roman" w:eastAsia="宋体" w:cs="Times New Roman"/>
    </w:rPr>
  </w:style>
  <w:style w:type="paragraph" w:customStyle="1" w:styleId="715">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716">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717">
    <w:name w:val="无间隔4"/>
    <w:next w:val="718"/>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718">
    <w:name w:val="无间隔5"/>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719">
    <w:name w:val="A_表格头"/>
    <w:basedOn w:val="1"/>
    <w:qFormat/>
    <w:uiPriority w:val="0"/>
    <w:pPr>
      <w:jc w:val="center"/>
    </w:pPr>
    <w:rPr>
      <w:rFonts w:ascii="Times New Roman" w:hAnsi="Times New Roman" w:eastAsia="黑体" w:cs="Times New Roman"/>
      <w:bCs/>
      <w:kern w:val="0"/>
      <w:szCs w:val="20"/>
    </w:rPr>
  </w:style>
  <w:style w:type="paragraph" w:customStyle="1" w:styleId="720">
    <w:name w:val="A_表格正文（居中）"/>
    <w:basedOn w:val="1"/>
    <w:qFormat/>
    <w:uiPriority w:val="0"/>
    <w:pPr>
      <w:jc w:val="center"/>
    </w:pPr>
    <w:rPr>
      <w:rFonts w:ascii="Times New Roman" w:hAnsi="Times New Roman" w:eastAsia="仿宋" w:cs="Times New Roman"/>
      <w:kern w:val="0"/>
      <w:szCs w:val="20"/>
    </w:rPr>
  </w:style>
  <w:style w:type="paragraph" w:customStyle="1" w:styleId="721">
    <w:name w:val="A_表格正文（加黑）"/>
    <w:basedOn w:val="720"/>
    <w:qFormat/>
    <w:uiPriority w:val="0"/>
    <w:rPr>
      <w:b/>
      <w:color w:val="000000"/>
    </w:rPr>
  </w:style>
  <w:style w:type="character" w:customStyle="1" w:styleId="722">
    <w:name w:val="标题 Char"/>
    <w:qFormat/>
    <w:uiPriority w:val="0"/>
    <w:rPr>
      <w:rFonts w:ascii="宋体" w:hAnsi="Courier New" w:eastAsia="宋体" w:cs="Courier New"/>
      <w:kern w:val="2"/>
      <w:sz w:val="21"/>
      <w:szCs w:val="21"/>
      <w:lang w:val="en-US" w:eastAsia="zh-CN" w:bidi="ar-SA"/>
    </w:rPr>
  </w:style>
  <w:style w:type="character" w:customStyle="1" w:styleId="723">
    <w:name w:val="普通(网站) 字符"/>
    <w:link w:val="58"/>
    <w:qFormat/>
    <w:locked/>
    <w:uiPriority w:val="0"/>
    <w:rPr>
      <w:rFonts w:ascii="(使用中文字体)" w:hAnsi="(使用中文字体)" w:cs="(使用中文字体)"/>
      <w:sz w:val="24"/>
      <w:szCs w:val="24"/>
    </w:rPr>
  </w:style>
  <w:style w:type="paragraph" w:customStyle="1" w:styleId="724">
    <w:name w:val="目录 54"/>
    <w:next w:val="1"/>
    <w:qFormat/>
    <w:uiPriority w:val="0"/>
    <w:pPr>
      <w:wordWrap w:val="0"/>
      <w:ind w:left="1275"/>
      <w:jc w:val="both"/>
    </w:pPr>
    <w:rPr>
      <w:rFonts w:ascii="Times New Roman" w:hAnsi="Times New Roman" w:eastAsia="宋体" w:cs="Times New Roman"/>
      <w:sz w:val="21"/>
      <w:lang w:val="en-US" w:eastAsia="zh-CN" w:bidi="ar-SA"/>
    </w:rPr>
  </w:style>
  <w:style w:type="paragraph" w:customStyle="1" w:styleId="725">
    <w:name w:val="正文（首行缩进2字符）"/>
    <w:basedOn w:val="1"/>
    <w:qFormat/>
    <w:uiPriority w:val="0"/>
    <w:pPr>
      <w:wordWrap w:val="0"/>
      <w:spacing w:line="360" w:lineRule="auto"/>
      <w:ind w:firstLine="420" w:firstLineChars="200"/>
    </w:pPr>
    <w:rPr>
      <w:rFonts w:ascii="宋体" w:hAnsi="Calibri" w:eastAsia="宋体" w:cs="宋体"/>
      <w:szCs w:val="21"/>
    </w:rPr>
  </w:style>
  <w:style w:type="paragraph" w:customStyle="1" w:styleId="726">
    <w:name w:val="正文缩进2"/>
    <w:next w:val="1"/>
    <w:qFormat/>
    <w:uiPriority w:val="0"/>
    <w:pPr>
      <w:wordWrap w:val="0"/>
      <w:ind w:left="3400"/>
      <w:jc w:val="both"/>
    </w:pPr>
    <w:rPr>
      <w:rFonts w:ascii="Times New Roman" w:hAnsi="Times New Roman" w:eastAsia="宋体" w:cs="Times New Roman"/>
      <w:sz w:val="21"/>
      <w:lang w:val="en-US" w:eastAsia="zh-CN" w:bidi="ar-SA"/>
    </w:rPr>
  </w:style>
  <w:style w:type="paragraph" w:customStyle="1" w:styleId="727">
    <w:name w:val="[Normal]"/>
    <w:qFormat/>
    <w:uiPriority w:val="0"/>
    <w:rPr>
      <w:rFonts w:ascii="宋体" w:hAnsi="宋体" w:eastAsia="宋体" w:cs="Times New Roman"/>
      <w:sz w:val="24"/>
      <w:szCs w:val="22"/>
      <w:lang w:val="zh-CN" w:eastAsia="zh-CN" w:bidi="ar-SA"/>
    </w:rPr>
  </w:style>
  <w:style w:type="paragraph" w:customStyle="1" w:styleId="728">
    <w:name w:val="正文首行缩进 21"/>
    <w:basedOn w:val="395"/>
    <w:qFormat/>
    <w:uiPriority w:val="0"/>
    <w:pPr>
      <w:ind w:firstLine="420"/>
    </w:pPr>
  </w:style>
  <w:style w:type="paragraph" w:customStyle="1" w:styleId="729">
    <w:name w:val="_Style 3"/>
    <w:basedOn w:val="1"/>
    <w:qFormat/>
    <w:uiPriority w:val="34"/>
    <w:pPr>
      <w:widowControl/>
      <w:spacing w:after="200" w:line="276" w:lineRule="auto"/>
      <w:ind w:left="720"/>
      <w:contextualSpacing/>
      <w:jc w:val="left"/>
    </w:pPr>
    <w:rPr>
      <w:rFonts w:ascii="Calibri" w:hAnsi="Calibri"/>
      <w:kern w:val="0"/>
      <w:sz w:val="22"/>
    </w:rPr>
  </w:style>
  <w:style w:type="paragraph" w:customStyle="1" w:styleId="730">
    <w:name w:val="Heading #2|1"/>
    <w:basedOn w:val="1"/>
    <w:qFormat/>
    <w:uiPriority w:val="0"/>
    <w:pPr>
      <w:widowControl w:val="0"/>
      <w:shd w:val="clear" w:color="auto" w:fill="auto"/>
      <w:spacing w:line="459" w:lineRule="exact"/>
      <w:ind w:firstLine="440"/>
      <w:outlineLvl w:val="1"/>
    </w:pPr>
    <w:rPr>
      <w:rFonts w:ascii="宋体" w:hAnsi="宋体" w:eastAsia="宋体" w:cs="宋体"/>
      <w:b/>
      <w:bCs/>
      <w:sz w:val="20"/>
      <w:szCs w:val="20"/>
      <w:u w:val="none"/>
      <w:shd w:val="clear" w:color="auto" w:fill="auto"/>
      <w:lang w:val="zh-TW" w:eastAsia="zh-TW" w:bidi="zh-TW"/>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45</Pages>
  <Words>12177</Words>
  <Characters>13062</Characters>
  <Lines>188</Lines>
  <Paragraphs>52</Paragraphs>
  <TotalTime>23</TotalTime>
  <ScaleCrop>false</ScaleCrop>
  <LinksUpToDate>false</LinksUpToDate>
  <CharactersWithSpaces>13103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2022-09-11T10:24:00Z</dcterms:created>
  <dc:creator>黄 晓</dc:creator>
  <cp:lastModifiedBy>浅笑</cp:lastModifiedBy>
  <cp:lastPrinted>2025-04-04T02:05:00Z</cp:lastPrinted>
  <dcterms:modified xsi:type="dcterms:W3CDTF">2025-04-03T07:57:07Z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3E13E378D28C484F9F528C10D7CDEE1D</vt:lpwstr>
  </property>
  <property fmtid="{D5CDD505-2E9C-101B-9397-08002B2CF9AE}" pid="4" name="KSOTemplateDocerSaveRecord">
    <vt:lpwstr>eyJoZGlkIjoiOTVlZDNiNjc4N2Y5YzJiNWY0NjQxMTBmZmRlYWU5ZTMiLCJ1c2VySWQiOiI1NTExOTcxMjUifQ==</vt:lpwstr>
  </property>
</Properties>
</file>