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E85C7F">
      <w:pPr>
        <w:spacing w:line="360" w:lineRule="auto"/>
        <w:rPr>
          <w:rFonts w:ascii="仿宋_GB2312" w:hAnsi="仿宋_GB2312" w:eastAsia="仿宋_GB2312" w:cs="仿宋_GB2312"/>
          <w:b/>
          <w:color w:val="000000" w:themeColor="text1"/>
          <w:sz w:val="44"/>
          <w:szCs w:val="44"/>
        </w:rPr>
      </w:pPr>
    </w:p>
    <w:p w14:paraId="53DF950C">
      <w:pPr>
        <w:adjustRightInd/>
        <w:spacing w:line="360" w:lineRule="auto"/>
        <w:jc w:val="center"/>
        <w:rPr>
          <w:rFonts w:cs="仿宋_GB2312" w:asciiTheme="minorEastAsia" w:hAnsiTheme="minorEastAsia" w:eastAsiaTheme="minorEastAsia"/>
          <w:b/>
          <w:bCs/>
          <w:color w:val="000000" w:themeColor="text1"/>
          <w:sz w:val="52"/>
          <w:szCs w:val="52"/>
        </w:rPr>
      </w:pPr>
      <w:bookmarkStart w:id="0" w:name="_Hlk185590691"/>
      <w:r>
        <w:rPr>
          <w:rFonts w:hint="eastAsia" w:cs="仿宋_GB2312" w:asciiTheme="minorEastAsia" w:hAnsiTheme="minorEastAsia" w:eastAsiaTheme="minorEastAsia"/>
          <w:b/>
          <w:bCs/>
          <w:sz w:val="52"/>
          <w:szCs w:val="52"/>
        </w:rPr>
        <w:t xml:space="preserve">岱山县财政局2025-2027年政府投资项目工程造价咨询服务采购项目 </w:t>
      </w:r>
    </w:p>
    <w:bookmarkEnd w:id="0"/>
    <w:p w14:paraId="41B90754">
      <w:pPr>
        <w:adjustRightInd/>
        <w:spacing w:line="360" w:lineRule="auto"/>
        <w:jc w:val="center"/>
        <w:rPr>
          <w:rFonts w:cs="仿宋_GB2312" w:asciiTheme="minorEastAsia" w:hAnsiTheme="minorEastAsia" w:eastAsiaTheme="minorEastAsia"/>
          <w:b/>
          <w:bCs/>
          <w:color w:val="000000" w:themeColor="text1"/>
          <w:sz w:val="52"/>
          <w:szCs w:val="52"/>
        </w:rPr>
      </w:pPr>
      <w:bookmarkStart w:id="1" w:name="公开征集文件"/>
    </w:p>
    <w:p w14:paraId="6C03E454">
      <w:pPr>
        <w:adjustRightInd/>
        <w:spacing w:line="360" w:lineRule="auto"/>
        <w:jc w:val="center"/>
        <w:rPr>
          <w:rFonts w:cs="仿宋_GB2312" w:asciiTheme="minorEastAsia" w:hAnsiTheme="minorEastAsia" w:eastAsiaTheme="minorEastAsia"/>
          <w:b/>
          <w:bCs/>
          <w:color w:val="000000" w:themeColor="text1"/>
          <w:sz w:val="52"/>
          <w:szCs w:val="52"/>
        </w:rPr>
      </w:pPr>
      <w:r>
        <w:rPr>
          <w:rFonts w:hint="eastAsia" w:cs="仿宋_GB2312" w:asciiTheme="minorEastAsia" w:hAnsiTheme="minorEastAsia" w:eastAsiaTheme="minorEastAsia"/>
          <w:b/>
          <w:bCs/>
          <w:color w:val="000000" w:themeColor="text1"/>
          <w:sz w:val="52"/>
          <w:szCs w:val="52"/>
        </w:rPr>
        <w:t>征集文件</w:t>
      </w:r>
      <w:bookmarkEnd w:id="1"/>
    </w:p>
    <w:p w14:paraId="6D0FE806">
      <w:pPr>
        <w:spacing w:line="360" w:lineRule="auto"/>
        <w:ind w:firstLine="2891" w:firstLineChars="900"/>
        <w:rPr>
          <w:rFonts w:ascii="宋体" w:hAnsi="宋体" w:cs="仿宋"/>
          <w:b/>
          <w:bCs/>
          <w:sz w:val="32"/>
          <w:szCs w:val="32"/>
        </w:rPr>
      </w:pPr>
      <w:bookmarkStart w:id="2" w:name="目录"/>
    </w:p>
    <w:p w14:paraId="0CB0BCEF">
      <w:pPr>
        <w:spacing w:line="360" w:lineRule="auto"/>
        <w:ind w:firstLine="2891" w:firstLineChars="900"/>
        <w:rPr>
          <w:rFonts w:ascii="宋体" w:hAnsi="宋体" w:cs="仿宋"/>
          <w:b/>
          <w:bCs/>
          <w:sz w:val="32"/>
          <w:szCs w:val="32"/>
        </w:rPr>
      </w:pPr>
    </w:p>
    <w:p w14:paraId="2A9DC57C">
      <w:pPr>
        <w:spacing w:line="360" w:lineRule="auto"/>
        <w:ind w:firstLine="2891" w:firstLineChars="900"/>
        <w:rPr>
          <w:rFonts w:ascii="宋体" w:hAnsi="宋体" w:cs="仿宋"/>
          <w:b/>
          <w:bCs/>
          <w:sz w:val="32"/>
          <w:szCs w:val="32"/>
        </w:rPr>
      </w:pPr>
      <w:r>
        <w:rPr>
          <w:rFonts w:hint="eastAsia" w:ascii="宋体" w:hAnsi="宋体" w:cs="仿宋"/>
          <w:b/>
          <w:bCs/>
          <w:sz w:val="32"/>
          <w:szCs w:val="32"/>
        </w:rPr>
        <w:t>采购方式：框架协议采购</w:t>
      </w:r>
    </w:p>
    <w:p w14:paraId="46C20C79">
      <w:pPr>
        <w:spacing w:line="360" w:lineRule="auto"/>
        <w:jc w:val="center"/>
        <w:rPr>
          <w:rFonts w:ascii="宋体" w:hAnsi="宋体" w:cs="仿宋"/>
          <w:b/>
          <w:bCs/>
          <w:sz w:val="32"/>
          <w:szCs w:val="32"/>
        </w:rPr>
      </w:pPr>
      <w:r>
        <w:rPr>
          <w:rFonts w:hint="eastAsia" w:ascii="宋体" w:hAnsi="宋体" w:cs="仿宋"/>
          <w:b/>
          <w:bCs/>
          <w:sz w:val="32"/>
          <w:szCs w:val="32"/>
        </w:rPr>
        <w:t xml:space="preserve">     类 型：封闭式框架协议采购</w:t>
      </w:r>
    </w:p>
    <w:p w14:paraId="46C619B8">
      <w:pPr>
        <w:spacing w:line="360" w:lineRule="auto"/>
        <w:ind w:firstLine="2891" w:firstLineChars="900"/>
        <w:rPr>
          <w:rFonts w:ascii="宋体" w:hAnsi="宋体" w:cs="仿宋"/>
          <w:b/>
          <w:bCs/>
          <w:sz w:val="32"/>
          <w:szCs w:val="32"/>
        </w:rPr>
      </w:pPr>
      <w:r>
        <w:rPr>
          <w:rFonts w:hint="eastAsia" w:ascii="宋体" w:hAnsi="宋体" w:cs="仿宋"/>
          <w:b/>
          <w:bCs/>
          <w:sz w:val="32"/>
          <w:szCs w:val="32"/>
        </w:rPr>
        <w:t>项目编号：SZGXZS2024279</w:t>
      </w:r>
    </w:p>
    <w:p w14:paraId="7DA90594">
      <w:pPr>
        <w:spacing w:line="360" w:lineRule="auto"/>
        <w:jc w:val="center"/>
        <w:rPr>
          <w:rFonts w:ascii="宋体" w:hAnsi="宋体" w:cs="仿宋"/>
          <w:b/>
          <w:sz w:val="24"/>
        </w:rPr>
      </w:pPr>
    </w:p>
    <w:p w14:paraId="22B2DB0F">
      <w:pPr>
        <w:spacing w:line="360" w:lineRule="auto"/>
        <w:jc w:val="center"/>
        <w:rPr>
          <w:rFonts w:ascii="宋体" w:hAnsi="宋体" w:cs="仿宋"/>
          <w:b/>
          <w:sz w:val="24"/>
        </w:rPr>
      </w:pPr>
    </w:p>
    <w:p w14:paraId="3F88BB57">
      <w:pPr>
        <w:snapToGrid w:val="0"/>
        <w:spacing w:line="360" w:lineRule="auto"/>
        <w:rPr>
          <w:rFonts w:ascii="宋体" w:hAnsi="宋体" w:cs="仿宋"/>
          <w:b/>
          <w:bCs/>
          <w:sz w:val="30"/>
          <w:szCs w:val="30"/>
        </w:rPr>
      </w:pPr>
    </w:p>
    <w:p w14:paraId="510BA46D">
      <w:pPr>
        <w:snapToGrid w:val="0"/>
        <w:spacing w:line="360" w:lineRule="auto"/>
        <w:rPr>
          <w:rFonts w:ascii="宋体" w:hAnsi="宋体" w:cs="仿宋"/>
          <w:b/>
          <w:bCs/>
          <w:sz w:val="30"/>
          <w:szCs w:val="30"/>
        </w:rPr>
      </w:pPr>
      <w:r>
        <w:rPr>
          <w:rFonts w:hint="eastAsia" w:ascii="宋体" w:hAnsi="宋体" w:cs="仿宋"/>
          <w:b/>
          <w:bCs/>
          <w:sz w:val="30"/>
          <w:szCs w:val="30"/>
        </w:rPr>
        <w:t>采购单位（征集人）：岱山县财政局（岱山县政府投资项目审价中心）</w:t>
      </w:r>
    </w:p>
    <w:p w14:paraId="1574E19C">
      <w:pPr>
        <w:snapToGrid w:val="0"/>
        <w:spacing w:line="360" w:lineRule="auto"/>
        <w:rPr>
          <w:rFonts w:ascii="宋体" w:hAnsi="宋体" w:cs="仿宋"/>
          <w:b/>
          <w:bCs/>
          <w:sz w:val="30"/>
          <w:szCs w:val="30"/>
        </w:rPr>
      </w:pPr>
      <w:r>
        <w:rPr>
          <w:rFonts w:hint="eastAsia" w:ascii="宋体" w:hAnsi="宋体" w:cs="仿宋"/>
          <w:b/>
          <w:bCs/>
          <w:sz w:val="30"/>
          <w:szCs w:val="30"/>
        </w:rPr>
        <w:t>采购代理机构：深圳市国信招标有限公司</w:t>
      </w:r>
    </w:p>
    <w:p w14:paraId="4FA26DD4">
      <w:pPr>
        <w:snapToGrid w:val="0"/>
        <w:spacing w:line="360" w:lineRule="auto"/>
        <w:jc w:val="center"/>
        <w:rPr>
          <w:rFonts w:ascii="宋体" w:hAnsi="宋体" w:cs="仿宋"/>
          <w:b/>
          <w:bCs/>
          <w:sz w:val="32"/>
          <w:szCs w:val="32"/>
        </w:rPr>
      </w:pPr>
    </w:p>
    <w:p w14:paraId="378050E4">
      <w:pPr>
        <w:snapToGrid w:val="0"/>
        <w:spacing w:line="360" w:lineRule="auto"/>
        <w:jc w:val="center"/>
        <w:rPr>
          <w:rFonts w:ascii="宋体" w:hAnsi="宋体" w:cs="仿宋"/>
          <w:b/>
          <w:bCs/>
          <w:sz w:val="32"/>
          <w:szCs w:val="32"/>
        </w:rPr>
      </w:pPr>
      <w:r>
        <w:rPr>
          <w:rFonts w:hint="eastAsia" w:ascii="宋体" w:hAnsi="宋体" w:cs="仿宋"/>
          <w:b/>
          <w:bCs/>
          <w:sz w:val="32"/>
          <w:szCs w:val="32"/>
        </w:rPr>
        <w:t>2024年12月</w:t>
      </w:r>
    </w:p>
    <w:p w14:paraId="2BD60BE1">
      <w:pPr>
        <w:spacing w:line="360" w:lineRule="auto"/>
        <w:jc w:val="center"/>
        <w:rPr>
          <w:rFonts w:ascii="仿宋_GB2312" w:hAnsi="仿宋_GB2312" w:eastAsia="仿宋_GB2312" w:cs="仿宋_GB2312"/>
          <w:b/>
          <w:color w:val="000000" w:themeColor="text1"/>
          <w:sz w:val="48"/>
          <w:szCs w:val="48"/>
        </w:rPr>
      </w:pPr>
    </w:p>
    <w:p w14:paraId="5AD0892F">
      <w:pPr>
        <w:spacing w:line="360" w:lineRule="auto"/>
        <w:jc w:val="center"/>
        <w:rPr>
          <w:rFonts w:cs="仿宋_GB2312" w:asciiTheme="majorEastAsia" w:hAnsiTheme="majorEastAsia" w:eastAsiaTheme="majorEastAsia"/>
          <w:b/>
          <w:color w:val="000000" w:themeColor="text1"/>
          <w:sz w:val="48"/>
          <w:szCs w:val="48"/>
        </w:rPr>
      </w:pPr>
    </w:p>
    <w:p w14:paraId="29363E4E">
      <w:pPr>
        <w:spacing w:line="360" w:lineRule="auto"/>
        <w:jc w:val="center"/>
        <w:rPr>
          <w:rFonts w:cs="仿宋_GB2312" w:asciiTheme="majorEastAsia" w:hAnsiTheme="majorEastAsia" w:eastAsiaTheme="majorEastAsia"/>
          <w:b/>
          <w:color w:val="000000" w:themeColor="text1"/>
          <w:sz w:val="48"/>
          <w:szCs w:val="48"/>
        </w:rPr>
      </w:pPr>
    </w:p>
    <w:p w14:paraId="6219DEF8">
      <w:pPr>
        <w:spacing w:line="360" w:lineRule="auto"/>
        <w:jc w:val="center"/>
        <w:rPr>
          <w:rFonts w:cs="仿宋_GB2312" w:asciiTheme="majorEastAsia" w:hAnsiTheme="majorEastAsia" w:eastAsiaTheme="majorEastAsia"/>
          <w:b/>
          <w:color w:val="000000" w:themeColor="text1"/>
          <w:sz w:val="48"/>
          <w:szCs w:val="48"/>
        </w:rPr>
      </w:pPr>
      <w:r>
        <w:rPr>
          <w:rFonts w:hint="eastAsia" w:cs="仿宋_GB2312" w:asciiTheme="majorEastAsia" w:hAnsiTheme="majorEastAsia" w:eastAsiaTheme="majorEastAsia"/>
          <w:b/>
          <w:color w:val="000000" w:themeColor="text1"/>
          <w:sz w:val="48"/>
          <w:szCs w:val="48"/>
        </w:rPr>
        <w:t>目  录</w:t>
      </w:r>
      <w:bookmarkEnd w:id="2"/>
    </w:p>
    <w:p w14:paraId="018CB9F5">
      <w:pPr>
        <w:spacing w:line="360" w:lineRule="auto"/>
        <w:rPr>
          <w:rFonts w:cs="仿宋_GB2312" w:asciiTheme="majorEastAsia" w:hAnsiTheme="majorEastAsia" w:eastAsiaTheme="majorEastAsia"/>
          <w:color w:val="000000" w:themeColor="text1"/>
          <w:sz w:val="32"/>
          <w:szCs w:val="32"/>
        </w:rPr>
      </w:pPr>
    </w:p>
    <w:p w14:paraId="2F934C57">
      <w:pPr>
        <w:spacing w:line="360" w:lineRule="auto"/>
        <w:rPr>
          <w:rFonts w:cs="仿宋_GB2312" w:asciiTheme="majorEastAsia" w:hAnsiTheme="majorEastAsia" w:eastAsiaTheme="majorEastAsia"/>
          <w:color w:val="000000" w:themeColor="text1"/>
          <w:sz w:val="32"/>
          <w:szCs w:val="32"/>
        </w:rPr>
      </w:pPr>
    </w:p>
    <w:p w14:paraId="0E50D33D">
      <w:pPr>
        <w:spacing w:line="360" w:lineRule="auto"/>
        <w:ind w:firstLine="1280" w:firstLineChars="400"/>
        <w:rPr>
          <w:rFonts w:cs="仿宋_GB2312" w:asciiTheme="majorEastAsia" w:hAnsiTheme="majorEastAsia" w:eastAsiaTheme="majorEastAsia"/>
          <w:color w:val="000000" w:themeColor="text1"/>
          <w:sz w:val="32"/>
          <w:szCs w:val="32"/>
        </w:rPr>
      </w:pPr>
      <w:r>
        <w:rPr>
          <w:rFonts w:hint="eastAsia" w:cs="仿宋_GB2312" w:asciiTheme="majorEastAsia" w:hAnsiTheme="majorEastAsia" w:eastAsiaTheme="majorEastAsia"/>
          <w:color w:val="000000" w:themeColor="text1"/>
          <w:sz w:val="32"/>
          <w:szCs w:val="32"/>
        </w:rPr>
        <w:t xml:space="preserve">第一部分      </w:t>
      </w:r>
      <w:r>
        <w:fldChar w:fldCharType="begin"/>
      </w:r>
      <w:r>
        <w:instrText xml:space="preserve"> HYPERLINK \l "第一部分" </w:instrText>
      </w:r>
      <w:r>
        <w:fldChar w:fldCharType="separate"/>
      </w:r>
      <w:r>
        <w:rPr>
          <w:rStyle w:val="43"/>
          <w:rFonts w:hint="eastAsia" w:cs="仿宋_GB2312" w:asciiTheme="majorEastAsia" w:hAnsiTheme="majorEastAsia" w:eastAsiaTheme="majorEastAsia"/>
          <w:color w:val="000000" w:themeColor="text1"/>
          <w:sz w:val="32"/>
          <w:szCs w:val="32"/>
        </w:rPr>
        <w:t>征集公告</w:t>
      </w:r>
      <w:r>
        <w:rPr>
          <w:rStyle w:val="43"/>
          <w:rFonts w:hint="eastAsia" w:cs="仿宋_GB2312" w:asciiTheme="majorEastAsia" w:hAnsiTheme="majorEastAsia" w:eastAsiaTheme="majorEastAsia"/>
          <w:color w:val="000000" w:themeColor="text1"/>
          <w:sz w:val="32"/>
          <w:szCs w:val="32"/>
        </w:rPr>
        <w:fldChar w:fldCharType="end"/>
      </w:r>
    </w:p>
    <w:p w14:paraId="1CA84B3E">
      <w:pPr>
        <w:spacing w:line="360" w:lineRule="auto"/>
        <w:ind w:firstLine="1280" w:firstLineChars="400"/>
        <w:rPr>
          <w:rFonts w:cs="仿宋_GB2312" w:asciiTheme="majorEastAsia" w:hAnsiTheme="majorEastAsia" w:eastAsiaTheme="majorEastAsia"/>
          <w:color w:val="000000" w:themeColor="text1"/>
          <w:sz w:val="32"/>
          <w:szCs w:val="32"/>
        </w:rPr>
      </w:pPr>
      <w:r>
        <w:rPr>
          <w:rFonts w:hint="eastAsia" w:cs="仿宋_GB2312" w:asciiTheme="majorEastAsia" w:hAnsiTheme="majorEastAsia" w:eastAsiaTheme="majorEastAsia"/>
          <w:color w:val="000000" w:themeColor="text1"/>
          <w:sz w:val="32"/>
          <w:szCs w:val="32"/>
        </w:rPr>
        <w:t>第二部分      采购需求</w:t>
      </w:r>
    </w:p>
    <w:p w14:paraId="281E41FF">
      <w:pPr>
        <w:spacing w:line="360" w:lineRule="auto"/>
        <w:ind w:firstLine="1280" w:firstLineChars="400"/>
        <w:rPr>
          <w:rFonts w:cs="仿宋_GB2312" w:asciiTheme="majorEastAsia" w:hAnsiTheme="majorEastAsia" w:eastAsiaTheme="majorEastAsia"/>
          <w:color w:val="000000" w:themeColor="text1"/>
          <w:sz w:val="32"/>
          <w:szCs w:val="32"/>
        </w:rPr>
      </w:pPr>
      <w:r>
        <w:rPr>
          <w:rFonts w:hint="eastAsia" w:cs="仿宋_GB2312" w:asciiTheme="majorEastAsia" w:hAnsiTheme="majorEastAsia" w:eastAsiaTheme="majorEastAsia"/>
          <w:color w:val="000000" w:themeColor="text1"/>
          <w:sz w:val="32"/>
          <w:szCs w:val="32"/>
        </w:rPr>
        <w:t xml:space="preserve">第三部分      </w:t>
      </w:r>
      <w:r>
        <w:rPr>
          <w:rStyle w:val="43"/>
          <w:rFonts w:hint="eastAsia" w:cs="仿宋_GB2312" w:asciiTheme="majorEastAsia" w:hAnsiTheme="majorEastAsia" w:eastAsiaTheme="majorEastAsia"/>
          <w:color w:val="000000" w:themeColor="text1"/>
          <w:sz w:val="32"/>
          <w:szCs w:val="32"/>
        </w:rPr>
        <w:t>响应供应商须知</w:t>
      </w:r>
    </w:p>
    <w:p w14:paraId="1C78B763">
      <w:pPr>
        <w:spacing w:line="360" w:lineRule="auto"/>
        <w:ind w:firstLine="1280" w:firstLineChars="400"/>
        <w:rPr>
          <w:rFonts w:cs="仿宋_GB2312" w:asciiTheme="majorEastAsia" w:hAnsiTheme="majorEastAsia" w:eastAsiaTheme="majorEastAsia"/>
          <w:color w:val="000000" w:themeColor="text1"/>
          <w:sz w:val="32"/>
          <w:szCs w:val="32"/>
        </w:rPr>
      </w:pPr>
      <w:r>
        <w:rPr>
          <w:rFonts w:hint="eastAsia" w:cs="仿宋_GB2312" w:asciiTheme="majorEastAsia" w:hAnsiTheme="majorEastAsia" w:eastAsiaTheme="majorEastAsia"/>
          <w:color w:val="000000" w:themeColor="text1"/>
          <w:sz w:val="32"/>
          <w:szCs w:val="32"/>
        </w:rPr>
        <w:t>第四部分      确定第一阶段入围供应商的评审方法</w:t>
      </w:r>
    </w:p>
    <w:p w14:paraId="5466FE1D">
      <w:pPr>
        <w:spacing w:line="360" w:lineRule="auto"/>
        <w:ind w:firstLine="1280" w:firstLineChars="400"/>
        <w:rPr>
          <w:rFonts w:cs="仿宋_GB2312" w:asciiTheme="majorEastAsia" w:hAnsiTheme="majorEastAsia" w:eastAsiaTheme="majorEastAsia"/>
          <w:color w:val="000000" w:themeColor="text1"/>
          <w:sz w:val="32"/>
          <w:szCs w:val="32"/>
        </w:rPr>
      </w:pPr>
      <w:r>
        <w:rPr>
          <w:rFonts w:hint="eastAsia" w:cs="仿宋_GB2312" w:asciiTheme="majorEastAsia" w:hAnsiTheme="majorEastAsia" w:eastAsiaTheme="majorEastAsia"/>
          <w:color w:val="000000" w:themeColor="text1"/>
          <w:sz w:val="32"/>
          <w:szCs w:val="32"/>
        </w:rPr>
        <w:t xml:space="preserve">第五部分      </w:t>
      </w:r>
      <w:r>
        <w:fldChar w:fldCharType="begin"/>
      </w:r>
      <w:r>
        <w:instrText xml:space="preserve"> HYPERLINK \l "第五部分" </w:instrText>
      </w:r>
      <w:r>
        <w:fldChar w:fldCharType="separate"/>
      </w:r>
      <w:r>
        <w:rPr>
          <w:rStyle w:val="43"/>
          <w:rFonts w:hint="eastAsia" w:cs="仿宋_GB2312" w:asciiTheme="majorEastAsia" w:hAnsiTheme="majorEastAsia" w:eastAsiaTheme="majorEastAsia"/>
          <w:color w:val="000000" w:themeColor="text1"/>
          <w:sz w:val="32"/>
          <w:szCs w:val="32"/>
        </w:rPr>
        <w:t>拟签订的框架协议文本和采购合同文本</w:t>
      </w:r>
      <w:r>
        <w:rPr>
          <w:rStyle w:val="43"/>
          <w:rFonts w:hint="eastAsia" w:cs="仿宋_GB2312" w:asciiTheme="majorEastAsia" w:hAnsiTheme="majorEastAsia" w:eastAsiaTheme="majorEastAsia"/>
          <w:color w:val="000000" w:themeColor="text1"/>
          <w:sz w:val="32"/>
          <w:szCs w:val="32"/>
        </w:rPr>
        <w:fldChar w:fldCharType="end"/>
      </w:r>
    </w:p>
    <w:p w14:paraId="355075E2">
      <w:pPr>
        <w:spacing w:line="360" w:lineRule="auto"/>
        <w:ind w:firstLine="1280" w:firstLineChars="400"/>
        <w:rPr>
          <w:rStyle w:val="43"/>
          <w:rFonts w:cs="仿宋_GB2312" w:asciiTheme="majorEastAsia" w:hAnsiTheme="majorEastAsia" w:eastAsiaTheme="majorEastAsia"/>
          <w:color w:val="000000" w:themeColor="text1"/>
          <w:sz w:val="32"/>
          <w:szCs w:val="32"/>
        </w:rPr>
      </w:pPr>
      <w:r>
        <w:rPr>
          <w:rFonts w:hint="eastAsia" w:cs="仿宋_GB2312" w:asciiTheme="majorEastAsia" w:hAnsiTheme="majorEastAsia" w:eastAsiaTheme="majorEastAsia"/>
          <w:color w:val="000000" w:themeColor="text1"/>
          <w:sz w:val="32"/>
          <w:szCs w:val="32"/>
        </w:rPr>
        <w:t xml:space="preserve">第六部分      </w:t>
      </w:r>
      <w:r>
        <w:fldChar w:fldCharType="begin"/>
      </w:r>
      <w:r>
        <w:instrText xml:space="preserve"> HYPERLINK \l "第六部分" </w:instrText>
      </w:r>
      <w:r>
        <w:fldChar w:fldCharType="separate"/>
      </w:r>
      <w:r>
        <w:rPr>
          <w:rStyle w:val="43"/>
          <w:rFonts w:hint="eastAsia" w:cs="仿宋_GB2312" w:asciiTheme="majorEastAsia" w:hAnsiTheme="majorEastAsia" w:eastAsiaTheme="majorEastAsia"/>
          <w:color w:val="000000" w:themeColor="text1"/>
          <w:sz w:val="32"/>
          <w:szCs w:val="32"/>
        </w:rPr>
        <w:t>响应文件编制格式及规范</w:t>
      </w:r>
      <w:r>
        <w:rPr>
          <w:rStyle w:val="43"/>
          <w:rFonts w:hint="eastAsia" w:cs="仿宋_GB2312" w:asciiTheme="majorEastAsia" w:hAnsiTheme="majorEastAsia" w:eastAsiaTheme="majorEastAsia"/>
          <w:color w:val="000000" w:themeColor="text1"/>
          <w:sz w:val="32"/>
          <w:szCs w:val="32"/>
        </w:rPr>
        <w:fldChar w:fldCharType="end"/>
      </w:r>
      <w:r>
        <w:rPr>
          <w:rStyle w:val="43"/>
          <w:rFonts w:hint="eastAsia" w:cs="仿宋_GB2312" w:asciiTheme="majorEastAsia" w:hAnsiTheme="majorEastAsia" w:eastAsiaTheme="majorEastAsia"/>
          <w:color w:val="000000" w:themeColor="text1"/>
          <w:sz w:val="32"/>
          <w:szCs w:val="32"/>
        </w:rPr>
        <w:t>要求</w:t>
      </w:r>
    </w:p>
    <w:p w14:paraId="02F0FB33">
      <w:pPr>
        <w:spacing w:line="360" w:lineRule="auto"/>
        <w:ind w:firstLine="549" w:firstLineChars="229"/>
        <w:rPr>
          <w:rFonts w:ascii="仿宋_GB2312" w:hAnsi="仿宋_GB2312" w:eastAsia="仿宋_GB2312" w:cs="仿宋_GB2312"/>
          <w:color w:val="000000" w:themeColor="text1"/>
          <w:sz w:val="24"/>
        </w:rPr>
      </w:pPr>
      <w:bookmarkStart w:id="3" w:name="_Toc91899869"/>
    </w:p>
    <w:p w14:paraId="7083E5C0">
      <w:pPr>
        <w:spacing w:line="360" w:lineRule="auto"/>
        <w:ind w:firstLine="549" w:firstLineChars="229"/>
        <w:rPr>
          <w:rFonts w:ascii="仿宋_GB2312" w:hAnsi="仿宋_GB2312" w:eastAsia="仿宋_GB2312" w:cs="仿宋_GB2312"/>
          <w:color w:val="000000" w:themeColor="text1"/>
          <w:sz w:val="24"/>
        </w:rPr>
      </w:pPr>
    </w:p>
    <w:p w14:paraId="79B9B2EC">
      <w:pPr>
        <w:spacing w:line="360" w:lineRule="auto"/>
        <w:ind w:firstLine="549" w:firstLineChars="229"/>
        <w:rPr>
          <w:rFonts w:ascii="仿宋_GB2312" w:hAnsi="仿宋_GB2312" w:eastAsia="仿宋_GB2312" w:cs="仿宋_GB2312"/>
          <w:color w:val="000000" w:themeColor="text1"/>
          <w:sz w:val="24"/>
        </w:rPr>
      </w:pPr>
    </w:p>
    <w:p w14:paraId="0CBE9B81">
      <w:pPr>
        <w:spacing w:line="360" w:lineRule="auto"/>
        <w:ind w:firstLine="549" w:firstLineChars="229"/>
        <w:rPr>
          <w:rFonts w:ascii="仿宋_GB2312" w:hAnsi="仿宋_GB2312" w:eastAsia="仿宋_GB2312" w:cs="仿宋_GB2312"/>
          <w:color w:val="000000" w:themeColor="text1"/>
          <w:sz w:val="24"/>
        </w:rPr>
      </w:pPr>
    </w:p>
    <w:p w14:paraId="2EDA5D78">
      <w:pPr>
        <w:spacing w:line="360" w:lineRule="auto"/>
        <w:ind w:firstLine="549" w:firstLineChars="229"/>
        <w:rPr>
          <w:rFonts w:ascii="仿宋_GB2312" w:hAnsi="仿宋_GB2312" w:eastAsia="仿宋_GB2312" w:cs="仿宋_GB2312"/>
          <w:color w:val="000000" w:themeColor="text1"/>
          <w:sz w:val="24"/>
        </w:rPr>
      </w:pPr>
    </w:p>
    <w:p w14:paraId="4228DA5A">
      <w:pPr>
        <w:spacing w:line="360" w:lineRule="auto"/>
        <w:ind w:firstLine="549" w:firstLineChars="229"/>
        <w:rPr>
          <w:rFonts w:ascii="仿宋_GB2312" w:hAnsi="仿宋_GB2312" w:eastAsia="仿宋_GB2312" w:cs="仿宋_GB2312"/>
          <w:color w:val="000000" w:themeColor="text1"/>
          <w:sz w:val="24"/>
        </w:rPr>
      </w:pPr>
    </w:p>
    <w:p w14:paraId="4D0874DF">
      <w:pPr>
        <w:spacing w:line="360" w:lineRule="auto"/>
        <w:ind w:firstLine="549" w:firstLineChars="229"/>
        <w:rPr>
          <w:rFonts w:ascii="仿宋_GB2312" w:hAnsi="仿宋_GB2312" w:eastAsia="仿宋_GB2312" w:cs="仿宋_GB2312"/>
          <w:color w:val="000000" w:themeColor="text1"/>
          <w:sz w:val="24"/>
        </w:rPr>
      </w:pPr>
    </w:p>
    <w:bookmarkEnd w:id="3"/>
    <w:p w14:paraId="37609FC5">
      <w:pPr>
        <w:spacing w:line="360" w:lineRule="auto"/>
        <w:ind w:firstLine="549" w:firstLineChars="229"/>
        <w:rPr>
          <w:rFonts w:ascii="仿宋_GB2312" w:hAnsi="仿宋_GB2312" w:eastAsia="仿宋_GB2312" w:cs="仿宋_GB2312"/>
          <w:color w:val="000000" w:themeColor="text1"/>
          <w:sz w:val="24"/>
        </w:rPr>
      </w:pPr>
      <w:bookmarkStart w:id="4" w:name="_Hlt74728647"/>
      <w:bookmarkEnd w:id="4"/>
      <w:bookmarkStart w:id="5" w:name="_Hlt74707423"/>
      <w:bookmarkEnd w:id="5"/>
      <w:bookmarkStart w:id="6" w:name="_Hlt74729822"/>
      <w:bookmarkEnd w:id="6"/>
      <w:bookmarkStart w:id="7" w:name="_Hlt74649545"/>
      <w:bookmarkEnd w:id="7"/>
      <w:bookmarkStart w:id="8" w:name="第一部分"/>
      <w:bookmarkStart w:id="9" w:name="_Toc91899870"/>
      <w:bookmarkStart w:id="10" w:name="_Toc91899871"/>
    </w:p>
    <w:p w14:paraId="155A53D9">
      <w:pPr>
        <w:spacing w:line="360" w:lineRule="auto"/>
        <w:ind w:firstLine="549" w:firstLineChars="229"/>
        <w:rPr>
          <w:rFonts w:ascii="仿宋_GB2312" w:hAnsi="仿宋_GB2312" w:eastAsia="仿宋_GB2312" w:cs="仿宋_GB2312"/>
          <w:color w:val="000000" w:themeColor="text1"/>
          <w:sz w:val="24"/>
        </w:rPr>
      </w:pPr>
    </w:p>
    <w:p w14:paraId="09843693">
      <w:pPr>
        <w:spacing w:line="360" w:lineRule="auto"/>
        <w:ind w:firstLine="549" w:firstLineChars="229"/>
        <w:rPr>
          <w:rFonts w:ascii="仿宋_GB2312" w:hAnsi="仿宋_GB2312" w:eastAsia="仿宋_GB2312" w:cs="仿宋_GB2312"/>
          <w:color w:val="000000" w:themeColor="text1"/>
          <w:sz w:val="24"/>
        </w:rPr>
      </w:pPr>
    </w:p>
    <w:p w14:paraId="6C26A573">
      <w:pPr>
        <w:spacing w:line="360" w:lineRule="auto"/>
        <w:ind w:firstLine="549" w:firstLineChars="229"/>
        <w:rPr>
          <w:rFonts w:ascii="仿宋_GB2312" w:hAnsi="仿宋_GB2312" w:eastAsia="仿宋_GB2312" w:cs="仿宋_GB2312"/>
          <w:color w:val="000000" w:themeColor="text1"/>
          <w:sz w:val="24"/>
        </w:rPr>
      </w:pPr>
    </w:p>
    <w:p w14:paraId="2A6EF0EE">
      <w:pPr>
        <w:spacing w:line="360" w:lineRule="auto"/>
        <w:jc w:val="center"/>
        <w:rPr>
          <w:rFonts w:cs="仿宋_GB2312" w:asciiTheme="minorEastAsia" w:hAnsiTheme="minorEastAsia" w:eastAsiaTheme="minorEastAsia"/>
          <w:b/>
          <w:color w:val="000000" w:themeColor="text1"/>
          <w:sz w:val="32"/>
          <w:szCs w:val="32"/>
        </w:rPr>
      </w:pPr>
    </w:p>
    <w:p w14:paraId="42953425">
      <w:pPr>
        <w:spacing w:line="360" w:lineRule="auto"/>
        <w:jc w:val="center"/>
        <w:rPr>
          <w:rFonts w:cs="仿宋_GB2312" w:asciiTheme="minorEastAsia" w:hAnsiTheme="minorEastAsia" w:eastAsiaTheme="minorEastAsia"/>
          <w:b/>
          <w:color w:val="000000" w:themeColor="text1"/>
          <w:sz w:val="32"/>
          <w:szCs w:val="32"/>
        </w:rPr>
      </w:pPr>
    </w:p>
    <w:p w14:paraId="6D2EB15B">
      <w:pPr>
        <w:spacing w:line="360" w:lineRule="auto"/>
        <w:jc w:val="center"/>
        <w:rPr>
          <w:rFonts w:cs="仿宋_GB2312" w:asciiTheme="minorEastAsia" w:hAnsiTheme="minorEastAsia" w:eastAsiaTheme="minorEastAsia"/>
          <w:b/>
          <w:color w:val="000000" w:themeColor="text1"/>
          <w:sz w:val="32"/>
          <w:szCs w:val="32"/>
        </w:rPr>
      </w:pPr>
    </w:p>
    <w:p w14:paraId="61E6EFC6">
      <w:pPr>
        <w:spacing w:line="360" w:lineRule="auto"/>
        <w:jc w:val="center"/>
        <w:rPr>
          <w:rFonts w:cs="仿宋_GB2312" w:asciiTheme="minorEastAsia" w:hAnsiTheme="minorEastAsia" w:eastAsiaTheme="minorEastAsia"/>
          <w:b/>
          <w:color w:val="000000" w:themeColor="text1"/>
          <w:sz w:val="32"/>
          <w:szCs w:val="32"/>
        </w:rPr>
      </w:pPr>
      <w:r>
        <w:rPr>
          <w:rFonts w:hint="eastAsia" w:cs="仿宋_GB2312" w:asciiTheme="minorEastAsia" w:hAnsiTheme="minorEastAsia" w:eastAsiaTheme="minorEastAsia"/>
          <w:b/>
          <w:color w:val="000000" w:themeColor="text1"/>
          <w:sz w:val="32"/>
          <w:szCs w:val="32"/>
        </w:rPr>
        <w:t>第一部分 征集公告</w:t>
      </w:r>
      <w:bookmarkEnd w:id="8"/>
    </w:p>
    <w:p w14:paraId="4A05559F">
      <w:pPr>
        <w:spacing w:line="360" w:lineRule="auto"/>
        <w:rPr>
          <w:rFonts w:ascii="仿宋_GB2312" w:hAnsi="仿宋_GB2312" w:eastAsia="仿宋_GB2312" w:cs="仿宋_GB2312"/>
          <w:b/>
          <w:color w:val="000000" w:themeColor="text1"/>
          <w:sz w:val="24"/>
        </w:rPr>
      </w:pPr>
    </w:p>
    <w:p w14:paraId="23FFCB0C">
      <w:pPr>
        <w:spacing w:line="360" w:lineRule="auto"/>
        <w:rPr>
          <w:rFonts w:cs="仿宋_GB2312" w:asciiTheme="minorEastAsia" w:hAnsiTheme="minorEastAsia" w:eastAsiaTheme="minorEastAsia"/>
          <w:b/>
          <w:color w:val="000000" w:themeColor="text1"/>
          <w:szCs w:val="21"/>
        </w:rPr>
      </w:pPr>
      <w:r>
        <w:rPr>
          <w:rFonts w:hint="eastAsia" w:cs="仿宋_GB2312" w:asciiTheme="minorEastAsia" w:hAnsiTheme="minorEastAsia" w:eastAsiaTheme="minorEastAsia"/>
          <w:b/>
          <w:color w:val="000000" w:themeColor="text1"/>
          <w:szCs w:val="21"/>
        </w:rPr>
        <w:t xml:space="preserve">一、项目基本情况 </w:t>
      </w:r>
    </w:p>
    <w:p w14:paraId="1B2CC76D">
      <w:pPr>
        <w:spacing w:line="360" w:lineRule="auto"/>
        <w:ind w:firstLine="420" w:firstLineChars="200"/>
        <w:rPr>
          <w:rFonts w:cs="仿宋_GB2312" w:asciiTheme="minorEastAsia" w:hAnsiTheme="minorEastAsia" w:eastAsiaTheme="minorEastAsia"/>
          <w:bCs/>
          <w:color w:val="000000" w:themeColor="text1"/>
          <w:szCs w:val="21"/>
        </w:rPr>
      </w:pPr>
      <w:r>
        <w:rPr>
          <w:rFonts w:hint="eastAsia" w:cs="仿宋_GB2312" w:asciiTheme="minorEastAsia" w:hAnsiTheme="minorEastAsia" w:eastAsiaTheme="minorEastAsia"/>
          <w:bCs/>
          <w:color w:val="000000" w:themeColor="text1"/>
          <w:szCs w:val="21"/>
        </w:rPr>
        <w:t>项目编号：SZGXZS2024279</w:t>
      </w:r>
    </w:p>
    <w:p w14:paraId="2D221A3E">
      <w:pPr>
        <w:spacing w:line="360" w:lineRule="auto"/>
        <w:ind w:firstLine="420" w:firstLineChars="200"/>
        <w:rPr>
          <w:rFonts w:cs="仿宋_GB2312" w:asciiTheme="minorEastAsia" w:hAnsiTheme="minorEastAsia" w:eastAsiaTheme="minorEastAsia"/>
          <w:bCs/>
          <w:color w:val="000000" w:themeColor="text1"/>
          <w:szCs w:val="21"/>
        </w:rPr>
      </w:pPr>
      <w:r>
        <w:rPr>
          <w:rFonts w:hint="eastAsia" w:cs="仿宋_GB2312" w:asciiTheme="minorEastAsia" w:hAnsiTheme="minorEastAsia" w:eastAsiaTheme="minorEastAsia"/>
          <w:bCs/>
          <w:color w:val="000000" w:themeColor="text1"/>
          <w:szCs w:val="21"/>
        </w:rPr>
        <w:t>项目名称：岱山县财政局2025-2027年政府投资项目工程造价咨询服务采购项目</w:t>
      </w:r>
    </w:p>
    <w:p w14:paraId="2F95E4BF">
      <w:pPr>
        <w:spacing w:line="360" w:lineRule="auto"/>
        <w:ind w:firstLine="420" w:firstLineChars="200"/>
        <w:rPr>
          <w:bCs/>
        </w:rPr>
      </w:pPr>
      <w:r>
        <w:rPr>
          <w:bCs/>
        </w:rPr>
        <w:t>采购方式：</w:t>
      </w:r>
      <w:r>
        <w:rPr>
          <w:rFonts w:hint="eastAsia"/>
          <w:bCs/>
        </w:rPr>
        <w:t>封闭式框架协议采购</w:t>
      </w:r>
    </w:p>
    <w:p w14:paraId="57B9EF65">
      <w:pPr>
        <w:spacing w:line="360" w:lineRule="auto"/>
        <w:ind w:firstLine="420" w:firstLineChars="200"/>
        <w:rPr>
          <w:rFonts w:cs="仿宋_GB2312" w:asciiTheme="minorEastAsia" w:hAnsiTheme="minorEastAsia" w:eastAsiaTheme="minorEastAsia"/>
          <w:bCs/>
          <w:color w:val="000000" w:themeColor="text1"/>
          <w:szCs w:val="21"/>
        </w:rPr>
      </w:pPr>
      <w:r>
        <w:rPr>
          <w:rFonts w:hint="eastAsia"/>
          <w:bCs/>
        </w:rPr>
        <w:t>采购数量：本次公开征集10家供应商</w:t>
      </w:r>
    </w:p>
    <w:p w14:paraId="78A8D92B">
      <w:pPr>
        <w:spacing w:line="360" w:lineRule="auto"/>
        <w:ind w:firstLine="420" w:firstLineChars="200"/>
        <w:rPr>
          <w:rFonts w:cs="仿宋_GB2312" w:asciiTheme="minorEastAsia" w:hAnsiTheme="minorEastAsia" w:eastAsiaTheme="minorEastAsia"/>
          <w:bCs/>
          <w:color w:val="000000" w:themeColor="text1"/>
          <w:szCs w:val="21"/>
        </w:rPr>
      </w:pPr>
      <w:r>
        <w:rPr>
          <w:rFonts w:hint="eastAsia" w:cs="仿宋_GB2312" w:asciiTheme="minorEastAsia" w:hAnsiTheme="minorEastAsia" w:eastAsiaTheme="minorEastAsia"/>
          <w:bCs/>
          <w:color w:val="000000" w:themeColor="text1"/>
          <w:szCs w:val="21"/>
        </w:rPr>
        <w:t>预算金额（元）：</w:t>
      </w:r>
      <w:r>
        <w:rPr>
          <w:rFonts w:hint="eastAsia" w:cs="仿宋_GB2312" w:asciiTheme="minorEastAsia" w:hAnsiTheme="minorEastAsia" w:eastAsiaTheme="minorEastAsia"/>
          <w:bCs/>
          <w:color w:val="000000" w:themeColor="text1"/>
          <w:szCs w:val="21"/>
          <w:lang w:val="en-US" w:eastAsia="zh-CN"/>
        </w:rPr>
        <w:t>70</w:t>
      </w:r>
      <w:r>
        <w:rPr>
          <w:rFonts w:hint="eastAsia" w:cs="仿宋_GB2312" w:asciiTheme="minorEastAsia" w:hAnsiTheme="minorEastAsia" w:eastAsiaTheme="minorEastAsia"/>
          <w:bCs/>
          <w:color w:val="000000" w:themeColor="text1"/>
          <w:szCs w:val="21"/>
        </w:rPr>
        <w:t>0000.00元</w:t>
      </w:r>
    </w:p>
    <w:p w14:paraId="4CA52671">
      <w:pPr>
        <w:spacing w:line="360" w:lineRule="auto"/>
        <w:ind w:firstLine="420" w:firstLineChars="200"/>
        <w:rPr>
          <w:rFonts w:cs="仿宋_GB2312" w:asciiTheme="minorEastAsia" w:hAnsiTheme="minorEastAsia" w:eastAsiaTheme="minorEastAsia"/>
          <w:bCs/>
          <w:color w:val="000000" w:themeColor="text1"/>
          <w:szCs w:val="21"/>
        </w:rPr>
      </w:pPr>
      <w:r>
        <w:rPr>
          <w:rFonts w:hint="eastAsia" w:cs="仿宋_GB2312" w:asciiTheme="minorEastAsia" w:hAnsiTheme="minorEastAsia" w:eastAsiaTheme="minorEastAsia"/>
          <w:bCs/>
          <w:color w:val="000000" w:themeColor="text1"/>
          <w:szCs w:val="21"/>
        </w:rPr>
        <w:t>最高限价（元）：</w:t>
      </w:r>
      <w:r>
        <w:rPr>
          <w:rFonts w:hint="eastAsia" w:cs="仿宋_GB2312" w:asciiTheme="minorEastAsia" w:hAnsiTheme="minorEastAsia" w:eastAsiaTheme="minorEastAsia"/>
          <w:bCs/>
          <w:color w:val="000000" w:themeColor="text1"/>
          <w:szCs w:val="21"/>
          <w:lang w:val="en-US" w:eastAsia="zh-CN"/>
        </w:rPr>
        <w:t>70</w:t>
      </w:r>
      <w:r>
        <w:rPr>
          <w:rFonts w:hint="eastAsia" w:cs="仿宋_GB2312" w:asciiTheme="minorEastAsia" w:hAnsiTheme="minorEastAsia" w:eastAsiaTheme="minorEastAsia"/>
          <w:bCs/>
          <w:color w:val="000000" w:themeColor="text1"/>
          <w:szCs w:val="21"/>
        </w:rPr>
        <w:t>0000.00元</w:t>
      </w:r>
    </w:p>
    <w:p w14:paraId="404C8059">
      <w:pPr>
        <w:pStyle w:val="5"/>
        <w:spacing w:line="360" w:lineRule="auto"/>
        <w:ind w:firstLine="420" w:firstLineChars="200"/>
        <w:rPr>
          <w:rFonts w:cs="仿宋_GB2312" w:asciiTheme="minorEastAsia" w:hAnsiTheme="minorEastAsia" w:eastAsiaTheme="minorEastAsia"/>
          <w:bCs/>
          <w:color w:val="000000" w:themeColor="text1"/>
          <w:sz w:val="21"/>
          <w:szCs w:val="21"/>
        </w:rPr>
      </w:pPr>
      <w:r>
        <w:rPr>
          <w:rFonts w:hint="eastAsia" w:cs="仿宋_GB2312" w:asciiTheme="minorEastAsia" w:hAnsiTheme="minorEastAsia" w:eastAsiaTheme="minorEastAsia"/>
          <w:bCs/>
          <w:color w:val="000000" w:themeColor="text1"/>
          <w:sz w:val="21"/>
          <w:szCs w:val="21"/>
        </w:rPr>
        <w:t>采购需求：岱山县财政局2025-2027年政府投资项目工程造价咨询服务，包括单项服务费在分散采购限额以下的工程概算审核、预算（招标控制价）审核，公开征集10家中介机构，要求每家中介机构派出不少于10人的项目组成员。本项目年度预算价为</w:t>
      </w:r>
      <w:r>
        <w:rPr>
          <w:rFonts w:hint="eastAsia" w:cs="仿宋_GB2312" w:asciiTheme="minorEastAsia" w:hAnsiTheme="minorEastAsia" w:eastAsiaTheme="minorEastAsia"/>
          <w:bCs/>
          <w:color w:val="000000" w:themeColor="text1"/>
          <w:sz w:val="21"/>
          <w:szCs w:val="21"/>
          <w:lang w:val="en-US" w:eastAsia="zh-CN"/>
        </w:rPr>
        <w:t>7</w:t>
      </w:r>
      <w:r>
        <w:rPr>
          <w:rFonts w:hint="eastAsia" w:cs="仿宋_GB2312" w:asciiTheme="minorEastAsia" w:hAnsiTheme="minorEastAsia" w:eastAsiaTheme="minorEastAsia"/>
          <w:bCs/>
          <w:color w:val="000000" w:themeColor="text1"/>
          <w:sz w:val="21"/>
          <w:szCs w:val="21"/>
        </w:rPr>
        <w:t>0万元，为暂估费用，具体按年度项目数目和金额而定，征集人不保证供应商的审核业务数量和服务收入，服务中的一切风险均由供应商自行承担。</w:t>
      </w:r>
    </w:p>
    <w:p w14:paraId="1FB99FE1">
      <w:pPr>
        <w:pStyle w:val="5"/>
        <w:spacing w:line="360" w:lineRule="auto"/>
        <w:ind w:firstLine="420" w:firstLineChars="200"/>
        <w:rPr>
          <w:rFonts w:cs="仿宋_GB2312" w:asciiTheme="minorEastAsia" w:hAnsiTheme="minorEastAsia" w:eastAsiaTheme="minorEastAsia"/>
          <w:bCs/>
          <w:snapToGrid/>
          <w:kern w:val="0"/>
          <w:sz w:val="21"/>
          <w:szCs w:val="21"/>
        </w:rPr>
      </w:pPr>
      <w:r>
        <w:rPr>
          <w:rFonts w:hint="eastAsia" w:cs="仿宋_GB2312" w:asciiTheme="minorEastAsia" w:hAnsiTheme="minorEastAsia" w:eastAsiaTheme="minorEastAsia"/>
          <w:bCs/>
          <w:color w:val="000000" w:themeColor="text1"/>
          <w:sz w:val="21"/>
          <w:szCs w:val="21"/>
        </w:rPr>
        <w:t>框架协议期限：</w:t>
      </w:r>
      <w:r>
        <w:rPr>
          <w:rFonts w:hint="eastAsia" w:cs="仿宋_GB2312" w:asciiTheme="minorEastAsia" w:hAnsiTheme="minorEastAsia" w:eastAsiaTheme="minorEastAsia"/>
          <w:bCs/>
          <w:sz w:val="21"/>
          <w:szCs w:val="21"/>
        </w:rPr>
        <w:t>合计两年，协议一年一签；征集人根据入围供应商上一年度的考核情况、资金审批情况决定是否续签。</w:t>
      </w:r>
    </w:p>
    <w:p w14:paraId="650D526F">
      <w:pPr>
        <w:spacing w:line="360" w:lineRule="auto"/>
        <w:ind w:firstLine="420" w:firstLineChars="200"/>
        <w:rPr>
          <w:rFonts w:cs="仿宋_GB2312" w:asciiTheme="minorEastAsia" w:hAnsiTheme="minorEastAsia" w:eastAsiaTheme="minorEastAsia"/>
          <w:bCs/>
          <w:kern w:val="0"/>
          <w:szCs w:val="21"/>
        </w:rPr>
      </w:pPr>
      <w:r>
        <w:rPr>
          <w:rFonts w:hint="eastAsia" w:cs="仿宋_GB2312" w:asciiTheme="minorEastAsia" w:hAnsiTheme="minorEastAsia" w:eastAsiaTheme="minorEastAsia"/>
          <w:bCs/>
          <w:szCs w:val="21"/>
        </w:rPr>
        <w:t>本项目不接受联合体投标。</w:t>
      </w:r>
    </w:p>
    <w:p w14:paraId="58922275">
      <w:pPr>
        <w:spacing w:line="360" w:lineRule="auto"/>
        <w:rPr>
          <w:rFonts w:cs="仿宋_GB2312" w:asciiTheme="minorEastAsia" w:hAnsiTheme="minorEastAsia" w:eastAsiaTheme="minorEastAsia"/>
          <w:b/>
          <w:color w:val="000000" w:themeColor="text1"/>
          <w:szCs w:val="21"/>
        </w:rPr>
      </w:pPr>
      <w:r>
        <w:rPr>
          <w:rFonts w:hint="eastAsia" w:cs="仿宋_GB2312" w:asciiTheme="minorEastAsia" w:hAnsiTheme="minorEastAsia" w:eastAsiaTheme="minorEastAsia"/>
          <w:b/>
          <w:color w:val="000000" w:themeColor="text1"/>
          <w:szCs w:val="21"/>
        </w:rPr>
        <w:t>二、供应商应具备的资格条件：</w:t>
      </w:r>
    </w:p>
    <w:p w14:paraId="53111797">
      <w:pPr>
        <w:widowControl/>
        <w:shd w:val="clear" w:color="auto" w:fill="FFFFFF"/>
        <w:spacing w:line="360" w:lineRule="auto"/>
        <w:ind w:firstLine="420" w:firstLineChars="200"/>
        <w:jc w:val="left"/>
        <w:rPr>
          <w:kern w:val="0"/>
          <w:szCs w:val="21"/>
        </w:rPr>
      </w:pPr>
      <w:r>
        <w:rPr>
          <w:kern w:val="0"/>
          <w:szCs w:val="21"/>
        </w:rPr>
        <w:t>1.</w:t>
      </w:r>
      <w:r>
        <w:rPr>
          <w:rFonts w:hint="eastAsia"/>
          <w:kern w:val="0"/>
          <w:szCs w:val="21"/>
        </w:rPr>
        <w:t>具备《中华人民共和国政府采购法》第二十二条第一款规定的条件：</w:t>
      </w:r>
    </w:p>
    <w:p w14:paraId="349DF552">
      <w:pPr>
        <w:widowControl/>
        <w:shd w:val="clear" w:color="auto" w:fill="FFFFFF"/>
        <w:spacing w:line="360" w:lineRule="auto"/>
        <w:ind w:firstLine="420" w:firstLineChars="200"/>
        <w:jc w:val="left"/>
        <w:rPr>
          <w:kern w:val="0"/>
          <w:szCs w:val="21"/>
        </w:rPr>
      </w:pPr>
      <w:r>
        <w:rPr>
          <w:rFonts w:hint="eastAsia" w:ascii="宋体" w:hAnsi="宋体" w:cs="宋体"/>
          <w:kern w:val="0"/>
          <w:szCs w:val="21"/>
        </w:rPr>
        <w:t>①</w:t>
      </w:r>
      <w:r>
        <w:rPr>
          <w:rFonts w:hint="eastAsia"/>
          <w:kern w:val="0"/>
          <w:szCs w:val="21"/>
        </w:rPr>
        <w:t>具有独立承担民事责任的能力；</w:t>
      </w:r>
      <w:r>
        <w:rPr>
          <w:rFonts w:hint="eastAsia" w:ascii="宋体" w:hAnsi="宋体" w:cs="宋体"/>
          <w:kern w:val="0"/>
          <w:szCs w:val="21"/>
        </w:rPr>
        <w:t>②</w:t>
      </w:r>
      <w:r>
        <w:rPr>
          <w:rFonts w:hint="eastAsia"/>
          <w:kern w:val="0"/>
          <w:szCs w:val="21"/>
        </w:rPr>
        <w:t>具有良好的商业信誉和健全的财务会计制度；</w:t>
      </w:r>
      <w:r>
        <w:rPr>
          <w:rFonts w:hint="eastAsia" w:ascii="宋体" w:hAnsi="宋体" w:cs="宋体"/>
          <w:kern w:val="0"/>
          <w:szCs w:val="21"/>
        </w:rPr>
        <w:t>③</w:t>
      </w:r>
      <w:r>
        <w:rPr>
          <w:rFonts w:hint="eastAsia"/>
          <w:kern w:val="0"/>
          <w:szCs w:val="21"/>
        </w:rPr>
        <w:t>具有履行合同所必需的设备和专业技术能力；</w:t>
      </w:r>
      <w:r>
        <w:rPr>
          <w:rFonts w:hint="eastAsia" w:ascii="宋体" w:hAnsi="宋体" w:cs="宋体"/>
          <w:kern w:val="0"/>
          <w:szCs w:val="21"/>
        </w:rPr>
        <w:t>④</w:t>
      </w:r>
      <w:r>
        <w:rPr>
          <w:rFonts w:hint="eastAsia"/>
          <w:kern w:val="0"/>
          <w:szCs w:val="21"/>
        </w:rPr>
        <w:t>参加政府采购活动前三年内，无依法缴纳税收和社会保障资金的不良记录；</w:t>
      </w:r>
      <w:r>
        <w:rPr>
          <w:rFonts w:hint="eastAsia" w:ascii="宋体" w:hAnsi="宋体" w:cs="宋体"/>
          <w:kern w:val="0"/>
          <w:szCs w:val="21"/>
        </w:rPr>
        <w:t>⑤</w:t>
      </w:r>
      <w:r>
        <w:rPr>
          <w:rFonts w:hint="eastAsia"/>
          <w:kern w:val="0"/>
          <w:szCs w:val="21"/>
        </w:rPr>
        <w:t>参加政府采购活动前三年内，在经营活动中没有重大违法记录；</w:t>
      </w:r>
      <w:r>
        <w:rPr>
          <w:rFonts w:hint="eastAsia" w:ascii="宋体" w:hAnsi="宋体" w:cs="宋体"/>
          <w:kern w:val="0"/>
          <w:szCs w:val="21"/>
        </w:rPr>
        <w:t>⑥</w:t>
      </w:r>
      <w:r>
        <w:rPr>
          <w:rFonts w:hint="eastAsia"/>
          <w:kern w:val="0"/>
          <w:szCs w:val="21"/>
        </w:rPr>
        <w:t>法律、行政法规规定的其他条件。</w:t>
      </w:r>
    </w:p>
    <w:p w14:paraId="1133F92F">
      <w:pPr>
        <w:widowControl/>
        <w:shd w:val="clear" w:color="auto" w:fill="FFFFFF"/>
        <w:adjustRightInd/>
        <w:spacing w:line="360" w:lineRule="auto"/>
        <w:ind w:firstLine="420" w:firstLineChars="200"/>
        <w:jc w:val="left"/>
        <w:rPr>
          <w:kern w:val="0"/>
          <w:szCs w:val="21"/>
        </w:rPr>
      </w:pPr>
      <w:r>
        <w:rPr>
          <w:kern w:val="0"/>
          <w:szCs w:val="21"/>
        </w:rPr>
        <w:t xml:space="preserve">2. </w:t>
      </w:r>
      <w:r>
        <w:rPr>
          <w:rFonts w:hint="eastAsia"/>
          <w:kern w:val="0"/>
          <w:szCs w:val="21"/>
        </w:rPr>
        <w:t>未被</w:t>
      </w:r>
      <w:r>
        <w:rPr>
          <w:kern w:val="0"/>
          <w:szCs w:val="21"/>
        </w:rPr>
        <w:t>“</w:t>
      </w:r>
      <w:r>
        <w:rPr>
          <w:rFonts w:hint="eastAsia"/>
          <w:kern w:val="0"/>
          <w:szCs w:val="21"/>
        </w:rPr>
        <w:t>信用中国</w:t>
      </w:r>
      <w:r>
        <w:rPr>
          <w:kern w:val="0"/>
          <w:szCs w:val="21"/>
        </w:rPr>
        <w:t>”</w:t>
      </w:r>
      <w:r>
        <w:rPr>
          <w:rFonts w:hint="eastAsia"/>
          <w:kern w:val="0"/>
          <w:szCs w:val="21"/>
        </w:rPr>
        <w:t>（</w:t>
      </w:r>
      <w:r>
        <w:rPr>
          <w:kern w:val="0"/>
          <w:szCs w:val="21"/>
        </w:rPr>
        <w:t>www.creditchina.gov.cn</w:t>
      </w:r>
      <w:r>
        <w:rPr>
          <w:rFonts w:hint="eastAsia"/>
          <w:kern w:val="0"/>
          <w:szCs w:val="21"/>
        </w:rPr>
        <w:t>）、中国政府采购网（</w:t>
      </w:r>
      <w:r>
        <w:rPr>
          <w:kern w:val="0"/>
          <w:szCs w:val="21"/>
        </w:rPr>
        <w:t>www.ccgp.gov.cn</w:t>
      </w:r>
      <w:r>
        <w:rPr>
          <w:rFonts w:hint="eastAsia"/>
          <w:kern w:val="0"/>
          <w:szCs w:val="21"/>
        </w:rPr>
        <w:t>）列入失信被执行人、重大税收违法案件当事人名单、政府采购严重违法失信行为记录名单。</w:t>
      </w:r>
    </w:p>
    <w:p w14:paraId="0A7E319E">
      <w:pPr>
        <w:widowControl/>
        <w:shd w:val="clear" w:color="auto" w:fill="FFFFFF"/>
        <w:adjustRightInd/>
        <w:spacing w:line="360" w:lineRule="auto"/>
        <w:ind w:firstLine="420" w:firstLineChars="200"/>
        <w:jc w:val="left"/>
        <w:rPr>
          <w:kern w:val="0"/>
          <w:szCs w:val="21"/>
          <w:u w:val="single"/>
        </w:rPr>
      </w:pPr>
      <w:r>
        <w:rPr>
          <w:kern w:val="0"/>
          <w:szCs w:val="21"/>
        </w:rPr>
        <w:t>3.</w:t>
      </w:r>
      <w:r>
        <w:rPr>
          <w:rFonts w:hint="eastAsia"/>
          <w:b/>
          <w:bCs/>
          <w:kern w:val="0"/>
          <w:szCs w:val="21"/>
        </w:rPr>
        <w:t>本项目专门面向中小企业。本项目对应的中小企业划分标准所属行业：其他未列明行业。</w:t>
      </w:r>
    </w:p>
    <w:p w14:paraId="744BF114">
      <w:pPr>
        <w:spacing w:line="360" w:lineRule="auto"/>
        <w:rPr>
          <w:rFonts w:cs="仿宋_GB2312" w:asciiTheme="minorEastAsia" w:hAnsiTheme="minorEastAsia" w:eastAsiaTheme="minorEastAsia"/>
          <w:b/>
          <w:color w:val="000000" w:themeColor="text1"/>
          <w:szCs w:val="21"/>
        </w:rPr>
      </w:pPr>
      <w:r>
        <w:rPr>
          <w:rFonts w:hint="eastAsia" w:cs="仿宋_GB2312" w:asciiTheme="minorEastAsia" w:hAnsiTheme="minorEastAsia" w:eastAsiaTheme="minorEastAsia"/>
          <w:b/>
          <w:color w:val="000000" w:themeColor="text1"/>
          <w:szCs w:val="21"/>
        </w:rPr>
        <w:t>三、获取征集文件</w:t>
      </w:r>
    </w:p>
    <w:p w14:paraId="027B8C63">
      <w:pPr>
        <w:spacing w:line="360" w:lineRule="auto"/>
        <w:ind w:firstLine="420" w:firstLineChars="200"/>
      </w:pPr>
      <w:r>
        <w:t>时间：征集公告发布之日起至提交响应文件截止时间前；</w:t>
      </w:r>
    </w:p>
    <w:p w14:paraId="33A86323">
      <w:pPr>
        <w:spacing w:line="360" w:lineRule="auto"/>
        <w:ind w:firstLine="420" w:firstLineChars="200"/>
      </w:pPr>
      <w:r>
        <w:t>地点：浙江政府采购网（http://zfcg.czt.zj.gov.cn/）；</w:t>
      </w:r>
    </w:p>
    <w:p w14:paraId="76E52CE1">
      <w:pPr>
        <w:spacing w:line="360" w:lineRule="auto"/>
        <w:ind w:firstLine="420" w:firstLineChars="200"/>
        <w:jc w:val="left"/>
        <w:rPr>
          <w:rFonts w:asciiTheme="minorEastAsia" w:hAnsiTheme="minorEastAsia" w:eastAsiaTheme="minorEastAsia"/>
          <w:szCs w:val="21"/>
        </w:rPr>
      </w:pPr>
      <w:r>
        <w:t>方式：供应商通过“浙江政府采购网”在线获取（征集公告下方选取“潜在供应商”处“获取采购文件”），</w:t>
      </w:r>
      <w:r>
        <w:rPr>
          <w:rFonts w:asciiTheme="minorEastAsia" w:hAnsiTheme="minorEastAsia" w:eastAsiaTheme="minorEastAsia"/>
          <w:szCs w:val="21"/>
        </w:rPr>
        <w:t>不提供纸制版征集文件；供应商只有在“浙江政府采购网”完成获取征集文件申请并下载了征集文件后才视作依法获取征集文件；</w:t>
      </w:r>
    </w:p>
    <w:p w14:paraId="0477E1FA">
      <w:pPr>
        <w:spacing w:line="360" w:lineRule="auto"/>
        <w:ind w:firstLine="420" w:firstLineChars="200"/>
        <w:jc w:val="left"/>
        <w:rPr>
          <w:rFonts w:cs="仿宋" w:asciiTheme="minorEastAsia" w:hAnsiTheme="minorEastAsia" w:eastAsiaTheme="minorEastAsia"/>
          <w:szCs w:val="21"/>
        </w:rPr>
      </w:pPr>
      <w:r>
        <w:rPr>
          <w:rFonts w:hint="eastAsia" w:cs="仿宋" w:asciiTheme="minorEastAsia" w:hAnsiTheme="minorEastAsia" w:eastAsiaTheme="minorEastAsia"/>
          <w:szCs w:val="21"/>
        </w:rPr>
        <w:t>售价：0元。</w:t>
      </w:r>
    </w:p>
    <w:p w14:paraId="1AF05ACB">
      <w:pPr>
        <w:spacing w:line="360" w:lineRule="auto"/>
        <w:rPr>
          <w:rFonts w:cs="仿宋_GB2312" w:asciiTheme="minorEastAsia" w:hAnsiTheme="minorEastAsia" w:eastAsiaTheme="minorEastAsia"/>
          <w:b/>
          <w:color w:val="000000" w:themeColor="text1"/>
          <w:szCs w:val="21"/>
        </w:rPr>
      </w:pPr>
      <w:r>
        <w:rPr>
          <w:rFonts w:hint="eastAsia" w:cs="仿宋_GB2312" w:asciiTheme="minorEastAsia" w:hAnsiTheme="minorEastAsia" w:eastAsiaTheme="minorEastAsia"/>
          <w:b/>
          <w:color w:val="000000" w:themeColor="text1"/>
          <w:szCs w:val="21"/>
        </w:rPr>
        <w:t>四、提交响应文件截止时间、开启时间和地点</w:t>
      </w:r>
    </w:p>
    <w:p w14:paraId="12FE85D0">
      <w:pPr>
        <w:spacing w:line="360" w:lineRule="auto"/>
        <w:ind w:firstLine="422"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b/>
          <w:color w:val="000000" w:themeColor="text1"/>
          <w:szCs w:val="21"/>
        </w:rPr>
        <w:t>提交响应文件截止时间：</w:t>
      </w:r>
      <w:r>
        <w:rPr>
          <w:rFonts w:hint="eastAsia" w:cs="仿宋_GB2312" w:asciiTheme="minorEastAsia" w:hAnsiTheme="minorEastAsia" w:eastAsiaTheme="minorEastAsia"/>
          <w:color w:val="000000" w:themeColor="text1"/>
          <w:szCs w:val="21"/>
          <w:u w:val="single"/>
        </w:rPr>
        <w:t>2025年</w:t>
      </w:r>
      <w:r>
        <w:rPr>
          <w:rFonts w:hint="eastAsia" w:cs="仿宋_GB2312" w:asciiTheme="minorEastAsia" w:hAnsiTheme="minorEastAsia" w:eastAsiaTheme="minorEastAsia"/>
          <w:color w:val="000000" w:themeColor="text1"/>
          <w:szCs w:val="21"/>
          <w:u w:val="single"/>
          <w:lang w:val="en-US" w:eastAsia="zh-CN"/>
        </w:rPr>
        <w:t>01</w:t>
      </w:r>
      <w:r>
        <w:rPr>
          <w:rFonts w:hint="eastAsia" w:cs="仿宋_GB2312" w:asciiTheme="minorEastAsia" w:hAnsiTheme="minorEastAsia" w:eastAsiaTheme="minorEastAsia"/>
          <w:color w:val="000000" w:themeColor="text1"/>
          <w:szCs w:val="21"/>
          <w:u w:val="single"/>
        </w:rPr>
        <w:t>月</w:t>
      </w:r>
      <w:r>
        <w:rPr>
          <w:rFonts w:hint="eastAsia" w:cs="仿宋_GB2312" w:asciiTheme="minorEastAsia" w:hAnsiTheme="minorEastAsia" w:eastAsiaTheme="minorEastAsia"/>
          <w:color w:val="000000" w:themeColor="text1"/>
          <w:szCs w:val="21"/>
          <w:u w:val="single"/>
          <w:lang w:val="en-US" w:eastAsia="zh-CN"/>
        </w:rPr>
        <w:t>17</w:t>
      </w:r>
      <w:r>
        <w:rPr>
          <w:rFonts w:hint="eastAsia" w:cs="仿宋_GB2312" w:asciiTheme="minorEastAsia" w:hAnsiTheme="minorEastAsia" w:eastAsiaTheme="minorEastAsia"/>
          <w:color w:val="000000" w:themeColor="text1"/>
          <w:szCs w:val="21"/>
          <w:u w:val="single"/>
        </w:rPr>
        <w:t>日9时15分00秒</w:t>
      </w:r>
      <w:r>
        <w:rPr>
          <w:rFonts w:hint="eastAsia" w:cs="仿宋_GB2312" w:asciiTheme="minorEastAsia" w:hAnsiTheme="minorEastAsia" w:eastAsiaTheme="minorEastAsia"/>
          <w:color w:val="000000" w:themeColor="text1"/>
          <w:szCs w:val="21"/>
        </w:rPr>
        <w:t>（北京时间）</w:t>
      </w:r>
    </w:p>
    <w:p w14:paraId="43B0B93C">
      <w:pPr>
        <w:spacing w:line="360" w:lineRule="auto"/>
        <w:ind w:firstLine="422" w:firstLineChars="200"/>
        <w:rPr>
          <w:rFonts w:cs="仿宋_GB2312" w:asciiTheme="minorEastAsia" w:hAnsiTheme="minorEastAsia" w:eastAsiaTheme="minorEastAsia"/>
          <w:b/>
          <w:color w:val="000000" w:themeColor="text1"/>
          <w:szCs w:val="21"/>
        </w:rPr>
      </w:pPr>
      <w:r>
        <w:rPr>
          <w:rFonts w:hint="eastAsia" w:cs="仿宋_GB2312" w:asciiTheme="minorEastAsia" w:hAnsiTheme="minorEastAsia" w:eastAsiaTheme="minorEastAsia"/>
          <w:b/>
          <w:color w:val="000000" w:themeColor="text1"/>
          <w:szCs w:val="21"/>
        </w:rPr>
        <w:t>递交响应文件地点（网址）：</w:t>
      </w:r>
      <w:r>
        <w:rPr>
          <w:rFonts w:hint="eastAsia" w:cs="仿宋_GB2312" w:asciiTheme="minorEastAsia" w:hAnsiTheme="minorEastAsia" w:eastAsiaTheme="minorEastAsia"/>
          <w:color w:val="000000" w:themeColor="text1"/>
          <w:szCs w:val="21"/>
        </w:rPr>
        <w:t xml:space="preserve">政采云平台（https://www.zcygov.cn/） </w:t>
      </w:r>
    </w:p>
    <w:p w14:paraId="3B28FBE3">
      <w:pPr>
        <w:spacing w:line="360" w:lineRule="auto"/>
        <w:ind w:firstLine="422" w:firstLineChars="200"/>
        <w:rPr>
          <w:rFonts w:cs="仿宋_GB2312" w:asciiTheme="minorEastAsia" w:hAnsiTheme="minorEastAsia" w:eastAsiaTheme="minorEastAsia"/>
          <w:bCs/>
          <w:color w:val="000000" w:themeColor="text1"/>
          <w:szCs w:val="21"/>
          <w:u w:val="single"/>
        </w:rPr>
      </w:pPr>
      <w:r>
        <w:rPr>
          <w:rFonts w:hint="eastAsia" w:cs="仿宋_GB2312" w:asciiTheme="minorEastAsia" w:hAnsiTheme="minorEastAsia" w:eastAsiaTheme="minorEastAsia"/>
          <w:b/>
          <w:color w:val="000000" w:themeColor="text1"/>
          <w:szCs w:val="21"/>
        </w:rPr>
        <w:t>开启响应文件时间：</w:t>
      </w:r>
      <w:r>
        <w:rPr>
          <w:rFonts w:hint="eastAsia" w:cs="仿宋_GB2312" w:asciiTheme="minorEastAsia" w:hAnsiTheme="minorEastAsia" w:eastAsiaTheme="minorEastAsia"/>
          <w:color w:val="000000" w:themeColor="text1"/>
          <w:szCs w:val="21"/>
          <w:u w:val="single"/>
        </w:rPr>
        <w:t xml:space="preserve"> 2025年</w:t>
      </w:r>
      <w:r>
        <w:rPr>
          <w:rFonts w:hint="eastAsia" w:cs="仿宋_GB2312" w:asciiTheme="minorEastAsia" w:hAnsiTheme="minorEastAsia" w:eastAsiaTheme="minorEastAsia"/>
          <w:color w:val="000000" w:themeColor="text1"/>
          <w:szCs w:val="21"/>
          <w:u w:val="single"/>
          <w:lang w:val="en-US" w:eastAsia="zh-CN"/>
        </w:rPr>
        <w:t>01</w:t>
      </w:r>
      <w:r>
        <w:rPr>
          <w:rFonts w:hint="eastAsia" w:cs="仿宋_GB2312" w:asciiTheme="minorEastAsia" w:hAnsiTheme="minorEastAsia" w:eastAsiaTheme="minorEastAsia"/>
          <w:color w:val="000000" w:themeColor="text1"/>
          <w:szCs w:val="21"/>
          <w:u w:val="single"/>
        </w:rPr>
        <w:t>月</w:t>
      </w:r>
      <w:r>
        <w:rPr>
          <w:rFonts w:hint="eastAsia" w:cs="仿宋_GB2312" w:asciiTheme="minorEastAsia" w:hAnsiTheme="minorEastAsia" w:eastAsiaTheme="minorEastAsia"/>
          <w:color w:val="000000" w:themeColor="text1"/>
          <w:szCs w:val="21"/>
          <w:u w:val="single"/>
          <w:lang w:val="en-US" w:eastAsia="zh-CN"/>
        </w:rPr>
        <w:t>17</w:t>
      </w:r>
      <w:r>
        <w:rPr>
          <w:rFonts w:hint="eastAsia" w:cs="仿宋_GB2312" w:asciiTheme="minorEastAsia" w:hAnsiTheme="minorEastAsia" w:eastAsiaTheme="minorEastAsia"/>
          <w:color w:val="000000" w:themeColor="text1"/>
          <w:szCs w:val="21"/>
          <w:u w:val="single"/>
        </w:rPr>
        <w:t>日9时15分00秒</w:t>
      </w:r>
      <w:r>
        <w:rPr>
          <w:rFonts w:hint="eastAsia" w:cs="仿宋_GB2312" w:asciiTheme="minorEastAsia" w:hAnsiTheme="minorEastAsia" w:eastAsiaTheme="minorEastAsia"/>
          <w:color w:val="000000" w:themeColor="text1"/>
          <w:szCs w:val="21"/>
        </w:rPr>
        <w:t>（北京时间）</w:t>
      </w:r>
    </w:p>
    <w:p w14:paraId="1366AB21">
      <w:pPr>
        <w:spacing w:line="360" w:lineRule="auto"/>
        <w:ind w:firstLine="422"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b/>
          <w:color w:val="000000" w:themeColor="text1"/>
          <w:szCs w:val="21"/>
        </w:rPr>
        <w:t>开启响应文件地点（网址）：</w:t>
      </w:r>
      <w:r>
        <w:rPr>
          <w:rFonts w:hint="eastAsia" w:cs="仿宋_GB2312" w:asciiTheme="minorEastAsia" w:hAnsiTheme="minorEastAsia" w:eastAsiaTheme="minorEastAsia"/>
          <w:color w:val="000000" w:themeColor="text1"/>
          <w:szCs w:val="21"/>
        </w:rPr>
        <w:t>政采云平台（https://www.zcygov.cn/）</w:t>
      </w:r>
    </w:p>
    <w:p w14:paraId="3FD59CFA">
      <w:pPr>
        <w:spacing w:line="360" w:lineRule="auto"/>
        <w:ind w:firstLine="422"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b/>
          <w:color w:val="000000" w:themeColor="text1"/>
          <w:szCs w:val="21"/>
        </w:rPr>
        <w:t>方式：</w:t>
      </w:r>
      <w:r>
        <w:rPr>
          <w:rFonts w:hint="eastAsia" w:cs="仿宋_GB2312" w:asciiTheme="minorEastAsia" w:hAnsiTheme="minorEastAsia" w:eastAsiaTheme="minorEastAsia"/>
          <w:color w:val="000000" w:themeColor="text1"/>
          <w:szCs w:val="21"/>
        </w:rPr>
        <w:t>均在线提交和开启，详见本征集文件。</w:t>
      </w:r>
    </w:p>
    <w:p w14:paraId="46336D8B">
      <w:pPr>
        <w:spacing w:line="360" w:lineRule="auto"/>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b/>
          <w:color w:val="000000" w:themeColor="text1"/>
          <w:szCs w:val="21"/>
        </w:rPr>
        <w:t xml:space="preserve">五、公告期限 </w:t>
      </w:r>
    </w:p>
    <w:p w14:paraId="278ED854">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自本公告发布之日起5个工作日。</w:t>
      </w:r>
    </w:p>
    <w:p w14:paraId="64795D74">
      <w:pPr>
        <w:spacing w:line="360" w:lineRule="auto"/>
        <w:rPr>
          <w:rFonts w:cs="仿宋_GB2312" w:asciiTheme="minorEastAsia" w:hAnsiTheme="minorEastAsia" w:eastAsiaTheme="minorEastAsia"/>
          <w:b/>
          <w:color w:val="000000" w:themeColor="text1"/>
          <w:szCs w:val="21"/>
        </w:rPr>
      </w:pPr>
      <w:r>
        <w:rPr>
          <w:rFonts w:hint="eastAsia" w:cs="仿宋_GB2312" w:asciiTheme="minorEastAsia" w:hAnsiTheme="minorEastAsia" w:eastAsiaTheme="minorEastAsia"/>
          <w:b/>
          <w:color w:val="000000" w:themeColor="text1"/>
          <w:szCs w:val="21"/>
        </w:rPr>
        <w:t>六、其他补充事宜</w:t>
      </w:r>
    </w:p>
    <w:p w14:paraId="3A4B4069">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1. 《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C9868D0">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2.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B120DAE">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3. 供应商认为征集文件使自己的权益受到损害的，可以自获取征集文件之日或者征集文件公告期限届满之日（公告期限届满后获取征集文件的，以公告期限届满之日为准）起7个工作日内，以书面形式向采购代理机构（征集人）提出质疑。质疑供应商对采购代理机构（征集人）的答复不满意或者采购代理机构（征集人）未在规定的时间内作出答复的，可以在答复期满后十五个工作日内向预算级次最高的政府采购监督管理部门投诉。质疑函范本、投诉书范本请到浙江政府采购网下载专区下载。</w:t>
      </w:r>
    </w:p>
    <w:p w14:paraId="2864753D">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4. 其他事项：（1）需要落实的政府采购政策：详见征集文件的第三部分总则。（2）电子招投标（公开征集电子采购）的说明：①电子招投标（公开征集电子采购）：本项目以数据电文形式，依托“政府采购云平台（www.zcygov.cn）”进行招投标（公开征集电子采购）活动，不接受纸质投标（响应）文件；②投标（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征集）文件的获取：使用账号登录或者使用CA登录政采云平台；进入“项目采购”应用，在获取采购文件菜单中选择项目，获取招标（征集）文件；④投标（响应）文件的制作：在“政采云电子交易客户端”中完成“填写基本信息”、“导入投标（响应）文件”、“标书关联”、“标书检查”、“电子签名”、“生成电子标书”等操作；⑤采购代理机构（征集人）将依托政采云平台完成本项目的电子交易活动，平台不接受未按上述方式获取招标（征集）文件的供应商进行投标（响应）活动； ⑥对未按上述方式获取招标（征集）文件的供应商对该文件提出的质疑，采购代理机构（征集人）将不予处理；⑦不提供招标（征集）文件纸质版；⑧投标（响应）文件的传输递交：投标（响应）供应商在投标（响应）截止时间前将加密的投标（响应）文件上传至政府采购云平台，还可以在投标（响应）截止时间前直接提交或者以邮政快递方式递交备份投标（响应）文件1份。备份投标（响应）文件的制作、存储、密封详见征集文件第二部分第16点—“备份响应文件”；⑨投标（响应）文件的解密：投标（响应）供应商按照平台提示和招标（征集）文件的规定在半小时内完成在线解密。通过“政府采购云平台”上传递交的投标（响应）文件无法按时解密，投标（响应）供应商递交了备份投标（响应）文件的，以备份投标（响应）文件为依据，否则视为投标（响应）文件撤回。通过“政府采购云平台”上传递交的投标（响应）文件已按时解密的，备份投标（响应）文件自动失效。投标（响应）供应商仅提交备份投标（响应）文件，未在电子交易平台传输递交投标（响应）文件的，投标（响应）无效；⑩具体操作指南：登录后详见政采云平台“服务中心-帮助文档-项目采购-操作流程-电子招投标-政府采购项目电子交易管理操作指南-供应商”，政采云平台如有更新的，以平台更新为准。（3）招标（征集）文件公告期限与招标（征集）公告的公告期限一致。</w:t>
      </w:r>
    </w:p>
    <w:p w14:paraId="40868048">
      <w:pPr>
        <w:spacing w:line="360" w:lineRule="auto"/>
        <w:rPr>
          <w:rFonts w:cs="仿宋_GB2312" w:asciiTheme="minorEastAsia" w:hAnsiTheme="minorEastAsia" w:eastAsiaTheme="minorEastAsia"/>
          <w:b/>
          <w:color w:val="000000" w:themeColor="text1"/>
          <w:szCs w:val="21"/>
        </w:rPr>
      </w:pPr>
      <w:r>
        <w:rPr>
          <w:rFonts w:hint="eastAsia" w:cs="仿宋_GB2312" w:asciiTheme="minorEastAsia" w:hAnsiTheme="minorEastAsia" w:eastAsiaTheme="minorEastAsia"/>
          <w:b/>
          <w:color w:val="000000" w:themeColor="text1"/>
          <w:szCs w:val="21"/>
        </w:rPr>
        <w:t>七、对本次采购提出询问、质疑、投诉，请按以下方式联系：</w:t>
      </w:r>
    </w:p>
    <w:p w14:paraId="23CEB4B4">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 xml:space="preserve">1. 征集人信息            </w:t>
      </w:r>
    </w:p>
    <w:p w14:paraId="0458C0E3">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名称：岱山县财政局（岱山县政府投资项目审价中心）</w:t>
      </w:r>
    </w:p>
    <w:p w14:paraId="36C79D58">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地址：舟山市岱山县高亭镇鱼山大道671号</w:t>
      </w:r>
    </w:p>
    <w:p w14:paraId="64208B68">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 xml:space="preserve">传真：/           </w:t>
      </w:r>
    </w:p>
    <w:p w14:paraId="7955B876">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项目联系人（询问）：邵工</w:t>
      </w:r>
    </w:p>
    <w:p w14:paraId="1B87C52D">
      <w:pPr>
        <w:spacing w:line="360" w:lineRule="auto"/>
        <w:ind w:firstLine="420" w:firstLineChars="200"/>
        <w:rPr>
          <w:rFonts w:cs="仿宋_GB2312" w:asciiTheme="minorEastAsia" w:hAnsiTheme="minorEastAsia" w:eastAsiaTheme="minorEastAsia"/>
          <w:color w:val="auto"/>
          <w:szCs w:val="21"/>
        </w:rPr>
      </w:pPr>
      <w:r>
        <w:rPr>
          <w:rFonts w:hint="eastAsia" w:cs="仿宋_GB2312" w:asciiTheme="minorEastAsia" w:hAnsiTheme="minorEastAsia" w:eastAsiaTheme="minorEastAsia"/>
          <w:color w:val="000000" w:themeColor="text1"/>
          <w:szCs w:val="21"/>
        </w:rPr>
        <w:t>项目联系方式</w:t>
      </w:r>
      <w:r>
        <w:rPr>
          <w:rFonts w:hint="eastAsia" w:cs="仿宋_GB2312" w:asciiTheme="minorEastAsia" w:hAnsiTheme="minorEastAsia" w:eastAsiaTheme="minorEastAsia"/>
          <w:color w:val="auto"/>
          <w:szCs w:val="21"/>
        </w:rPr>
        <w:t xml:space="preserve">（询问）：0580-4472749 </w:t>
      </w:r>
    </w:p>
    <w:p w14:paraId="10D52C57">
      <w:pPr>
        <w:spacing w:line="360" w:lineRule="auto"/>
        <w:ind w:firstLine="420" w:firstLineChars="200"/>
        <w:rPr>
          <w:rFonts w:cs="仿宋_GB2312" w:asciiTheme="minorEastAsia" w:hAnsiTheme="minorEastAsia" w:eastAsiaTheme="minorEastAsia"/>
          <w:color w:val="auto"/>
          <w:szCs w:val="21"/>
        </w:rPr>
      </w:pPr>
      <w:r>
        <w:rPr>
          <w:rFonts w:hint="eastAsia" w:cs="仿宋_GB2312" w:asciiTheme="minorEastAsia" w:hAnsiTheme="minorEastAsia" w:eastAsiaTheme="minorEastAsia"/>
          <w:color w:val="auto"/>
          <w:szCs w:val="21"/>
        </w:rPr>
        <w:t>质疑联系人：徐工</w:t>
      </w:r>
    </w:p>
    <w:p w14:paraId="07128731">
      <w:pPr>
        <w:spacing w:line="360" w:lineRule="auto"/>
        <w:ind w:firstLine="420" w:firstLineChars="200"/>
        <w:rPr>
          <w:rFonts w:cs="仿宋_GB2312" w:asciiTheme="minorEastAsia" w:hAnsiTheme="minorEastAsia" w:eastAsiaTheme="minorEastAsia"/>
          <w:color w:val="auto"/>
          <w:szCs w:val="21"/>
        </w:rPr>
      </w:pPr>
      <w:r>
        <w:rPr>
          <w:rFonts w:hint="eastAsia" w:cs="仿宋_GB2312" w:asciiTheme="minorEastAsia" w:hAnsiTheme="minorEastAsia" w:eastAsiaTheme="minorEastAsia"/>
          <w:color w:val="auto"/>
          <w:szCs w:val="21"/>
        </w:rPr>
        <w:t>质疑联系方式：0580-4472749</w:t>
      </w:r>
    </w:p>
    <w:p w14:paraId="089C794F">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2.采购代理机构信息</w:t>
      </w:r>
    </w:p>
    <w:p w14:paraId="1B1C8E33">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名 称： 深圳市国信招标有限公司</w:t>
      </w:r>
    </w:p>
    <w:p w14:paraId="429A7387">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地 址： 舟山市定海区昌国路232号中楼202</w:t>
      </w:r>
    </w:p>
    <w:p w14:paraId="5BF2F003">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传 真： 0580-2054476</w:t>
      </w:r>
    </w:p>
    <w:p w14:paraId="40BB3F44">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项目联系人（询问）：朱女士</w:t>
      </w:r>
      <w:r>
        <w:rPr>
          <w:rFonts w:hint="eastAsia" w:cs="仿宋_GB2312" w:asciiTheme="minorEastAsia" w:hAnsiTheme="minorEastAsia" w:eastAsiaTheme="minorEastAsia"/>
          <w:color w:val="000000" w:themeColor="text1"/>
          <w:szCs w:val="21"/>
          <w:lang w:eastAsia="zh-CN"/>
        </w:rPr>
        <w:t>，</w:t>
      </w:r>
      <w:r>
        <w:rPr>
          <w:rFonts w:hint="eastAsia" w:cs="仿宋_GB2312" w:asciiTheme="minorEastAsia" w:hAnsiTheme="minorEastAsia" w:eastAsiaTheme="minorEastAsia"/>
          <w:color w:val="000000" w:themeColor="text1"/>
          <w:szCs w:val="21"/>
          <w:lang w:val="en-US" w:eastAsia="zh-CN"/>
        </w:rPr>
        <w:t>任女士</w:t>
      </w:r>
      <w:r>
        <w:rPr>
          <w:rFonts w:hint="eastAsia" w:cs="仿宋_GB2312" w:asciiTheme="minorEastAsia" w:hAnsiTheme="minorEastAsia" w:eastAsiaTheme="minorEastAsia"/>
          <w:color w:val="000000" w:themeColor="text1"/>
          <w:szCs w:val="21"/>
        </w:rPr>
        <w:t xml:space="preserve"> </w:t>
      </w:r>
    </w:p>
    <w:p w14:paraId="0C65AD7E">
      <w:pPr>
        <w:spacing w:line="360" w:lineRule="auto"/>
        <w:ind w:firstLine="420" w:firstLineChars="200"/>
        <w:rPr>
          <w:rFonts w:hint="default" w:cs="仿宋_GB2312" w:asciiTheme="minorEastAsia" w:hAnsiTheme="minorEastAsia" w:eastAsiaTheme="minorEastAsia"/>
          <w:color w:val="000000" w:themeColor="text1"/>
          <w:szCs w:val="21"/>
          <w:lang w:val="en-US" w:eastAsia="zh-CN"/>
        </w:rPr>
      </w:pPr>
      <w:r>
        <w:rPr>
          <w:rFonts w:hint="eastAsia" w:cs="仿宋_GB2312" w:asciiTheme="minorEastAsia" w:hAnsiTheme="minorEastAsia" w:eastAsiaTheme="minorEastAsia"/>
          <w:color w:val="000000" w:themeColor="text1"/>
          <w:szCs w:val="21"/>
        </w:rPr>
        <w:t>项目联系方式（询问）： 0580-2054476，13857236444</w:t>
      </w:r>
      <w:r>
        <w:rPr>
          <w:rFonts w:hint="eastAsia" w:cs="仿宋_GB2312" w:asciiTheme="minorEastAsia" w:hAnsiTheme="minorEastAsia" w:eastAsiaTheme="minorEastAsia"/>
          <w:color w:val="000000" w:themeColor="text1"/>
          <w:szCs w:val="21"/>
          <w:lang w:eastAsia="zh-CN"/>
        </w:rPr>
        <w:t>，</w:t>
      </w:r>
      <w:r>
        <w:rPr>
          <w:rFonts w:hint="eastAsia" w:cs="仿宋_GB2312" w:asciiTheme="minorEastAsia" w:hAnsiTheme="minorEastAsia" w:eastAsiaTheme="minorEastAsia"/>
          <w:color w:val="000000" w:themeColor="text1"/>
          <w:szCs w:val="21"/>
          <w:lang w:val="en-US" w:eastAsia="zh-CN"/>
        </w:rPr>
        <w:t>13567673203</w:t>
      </w:r>
    </w:p>
    <w:p w14:paraId="1E37F2DD">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质疑联系人：王女士</w:t>
      </w:r>
    </w:p>
    <w:p w14:paraId="1ECF8334">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质疑联系方式：0580-2054476，13587045176</w:t>
      </w:r>
    </w:p>
    <w:p w14:paraId="36622C4A">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 xml:space="preserve">3.同级政府采购监督管理部门  </w:t>
      </w:r>
    </w:p>
    <w:p w14:paraId="68F8A239">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名 称：岱山县财政局政府采购监管科</w:t>
      </w:r>
    </w:p>
    <w:p w14:paraId="30D16845">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 xml:space="preserve">地 址：浙江省岱山县高亭镇鱼山大道671号  </w:t>
      </w:r>
    </w:p>
    <w:p w14:paraId="07C1CD4E">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联系人：何先生   　</w:t>
      </w:r>
    </w:p>
    <w:p w14:paraId="349E0187">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联系电话：0580-4401255</w:t>
      </w:r>
    </w:p>
    <w:p w14:paraId="1C73547A">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若对项目采购电子交易系统操作有疑问，可登录政采云（https://www.zcygov.cn/），点击右侧咨询小采，获取采小蜜智能服务管家帮助，或拨打政采云服务热线95763获取热线服务帮助。</w:t>
      </w:r>
    </w:p>
    <w:p w14:paraId="79B0196B">
      <w:pPr>
        <w:spacing w:line="360" w:lineRule="auto"/>
        <w:ind w:firstLine="420" w:firstLineChars="200"/>
        <w:rPr>
          <w:rFonts w:cs="仿宋_GB2312" w:asciiTheme="minorEastAsia" w:hAnsiTheme="minorEastAsia" w:eastAsiaTheme="minorEastAsia"/>
          <w:color w:val="000000" w:themeColor="text1"/>
          <w:szCs w:val="21"/>
        </w:rPr>
      </w:pPr>
      <w:r>
        <w:rPr>
          <w:rFonts w:hint="eastAsia" w:cs="仿宋_GB2312" w:asciiTheme="minorEastAsia" w:hAnsiTheme="minorEastAsia" w:eastAsiaTheme="minorEastAsia"/>
          <w:color w:val="000000" w:themeColor="text1"/>
          <w:szCs w:val="21"/>
        </w:rPr>
        <w:t>CA问题联系电话（人工）：汇信CA 400-888-4636；天谷CA 400-087-8198。</w:t>
      </w:r>
    </w:p>
    <w:p w14:paraId="50BDFA03">
      <w:pPr>
        <w:rPr>
          <w:rFonts w:ascii="仿宋_GB2312" w:hAnsi="宋体" w:eastAsia="仿宋_GB2312" w:cs="宋体"/>
          <w:b/>
          <w:color w:val="000000" w:themeColor="text1"/>
          <w:sz w:val="36"/>
          <w:szCs w:val="20"/>
        </w:rPr>
      </w:pPr>
      <w:bookmarkStart w:id="11" w:name="第二部分"/>
    </w:p>
    <w:p w14:paraId="261F7594">
      <w:pPr>
        <w:rPr>
          <w:rFonts w:ascii="仿宋_GB2312" w:hAnsi="宋体" w:eastAsia="仿宋_GB2312" w:cs="宋体"/>
          <w:b/>
          <w:color w:val="000000" w:themeColor="text1"/>
          <w:sz w:val="36"/>
          <w:szCs w:val="20"/>
        </w:rPr>
      </w:pPr>
    </w:p>
    <w:p w14:paraId="3E4C8750">
      <w:pPr>
        <w:spacing w:line="360" w:lineRule="auto"/>
        <w:outlineLvl w:val="0"/>
        <w:rPr>
          <w:rFonts w:ascii="仿宋_GB2312" w:hAnsi="宋体" w:eastAsia="仿宋_GB2312" w:cs="宋体"/>
          <w:b/>
          <w:color w:val="000000" w:themeColor="text1"/>
          <w:sz w:val="36"/>
          <w:szCs w:val="36"/>
        </w:rPr>
      </w:pPr>
    </w:p>
    <w:p w14:paraId="30C02EA8">
      <w:pPr>
        <w:spacing w:line="360" w:lineRule="auto"/>
        <w:outlineLvl w:val="0"/>
        <w:rPr>
          <w:rFonts w:ascii="仿宋_GB2312" w:hAnsi="宋体" w:eastAsia="仿宋_GB2312" w:cs="宋体"/>
          <w:b/>
          <w:color w:val="000000" w:themeColor="text1"/>
          <w:sz w:val="36"/>
          <w:szCs w:val="36"/>
        </w:rPr>
      </w:pPr>
    </w:p>
    <w:p w14:paraId="761C7B87">
      <w:pPr>
        <w:spacing w:line="360" w:lineRule="auto"/>
        <w:outlineLvl w:val="0"/>
        <w:rPr>
          <w:rFonts w:ascii="仿宋_GB2312" w:hAnsi="宋体" w:eastAsia="仿宋_GB2312" w:cs="宋体"/>
          <w:b/>
          <w:color w:val="000000" w:themeColor="text1"/>
          <w:sz w:val="36"/>
          <w:szCs w:val="36"/>
        </w:rPr>
      </w:pPr>
    </w:p>
    <w:p w14:paraId="3B7295EE">
      <w:pPr>
        <w:spacing w:line="360" w:lineRule="auto"/>
        <w:outlineLvl w:val="0"/>
        <w:rPr>
          <w:rFonts w:ascii="仿宋_GB2312" w:hAnsi="宋体" w:eastAsia="仿宋_GB2312" w:cs="宋体"/>
          <w:b/>
          <w:color w:val="000000" w:themeColor="text1"/>
          <w:sz w:val="36"/>
          <w:szCs w:val="36"/>
        </w:rPr>
      </w:pPr>
    </w:p>
    <w:p w14:paraId="7DEEB7CE">
      <w:pPr>
        <w:spacing w:line="360" w:lineRule="auto"/>
        <w:outlineLvl w:val="0"/>
        <w:rPr>
          <w:rFonts w:ascii="仿宋_GB2312" w:hAnsi="宋体" w:eastAsia="仿宋_GB2312" w:cs="宋体"/>
          <w:b/>
          <w:color w:val="000000" w:themeColor="text1"/>
          <w:sz w:val="36"/>
          <w:szCs w:val="36"/>
        </w:rPr>
      </w:pPr>
    </w:p>
    <w:p w14:paraId="6DCF285B">
      <w:pPr>
        <w:spacing w:line="360" w:lineRule="auto"/>
        <w:outlineLvl w:val="0"/>
        <w:rPr>
          <w:rFonts w:ascii="仿宋_GB2312" w:hAnsi="宋体" w:eastAsia="仿宋_GB2312" w:cs="宋体"/>
          <w:b/>
          <w:color w:val="000000" w:themeColor="text1"/>
          <w:sz w:val="36"/>
          <w:szCs w:val="36"/>
        </w:rPr>
      </w:pPr>
    </w:p>
    <w:p w14:paraId="5A64E3E6">
      <w:pPr>
        <w:spacing w:line="360" w:lineRule="auto"/>
        <w:outlineLvl w:val="0"/>
        <w:rPr>
          <w:rFonts w:ascii="仿宋_GB2312" w:hAnsi="宋体" w:eastAsia="仿宋_GB2312" w:cs="宋体"/>
          <w:b/>
          <w:color w:val="000000" w:themeColor="text1"/>
          <w:sz w:val="36"/>
          <w:szCs w:val="36"/>
        </w:rPr>
      </w:pPr>
    </w:p>
    <w:p w14:paraId="508A2E95">
      <w:pPr>
        <w:spacing w:line="360" w:lineRule="auto"/>
        <w:outlineLvl w:val="0"/>
        <w:rPr>
          <w:rFonts w:ascii="仿宋_GB2312" w:hAnsi="宋体" w:eastAsia="仿宋_GB2312" w:cs="宋体"/>
          <w:b/>
          <w:color w:val="000000" w:themeColor="text1"/>
          <w:sz w:val="36"/>
          <w:szCs w:val="36"/>
        </w:rPr>
      </w:pPr>
    </w:p>
    <w:p w14:paraId="13477F7D">
      <w:pPr>
        <w:spacing w:line="360" w:lineRule="auto"/>
        <w:outlineLvl w:val="0"/>
        <w:rPr>
          <w:rFonts w:ascii="仿宋_GB2312" w:hAnsi="宋体" w:eastAsia="仿宋_GB2312" w:cs="宋体"/>
          <w:b/>
          <w:color w:val="000000" w:themeColor="text1"/>
          <w:sz w:val="36"/>
          <w:szCs w:val="36"/>
        </w:rPr>
      </w:pPr>
    </w:p>
    <w:p w14:paraId="6136E1BF">
      <w:pPr>
        <w:spacing w:line="360" w:lineRule="auto"/>
        <w:outlineLvl w:val="0"/>
        <w:rPr>
          <w:rFonts w:ascii="仿宋_GB2312" w:hAnsi="宋体" w:eastAsia="仿宋_GB2312" w:cs="宋体"/>
          <w:b/>
          <w:color w:val="000000" w:themeColor="text1"/>
          <w:sz w:val="36"/>
          <w:szCs w:val="36"/>
        </w:rPr>
      </w:pPr>
    </w:p>
    <w:p w14:paraId="6CCCD2EF">
      <w:pPr>
        <w:spacing w:line="360" w:lineRule="auto"/>
        <w:outlineLvl w:val="0"/>
        <w:rPr>
          <w:rFonts w:cs="宋体" w:asciiTheme="minorEastAsia" w:hAnsiTheme="minorEastAsia" w:eastAsiaTheme="minorEastAsia"/>
          <w:b/>
          <w:color w:val="000000" w:themeColor="text1"/>
          <w:sz w:val="32"/>
          <w:szCs w:val="32"/>
        </w:rPr>
      </w:pPr>
    </w:p>
    <w:p w14:paraId="7E9FBBA0">
      <w:pPr>
        <w:spacing w:line="360" w:lineRule="auto"/>
        <w:jc w:val="center"/>
        <w:outlineLvl w:val="0"/>
        <w:rPr>
          <w:rFonts w:cs="宋体" w:asciiTheme="minorEastAsia" w:hAnsiTheme="minorEastAsia" w:eastAsiaTheme="minorEastAsia"/>
          <w:b/>
          <w:color w:val="000000" w:themeColor="text1"/>
          <w:sz w:val="32"/>
          <w:szCs w:val="32"/>
        </w:rPr>
      </w:pPr>
    </w:p>
    <w:p w14:paraId="4231F9DA">
      <w:pPr>
        <w:spacing w:line="360" w:lineRule="auto"/>
        <w:jc w:val="center"/>
        <w:outlineLvl w:val="0"/>
        <w:rPr>
          <w:rFonts w:cs="宋体" w:asciiTheme="minorEastAsia" w:hAnsiTheme="minorEastAsia" w:eastAsiaTheme="minorEastAsia"/>
          <w:b/>
          <w:color w:val="000000" w:themeColor="text1"/>
          <w:sz w:val="32"/>
          <w:szCs w:val="32"/>
        </w:rPr>
      </w:pPr>
    </w:p>
    <w:p w14:paraId="75C3F842">
      <w:pPr>
        <w:spacing w:line="360" w:lineRule="auto"/>
        <w:jc w:val="center"/>
        <w:outlineLvl w:val="0"/>
        <w:rPr>
          <w:rFonts w:cs="宋体" w:asciiTheme="minorEastAsia" w:hAnsiTheme="minorEastAsia" w:eastAsiaTheme="minorEastAsia"/>
          <w:b/>
          <w:color w:val="000000" w:themeColor="text1"/>
          <w:sz w:val="32"/>
          <w:szCs w:val="32"/>
        </w:rPr>
      </w:pPr>
    </w:p>
    <w:p w14:paraId="0FE1E6F7">
      <w:pPr>
        <w:spacing w:line="360" w:lineRule="auto"/>
        <w:jc w:val="center"/>
        <w:outlineLvl w:val="0"/>
        <w:rPr>
          <w:rFonts w:cs="宋体" w:asciiTheme="minorEastAsia" w:hAnsiTheme="minorEastAsia" w:eastAsiaTheme="minorEastAsia"/>
          <w:b/>
          <w:color w:val="000000" w:themeColor="text1"/>
          <w:sz w:val="32"/>
          <w:szCs w:val="32"/>
        </w:rPr>
      </w:pPr>
    </w:p>
    <w:p w14:paraId="0BD47C8F">
      <w:pPr>
        <w:spacing w:line="360" w:lineRule="auto"/>
        <w:jc w:val="center"/>
        <w:outlineLvl w:val="0"/>
        <w:rPr>
          <w:rFonts w:cs="宋体" w:asciiTheme="minorEastAsia" w:hAnsiTheme="minorEastAsia" w:eastAsiaTheme="minorEastAsia"/>
          <w:b/>
          <w:color w:val="000000" w:themeColor="text1"/>
          <w:sz w:val="32"/>
          <w:szCs w:val="32"/>
        </w:rPr>
      </w:pPr>
      <w:r>
        <w:rPr>
          <w:rFonts w:hint="eastAsia" w:cs="宋体" w:asciiTheme="minorEastAsia" w:hAnsiTheme="minorEastAsia" w:eastAsiaTheme="minorEastAsia"/>
          <w:b/>
          <w:color w:val="000000" w:themeColor="text1"/>
          <w:sz w:val="32"/>
          <w:szCs w:val="32"/>
        </w:rPr>
        <w:t>第二部分   采购需求</w:t>
      </w:r>
    </w:p>
    <w:p w14:paraId="28123B79">
      <w:pPr>
        <w:pStyle w:val="38"/>
        <w:spacing w:line="360" w:lineRule="auto"/>
        <w:ind w:left="0" w:leftChars="0" w:firstLine="420"/>
        <w:rPr>
          <w:rFonts w:asciiTheme="minorEastAsia" w:hAnsiTheme="minorEastAsia" w:eastAsiaTheme="minorEastAsia"/>
          <w:color w:val="000000" w:themeColor="text1"/>
          <w:szCs w:val="21"/>
        </w:rPr>
      </w:pPr>
    </w:p>
    <w:p w14:paraId="34F3F9DE">
      <w:pPr>
        <w:spacing w:line="360" w:lineRule="auto"/>
        <w:rPr>
          <w:rFonts w:cs="仿宋" w:asciiTheme="minorEastAsia" w:hAnsiTheme="minorEastAsia" w:eastAsiaTheme="minorEastAsia"/>
          <w:b/>
          <w:bCs/>
          <w:sz w:val="24"/>
        </w:rPr>
      </w:pPr>
      <w:r>
        <w:rPr>
          <w:rFonts w:hint="eastAsia" w:cs="仿宋" w:asciiTheme="minorEastAsia" w:hAnsiTheme="minorEastAsia" w:eastAsiaTheme="minorEastAsia"/>
          <w:b/>
          <w:bCs/>
          <w:sz w:val="24"/>
        </w:rPr>
        <w:t>一、项目概况：</w:t>
      </w:r>
    </w:p>
    <w:p w14:paraId="22287739">
      <w:pPr>
        <w:widowControl/>
        <w:spacing w:line="360" w:lineRule="auto"/>
        <w:ind w:firstLine="420" w:firstLineChars="200"/>
        <w:rPr>
          <w:rFonts w:cs="仿宋" w:asciiTheme="minorEastAsia" w:hAnsiTheme="minorEastAsia" w:eastAsiaTheme="minorEastAsia"/>
          <w:szCs w:val="21"/>
        </w:rPr>
      </w:pPr>
      <w:r>
        <w:rPr>
          <w:rFonts w:hint="eastAsia" w:cs="仿宋" w:asciiTheme="minorEastAsia" w:hAnsiTheme="minorEastAsia" w:eastAsiaTheme="minorEastAsia"/>
          <w:szCs w:val="21"/>
        </w:rPr>
        <w:t>岱山县财政局2025-2027年政府投资项目工程造价咨询服务，包括单项服务费在分散采购限额（30万元）以下的工程概算审核、预算</w:t>
      </w:r>
      <w:r>
        <w:rPr>
          <w:rFonts w:hint="eastAsia" w:cs="仿宋" w:asciiTheme="minorEastAsia" w:hAnsiTheme="minorEastAsia" w:eastAsiaTheme="minorEastAsia"/>
          <w:kern w:val="0"/>
          <w:szCs w:val="21"/>
        </w:rPr>
        <w:t>（招标控制价）</w:t>
      </w:r>
      <w:r>
        <w:rPr>
          <w:rFonts w:hint="eastAsia" w:cs="仿宋" w:asciiTheme="minorEastAsia" w:hAnsiTheme="minorEastAsia" w:eastAsiaTheme="minorEastAsia"/>
          <w:szCs w:val="21"/>
        </w:rPr>
        <w:t>审核审核，公开征集10家中介机构。 本项目年度预算价为</w:t>
      </w:r>
      <w:r>
        <w:rPr>
          <w:rFonts w:hint="eastAsia" w:cs="仿宋" w:asciiTheme="minorEastAsia" w:hAnsiTheme="minorEastAsia" w:eastAsiaTheme="minorEastAsia"/>
          <w:szCs w:val="21"/>
          <w:lang w:val="en-US" w:eastAsia="zh-CN"/>
        </w:rPr>
        <w:t>7</w:t>
      </w:r>
      <w:r>
        <w:rPr>
          <w:rFonts w:hint="eastAsia" w:cs="仿宋" w:asciiTheme="minorEastAsia" w:hAnsiTheme="minorEastAsia" w:eastAsiaTheme="minorEastAsia"/>
          <w:szCs w:val="21"/>
        </w:rPr>
        <w:t>0万元，为暂估费用，具体按年度项目数目和金额而定，征集人不保证供应商的审核业务数量和服务收入，服务中的一切风险均由供应商自行承担。</w:t>
      </w:r>
    </w:p>
    <w:p w14:paraId="5B3DF347">
      <w:pPr>
        <w:tabs>
          <w:tab w:val="left" w:pos="840"/>
        </w:tabs>
        <w:spacing w:line="360" w:lineRule="auto"/>
        <w:rPr>
          <w:rFonts w:cs="仿宋" w:asciiTheme="minorEastAsia" w:hAnsiTheme="minorEastAsia" w:eastAsiaTheme="minorEastAsia"/>
          <w:snapToGrid w:val="0"/>
          <w:kern w:val="0"/>
          <w:szCs w:val="21"/>
        </w:rPr>
      </w:pPr>
    </w:p>
    <w:p w14:paraId="06634E2C">
      <w:pPr>
        <w:tabs>
          <w:tab w:val="left" w:pos="840"/>
        </w:tabs>
        <w:spacing w:line="360" w:lineRule="auto"/>
        <w:rPr>
          <w:rFonts w:cs="仿宋" w:asciiTheme="minorEastAsia" w:hAnsiTheme="minorEastAsia" w:eastAsiaTheme="minorEastAsia"/>
          <w:b/>
          <w:bCs/>
          <w:snapToGrid w:val="0"/>
          <w:kern w:val="0"/>
          <w:sz w:val="24"/>
        </w:rPr>
      </w:pPr>
      <w:r>
        <w:rPr>
          <w:rFonts w:hint="eastAsia" w:cs="仿宋" w:asciiTheme="minorEastAsia" w:hAnsiTheme="minorEastAsia" w:eastAsiaTheme="minorEastAsia"/>
          <w:b/>
          <w:bCs/>
          <w:snapToGrid w:val="0"/>
          <w:kern w:val="0"/>
          <w:sz w:val="24"/>
        </w:rPr>
        <w:t>二、服务内容</w:t>
      </w:r>
    </w:p>
    <w:p w14:paraId="590B7150">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协助岱山县财政局（岱山县政府投资审价中心）提供概算审核、预算（招标控制价）审核的工程造价咨询服务。</w:t>
      </w:r>
    </w:p>
    <w:p w14:paraId="613682C6">
      <w:pPr>
        <w:tabs>
          <w:tab w:val="left" w:pos="840"/>
        </w:tabs>
        <w:spacing w:line="360" w:lineRule="auto"/>
        <w:rPr>
          <w:rFonts w:cs="仿宋" w:asciiTheme="minorEastAsia" w:hAnsiTheme="minorEastAsia" w:eastAsiaTheme="minorEastAsia"/>
          <w:snapToGrid w:val="0"/>
          <w:kern w:val="0"/>
          <w:szCs w:val="21"/>
        </w:rPr>
      </w:pPr>
    </w:p>
    <w:p w14:paraId="76F92ABC">
      <w:pPr>
        <w:tabs>
          <w:tab w:val="left" w:pos="840"/>
        </w:tabs>
        <w:spacing w:line="360" w:lineRule="auto"/>
        <w:rPr>
          <w:rFonts w:cs="仿宋" w:asciiTheme="minorEastAsia" w:hAnsiTheme="minorEastAsia" w:eastAsiaTheme="minorEastAsia"/>
          <w:b/>
          <w:bCs/>
          <w:snapToGrid w:val="0"/>
          <w:kern w:val="0"/>
          <w:sz w:val="24"/>
        </w:rPr>
      </w:pPr>
      <w:r>
        <w:rPr>
          <w:rFonts w:hint="eastAsia" w:cs="仿宋" w:asciiTheme="minorEastAsia" w:hAnsiTheme="minorEastAsia" w:eastAsiaTheme="minorEastAsia"/>
          <w:b/>
          <w:bCs/>
          <w:snapToGrid w:val="0"/>
          <w:kern w:val="0"/>
          <w:sz w:val="24"/>
        </w:rPr>
        <w:t xml:space="preserve">三、服务标准                                                                       </w:t>
      </w:r>
    </w:p>
    <w:p w14:paraId="4D3AF091">
      <w:pPr>
        <w:spacing w:line="360" w:lineRule="auto"/>
        <w:ind w:firstLine="480"/>
        <w:rPr>
          <w:rFonts w:asciiTheme="minorEastAsia" w:hAnsiTheme="minorEastAsia" w:eastAsiaTheme="minorEastAsia"/>
          <w:szCs w:val="21"/>
        </w:rPr>
      </w:pPr>
      <w:r>
        <w:rPr>
          <w:rFonts w:hint="eastAsia" w:asciiTheme="minorEastAsia" w:hAnsiTheme="minorEastAsia" w:eastAsiaTheme="minorEastAsia"/>
          <w:szCs w:val="21"/>
        </w:rPr>
        <w:t>1．自觉遵守有关规定，严格执行工程概预算审核服务、廉政纪律和职业道德，保守工程资料数据的秘密。</w:t>
      </w:r>
    </w:p>
    <w:p w14:paraId="0EC23034">
      <w:pPr>
        <w:spacing w:line="360" w:lineRule="auto"/>
        <w:ind w:firstLine="480"/>
        <w:rPr>
          <w:rFonts w:asciiTheme="minorEastAsia" w:hAnsiTheme="minorEastAsia" w:eastAsiaTheme="minorEastAsia"/>
          <w:szCs w:val="21"/>
        </w:rPr>
      </w:pPr>
      <w:r>
        <w:rPr>
          <w:rFonts w:hint="eastAsia" w:asciiTheme="minorEastAsia" w:hAnsiTheme="minorEastAsia" w:eastAsiaTheme="minorEastAsia"/>
          <w:szCs w:val="21"/>
        </w:rPr>
        <w:t>2．严格按照征集人的有关规定和要求实施工程审核服务，接受征集人主体的指导、监督和管理，同时按征集人的质量和进度要求及时提供结果以及与服务事项相关的资料。按征集人主体的规定的格式、要求起草有关文书和其他材料。</w:t>
      </w:r>
    </w:p>
    <w:p w14:paraId="0D98B56A">
      <w:pPr>
        <w:spacing w:line="360" w:lineRule="auto"/>
        <w:ind w:firstLine="480"/>
        <w:rPr>
          <w:rFonts w:asciiTheme="minorEastAsia" w:hAnsiTheme="minorEastAsia" w:eastAsiaTheme="minorEastAsia"/>
          <w:szCs w:val="21"/>
        </w:rPr>
      </w:pPr>
      <w:r>
        <w:rPr>
          <w:rFonts w:hint="eastAsia" w:asciiTheme="minorEastAsia" w:hAnsiTheme="minorEastAsia" w:eastAsiaTheme="minorEastAsia"/>
          <w:szCs w:val="21"/>
        </w:rPr>
        <w:t>3．不得将承接的业务对外转包，不得以任何借口违反独立工程审核服务准则和质量控制准则，降低执业质量，并同意对承担相关业务的质量向社会公示。</w:t>
      </w:r>
    </w:p>
    <w:p w14:paraId="7F9FF8BA">
      <w:pPr>
        <w:spacing w:line="360" w:lineRule="auto"/>
        <w:ind w:firstLine="480"/>
        <w:rPr>
          <w:rFonts w:asciiTheme="minorEastAsia" w:hAnsiTheme="minorEastAsia" w:eastAsiaTheme="minorEastAsia"/>
          <w:szCs w:val="21"/>
        </w:rPr>
      </w:pPr>
      <w:r>
        <w:rPr>
          <w:rFonts w:hint="eastAsia" w:asciiTheme="minorEastAsia" w:hAnsiTheme="minorEastAsia" w:eastAsiaTheme="minorEastAsia"/>
          <w:szCs w:val="21"/>
        </w:rPr>
        <w:t>4．接受岱山县财政局</w:t>
      </w:r>
      <w:r>
        <w:rPr>
          <w:rFonts w:hint="eastAsia" w:cs="仿宋" w:asciiTheme="minorEastAsia" w:hAnsiTheme="minorEastAsia" w:eastAsiaTheme="minorEastAsia"/>
          <w:kern w:val="0"/>
          <w:szCs w:val="21"/>
        </w:rPr>
        <w:t>（岱山县政府投资审价中心）</w:t>
      </w:r>
      <w:r>
        <w:rPr>
          <w:rFonts w:hint="eastAsia" w:asciiTheme="minorEastAsia" w:hAnsiTheme="minorEastAsia" w:eastAsiaTheme="minorEastAsia"/>
          <w:szCs w:val="21"/>
        </w:rPr>
        <w:t>的规定和要求。</w:t>
      </w:r>
    </w:p>
    <w:p w14:paraId="6C38987E">
      <w:pPr>
        <w:spacing w:line="360" w:lineRule="auto"/>
        <w:ind w:firstLine="480"/>
        <w:rPr>
          <w:rFonts w:cs="仿宋" w:asciiTheme="minorEastAsia" w:hAnsiTheme="minorEastAsia" w:eastAsiaTheme="minorEastAsia"/>
          <w:kern w:val="0"/>
          <w:szCs w:val="21"/>
        </w:rPr>
      </w:pPr>
      <w:r>
        <w:rPr>
          <w:rFonts w:hint="eastAsia" w:asciiTheme="minorEastAsia" w:hAnsiTheme="minorEastAsia" w:eastAsiaTheme="minorEastAsia"/>
          <w:szCs w:val="21"/>
        </w:rPr>
        <w:t>5．接受岱山县财政局</w:t>
      </w:r>
      <w:r>
        <w:rPr>
          <w:rFonts w:hint="eastAsia" w:cs="仿宋" w:asciiTheme="minorEastAsia" w:hAnsiTheme="minorEastAsia" w:eastAsiaTheme="minorEastAsia"/>
          <w:kern w:val="0"/>
          <w:szCs w:val="21"/>
        </w:rPr>
        <w:t>（岱山县政府投资审价中心）</w:t>
      </w:r>
      <w:r>
        <w:rPr>
          <w:rFonts w:hint="eastAsia" w:asciiTheme="minorEastAsia" w:hAnsiTheme="minorEastAsia" w:eastAsiaTheme="minorEastAsia"/>
          <w:szCs w:val="21"/>
        </w:rPr>
        <w:t>及相关部门对项目质量的考核。</w:t>
      </w:r>
    </w:p>
    <w:p w14:paraId="7E2E2E04">
      <w:pPr>
        <w:tabs>
          <w:tab w:val="left" w:pos="840"/>
        </w:tabs>
        <w:spacing w:line="360" w:lineRule="auto"/>
        <w:rPr>
          <w:rFonts w:asciiTheme="minorEastAsia" w:hAnsiTheme="minorEastAsia" w:eastAsiaTheme="minorEastAsia"/>
          <w:szCs w:val="21"/>
        </w:rPr>
      </w:pPr>
    </w:p>
    <w:p w14:paraId="17D14989">
      <w:pPr>
        <w:tabs>
          <w:tab w:val="left" w:pos="840"/>
        </w:tabs>
        <w:spacing w:line="360" w:lineRule="auto"/>
        <w:rPr>
          <w:rFonts w:asciiTheme="minorEastAsia" w:hAnsiTheme="minorEastAsia" w:eastAsiaTheme="minorEastAsia"/>
          <w:b/>
          <w:bCs/>
          <w:sz w:val="24"/>
        </w:rPr>
      </w:pPr>
      <w:r>
        <w:rPr>
          <w:rFonts w:hint="eastAsia" w:asciiTheme="minorEastAsia" w:hAnsiTheme="minorEastAsia" w:eastAsiaTheme="minorEastAsia"/>
          <w:b/>
          <w:bCs/>
          <w:sz w:val="24"/>
        </w:rPr>
        <w:t>四、框架协议期限</w:t>
      </w:r>
    </w:p>
    <w:p w14:paraId="4226C620">
      <w:pPr>
        <w:spacing w:line="360" w:lineRule="auto"/>
        <w:ind w:firstLine="420" w:firstLineChars="200"/>
        <w:jc w:val="left"/>
        <w:rPr>
          <w:rFonts w:asciiTheme="minorEastAsia" w:hAnsiTheme="minorEastAsia" w:eastAsiaTheme="minorEastAsia"/>
          <w:szCs w:val="21"/>
        </w:rPr>
      </w:pPr>
      <w:r>
        <w:rPr>
          <w:rFonts w:hint="eastAsia" w:cs="仿宋" w:asciiTheme="minorEastAsia" w:hAnsiTheme="minorEastAsia" w:eastAsiaTheme="minorEastAsia"/>
          <w:szCs w:val="21"/>
        </w:rPr>
        <w:t>合计两年，协议一年一签；征集人根据入围供应商上一年度的考核情况、资金审批情况决定是否续签。</w:t>
      </w:r>
    </w:p>
    <w:p w14:paraId="549392C1">
      <w:pPr>
        <w:tabs>
          <w:tab w:val="left" w:pos="840"/>
        </w:tabs>
        <w:spacing w:line="360" w:lineRule="auto"/>
        <w:rPr>
          <w:rFonts w:cs="仿宋" w:asciiTheme="minorEastAsia" w:hAnsiTheme="minorEastAsia" w:eastAsiaTheme="minorEastAsia"/>
          <w:snapToGrid w:val="0"/>
          <w:kern w:val="0"/>
          <w:szCs w:val="21"/>
        </w:rPr>
      </w:pPr>
    </w:p>
    <w:p w14:paraId="59A8834F">
      <w:pPr>
        <w:tabs>
          <w:tab w:val="left" w:pos="840"/>
        </w:tabs>
        <w:spacing w:line="360" w:lineRule="auto"/>
        <w:rPr>
          <w:rFonts w:cs="仿宋" w:asciiTheme="minorEastAsia" w:hAnsiTheme="minorEastAsia" w:eastAsiaTheme="minorEastAsia"/>
          <w:b/>
          <w:bCs/>
          <w:snapToGrid w:val="0"/>
          <w:kern w:val="0"/>
          <w:sz w:val="24"/>
        </w:rPr>
      </w:pPr>
      <w:r>
        <w:rPr>
          <w:rFonts w:hint="eastAsia" w:cs="仿宋" w:asciiTheme="minorEastAsia" w:hAnsiTheme="minorEastAsia" w:eastAsiaTheme="minorEastAsia"/>
          <w:b/>
          <w:bCs/>
          <w:snapToGrid w:val="0"/>
          <w:kern w:val="0"/>
          <w:sz w:val="24"/>
        </w:rPr>
        <w:t>五、审核时限和质量要求</w:t>
      </w:r>
    </w:p>
    <w:p w14:paraId="13C89BC3">
      <w:pPr>
        <w:tabs>
          <w:tab w:val="left" w:pos="840"/>
        </w:tabs>
        <w:spacing w:line="360" w:lineRule="auto"/>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 xml:space="preserve">    1.送审金额在1亿元以下的概算和预算审核一般为自接到任务之日起10个工作日内完成；1亿元以上的适当延期。</w:t>
      </w:r>
    </w:p>
    <w:p w14:paraId="2F286304">
      <w:pPr>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2.审核过程中发现的问题由入围供应商负责修改。</w:t>
      </w:r>
    </w:p>
    <w:p w14:paraId="7544A6F1">
      <w:pPr>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3.审核应符合国家现行有关规定，审核结果误差率不得超过投标值，除客观原因外，误差率超过投标值的，扣10%的审核费；误差率超过±5%的，扣30%的审核费；误差率超过±10%的，扣100%的审核费。</w:t>
      </w:r>
    </w:p>
    <w:p w14:paraId="28D60AF2">
      <w:pPr>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【误差率是指编制单位出具审核初稿后，由征集人、建设单位或其它审核单位复审，初稿误差率=（入围单位审核初稿价格-复审单位审核控价格）/入围单位审核初稿价格×100%】。</w:t>
      </w:r>
    </w:p>
    <w:p w14:paraId="7127409B">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4.审核质量要求</w:t>
      </w:r>
    </w:p>
    <w:p w14:paraId="0606C395">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供应商的概算审核误差率应在3%以内，预算（招标控制价）应在2%以内。</w:t>
      </w:r>
    </w:p>
    <w:p w14:paraId="735AC136">
      <w:pPr>
        <w:spacing w:line="360" w:lineRule="auto"/>
        <w:rPr>
          <w:rFonts w:cs="仿宋" w:asciiTheme="minorEastAsia" w:hAnsiTheme="minorEastAsia" w:eastAsiaTheme="minorEastAsia"/>
          <w:kern w:val="0"/>
          <w:szCs w:val="21"/>
        </w:rPr>
      </w:pPr>
    </w:p>
    <w:p w14:paraId="6B8C9E77">
      <w:pPr>
        <w:spacing w:line="360" w:lineRule="auto"/>
        <w:rPr>
          <w:rFonts w:cs="宋体" w:asciiTheme="minorEastAsia" w:hAnsiTheme="minorEastAsia" w:eastAsiaTheme="minorEastAsia"/>
          <w:b/>
          <w:bCs/>
          <w:sz w:val="24"/>
        </w:rPr>
      </w:pPr>
      <w:r>
        <w:rPr>
          <w:rFonts w:hint="eastAsia" w:cs="仿宋" w:asciiTheme="minorEastAsia" w:hAnsiTheme="minorEastAsia" w:eastAsiaTheme="minorEastAsia"/>
          <w:b/>
          <w:bCs/>
          <w:kern w:val="0"/>
          <w:sz w:val="24"/>
        </w:rPr>
        <w:t>六、</w:t>
      </w:r>
      <w:r>
        <w:rPr>
          <w:rFonts w:hint="eastAsia" w:cs="宋体" w:asciiTheme="minorEastAsia" w:hAnsiTheme="minorEastAsia" w:eastAsiaTheme="minorEastAsia"/>
          <w:b/>
          <w:bCs/>
          <w:sz w:val="24"/>
        </w:rPr>
        <w:t xml:space="preserve">审核人员要求： </w:t>
      </w:r>
    </w:p>
    <w:p w14:paraId="42AD678E">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（1）参加本项目投标的供应商应按以下要求配备人员（</w:t>
      </w:r>
      <w:r>
        <w:rPr>
          <w:rFonts w:hint="eastAsia" w:cs="仿宋" w:asciiTheme="minorEastAsia" w:hAnsiTheme="minorEastAsia" w:eastAsiaTheme="minorEastAsia"/>
          <w:snapToGrid w:val="0"/>
          <w:kern w:val="0"/>
          <w:szCs w:val="21"/>
          <w:lang w:val="zh-CN"/>
        </w:rPr>
        <w:t>拟派团队负责人、</w:t>
      </w:r>
      <w:r>
        <w:rPr>
          <w:rFonts w:hint="eastAsia" w:cs="仿宋" w:asciiTheme="minorEastAsia" w:hAnsiTheme="minorEastAsia" w:eastAsiaTheme="minorEastAsia"/>
          <w:snapToGrid w:val="0"/>
          <w:kern w:val="0"/>
          <w:szCs w:val="21"/>
        </w:rPr>
        <w:t>拟派技术负责人、</w:t>
      </w:r>
      <w:r>
        <w:rPr>
          <w:rFonts w:hint="eastAsia" w:cs="仿宋" w:asciiTheme="minorEastAsia" w:hAnsiTheme="minorEastAsia" w:eastAsiaTheme="minorEastAsia"/>
          <w:snapToGrid w:val="0"/>
          <w:kern w:val="0"/>
          <w:szCs w:val="21"/>
          <w:lang w:val="zh-CN"/>
        </w:rPr>
        <w:t>拟派团队专业咨询人员</w:t>
      </w:r>
      <w:r>
        <w:rPr>
          <w:rFonts w:hint="eastAsia" w:cs="仿宋" w:asciiTheme="minorEastAsia" w:hAnsiTheme="minorEastAsia" w:eastAsiaTheme="minorEastAsia"/>
          <w:snapToGrid w:val="0"/>
          <w:kern w:val="0"/>
          <w:szCs w:val="21"/>
        </w:rPr>
        <w:t>均不得兼任）。</w:t>
      </w:r>
    </w:p>
    <w:p w14:paraId="391CEC56">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lang w:val="zh-CN"/>
        </w:rPr>
        <w:t>拟派团队负责人（</w:t>
      </w:r>
      <w:r>
        <w:rPr>
          <w:rFonts w:hint="eastAsia" w:cs="仿宋" w:asciiTheme="minorEastAsia" w:hAnsiTheme="minorEastAsia" w:eastAsiaTheme="minorEastAsia"/>
          <w:snapToGrid w:val="0"/>
          <w:kern w:val="0"/>
          <w:szCs w:val="21"/>
        </w:rPr>
        <w:t>负责统筹项目分配工作</w:t>
      </w:r>
      <w:r>
        <w:rPr>
          <w:rFonts w:hint="eastAsia" w:cs="仿宋" w:asciiTheme="minorEastAsia" w:hAnsiTheme="minorEastAsia" w:eastAsiaTheme="minorEastAsia"/>
          <w:snapToGrid w:val="0"/>
          <w:kern w:val="0"/>
          <w:szCs w:val="21"/>
          <w:lang w:val="zh-CN"/>
        </w:rPr>
        <w:t>）</w:t>
      </w:r>
      <w:r>
        <w:rPr>
          <w:rFonts w:hint="eastAsia" w:cs="仿宋" w:asciiTheme="minorEastAsia" w:hAnsiTheme="minorEastAsia" w:eastAsiaTheme="minorEastAsia"/>
          <w:snapToGrid w:val="0"/>
          <w:kern w:val="0"/>
          <w:szCs w:val="21"/>
        </w:rPr>
        <w:t>，要求从业经验8年及以上，职称为高级工程师或中级工程师，</w:t>
      </w:r>
      <w:r>
        <w:rPr>
          <w:rFonts w:hint="eastAsia" w:cs="仿宋" w:asciiTheme="minorEastAsia" w:hAnsiTheme="minorEastAsia" w:eastAsiaTheme="minorEastAsia"/>
          <w:snapToGrid w:val="0"/>
          <w:kern w:val="0"/>
          <w:szCs w:val="21"/>
          <w:lang w:val="zh-CN"/>
        </w:rPr>
        <w:t>并具有一级注册造价工程师</w:t>
      </w:r>
      <w:r>
        <w:rPr>
          <w:rFonts w:hint="eastAsia" w:cs="仿宋" w:asciiTheme="minorEastAsia" w:hAnsiTheme="minorEastAsia" w:eastAsiaTheme="minorEastAsia"/>
          <w:snapToGrid w:val="0"/>
          <w:kern w:val="0"/>
          <w:szCs w:val="21"/>
        </w:rPr>
        <w:t>/公路工程造价人员甲级或二</w:t>
      </w:r>
      <w:r>
        <w:rPr>
          <w:rFonts w:hint="eastAsia" w:cs="仿宋" w:asciiTheme="minorEastAsia" w:hAnsiTheme="minorEastAsia" w:eastAsiaTheme="minorEastAsia"/>
          <w:snapToGrid w:val="0"/>
          <w:kern w:val="0"/>
          <w:szCs w:val="21"/>
          <w:lang w:val="zh-CN"/>
        </w:rPr>
        <w:t>级注册造价工程师/公路工程造价</w:t>
      </w:r>
      <w:r>
        <w:rPr>
          <w:rFonts w:hint="eastAsia" w:cs="仿宋" w:asciiTheme="minorEastAsia" w:hAnsiTheme="minorEastAsia" w:eastAsiaTheme="minorEastAsia"/>
          <w:snapToGrid w:val="0"/>
          <w:kern w:val="0"/>
          <w:szCs w:val="21"/>
        </w:rPr>
        <w:t>人员</w:t>
      </w:r>
      <w:r>
        <w:rPr>
          <w:rFonts w:hint="eastAsia" w:cs="仿宋" w:asciiTheme="minorEastAsia" w:hAnsiTheme="minorEastAsia" w:eastAsiaTheme="minorEastAsia"/>
          <w:snapToGrid w:val="0"/>
          <w:kern w:val="0"/>
          <w:szCs w:val="21"/>
          <w:lang w:val="zh-CN"/>
        </w:rPr>
        <w:t>乙级，在供应商处具有造价</w:t>
      </w:r>
      <w:r>
        <w:rPr>
          <w:rFonts w:hint="eastAsia" w:cs="仿宋" w:asciiTheme="minorEastAsia" w:hAnsiTheme="minorEastAsia" w:eastAsiaTheme="minorEastAsia"/>
          <w:snapToGrid w:val="0"/>
          <w:kern w:val="0"/>
          <w:szCs w:val="21"/>
        </w:rPr>
        <w:t>从业经验</w:t>
      </w:r>
      <w:r>
        <w:rPr>
          <w:rFonts w:hint="eastAsia" w:cs="仿宋" w:asciiTheme="minorEastAsia" w:hAnsiTheme="minorEastAsia" w:eastAsiaTheme="minorEastAsia"/>
          <w:snapToGrid w:val="0"/>
          <w:kern w:val="0"/>
          <w:szCs w:val="21"/>
          <w:lang w:val="zh-CN"/>
        </w:rPr>
        <w:t>。</w:t>
      </w:r>
      <w:r>
        <w:rPr>
          <w:rFonts w:hint="eastAsia" w:cs="仿宋" w:asciiTheme="minorEastAsia" w:hAnsiTheme="minorEastAsia" w:eastAsiaTheme="minorEastAsia"/>
          <w:snapToGrid w:val="0"/>
          <w:kern w:val="0"/>
          <w:szCs w:val="21"/>
        </w:rPr>
        <w:t>从业经验起始时间以造价资格证书（注册造价工程师证书或造价员证书）最早时间计取，时间截止到投标文件提交前。</w:t>
      </w:r>
    </w:p>
    <w:p w14:paraId="7F7E3BF2">
      <w:pPr>
        <w:tabs>
          <w:tab w:val="left" w:pos="840"/>
        </w:tabs>
        <w:spacing w:line="360" w:lineRule="auto"/>
        <w:ind w:firstLine="420" w:firstLineChars="200"/>
        <w:rPr>
          <w:rFonts w:cs="仿宋" w:asciiTheme="minorEastAsia" w:hAnsiTheme="minorEastAsia" w:eastAsiaTheme="minorEastAsia"/>
          <w:snapToGrid w:val="0"/>
          <w:kern w:val="0"/>
          <w:szCs w:val="21"/>
          <w:highlight w:val="none"/>
        </w:rPr>
      </w:pPr>
      <w:r>
        <w:rPr>
          <w:rFonts w:hint="eastAsia" w:cs="仿宋" w:asciiTheme="minorEastAsia" w:hAnsiTheme="minorEastAsia" w:eastAsiaTheme="minorEastAsia"/>
          <w:snapToGrid w:val="0"/>
          <w:kern w:val="0"/>
          <w:szCs w:val="21"/>
          <w:lang w:val="zh-CN"/>
        </w:rPr>
        <w:t>拟派</w:t>
      </w:r>
      <w:r>
        <w:rPr>
          <w:rFonts w:hint="eastAsia" w:cs="仿宋" w:asciiTheme="minorEastAsia" w:hAnsiTheme="minorEastAsia" w:eastAsiaTheme="minorEastAsia"/>
          <w:snapToGrid w:val="0"/>
          <w:kern w:val="0"/>
          <w:szCs w:val="21"/>
        </w:rPr>
        <w:t>团队技术负责人（负责专业团队技术复核工作），要求从业经验8年及以上，职称为高级工程师，</w:t>
      </w:r>
      <w:r>
        <w:rPr>
          <w:rFonts w:hint="eastAsia" w:cs="仿宋" w:asciiTheme="minorEastAsia" w:hAnsiTheme="minorEastAsia" w:eastAsiaTheme="minorEastAsia"/>
          <w:snapToGrid w:val="0"/>
          <w:kern w:val="0"/>
          <w:szCs w:val="21"/>
          <w:lang w:val="zh-CN"/>
        </w:rPr>
        <w:t>并具有一级注册造价工程师</w:t>
      </w:r>
      <w:r>
        <w:rPr>
          <w:rFonts w:hint="eastAsia" w:cs="仿宋" w:asciiTheme="minorEastAsia" w:hAnsiTheme="minorEastAsia" w:eastAsiaTheme="minorEastAsia"/>
          <w:snapToGrid w:val="0"/>
          <w:kern w:val="0"/>
          <w:szCs w:val="21"/>
        </w:rPr>
        <w:t>/公路工程造价人员甲级，</w:t>
      </w:r>
      <w:r>
        <w:rPr>
          <w:rFonts w:hint="eastAsia" w:cs="仿宋" w:asciiTheme="minorEastAsia" w:hAnsiTheme="minorEastAsia" w:eastAsiaTheme="minorEastAsia"/>
          <w:snapToGrid w:val="0"/>
          <w:kern w:val="0"/>
          <w:szCs w:val="21"/>
          <w:lang w:val="zh-CN"/>
        </w:rPr>
        <w:t>在供应商处具有造价</w:t>
      </w:r>
      <w:r>
        <w:rPr>
          <w:rFonts w:hint="eastAsia" w:cs="仿宋" w:asciiTheme="minorEastAsia" w:hAnsiTheme="minorEastAsia" w:eastAsiaTheme="minorEastAsia"/>
          <w:snapToGrid w:val="0"/>
          <w:kern w:val="0"/>
          <w:szCs w:val="21"/>
        </w:rPr>
        <w:t>从业</w:t>
      </w:r>
      <w:r>
        <w:rPr>
          <w:rFonts w:hint="eastAsia" w:cs="仿宋" w:asciiTheme="minorEastAsia" w:hAnsiTheme="minorEastAsia" w:eastAsiaTheme="minorEastAsia"/>
          <w:snapToGrid w:val="0"/>
          <w:kern w:val="0"/>
          <w:szCs w:val="21"/>
          <w:lang w:val="zh-CN"/>
        </w:rPr>
        <w:t>经验。</w:t>
      </w:r>
      <w:r>
        <w:rPr>
          <w:rFonts w:hint="eastAsia" w:cs="仿宋" w:asciiTheme="minorEastAsia" w:hAnsiTheme="minorEastAsia" w:eastAsiaTheme="minorEastAsia"/>
          <w:snapToGrid w:val="0"/>
          <w:kern w:val="0"/>
          <w:szCs w:val="21"/>
        </w:rPr>
        <w:t>从业经验起始时间以造价资格证书（注册造价工程师证书或造价员证书）最早时间计取，时间截止到投</w:t>
      </w:r>
      <w:r>
        <w:rPr>
          <w:rFonts w:hint="eastAsia" w:cs="仿宋" w:asciiTheme="minorEastAsia" w:hAnsiTheme="minorEastAsia" w:eastAsiaTheme="minorEastAsia"/>
          <w:snapToGrid w:val="0"/>
          <w:kern w:val="0"/>
          <w:szCs w:val="21"/>
          <w:highlight w:val="none"/>
        </w:rPr>
        <w:t xml:space="preserve">标文件提交前。 </w:t>
      </w:r>
    </w:p>
    <w:p w14:paraId="5D552603">
      <w:pPr>
        <w:tabs>
          <w:tab w:val="left" w:pos="840"/>
        </w:tabs>
        <w:spacing w:line="360" w:lineRule="auto"/>
        <w:ind w:firstLine="420" w:firstLineChars="200"/>
        <w:rPr>
          <w:rFonts w:cs="仿宋" w:asciiTheme="minorEastAsia" w:hAnsiTheme="minorEastAsia" w:eastAsiaTheme="minorEastAsia"/>
          <w:snapToGrid w:val="0"/>
          <w:kern w:val="0"/>
          <w:szCs w:val="21"/>
          <w:highlight w:val="none"/>
          <w:lang w:val="zh-CN"/>
        </w:rPr>
      </w:pPr>
      <w:r>
        <w:rPr>
          <w:rFonts w:hint="eastAsia" w:cs="仿宋" w:asciiTheme="minorEastAsia" w:hAnsiTheme="minorEastAsia" w:eastAsiaTheme="minorEastAsia"/>
          <w:snapToGrid w:val="0"/>
          <w:kern w:val="0"/>
          <w:szCs w:val="21"/>
          <w:highlight w:val="none"/>
          <w:lang w:val="zh-CN"/>
        </w:rPr>
        <w:t>拟派团队成员（除项目负责人和项目技术负责人）要求具有二级及以上注册造价工程师/公路工程造价人员乙级以上不少</w:t>
      </w:r>
      <w:r>
        <w:rPr>
          <w:rFonts w:hint="eastAsia" w:cs="仿宋" w:asciiTheme="minorEastAsia" w:hAnsiTheme="minorEastAsia" w:eastAsiaTheme="minorEastAsia"/>
          <w:snapToGrid w:val="0"/>
          <w:kern w:val="0"/>
          <w:szCs w:val="21"/>
          <w:highlight w:val="none"/>
        </w:rPr>
        <w:t>于</w:t>
      </w:r>
      <w:r>
        <w:rPr>
          <w:rFonts w:hint="eastAsia" w:cs="仿宋" w:asciiTheme="minorEastAsia" w:hAnsiTheme="minorEastAsia" w:eastAsiaTheme="minorEastAsia"/>
          <w:snapToGrid w:val="0"/>
          <w:kern w:val="0"/>
          <w:szCs w:val="21"/>
          <w:highlight w:val="none"/>
          <w:lang w:val="zh-CN"/>
        </w:rPr>
        <w:t>8人，其中具有一级造价工程师/公路工程造价人员甲级为3人及以上，二级注册造价工程师/公路工程造价人员乙级为5人及以上，且在供应商处具有造价从业经验。</w:t>
      </w:r>
    </w:p>
    <w:p w14:paraId="36683C9D">
      <w:pPr>
        <w:tabs>
          <w:tab w:val="left" w:pos="840"/>
        </w:tabs>
        <w:spacing w:line="360" w:lineRule="auto"/>
        <w:ind w:firstLine="420" w:firstLineChars="200"/>
        <w:rPr>
          <w:rFonts w:cs="仿宋" w:asciiTheme="minorEastAsia" w:hAnsiTheme="minorEastAsia" w:eastAsiaTheme="minorEastAsia"/>
          <w:snapToGrid w:val="0"/>
          <w:kern w:val="0"/>
          <w:szCs w:val="21"/>
          <w:lang w:val="zh-CN"/>
        </w:rPr>
      </w:pPr>
      <w:r>
        <w:rPr>
          <w:rFonts w:hint="eastAsia" w:cs="仿宋" w:asciiTheme="minorEastAsia" w:hAnsiTheme="minorEastAsia" w:eastAsiaTheme="minorEastAsia"/>
          <w:snapToGrid w:val="0"/>
          <w:kern w:val="0"/>
          <w:szCs w:val="21"/>
          <w:highlight w:val="none"/>
          <w:lang w:val="zh-CN"/>
        </w:rPr>
        <w:t>拟派团队成员（含</w:t>
      </w:r>
      <w:r>
        <w:rPr>
          <w:rFonts w:hint="eastAsia" w:cs="仿宋" w:asciiTheme="minorEastAsia" w:hAnsiTheme="minorEastAsia" w:eastAsiaTheme="minorEastAsia"/>
          <w:snapToGrid w:val="0"/>
          <w:kern w:val="0"/>
          <w:szCs w:val="21"/>
          <w:lang w:val="zh-CN"/>
        </w:rPr>
        <w:t>团队负责人和团队技术负责人）应具有建筑、安装、水利、公路、水运</w:t>
      </w:r>
      <w:r>
        <w:rPr>
          <w:rFonts w:hint="eastAsia" w:cs="仿宋" w:asciiTheme="minorEastAsia" w:hAnsiTheme="minorEastAsia" w:eastAsiaTheme="minorEastAsia"/>
          <w:snapToGrid w:val="0"/>
          <w:kern w:val="0"/>
          <w:szCs w:val="21"/>
        </w:rPr>
        <w:t>等</w:t>
      </w:r>
      <w:r>
        <w:rPr>
          <w:rFonts w:hint="eastAsia" w:cs="仿宋" w:asciiTheme="minorEastAsia" w:hAnsiTheme="minorEastAsia" w:eastAsiaTheme="minorEastAsia"/>
          <w:snapToGrid w:val="0"/>
          <w:kern w:val="0"/>
          <w:szCs w:val="21"/>
          <w:lang w:val="zh-CN"/>
        </w:rPr>
        <w:t>专业。</w:t>
      </w:r>
    </w:p>
    <w:p w14:paraId="7F92E055">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2）上述人员需注册在供应商处且需提供开标时间前三个月内（10,11,12月）任意一个月在供应商处缴纳的社保缴纳证明材料（需含个人养老保险缴纳清单），并均需为实际在岗人员，如为退休人员的，必须注册在本单位并且为单位出资人，需提供退休证明和工商部门出具的最新的相关出资证明资料。若发现供应商有弄虚作假的情况，即取消该单位入围资格。特殊项目经征集人同意的，可以聘请相关专业人员。</w:t>
      </w:r>
    </w:p>
    <w:p w14:paraId="09FAE621">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投标时提供的拟派人员应为合同期内项目实际审核人员，如出现工程造价人员调整、增补的情况，咨询人须在工程造价人员调整后一周内向委托人提出书面申请，经委托人批准同意后开展相关项目审核工作。审核人员要求不得低于投标配备情况，否则，征集人可停止委托审核业务。</w:t>
      </w:r>
    </w:p>
    <w:p w14:paraId="22BDC1C7">
      <w:pPr>
        <w:tabs>
          <w:tab w:val="left" w:pos="840"/>
        </w:tabs>
        <w:spacing w:line="360" w:lineRule="auto"/>
        <w:rPr>
          <w:rFonts w:cs="仿宋" w:asciiTheme="minorEastAsia" w:hAnsiTheme="minorEastAsia" w:eastAsiaTheme="minorEastAsia"/>
          <w:b/>
          <w:bCs/>
          <w:snapToGrid w:val="0"/>
          <w:kern w:val="0"/>
          <w:sz w:val="24"/>
        </w:rPr>
      </w:pPr>
    </w:p>
    <w:p w14:paraId="7BD09337">
      <w:pPr>
        <w:tabs>
          <w:tab w:val="left" w:pos="840"/>
        </w:tabs>
        <w:spacing w:line="360" w:lineRule="auto"/>
        <w:rPr>
          <w:rFonts w:cs="仿宋" w:asciiTheme="minorEastAsia" w:hAnsiTheme="minorEastAsia" w:eastAsiaTheme="minorEastAsia"/>
          <w:b/>
          <w:bCs/>
          <w:snapToGrid w:val="0"/>
          <w:kern w:val="0"/>
          <w:sz w:val="24"/>
        </w:rPr>
      </w:pPr>
      <w:bookmarkStart w:id="12" w:name="_Hlk185591271"/>
      <w:r>
        <w:rPr>
          <w:rFonts w:hint="eastAsia" w:cs="仿宋" w:asciiTheme="minorEastAsia" w:hAnsiTheme="minorEastAsia" w:eastAsiaTheme="minorEastAsia"/>
          <w:b/>
          <w:bCs/>
          <w:snapToGrid w:val="0"/>
          <w:kern w:val="0"/>
          <w:sz w:val="24"/>
        </w:rPr>
        <w:t xml:space="preserve">七、征集人的权利和义务 </w:t>
      </w:r>
    </w:p>
    <w:p w14:paraId="31ADC01E">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 xml:space="preserve">1.负责选定第二阶段成交供应商。 </w:t>
      </w:r>
    </w:p>
    <w:p w14:paraId="06A630AF">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 xml:space="preserve">2.负责对入围单位进行考核。根据项目审核情况对入围单位进行考核，按考核排名、项目特征、专业需求择优选择项目安排，并对考核较差单位进行清退。 </w:t>
      </w:r>
    </w:p>
    <w:p w14:paraId="3FF13650">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 xml:space="preserve">3.负责对供应商及其派出人员完成的审核事项及工作结果进行审核验收评价。 </w:t>
      </w:r>
    </w:p>
    <w:p w14:paraId="5BF60E43">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4.有权要求供应商派出投标书所列人员，并要求供应商及其派出人员协助配合审核阶段相关工作。</w:t>
      </w:r>
    </w:p>
    <w:p w14:paraId="55474582">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5.若供应商未按要求派出投标书中项目负责人及项目组成员或未经征集人同意更换人员，征集人有权在业务分配中进行合理调整，取消供应商的业务安排资格。</w:t>
      </w:r>
    </w:p>
    <w:p w14:paraId="1F3CCD73">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6.根据供应商的有关要求，协调处理项目实施中的相关事宜。</w:t>
      </w:r>
    </w:p>
    <w:p w14:paraId="0BCB6CBA">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7.其他应该由征集人履行的义务和承担的责任。</w:t>
      </w:r>
    </w:p>
    <w:p w14:paraId="4372EE4B">
      <w:pPr>
        <w:tabs>
          <w:tab w:val="left" w:pos="840"/>
        </w:tabs>
        <w:spacing w:line="360" w:lineRule="auto"/>
        <w:rPr>
          <w:rFonts w:cs="仿宋" w:asciiTheme="minorEastAsia" w:hAnsiTheme="minorEastAsia" w:eastAsiaTheme="minorEastAsia"/>
          <w:snapToGrid w:val="0"/>
          <w:kern w:val="0"/>
          <w:szCs w:val="21"/>
        </w:rPr>
      </w:pPr>
    </w:p>
    <w:p w14:paraId="1A4433C4">
      <w:pPr>
        <w:tabs>
          <w:tab w:val="left" w:pos="840"/>
        </w:tabs>
        <w:spacing w:line="360" w:lineRule="auto"/>
        <w:rPr>
          <w:rFonts w:cs="仿宋" w:asciiTheme="minorEastAsia" w:hAnsiTheme="minorEastAsia" w:eastAsiaTheme="minorEastAsia"/>
          <w:b/>
          <w:bCs/>
          <w:snapToGrid w:val="0"/>
          <w:kern w:val="0"/>
          <w:sz w:val="24"/>
        </w:rPr>
      </w:pPr>
      <w:r>
        <w:rPr>
          <w:rFonts w:hint="eastAsia" w:cs="仿宋" w:asciiTheme="minorEastAsia" w:hAnsiTheme="minorEastAsia" w:eastAsiaTheme="minorEastAsia"/>
          <w:b/>
          <w:bCs/>
          <w:snapToGrid w:val="0"/>
          <w:kern w:val="0"/>
          <w:sz w:val="24"/>
        </w:rPr>
        <w:t>八、供应商的权利和义务</w:t>
      </w:r>
    </w:p>
    <w:p w14:paraId="7DF4DBE7">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1.供应商可以要求征集人提供与委托内容有关的资料。</w:t>
      </w:r>
    </w:p>
    <w:p w14:paraId="6076D438">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2.供应商可以要求征集人对有关问题作出解释和补充有关资料。</w:t>
      </w:r>
    </w:p>
    <w:p w14:paraId="27EDB658">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3.供应商在审核服务过程中应遵守审核纪律、规范审核行为，严格按照行业规范要求开展工作。</w:t>
      </w:r>
    </w:p>
    <w:p w14:paraId="255F7D2D">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4.供应商应严格按照征集人的有关规定和要求实施审核服务，接受征集人的监督，并按期完成服务任务，并确保结果真实、合法和准确</w:t>
      </w:r>
    </w:p>
    <w:p w14:paraId="1F8A53C6">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5.在合同履行期间，供应商应按征集人要求开展工作，在工作中遵循公平、公正、公开、合法、独立的原则，认真、细致、周到的进行服务。</w:t>
      </w:r>
    </w:p>
    <w:p w14:paraId="08A275E1">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6.审核相关资料移交给供应商后，供应商有义务对所有资料进行妥善保管，确保审核结束后完整移交送审资料。供应商及其派出人员不得使用征集人委托事项的资料和结果，用于与委托事项无关的目的。</w:t>
      </w:r>
    </w:p>
    <w:p w14:paraId="14729EF6">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7.入围供应商无正当理由，不得主动放弃入围资格或者退出框架协议。</w:t>
      </w:r>
    </w:p>
    <w:p w14:paraId="0D26BBDD">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8.供应商有义务在本单位中选派投标书中所列的项目组成员（必须要有项目负责人带队）参与服务工作，在本协议履行期间不得自行更换服务人员。</w:t>
      </w:r>
    </w:p>
    <w:p w14:paraId="2987CC48">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9.供应商对其出具的成果报告真实性、合法性负责。</w:t>
      </w:r>
    </w:p>
    <w:p w14:paraId="63AC56E9">
      <w:pPr>
        <w:tabs>
          <w:tab w:val="left" w:pos="840"/>
        </w:tabs>
        <w:spacing w:line="360" w:lineRule="auto"/>
        <w:rPr>
          <w:rFonts w:cs="仿宋" w:asciiTheme="minorEastAsia" w:hAnsiTheme="minorEastAsia" w:eastAsiaTheme="minorEastAsia"/>
          <w:snapToGrid w:val="0"/>
          <w:kern w:val="0"/>
          <w:szCs w:val="21"/>
        </w:rPr>
      </w:pPr>
    </w:p>
    <w:p w14:paraId="26FE7613">
      <w:pPr>
        <w:tabs>
          <w:tab w:val="left" w:pos="840"/>
        </w:tabs>
        <w:spacing w:line="360" w:lineRule="auto"/>
        <w:rPr>
          <w:rFonts w:cs="仿宋" w:asciiTheme="minorEastAsia" w:hAnsiTheme="minorEastAsia" w:eastAsiaTheme="minorEastAsia"/>
          <w:b/>
          <w:bCs/>
          <w:snapToGrid w:val="0"/>
          <w:kern w:val="0"/>
          <w:sz w:val="24"/>
        </w:rPr>
      </w:pPr>
      <w:r>
        <w:rPr>
          <w:rFonts w:hint="eastAsia" w:cs="仿宋" w:asciiTheme="minorEastAsia" w:hAnsiTheme="minorEastAsia" w:eastAsiaTheme="minorEastAsia"/>
          <w:b/>
          <w:bCs/>
          <w:snapToGrid w:val="0"/>
          <w:kern w:val="0"/>
          <w:sz w:val="24"/>
        </w:rPr>
        <w:t xml:space="preserve">九、入围供应商的清退和补充规则 </w:t>
      </w:r>
    </w:p>
    <w:p w14:paraId="3AC0B310">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1. 清退规则：在下列情形下征集人有权清退入围供应商，而不需要承担任何责任：</w:t>
      </w:r>
    </w:p>
    <w:p w14:paraId="1EE13019">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1）入围供应商实质性违反本协议约定的；</w:t>
      </w:r>
    </w:p>
    <w:p w14:paraId="72D6F4F1">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 xml:space="preserve">2）入围供应商有违反合同约定或其职责、义务的行为，在征集人指定期限内未予以纠正或补救的； </w:t>
      </w:r>
    </w:p>
    <w:p w14:paraId="358AFCC1">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3）入围供应商资质吊销或注销的；</w:t>
      </w:r>
    </w:p>
    <w:p w14:paraId="119AF771">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4）入围供应商未严格执行保密制度，泄漏委托方的秘密或与第三方串通损害征集人利益的；由此造成的经济损失，入围方应予赔偿；存在违法违规行为的，由相关部门进行处理；</w:t>
      </w:r>
    </w:p>
    <w:p w14:paraId="33866E96">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5）征集人针对项目服务时限、质量有权提出要求并进行考核，由于入围供应商原因，项目服务时限超出委托时限或质量不合格导致考核结果不合格的；</w:t>
      </w:r>
    </w:p>
    <w:p w14:paraId="2A204B8F">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6）入围供应商与项目相关单位或个人私下交易，接受财物、吃请等违纪行为经查实的；存在违法违规行为的，由相关部门进行处理；</w:t>
      </w:r>
    </w:p>
    <w:p w14:paraId="32397F21">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7）入围供应商在审核过程中将审核资料丢失的；由此造成的经济损失，入围供应商应予赔偿；存在违法违规行为的，由相关部门进行处理；</w:t>
      </w:r>
    </w:p>
    <w:p w14:paraId="5A9C0ECF">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8）在入围供应商违约情形下，征集人有权对本项目合同进行必要的变更。 因入围供应商违约导致合同解除的，入围供应商应按本项目正常计算酬金的 20%支付违约金。</w:t>
      </w:r>
    </w:p>
    <w:p w14:paraId="0283CE45">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9）入围供应商提供服务时，需按委托人要求时限完成，无正当理由，未按时完成的将解除合同。</w:t>
      </w:r>
    </w:p>
    <w:p w14:paraId="5B28A373">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10）执行纠错机制，即因审计结果存在较大争议，相关单位提出投诉，并确认入围供应商为责任方的，征集人有权终止合同。</w:t>
      </w:r>
    </w:p>
    <w:p w14:paraId="00C21FDB">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11）确定入围供应商后，征集人有权对入围供应商提供的人员名单、注册证明、执业资格、人事关系、业绩材料等相关资料到相关部门进行核实，如投标文件存在虚假情况，则取消中标候选人的中标资格，存在违法违规行为的，由相关部门进行处理；</w:t>
      </w:r>
    </w:p>
    <w:p w14:paraId="4AAC4EF5">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12）如遇到政策变化或者其他不可抗力因素，双方协商解除。</w:t>
      </w:r>
    </w:p>
    <w:p w14:paraId="137A83DA">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2. 补充规则：</w:t>
      </w:r>
      <w:r>
        <w:rPr>
          <w:rFonts w:hint="eastAsia" w:cs="仿宋" w:asciiTheme="minorEastAsia" w:hAnsiTheme="minorEastAsia" w:eastAsiaTheme="minorEastAsia"/>
          <w:b/>
          <w:bCs/>
          <w:snapToGrid w:val="0"/>
          <w:kern w:val="0"/>
          <w:szCs w:val="21"/>
        </w:rPr>
        <w:t>在框架协议有效期内，不再补充征集供应商。</w:t>
      </w:r>
    </w:p>
    <w:p w14:paraId="1E2CD3AF">
      <w:pPr>
        <w:tabs>
          <w:tab w:val="left" w:pos="840"/>
        </w:tabs>
        <w:spacing w:line="360" w:lineRule="auto"/>
        <w:rPr>
          <w:rFonts w:cs="仿宋" w:asciiTheme="minorEastAsia" w:hAnsiTheme="minorEastAsia" w:eastAsiaTheme="minorEastAsia"/>
          <w:snapToGrid w:val="0"/>
          <w:kern w:val="0"/>
          <w:szCs w:val="21"/>
        </w:rPr>
      </w:pPr>
    </w:p>
    <w:bookmarkEnd w:id="12"/>
    <w:p w14:paraId="0DDA8CBB">
      <w:pPr>
        <w:tabs>
          <w:tab w:val="left" w:pos="840"/>
        </w:tabs>
        <w:spacing w:line="360" w:lineRule="auto"/>
        <w:rPr>
          <w:rFonts w:cs="仿宋" w:asciiTheme="minorEastAsia" w:hAnsiTheme="minorEastAsia" w:eastAsiaTheme="minorEastAsia"/>
          <w:b/>
          <w:bCs/>
          <w:snapToGrid w:val="0"/>
          <w:kern w:val="0"/>
          <w:sz w:val="24"/>
        </w:rPr>
      </w:pPr>
      <w:r>
        <w:rPr>
          <w:rFonts w:hint="eastAsia" w:cs="仿宋" w:asciiTheme="minorEastAsia" w:hAnsiTheme="minorEastAsia" w:eastAsiaTheme="minorEastAsia"/>
          <w:b/>
          <w:bCs/>
          <w:snapToGrid w:val="0"/>
          <w:kern w:val="0"/>
          <w:sz w:val="24"/>
        </w:rPr>
        <w:t>十、其他说明</w:t>
      </w:r>
    </w:p>
    <w:p w14:paraId="0CC38B38">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第二阶段成交供应商确定：送审金额在1亿元以下的采用顺序轮候方式，1亿元以上（含1亿元）的在入围供应商中采用二次竞价方式。</w:t>
      </w:r>
    </w:p>
    <w:p w14:paraId="5CC8717A">
      <w:pPr>
        <w:tabs>
          <w:tab w:val="left" w:pos="840"/>
        </w:tabs>
        <w:spacing w:line="360" w:lineRule="auto"/>
        <w:ind w:firstLine="420" w:firstLineChars="200"/>
        <w:rPr>
          <w:rFonts w:cs="仿宋" w:asciiTheme="minorEastAsia" w:hAnsiTheme="minorEastAsia" w:eastAsiaTheme="minorEastAsia"/>
          <w:snapToGrid w:val="0"/>
          <w:color w:val="auto"/>
          <w:kern w:val="0"/>
          <w:szCs w:val="21"/>
        </w:rPr>
      </w:pPr>
      <w:r>
        <w:rPr>
          <w:rFonts w:hint="eastAsia" w:cs="仿宋" w:asciiTheme="minorEastAsia" w:hAnsiTheme="minorEastAsia" w:eastAsiaTheme="minorEastAsia"/>
          <w:snapToGrid w:val="0"/>
          <w:color w:val="auto"/>
          <w:kern w:val="0"/>
          <w:szCs w:val="21"/>
        </w:rPr>
        <w:t>地点：岱山县</w:t>
      </w:r>
    </w:p>
    <w:p w14:paraId="3E4A633D">
      <w:pPr>
        <w:tabs>
          <w:tab w:val="left" w:pos="840"/>
        </w:tabs>
        <w:spacing w:line="360" w:lineRule="auto"/>
        <w:rPr>
          <w:rFonts w:cs="仿宋" w:asciiTheme="minorEastAsia" w:hAnsiTheme="minorEastAsia" w:eastAsiaTheme="minorEastAsia"/>
          <w:snapToGrid w:val="0"/>
          <w:kern w:val="0"/>
          <w:szCs w:val="21"/>
        </w:rPr>
      </w:pPr>
    </w:p>
    <w:p w14:paraId="238746CC">
      <w:pPr>
        <w:tabs>
          <w:tab w:val="left" w:pos="840"/>
        </w:tabs>
        <w:spacing w:line="360" w:lineRule="auto"/>
        <w:rPr>
          <w:rFonts w:cs="仿宋" w:asciiTheme="minorEastAsia" w:hAnsiTheme="minorEastAsia" w:eastAsiaTheme="minorEastAsia"/>
          <w:b/>
          <w:bCs/>
          <w:snapToGrid w:val="0"/>
          <w:kern w:val="0"/>
          <w:szCs w:val="21"/>
        </w:rPr>
      </w:pPr>
      <w:bookmarkStart w:id="13" w:name="_Hlk185592009"/>
      <w:r>
        <w:rPr>
          <w:rFonts w:hint="eastAsia" w:cs="仿宋" w:asciiTheme="minorEastAsia" w:hAnsiTheme="minorEastAsia" w:eastAsiaTheme="minorEastAsia"/>
          <w:b/>
          <w:bCs/>
          <w:snapToGrid w:val="0"/>
          <w:kern w:val="0"/>
          <w:szCs w:val="21"/>
        </w:rPr>
        <w:t>十一、争议解决方式</w:t>
      </w:r>
    </w:p>
    <w:p w14:paraId="45A4EBA5">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协议履行过程中发生的任何争议，双方当事人均可通过和解或者调解解决；不愿和解、调解或者和解、调解不成的，可以选择下列方式解决：</w:t>
      </w:r>
    </w:p>
    <w:p w14:paraId="0B211F59">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将争议提交征集人所在地仲裁委员会依申请仲裁时其现行有效的仲裁规则裁决；</w:t>
      </w:r>
    </w:p>
    <w:bookmarkEnd w:id="13"/>
    <w:p w14:paraId="49F4D536">
      <w:pPr>
        <w:snapToGrid w:val="0"/>
        <w:spacing w:line="360" w:lineRule="auto"/>
        <w:jc w:val="center"/>
        <w:rPr>
          <w:rFonts w:cs="仿宋" w:asciiTheme="minorEastAsia" w:hAnsiTheme="minorEastAsia" w:eastAsiaTheme="minorEastAsia"/>
          <w:b/>
          <w:szCs w:val="21"/>
        </w:rPr>
      </w:pPr>
    </w:p>
    <w:p w14:paraId="305972BA">
      <w:pPr>
        <w:pStyle w:val="18"/>
        <w:rPr>
          <w:rFonts w:hAnsi="宋体" w:cs="仿宋"/>
          <w:b/>
          <w:bCs/>
          <w:kern w:val="0"/>
        </w:rPr>
      </w:pPr>
      <w:r>
        <w:rPr>
          <w:rFonts w:hint="eastAsia" w:cs="仿宋" w:asciiTheme="minorEastAsia" w:hAnsiTheme="minorEastAsia" w:eastAsiaTheme="minorEastAsia"/>
          <w:b/>
          <w:bCs/>
        </w:rPr>
        <w:t>十二、</w:t>
      </w:r>
      <w:r>
        <w:rPr>
          <w:rFonts w:hint="eastAsia" w:hAnsi="宋体" w:cs="仿宋"/>
          <w:b/>
          <w:bCs/>
          <w:kern w:val="0"/>
        </w:rPr>
        <w:t>检查、考核</w:t>
      </w:r>
    </w:p>
    <w:p w14:paraId="3E33085F">
      <w:pPr>
        <w:autoSpaceDE w:val="0"/>
        <w:autoSpaceDN w:val="0"/>
        <w:spacing w:line="360" w:lineRule="auto"/>
        <w:ind w:firstLine="420"/>
        <w:rPr>
          <w:rFonts w:asciiTheme="minorEastAsia" w:hAnsiTheme="minorEastAsia" w:eastAsiaTheme="minorEastAsia"/>
          <w:szCs w:val="21"/>
        </w:rPr>
      </w:pPr>
      <w:r>
        <w:rPr>
          <w:rFonts w:hint="eastAsia" w:asciiTheme="minorEastAsia" w:hAnsiTheme="minorEastAsia" w:eastAsiaTheme="minorEastAsia"/>
          <w:szCs w:val="21"/>
        </w:rPr>
        <w:t>由征集人对供应商进行检查和考核，供应商无条件配合。</w:t>
      </w:r>
    </w:p>
    <w:p w14:paraId="2818A625">
      <w:pPr>
        <w:spacing w:line="360" w:lineRule="auto"/>
        <w:jc w:val="center"/>
        <w:rPr>
          <w:rFonts w:cs="宋体" w:asciiTheme="minorEastAsia" w:hAnsiTheme="minorEastAsia" w:eastAsiaTheme="minorEastAsia"/>
          <w:b/>
          <w:color w:val="000000" w:themeColor="text1"/>
          <w:sz w:val="32"/>
          <w:szCs w:val="32"/>
        </w:rPr>
      </w:pPr>
    </w:p>
    <w:p w14:paraId="0C2CED1E">
      <w:pPr>
        <w:spacing w:line="360" w:lineRule="auto"/>
        <w:jc w:val="center"/>
        <w:rPr>
          <w:rFonts w:cs="宋体" w:asciiTheme="minorEastAsia" w:hAnsiTheme="minorEastAsia" w:eastAsiaTheme="minorEastAsia"/>
          <w:b/>
          <w:color w:val="000000" w:themeColor="text1"/>
          <w:sz w:val="32"/>
          <w:szCs w:val="32"/>
        </w:rPr>
      </w:pPr>
    </w:p>
    <w:p w14:paraId="1E453C71">
      <w:pPr>
        <w:spacing w:line="360" w:lineRule="auto"/>
        <w:jc w:val="center"/>
        <w:rPr>
          <w:rFonts w:cs="宋体" w:asciiTheme="minorEastAsia" w:hAnsiTheme="minorEastAsia" w:eastAsiaTheme="minorEastAsia"/>
          <w:b/>
          <w:color w:val="000000" w:themeColor="text1"/>
          <w:sz w:val="32"/>
          <w:szCs w:val="32"/>
        </w:rPr>
      </w:pPr>
      <w:r>
        <w:rPr>
          <w:rFonts w:hint="eastAsia" w:cs="宋体" w:asciiTheme="minorEastAsia" w:hAnsiTheme="minorEastAsia" w:eastAsiaTheme="minorEastAsia"/>
          <w:b/>
          <w:color w:val="000000" w:themeColor="text1"/>
          <w:sz w:val="32"/>
          <w:szCs w:val="32"/>
        </w:rPr>
        <w:t>第三部分 响应供应商须知</w:t>
      </w:r>
      <w:bookmarkEnd w:id="9"/>
      <w:bookmarkEnd w:id="11"/>
    </w:p>
    <w:p w14:paraId="1FC82AC3">
      <w:pPr>
        <w:adjustRightInd/>
        <w:spacing w:line="360" w:lineRule="auto"/>
        <w:ind w:firstLine="3845" w:firstLineChars="1197"/>
        <w:outlineLvl w:val="0"/>
        <w:rPr>
          <w:rFonts w:cs="宋体" w:asciiTheme="minorEastAsia" w:hAnsiTheme="minorEastAsia" w:eastAsiaTheme="minorEastAsia"/>
          <w:b/>
          <w:color w:val="000000" w:themeColor="text1"/>
          <w:sz w:val="32"/>
          <w:szCs w:val="32"/>
        </w:rPr>
      </w:pPr>
      <w:r>
        <w:rPr>
          <w:rFonts w:hint="eastAsia" w:cs="宋体" w:asciiTheme="minorEastAsia" w:hAnsiTheme="minorEastAsia" w:eastAsiaTheme="minorEastAsia"/>
          <w:b/>
          <w:color w:val="000000" w:themeColor="text1"/>
          <w:sz w:val="32"/>
          <w:szCs w:val="32"/>
        </w:rPr>
        <w:t>前附表</w:t>
      </w:r>
    </w:p>
    <w:tbl>
      <w:tblPr>
        <w:tblStyle w:val="39"/>
        <w:tblW w:w="9943"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2524"/>
        <w:gridCol w:w="6790"/>
      </w:tblGrid>
      <w:tr w14:paraId="2B7AEF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38" w:hRule="atLeast"/>
          <w:tblHeader/>
          <w:jc w:val="center"/>
        </w:trPr>
        <w:tc>
          <w:tcPr>
            <w:tcW w:w="629" w:type="dxa"/>
            <w:tcBorders>
              <w:tl2br w:val="nil"/>
              <w:tr2bl w:val="nil"/>
            </w:tcBorders>
          </w:tcPr>
          <w:p w14:paraId="020656F2">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序号</w:t>
            </w:r>
          </w:p>
        </w:tc>
        <w:tc>
          <w:tcPr>
            <w:tcW w:w="2524" w:type="dxa"/>
            <w:tcBorders>
              <w:tl2br w:val="nil"/>
              <w:tr2bl w:val="nil"/>
            </w:tcBorders>
            <w:vAlign w:val="center"/>
          </w:tcPr>
          <w:p w14:paraId="1AA204A6">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事项</w:t>
            </w:r>
          </w:p>
        </w:tc>
        <w:tc>
          <w:tcPr>
            <w:tcW w:w="6790" w:type="dxa"/>
            <w:tcBorders>
              <w:tl2br w:val="nil"/>
              <w:tr2bl w:val="nil"/>
            </w:tcBorders>
            <w:vAlign w:val="center"/>
          </w:tcPr>
          <w:p w14:paraId="181731D8">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本项目的特别规定</w:t>
            </w:r>
          </w:p>
        </w:tc>
      </w:tr>
      <w:tr w14:paraId="6577A0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29" w:hRule="atLeast"/>
          <w:tblHeader/>
          <w:jc w:val="center"/>
        </w:trPr>
        <w:tc>
          <w:tcPr>
            <w:tcW w:w="629" w:type="dxa"/>
            <w:tcBorders>
              <w:tl2br w:val="nil"/>
              <w:tr2bl w:val="nil"/>
            </w:tcBorders>
            <w:vAlign w:val="center"/>
          </w:tcPr>
          <w:p w14:paraId="20F9BE3D">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w:t>
            </w:r>
          </w:p>
        </w:tc>
        <w:tc>
          <w:tcPr>
            <w:tcW w:w="2524" w:type="dxa"/>
            <w:tcBorders>
              <w:tl2br w:val="nil"/>
              <w:tr2bl w:val="nil"/>
            </w:tcBorders>
            <w:vAlign w:val="center"/>
          </w:tcPr>
          <w:p w14:paraId="73DC935D">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征集人</w:t>
            </w:r>
          </w:p>
        </w:tc>
        <w:tc>
          <w:tcPr>
            <w:tcW w:w="6790" w:type="dxa"/>
            <w:tcBorders>
              <w:tl2br w:val="nil"/>
              <w:tr2bl w:val="nil"/>
            </w:tcBorders>
            <w:vAlign w:val="center"/>
          </w:tcPr>
          <w:p w14:paraId="1815AB3C">
            <w:pPr>
              <w:snapToGrid w:val="0"/>
              <w:rPr>
                <w:rFonts w:asciiTheme="minorEastAsia" w:hAnsiTheme="minorEastAsia" w:eastAsiaTheme="minorEastAsia"/>
                <w:szCs w:val="21"/>
              </w:rPr>
            </w:pPr>
            <w:bookmarkStart w:id="14" w:name="_Hlk185591041"/>
            <w:r>
              <w:rPr>
                <w:rFonts w:hint="eastAsia" w:asciiTheme="minorEastAsia" w:hAnsiTheme="minorEastAsia" w:eastAsiaTheme="minorEastAsia"/>
                <w:szCs w:val="21"/>
              </w:rPr>
              <w:t>岱山县财政局（岱山县政府投资项目审价中心）</w:t>
            </w:r>
            <w:bookmarkEnd w:id="14"/>
          </w:p>
        </w:tc>
      </w:tr>
      <w:tr w14:paraId="2F9804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04" w:hRule="atLeast"/>
          <w:tblHeader/>
          <w:jc w:val="center"/>
        </w:trPr>
        <w:tc>
          <w:tcPr>
            <w:tcW w:w="629" w:type="dxa"/>
            <w:tcBorders>
              <w:tl2br w:val="nil"/>
              <w:tr2bl w:val="nil"/>
            </w:tcBorders>
            <w:vAlign w:val="center"/>
          </w:tcPr>
          <w:p w14:paraId="560DA827">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w:t>
            </w:r>
          </w:p>
        </w:tc>
        <w:tc>
          <w:tcPr>
            <w:tcW w:w="2524" w:type="dxa"/>
            <w:tcBorders>
              <w:tl2br w:val="nil"/>
              <w:tr2bl w:val="nil"/>
            </w:tcBorders>
            <w:vAlign w:val="center"/>
          </w:tcPr>
          <w:p w14:paraId="7F16DAAE">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采购方式</w:t>
            </w:r>
          </w:p>
        </w:tc>
        <w:tc>
          <w:tcPr>
            <w:tcW w:w="6790" w:type="dxa"/>
            <w:tcBorders>
              <w:tl2br w:val="nil"/>
              <w:tr2bl w:val="nil"/>
            </w:tcBorders>
            <w:vAlign w:val="center"/>
          </w:tcPr>
          <w:p w14:paraId="412DC497">
            <w:pPr>
              <w:snapToGrid w:val="0"/>
              <w:rPr>
                <w:rFonts w:cs="宋体" w:asciiTheme="minorEastAsia" w:hAnsiTheme="minorEastAsia" w:eastAsiaTheme="minorEastAsia"/>
                <w:color w:val="000000" w:themeColor="text1"/>
                <w:szCs w:val="21"/>
              </w:rPr>
            </w:pPr>
            <w:r>
              <w:rPr>
                <w:rFonts w:hint="eastAsia" w:asciiTheme="minorEastAsia" w:hAnsiTheme="minorEastAsia" w:eastAsiaTheme="minorEastAsia"/>
                <w:szCs w:val="21"/>
              </w:rPr>
              <w:t>封闭式框架协议采购</w:t>
            </w:r>
          </w:p>
        </w:tc>
      </w:tr>
      <w:tr w14:paraId="5DE55E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85" w:hRule="atLeast"/>
          <w:tblHeader/>
          <w:jc w:val="center"/>
        </w:trPr>
        <w:tc>
          <w:tcPr>
            <w:tcW w:w="629" w:type="dxa"/>
            <w:tcBorders>
              <w:tl2br w:val="nil"/>
              <w:tr2bl w:val="nil"/>
            </w:tcBorders>
            <w:vAlign w:val="center"/>
          </w:tcPr>
          <w:p w14:paraId="593540E1">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w:t>
            </w:r>
          </w:p>
        </w:tc>
        <w:tc>
          <w:tcPr>
            <w:tcW w:w="2524" w:type="dxa"/>
            <w:tcBorders>
              <w:tl2br w:val="nil"/>
              <w:tr2bl w:val="nil"/>
            </w:tcBorders>
            <w:vAlign w:val="center"/>
          </w:tcPr>
          <w:p w14:paraId="52C18985">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bCs/>
                <w:color w:val="000000" w:themeColor="text1"/>
                <w:szCs w:val="21"/>
              </w:rPr>
              <w:t>业务范围</w:t>
            </w:r>
          </w:p>
        </w:tc>
        <w:tc>
          <w:tcPr>
            <w:tcW w:w="6790" w:type="dxa"/>
            <w:tcBorders>
              <w:tl2br w:val="nil"/>
              <w:tr2bl w:val="nil"/>
            </w:tcBorders>
            <w:vAlign w:val="center"/>
          </w:tcPr>
          <w:p w14:paraId="004D1E7D">
            <w:pPr>
              <w:snapToGrid w:val="0"/>
              <w:rPr>
                <w:rFonts w:asciiTheme="minorEastAsia" w:hAnsiTheme="minorEastAsia" w:eastAsiaTheme="minorEastAsia"/>
                <w:szCs w:val="21"/>
              </w:rPr>
            </w:pPr>
            <w:r>
              <w:rPr>
                <w:rFonts w:hint="eastAsia" w:asciiTheme="minorEastAsia" w:hAnsiTheme="minorEastAsia" w:eastAsiaTheme="minorEastAsia"/>
                <w:szCs w:val="21"/>
              </w:rPr>
              <w:t>岱山县财政局2025-2027年政府投资项目工程造价咨询服务</w:t>
            </w:r>
          </w:p>
        </w:tc>
      </w:tr>
      <w:tr w14:paraId="4626E2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23" w:hRule="atLeast"/>
          <w:tblHeader/>
          <w:jc w:val="center"/>
        </w:trPr>
        <w:tc>
          <w:tcPr>
            <w:tcW w:w="629" w:type="dxa"/>
            <w:tcBorders>
              <w:tl2br w:val="nil"/>
              <w:tr2bl w:val="nil"/>
            </w:tcBorders>
            <w:vAlign w:val="center"/>
          </w:tcPr>
          <w:p w14:paraId="10DDA1EF">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4</w:t>
            </w:r>
          </w:p>
        </w:tc>
        <w:tc>
          <w:tcPr>
            <w:tcW w:w="2524" w:type="dxa"/>
            <w:tcBorders>
              <w:tl2br w:val="nil"/>
              <w:tr2bl w:val="nil"/>
            </w:tcBorders>
            <w:vAlign w:val="center"/>
          </w:tcPr>
          <w:p w14:paraId="2196944A">
            <w:pPr>
              <w:snapToGrid w:val="0"/>
              <w:jc w:val="center"/>
              <w:rPr>
                <w:rFonts w:cs="宋体" w:asciiTheme="minorEastAsia" w:hAnsiTheme="minorEastAsia" w:eastAsiaTheme="minorEastAsia"/>
                <w:b/>
                <w:color w:val="auto"/>
                <w:szCs w:val="21"/>
              </w:rPr>
            </w:pPr>
            <w:r>
              <w:rPr>
                <w:rFonts w:hint="eastAsia" w:cs="宋体" w:asciiTheme="minorEastAsia" w:hAnsiTheme="minorEastAsia" w:eastAsiaTheme="minorEastAsia"/>
                <w:b/>
                <w:bCs/>
                <w:color w:val="auto"/>
                <w:szCs w:val="21"/>
              </w:rPr>
              <w:t>框架协议期限</w:t>
            </w:r>
          </w:p>
        </w:tc>
        <w:tc>
          <w:tcPr>
            <w:tcW w:w="6790" w:type="dxa"/>
            <w:tcBorders>
              <w:tl2br w:val="nil"/>
              <w:tr2bl w:val="nil"/>
            </w:tcBorders>
            <w:vAlign w:val="center"/>
          </w:tcPr>
          <w:p w14:paraId="2D680491">
            <w:pPr>
              <w:pStyle w:val="5"/>
              <w:spacing w:line="240" w:lineRule="auto"/>
              <w:ind w:firstLine="0"/>
              <w:rPr>
                <w:rFonts w:asciiTheme="minorEastAsia" w:hAnsiTheme="minorEastAsia" w:eastAsiaTheme="minorEastAsia"/>
                <w:color w:val="auto"/>
                <w:sz w:val="21"/>
                <w:szCs w:val="21"/>
              </w:rPr>
            </w:pPr>
            <w:bookmarkStart w:id="15" w:name="_Hlk185591196"/>
            <w:r>
              <w:rPr>
                <w:rFonts w:hint="eastAsia" w:asciiTheme="minorEastAsia" w:hAnsiTheme="minorEastAsia" w:eastAsiaTheme="minorEastAsia"/>
                <w:color w:val="auto"/>
                <w:sz w:val="21"/>
                <w:szCs w:val="21"/>
              </w:rPr>
              <w:t>合计两年，协议一年一签；征集人根据入围供应商上一年度的考核情况、资金审批情况决定是否续签。</w:t>
            </w:r>
            <w:bookmarkEnd w:id="15"/>
          </w:p>
        </w:tc>
      </w:tr>
      <w:tr w14:paraId="673E75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42" w:hRule="atLeast"/>
          <w:tblHeader/>
          <w:jc w:val="center"/>
        </w:trPr>
        <w:tc>
          <w:tcPr>
            <w:tcW w:w="629" w:type="dxa"/>
            <w:tcBorders>
              <w:tl2br w:val="nil"/>
              <w:tr2bl w:val="nil"/>
            </w:tcBorders>
            <w:vAlign w:val="center"/>
          </w:tcPr>
          <w:p w14:paraId="1806C199">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5</w:t>
            </w:r>
          </w:p>
        </w:tc>
        <w:tc>
          <w:tcPr>
            <w:tcW w:w="2524" w:type="dxa"/>
            <w:tcBorders>
              <w:tl2br w:val="nil"/>
              <w:tr2bl w:val="nil"/>
            </w:tcBorders>
            <w:vAlign w:val="center"/>
          </w:tcPr>
          <w:p w14:paraId="35E82459">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bCs/>
                <w:color w:val="000000" w:themeColor="text1"/>
                <w:szCs w:val="21"/>
              </w:rPr>
              <w:t>联合体投标</w:t>
            </w:r>
          </w:p>
        </w:tc>
        <w:tc>
          <w:tcPr>
            <w:tcW w:w="6790" w:type="dxa"/>
            <w:tcBorders>
              <w:tl2br w:val="nil"/>
              <w:tr2bl w:val="nil"/>
            </w:tcBorders>
            <w:vAlign w:val="center"/>
          </w:tcPr>
          <w:p w14:paraId="1D8B5CE0">
            <w:pPr>
              <w:rPr>
                <w:rFonts w:asciiTheme="minorEastAsia" w:hAnsiTheme="minorEastAsia" w:eastAsiaTheme="minorEastAsia"/>
                <w:szCs w:val="21"/>
              </w:rPr>
            </w:pPr>
            <w:r>
              <w:rPr>
                <w:rFonts w:hint="eastAsia" w:asciiTheme="minorEastAsia" w:hAnsiTheme="minorEastAsia" w:eastAsiaTheme="minorEastAsia"/>
                <w:bCs/>
                <w:szCs w:val="21"/>
              </w:rPr>
              <w:sym w:font="Wingdings" w:char="00FE"/>
            </w:r>
            <w:r>
              <w:rPr>
                <w:rFonts w:hint="eastAsia" w:asciiTheme="minorEastAsia" w:hAnsiTheme="minorEastAsia" w:eastAsiaTheme="minorEastAsia"/>
                <w:szCs w:val="21"/>
              </w:rPr>
              <w:t>不接受；接受。</w:t>
            </w:r>
          </w:p>
        </w:tc>
      </w:tr>
      <w:tr w14:paraId="696312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5" w:hRule="atLeast"/>
          <w:tblHeader/>
          <w:jc w:val="center"/>
        </w:trPr>
        <w:tc>
          <w:tcPr>
            <w:tcW w:w="629" w:type="dxa"/>
            <w:tcBorders>
              <w:tl2br w:val="nil"/>
              <w:tr2bl w:val="nil"/>
            </w:tcBorders>
            <w:vAlign w:val="center"/>
          </w:tcPr>
          <w:p w14:paraId="3F736293">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6</w:t>
            </w:r>
          </w:p>
        </w:tc>
        <w:tc>
          <w:tcPr>
            <w:tcW w:w="2524" w:type="dxa"/>
            <w:tcBorders>
              <w:tl2br w:val="nil"/>
              <w:tr2bl w:val="nil"/>
            </w:tcBorders>
            <w:vAlign w:val="center"/>
          </w:tcPr>
          <w:p w14:paraId="53221C00">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bCs/>
                <w:color w:val="000000" w:themeColor="text1"/>
                <w:szCs w:val="21"/>
              </w:rPr>
              <w:t>是否允许转包与分包</w:t>
            </w:r>
          </w:p>
        </w:tc>
        <w:tc>
          <w:tcPr>
            <w:tcW w:w="6790" w:type="dxa"/>
            <w:tcBorders>
              <w:tl2br w:val="nil"/>
              <w:tr2bl w:val="nil"/>
            </w:tcBorders>
            <w:vAlign w:val="center"/>
          </w:tcPr>
          <w:p w14:paraId="3392E1A6">
            <w:pPr>
              <w:pStyle w:val="3"/>
              <w:spacing w:line="240" w:lineRule="auto"/>
              <w:jc w:val="both"/>
              <w:rPr>
                <w:rFonts w:asciiTheme="minorEastAsia" w:hAnsiTheme="minorEastAsia" w:eastAsiaTheme="minorEastAsia"/>
                <w:sz w:val="21"/>
                <w:szCs w:val="21"/>
                <w:lang w:val="en-US"/>
              </w:rPr>
            </w:pPr>
            <w:r>
              <w:rPr>
                <w:rFonts w:hint="eastAsia" w:cs="宋体" w:asciiTheme="minorEastAsia" w:hAnsiTheme="minorEastAsia" w:eastAsiaTheme="minorEastAsia"/>
                <w:b w:val="0"/>
                <w:bCs w:val="0"/>
                <w:color w:val="000000" w:themeColor="text1"/>
                <w:sz w:val="21"/>
                <w:szCs w:val="21"/>
                <w:lang w:val="en-US"/>
              </w:rPr>
              <w:t>转包：否；分包：否</w:t>
            </w:r>
          </w:p>
        </w:tc>
      </w:tr>
      <w:tr w14:paraId="36E1B3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16C73575">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7</w:t>
            </w:r>
          </w:p>
        </w:tc>
        <w:tc>
          <w:tcPr>
            <w:tcW w:w="2524" w:type="dxa"/>
            <w:tcBorders>
              <w:tl2br w:val="nil"/>
              <w:tr2bl w:val="nil"/>
            </w:tcBorders>
            <w:vAlign w:val="center"/>
          </w:tcPr>
          <w:p w14:paraId="10220C44">
            <w:pPr>
              <w:snapToGrid w:val="0"/>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中小企业划分标准所属行业</w:t>
            </w:r>
          </w:p>
        </w:tc>
        <w:tc>
          <w:tcPr>
            <w:tcW w:w="6790" w:type="dxa"/>
            <w:tcBorders>
              <w:tl2br w:val="nil"/>
              <w:tr2bl w:val="nil"/>
            </w:tcBorders>
            <w:vAlign w:val="center"/>
          </w:tcPr>
          <w:p w14:paraId="29D25ED3">
            <w:pPr>
              <w:rPr>
                <w:rFonts w:cs="宋体" w:asciiTheme="minorEastAsia" w:hAnsiTheme="minorEastAsia" w:eastAsiaTheme="minorEastAsia"/>
                <w:snapToGrid w:val="0"/>
                <w:color w:val="000000" w:themeColor="text1"/>
                <w:kern w:val="28"/>
                <w:szCs w:val="21"/>
              </w:rPr>
            </w:pPr>
            <w:r>
              <w:rPr>
                <w:rFonts w:hint="eastAsia" w:cs="宋体" w:asciiTheme="minorEastAsia" w:hAnsiTheme="minorEastAsia" w:eastAsiaTheme="minorEastAsia"/>
                <w:color w:val="000000" w:themeColor="text1"/>
                <w:szCs w:val="21"/>
              </w:rPr>
              <w:t>采购标的：岱山县财政局2025-2027年政府投资项目工程造价咨询服务</w:t>
            </w:r>
            <w:r>
              <w:rPr>
                <w:rFonts w:hint="eastAsia" w:cs="宋体" w:asciiTheme="minorEastAsia" w:hAnsiTheme="minorEastAsia" w:eastAsiaTheme="minorEastAsia"/>
                <w:snapToGrid w:val="0"/>
                <w:color w:val="000000" w:themeColor="text1"/>
                <w:kern w:val="28"/>
                <w:szCs w:val="21"/>
              </w:rPr>
              <w:t>；</w:t>
            </w:r>
          </w:p>
          <w:p w14:paraId="1B135C7A">
            <w:pP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所属行业：其他未列明行业</w:t>
            </w:r>
          </w:p>
        </w:tc>
      </w:tr>
      <w:tr w14:paraId="570125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582BDD3E">
            <w:pPr>
              <w:snapToGrid w:val="0"/>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8</w:t>
            </w:r>
          </w:p>
        </w:tc>
        <w:tc>
          <w:tcPr>
            <w:tcW w:w="2524" w:type="dxa"/>
            <w:tcBorders>
              <w:tl2br w:val="nil"/>
              <w:tr2bl w:val="nil"/>
            </w:tcBorders>
            <w:vAlign w:val="center"/>
          </w:tcPr>
          <w:p w14:paraId="42D1A158">
            <w:pPr>
              <w:snapToGrid w:val="0"/>
              <w:jc w:val="center"/>
              <w:rPr>
                <w:rFonts w:cs="宋体" w:asciiTheme="minorEastAsia" w:hAnsiTheme="minorEastAsia" w:eastAsiaTheme="minorEastAsia"/>
                <w:b/>
                <w:bCs/>
                <w:color w:val="000000" w:themeColor="text1"/>
                <w:szCs w:val="21"/>
              </w:rPr>
            </w:pPr>
            <w:r>
              <w:rPr>
                <w:rFonts w:hint="eastAsia" w:asciiTheme="minorEastAsia" w:hAnsiTheme="minorEastAsia" w:eastAsiaTheme="minorEastAsia"/>
                <w:b/>
                <w:bCs/>
                <w:szCs w:val="21"/>
              </w:rPr>
              <w:t>中小企业预留份额情况</w:t>
            </w:r>
          </w:p>
        </w:tc>
        <w:tc>
          <w:tcPr>
            <w:tcW w:w="6790" w:type="dxa"/>
            <w:tcBorders>
              <w:tl2br w:val="nil"/>
              <w:tr2bl w:val="nil"/>
            </w:tcBorders>
            <w:vAlign w:val="center"/>
          </w:tcPr>
          <w:p w14:paraId="51EC09DF">
            <w:pPr>
              <w:rPr>
                <w:rFonts w:asciiTheme="minorEastAsia" w:hAnsiTheme="minorEastAsia" w:eastAsiaTheme="minorEastAsia"/>
                <w:bCs/>
                <w:szCs w:val="21"/>
              </w:rPr>
            </w:pPr>
            <w:r>
              <w:rPr>
                <w:rFonts w:hint="eastAsia" w:asciiTheme="minorEastAsia" w:hAnsiTheme="minorEastAsia" w:eastAsiaTheme="minorEastAsia"/>
                <w:szCs w:val="21"/>
              </w:rPr>
              <w:t>根据《政府采购促进中小企业发展管理办法》（财库〔2020〕46号），本项目专门面向中小企业采购。</w:t>
            </w:r>
          </w:p>
        </w:tc>
      </w:tr>
      <w:tr w14:paraId="53CCC6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0A2BF899">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9</w:t>
            </w:r>
          </w:p>
        </w:tc>
        <w:tc>
          <w:tcPr>
            <w:tcW w:w="2524" w:type="dxa"/>
            <w:tcBorders>
              <w:tl2br w:val="nil"/>
              <w:tr2bl w:val="nil"/>
            </w:tcBorders>
            <w:vAlign w:val="center"/>
          </w:tcPr>
          <w:p w14:paraId="47AB9E29">
            <w:pPr>
              <w:snapToGrid w:val="0"/>
              <w:spacing w:line="360" w:lineRule="auto"/>
              <w:jc w:val="center"/>
              <w:rPr>
                <w:rFonts w:cs="宋体" w:asciiTheme="minorEastAsia" w:hAnsiTheme="minorEastAsia" w:eastAsiaTheme="minorEastAsia"/>
                <w:b/>
                <w:color w:val="000000" w:themeColor="text1"/>
                <w:szCs w:val="21"/>
              </w:rPr>
            </w:pPr>
            <w:r>
              <w:rPr>
                <w:rFonts w:hint="eastAsia" w:asciiTheme="minorEastAsia" w:hAnsiTheme="minorEastAsia" w:eastAsiaTheme="minorEastAsia"/>
                <w:b/>
                <w:szCs w:val="21"/>
              </w:rPr>
              <w:t>扶持政策说明</w:t>
            </w:r>
          </w:p>
        </w:tc>
        <w:tc>
          <w:tcPr>
            <w:tcW w:w="6790" w:type="dxa"/>
            <w:tcBorders>
              <w:tl2br w:val="nil"/>
              <w:tr2bl w:val="nil"/>
            </w:tcBorders>
            <w:vAlign w:val="center"/>
          </w:tcPr>
          <w:p w14:paraId="4D3F41E4">
            <w:pPr>
              <w:adjustRightInd/>
              <w:rPr>
                <w:rFonts w:ascii="宋体" w:hAnsi="宋体"/>
                <w:szCs w:val="22"/>
              </w:rPr>
            </w:pPr>
            <w:r>
              <w:rPr>
                <w:rFonts w:hint="eastAsia" w:ascii="宋体" w:hAnsi="宋体"/>
                <w:szCs w:val="22"/>
              </w:rPr>
              <w:t>（1）中小企业预留份额情况：根据《政府采购促进中小企业发展管理办法》（财库〔2020〕46号），本项目专门面向中小企业。</w:t>
            </w:r>
            <w:r>
              <w:rPr>
                <w:rFonts w:hint="eastAsia" w:ascii="宋体" w:hAnsi="宋体"/>
                <w:b/>
                <w:bCs/>
                <w:szCs w:val="22"/>
              </w:rPr>
              <w:t>本项目对应的中小企业划分标准所属行业：其他未列明行业。</w:t>
            </w:r>
          </w:p>
          <w:p w14:paraId="02BF4422">
            <w:pPr>
              <w:adjustRightInd/>
              <w:rPr>
                <w:rFonts w:ascii="宋体" w:hAnsi="宋体"/>
                <w:szCs w:val="22"/>
              </w:rPr>
            </w:pPr>
            <w:r>
              <w:rPr>
                <w:rFonts w:hint="eastAsia" w:ascii="宋体" w:hAnsi="宋体"/>
                <w:szCs w:val="22"/>
              </w:rPr>
              <w:t>（2）在政府采购活动中，供应商提供的货物、工程或者服务符合下列情形的，享受本办法规定的中小企业扶持政策：</w:t>
            </w:r>
          </w:p>
          <w:p w14:paraId="0D7877B6">
            <w:pPr>
              <w:adjustRightInd/>
              <w:rPr>
                <w:rFonts w:ascii="宋体" w:hAnsi="宋体"/>
                <w:szCs w:val="22"/>
              </w:rPr>
            </w:pPr>
            <w:r>
              <w:rPr>
                <w:rFonts w:hint="eastAsia" w:ascii="宋体" w:hAnsi="宋体"/>
                <w:szCs w:val="22"/>
              </w:rPr>
              <w:t>①在货物采购项目中，货物由中小企业制造，即货物由中小企业生产且使用该中小企业商号或者注册商标；</w:t>
            </w:r>
          </w:p>
          <w:p w14:paraId="5492E959">
            <w:pPr>
              <w:adjustRightInd/>
              <w:rPr>
                <w:rFonts w:ascii="宋体" w:hAnsi="宋体"/>
                <w:szCs w:val="22"/>
              </w:rPr>
            </w:pPr>
            <w:r>
              <w:rPr>
                <w:rFonts w:hint="eastAsia" w:ascii="宋体" w:hAnsi="宋体"/>
                <w:szCs w:val="22"/>
              </w:rPr>
              <w:t>②在工程采购项目中，工程由中小企业承建，即工程施工单位为中小企业；</w:t>
            </w:r>
          </w:p>
          <w:p w14:paraId="16C8FB57">
            <w:pPr>
              <w:adjustRightInd/>
              <w:rPr>
                <w:rFonts w:ascii="宋体" w:hAnsi="宋体"/>
                <w:szCs w:val="22"/>
              </w:rPr>
            </w:pPr>
            <w:r>
              <w:rPr>
                <w:rFonts w:hint="eastAsia" w:ascii="宋体" w:hAnsi="宋体"/>
                <w:szCs w:val="22"/>
              </w:rPr>
              <w:t>③在服务采购项目中，服务由中小企业承接，即提供服务的人员为中小企业依照《中华人民共和国劳动合同法》订立劳动合同的从业人员。</w:t>
            </w:r>
          </w:p>
          <w:p w14:paraId="3645D227">
            <w:pPr>
              <w:adjustRightInd/>
              <w:rPr>
                <w:rFonts w:ascii="宋体" w:hAnsi="宋体"/>
                <w:szCs w:val="22"/>
              </w:rPr>
            </w:pPr>
            <w:r>
              <w:rPr>
                <w:rFonts w:hint="eastAsia" w:ascii="宋体" w:hAnsi="宋体"/>
                <w:szCs w:val="22"/>
              </w:rPr>
              <w:t>在货物采购项目中，供应商提供的货物既有中小企业制造货物，也有大型企业制造货物的，不享受本办法规定的中小企业扶持政策。</w:t>
            </w:r>
          </w:p>
          <w:p w14:paraId="6DD6402F">
            <w:pPr>
              <w:adjustRightInd/>
              <w:rPr>
                <w:rFonts w:ascii="宋体" w:hAnsi="宋体"/>
                <w:szCs w:val="22"/>
              </w:rPr>
            </w:pPr>
            <w:r>
              <w:rPr>
                <w:rFonts w:hint="eastAsia" w:ascii="宋体" w:hAnsi="宋体"/>
                <w:szCs w:val="22"/>
              </w:rPr>
              <w:t>以联合体形式参加政府采购活动，联合体各方均为中小企业的，联合体视同中小企业。其中，联合体各方均为小微企业的，联合体视同小微企业。</w:t>
            </w:r>
          </w:p>
          <w:p w14:paraId="2C3D94CC">
            <w:pPr>
              <w:adjustRightInd/>
              <w:rPr>
                <w:rFonts w:ascii="宋体" w:hAnsi="宋体"/>
                <w:szCs w:val="22"/>
              </w:rPr>
            </w:pPr>
            <w:r>
              <w:rPr>
                <w:rFonts w:hint="eastAsia" w:ascii="宋体" w:hAnsi="宋体"/>
                <w:szCs w:val="22"/>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3403DF4D">
            <w:pPr>
              <w:adjustRightInd/>
              <w:rPr>
                <w:rFonts w:ascii="宋体" w:hAnsi="宋体"/>
                <w:szCs w:val="22"/>
              </w:rPr>
            </w:pPr>
            <w:r>
              <w:rPr>
                <w:rFonts w:hint="eastAsia" w:ascii="宋体" w:hAnsi="宋体"/>
                <w:szCs w:val="22"/>
              </w:rPr>
              <w:t>（4）投标人符合《三部门联合发布关于促进残疾人就业政府采购政策的通知》（财库〔2017〕141号）文件要求，并提供《残疾人福利性单位声明函》的，则视同小型、微型企业。</w:t>
            </w:r>
          </w:p>
          <w:p w14:paraId="09A2F38E">
            <w:pPr>
              <w:adjustRightInd/>
              <w:rPr>
                <w:rFonts w:ascii="宋体" w:hAnsi="宋体"/>
                <w:szCs w:val="22"/>
              </w:rPr>
            </w:pPr>
            <w:r>
              <w:rPr>
                <w:rFonts w:hint="eastAsia" w:ascii="宋体" w:hAnsi="宋体"/>
                <w:szCs w:val="22"/>
              </w:rPr>
              <w:t>本项目专门面向中小企业采购（参加投标供应商须出具《中小企业声明函》，未提供不认定为中小企业，此次投标无效）。</w:t>
            </w:r>
          </w:p>
        </w:tc>
      </w:tr>
      <w:tr w14:paraId="3887833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68D9AD8B">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10</w:t>
            </w:r>
          </w:p>
        </w:tc>
        <w:tc>
          <w:tcPr>
            <w:tcW w:w="2524" w:type="dxa"/>
            <w:tcBorders>
              <w:tl2br w:val="nil"/>
              <w:tr2bl w:val="nil"/>
            </w:tcBorders>
            <w:vAlign w:val="center"/>
          </w:tcPr>
          <w:p w14:paraId="4706A090">
            <w:pPr>
              <w:snapToGrid w:val="0"/>
              <w:jc w:val="center"/>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确定入围供应商的淘汰率或者入围供应商数量上限</w:t>
            </w:r>
          </w:p>
        </w:tc>
        <w:tc>
          <w:tcPr>
            <w:tcW w:w="6790" w:type="dxa"/>
            <w:tcBorders>
              <w:tl2br w:val="nil"/>
              <w:tr2bl w:val="nil"/>
            </w:tcBorders>
            <w:vAlign w:val="center"/>
          </w:tcPr>
          <w:p w14:paraId="682E94AE">
            <w:pPr>
              <w:snapToGrid w:val="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根据排序规则从高到低至最多入围10家单位。（淘汰比例须满足进入排序单位数量的20%（含）以上，取整数，而且至少淘汰一家供应商）。</w:t>
            </w:r>
          </w:p>
        </w:tc>
      </w:tr>
      <w:tr w14:paraId="5181AB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4D66F6AC">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11</w:t>
            </w:r>
          </w:p>
        </w:tc>
        <w:tc>
          <w:tcPr>
            <w:tcW w:w="2524" w:type="dxa"/>
            <w:tcBorders>
              <w:tl2br w:val="nil"/>
              <w:tr2bl w:val="nil"/>
            </w:tcBorders>
            <w:vAlign w:val="center"/>
          </w:tcPr>
          <w:p w14:paraId="0660E1C0">
            <w:pPr>
              <w:snapToGrid w:val="0"/>
              <w:spacing w:line="360" w:lineRule="auto"/>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入围方式</w:t>
            </w:r>
          </w:p>
        </w:tc>
        <w:tc>
          <w:tcPr>
            <w:tcW w:w="6790" w:type="dxa"/>
            <w:tcBorders>
              <w:tl2br w:val="nil"/>
              <w:tr2bl w:val="nil"/>
            </w:tcBorders>
            <w:vAlign w:val="center"/>
          </w:tcPr>
          <w:p w14:paraId="12D3146B">
            <w:pPr>
              <w:numPr>
                <w:ilvl w:val="0"/>
                <w:numId w:val="1"/>
              </w:numPr>
              <w:snapToGrid w:val="0"/>
              <w:rPr>
                <w:rFonts w:cs="宋体" w:asciiTheme="minorEastAsia" w:hAnsiTheme="minorEastAsia" w:eastAsiaTheme="minorEastAsia"/>
                <w:color w:val="auto"/>
                <w:szCs w:val="21"/>
                <w:lang w:eastAsia="zh-TW"/>
              </w:rPr>
            </w:pPr>
            <w:r>
              <w:rPr>
                <w:rFonts w:hint="eastAsia" w:cs="宋体" w:asciiTheme="minorEastAsia" w:hAnsiTheme="minorEastAsia" w:eastAsiaTheme="minorEastAsia"/>
                <w:color w:val="auto"/>
                <w:szCs w:val="21"/>
                <w:lang w:eastAsia="zh-TW"/>
              </w:rPr>
              <w:t>根据中华人民共和国财政部令第110号《政府采购框架协议采购方式管理办法》，确定第一阶段入围供应商的</w:t>
            </w:r>
            <w:r>
              <w:rPr>
                <w:rFonts w:hint="eastAsia" w:cs="宋体" w:asciiTheme="minorEastAsia" w:hAnsiTheme="minorEastAsia" w:eastAsiaTheme="minorEastAsia"/>
                <w:color w:val="auto"/>
                <w:szCs w:val="21"/>
              </w:rPr>
              <w:t>评审</w:t>
            </w:r>
            <w:r>
              <w:rPr>
                <w:rFonts w:hint="eastAsia" w:cs="宋体" w:asciiTheme="minorEastAsia" w:hAnsiTheme="minorEastAsia" w:eastAsiaTheme="minorEastAsia"/>
                <w:color w:val="auto"/>
                <w:szCs w:val="21"/>
                <w:lang w:eastAsia="zh-TW"/>
              </w:rPr>
              <w:t>方法为</w:t>
            </w:r>
            <w:r>
              <w:rPr>
                <w:rFonts w:hint="eastAsia" w:cs="宋体" w:asciiTheme="minorEastAsia" w:hAnsiTheme="minorEastAsia" w:eastAsiaTheme="minorEastAsia"/>
                <w:b/>
                <w:bCs/>
                <w:color w:val="auto"/>
                <w:szCs w:val="21"/>
                <w:u w:val="single"/>
              </w:rPr>
              <w:t>质量</w:t>
            </w:r>
            <w:r>
              <w:rPr>
                <w:rFonts w:hint="eastAsia" w:cs="宋体" w:asciiTheme="minorEastAsia" w:hAnsiTheme="minorEastAsia" w:eastAsiaTheme="minorEastAsia"/>
                <w:b/>
                <w:bCs/>
                <w:color w:val="auto"/>
                <w:szCs w:val="21"/>
                <w:u w:val="single"/>
                <w:lang w:eastAsia="zh-TW"/>
              </w:rPr>
              <w:t>优先法</w:t>
            </w:r>
            <w:r>
              <w:rPr>
                <w:rFonts w:hint="eastAsia" w:cs="宋体" w:asciiTheme="minorEastAsia" w:hAnsiTheme="minorEastAsia" w:eastAsiaTheme="minorEastAsia"/>
                <w:color w:val="auto"/>
                <w:szCs w:val="21"/>
                <w:lang w:eastAsia="zh-TW"/>
              </w:rPr>
              <w:t>。</w:t>
            </w:r>
            <w:bookmarkStart w:id="16" w:name="_Hlk185513109"/>
            <w:r>
              <w:rPr>
                <w:rFonts w:hint="eastAsia" w:cs="宋体" w:asciiTheme="minorEastAsia" w:hAnsiTheme="minorEastAsia" w:eastAsiaTheme="minorEastAsia"/>
                <w:color w:val="auto"/>
                <w:szCs w:val="21"/>
                <w:lang w:eastAsia="zh-TW"/>
              </w:rPr>
              <w:t>第二阶段成交供应商确定：送审金额在1亿元以下的采用顺序轮候方式，1亿元以上（含1亿元）的在入围供应商中采用二次竞价方式。</w:t>
            </w:r>
          </w:p>
          <w:bookmarkEnd w:id="16"/>
          <w:p w14:paraId="4CF793FB">
            <w:pPr>
              <w:numPr>
                <w:ilvl w:val="0"/>
                <w:numId w:val="1"/>
              </w:numPr>
              <w:snapToGrid w:val="0"/>
              <w:rPr>
                <w:rFonts w:cs="宋体" w:asciiTheme="minorEastAsia" w:hAnsiTheme="minorEastAsia" w:eastAsiaTheme="minorEastAsia"/>
                <w:color w:val="auto"/>
                <w:szCs w:val="21"/>
                <w:lang w:eastAsia="zh-TW"/>
              </w:rPr>
            </w:pPr>
            <w:bookmarkStart w:id="17" w:name="_Hlk185929005"/>
            <w:r>
              <w:rPr>
                <w:rFonts w:hint="eastAsia" w:cs="宋体" w:asciiTheme="minorEastAsia" w:hAnsiTheme="minorEastAsia" w:eastAsiaTheme="minorEastAsia"/>
                <w:color w:val="auto"/>
                <w:szCs w:val="21"/>
                <w:lang w:eastAsia="zh-TW"/>
              </w:rPr>
              <w:t>排序</w:t>
            </w:r>
            <w:r>
              <w:rPr>
                <w:rFonts w:hint="eastAsia" w:cs="宋体" w:asciiTheme="minorEastAsia" w:hAnsiTheme="minorEastAsia" w:eastAsiaTheme="minorEastAsia"/>
                <w:color w:val="auto"/>
                <w:szCs w:val="21"/>
              </w:rPr>
              <w:t>：</w:t>
            </w:r>
            <w:r>
              <w:rPr>
                <w:rFonts w:hint="eastAsia" w:cs="宋体" w:asciiTheme="minorEastAsia" w:hAnsiTheme="minorEastAsia" w:eastAsiaTheme="minorEastAsia"/>
                <w:color w:val="auto"/>
                <w:szCs w:val="21"/>
                <w:lang w:eastAsia="zh-TW"/>
              </w:rPr>
              <w:t>按评审后汇总得分（商务技术得分情况）由高到低顺序排列。汇总得分相同的，按照客观分得分由高到低顺序排列；客观分得分也相同的，按团队负责人一级注册造价工程师初始注册时间早的入围</w:t>
            </w:r>
            <w:r>
              <w:rPr>
                <w:rFonts w:hint="eastAsia" w:cs="宋体" w:asciiTheme="minorEastAsia" w:hAnsiTheme="minorEastAsia" w:eastAsiaTheme="minorEastAsia"/>
                <w:b/>
                <w:color w:val="auto"/>
                <w:szCs w:val="21"/>
              </w:rPr>
              <w:t>(如证书上未体现初始时间的，可提供相关证明文件，未提供视为证书上的时间，下同)</w:t>
            </w:r>
            <w:r>
              <w:rPr>
                <w:rFonts w:hint="eastAsia" w:cs="宋体" w:asciiTheme="minorEastAsia" w:hAnsiTheme="minorEastAsia" w:eastAsiaTheme="minorEastAsia"/>
                <w:color w:val="auto"/>
                <w:szCs w:val="21"/>
                <w:lang w:eastAsia="zh-TW"/>
              </w:rPr>
              <w:t>；团队负责人一级注册造价工程师初始注册时间也相同的，按技术负责人一级注册造价工程师初始注册时间早的入围；都相同的，抽签决定，第一次抽签出来的为第一，依序排列。</w:t>
            </w:r>
            <w:bookmarkEnd w:id="17"/>
          </w:p>
        </w:tc>
      </w:tr>
      <w:tr w14:paraId="2B0E91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7D36FD16">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12</w:t>
            </w:r>
          </w:p>
        </w:tc>
        <w:tc>
          <w:tcPr>
            <w:tcW w:w="2524" w:type="dxa"/>
            <w:tcBorders>
              <w:tl2br w:val="nil"/>
              <w:tr2bl w:val="nil"/>
            </w:tcBorders>
            <w:vAlign w:val="center"/>
          </w:tcPr>
          <w:p w14:paraId="1BFF83CB">
            <w:pPr>
              <w:snapToGrid w:val="0"/>
              <w:spacing w:line="360" w:lineRule="auto"/>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报价要求</w:t>
            </w:r>
          </w:p>
        </w:tc>
        <w:tc>
          <w:tcPr>
            <w:tcW w:w="6790" w:type="dxa"/>
            <w:tcBorders>
              <w:tl2br w:val="nil"/>
              <w:tr2bl w:val="nil"/>
            </w:tcBorders>
            <w:vAlign w:val="center"/>
          </w:tcPr>
          <w:p w14:paraId="4AA2DCB7">
            <w:pPr>
              <w:rPr>
                <w:rFonts w:ascii="宋体" w:hAnsi="宋体" w:cs="仿宋"/>
                <w:color w:val="auto"/>
                <w:szCs w:val="21"/>
              </w:rPr>
            </w:pPr>
            <w:bookmarkStart w:id="18" w:name="_Hlk185584383"/>
            <w:r>
              <w:rPr>
                <w:rFonts w:hint="eastAsia" w:ascii="宋体" w:hAnsi="宋体" w:cs="仿宋"/>
                <w:color w:val="auto"/>
                <w:szCs w:val="21"/>
              </w:rPr>
              <w:t>本项目采用固定价格采购，价格不列为评审因素。审核费用的计算以浙价服〔2009〕84号文件规定为基础（注：每件咨询服务合同按上表计算不足2000元的，按2000元收费，概算审核的收费基数不包括土地使用费）。</w:t>
            </w:r>
          </w:p>
          <w:p w14:paraId="3021AC6D">
            <w:pPr>
              <w:autoSpaceDE w:val="0"/>
              <w:autoSpaceDN w:val="0"/>
              <w:rPr>
                <w:rFonts w:ascii="宋体"/>
                <w:color w:val="auto"/>
                <w:szCs w:val="21"/>
              </w:rPr>
            </w:pPr>
            <w:r>
              <w:rPr>
                <w:rFonts w:hint="eastAsia" w:ascii="宋体"/>
                <w:color w:val="auto"/>
                <w:szCs w:val="21"/>
              </w:rPr>
              <w:t>1.送审核金额1亿元以下的：</w:t>
            </w:r>
          </w:p>
          <w:p w14:paraId="135A1DAB">
            <w:pPr>
              <w:rPr>
                <w:rFonts w:ascii="宋体" w:hAnsi="宋体" w:cs="仿宋"/>
                <w:color w:val="auto"/>
                <w:szCs w:val="21"/>
              </w:rPr>
            </w:pPr>
            <w:r>
              <w:rPr>
                <w:rFonts w:hint="eastAsia" w:ascii="宋体" w:hAnsi="宋体" w:cs="仿宋"/>
                <w:color w:val="auto"/>
                <w:szCs w:val="21"/>
              </w:rPr>
              <w:t>概算和预算（招标控制价）审核费：按浙价服〔2009〕84号文件概算和预算审核规定收费标准的21%执行。</w:t>
            </w:r>
          </w:p>
          <w:p w14:paraId="758008F7">
            <w:pPr>
              <w:numPr>
                <w:ilvl w:val="0"/>
                <w:numId w:val="2"/>
              </w:numPr>
              <w:autoSpaceDE w:val="0"/>
              <w:autoSpaceDN w:val="0"/>
              <w:rPr>
                <w:rFonts w:ascii="宋体"/>
                <w:color w:val="auto"/>
                <w:szCs w:val="21"/>
              </w:rPr>
            </w:pPr>
            <w:r>
              <w:rPr>
                <w:rFonts w:hint="eastAsia" w:ascii="宋体" w:hAnsi="宋体" w:cs="仿宋"/>
                <w:color w:val="auto"/>
                <w:szCs w:val="21"/>
              </w:rPr>
              <w:t>送审金额</w:t>
            </w:r>
            <w:r>
              <w:rPr>
                <w:rFonts w:hint="eastAsia" w:ascii="宋体"/>
                <w:color w:val="auto"/>
                <w:szCs w:val="21"/>
              </w:rPr>
              <w:t>1亿元及以上的：</w:t>
            </w:r>
          </w:p>
          <w:p w14:paraId="41537A38">
            <w:pPr>
              <w:pStyle w:val="38"/>
              <w:snapToGrid w:val="0"/>
              <w:ind w:left="0" w:leftChars="0" w:firstLine="0" w:firstLineChars="0"/>
              <w:rPr>
                <w:rFonts w:cs="宋体" w:asciiTheme="minorEastAsia" w:hAnsiTheme="minorEastAsia" w:eastAsiaTheme="minorEastAsia"/>
                <w:color w:val="auto"/>
                <w:szCs w:val="21"/>
              </w:rPr>
            </w:pPr>
            <w:r>
              <w:rPr>
                <w:rFonts w:hint="eastAsia" w:cs="仿宋"/>
                <w:color w:val="auto"/>
                <w:szCs w:val="21"/>
              </w:rPr>
              <w:t>在以按浙价服〔2009〕84号文件概算和预算审核规定收费标准的21%为最高限价的基础上，以二次竞价的方式另行确定</w:t>
            </w:r>
            <w:bookmarkEnd w:id="18"/>
          </w:p>
        </w:tc>
      </w:tr>
      <w:tr w14:paraId="0471A8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0A734838">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13</w:t>
            </w:r>
          </w:p>
        </w:tc>
        <w:tc>
          <w:tcPr>
            <w:tcW w:w="2524" w:type="dxa"/>
            <w:tcBorders>
              <w:tl2br w:val="nil"/>
              <w:tr2bl w:val="nil"/>
            </w:tcBorders>
            <w:vAlign w:val="center"/>
          </w:tcPr>
          <w:p w14:paraId="4F998409">
            <w:pPr>
              <w:snapToGrid w:val="0"/>
              <w:spacing w:line="360" w:lineRule="auto"/>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招标代理费</w:t>
            </w:r>
          </w:p>
        </w:tc>
        <w:tc>
          <w:tcPr>
            <w:tcW w:w="6790" w:type="dxa"/>
            <w:tcBorders>
              <w:tl2br w:val="nil"/>
              <w:tr2bl w:val="nil"/>
            </w:tcBorders>
            <w:vAlign w:val="center"/>
          </w:tcPr>
          <w:p w14:paraId="72316D5C">
            <w:pPr>
              <w:adjustRightInd/>
              <w:rPr>
                <w:bCs/>
                <w:szCs w:val="21"/>
              </w:rPr>
            </w:pPr>
            <w:r>
              <w:rPr>
                <w:rFonts w:hint="eastAsia"/>
                <w:szCs w:val="21"/>
              </w:rPr>
              <w:t>1.供应商</w:t>
            </w:r>
            <w:r>
              <w:rPr>
                <w:rFonts w:hint="eastAsia"/>
                <w:bCs/>
                <w:szCs w:val="21"/>
              </w:rPr>
              <w:t>应承担其参加本次征集活动所发生的所有费用。</w:t>
            </w:r>
          </w:p>
          <w:p w14:paraId="45F5F61A">
            <w:pPr>
              <w:adjustRightInd/>
              <w:spacing w:line="240" w:lineRule="exact"/>
              <w:rPr>
                <w:bCs/>
                <w:szCs w:val="21"/>
              </w:rPr>
            </w:pPr>
            <w:r>
              <w:rPr>
                <w:rFonts w:hint="eastAsia"/>
                <w:bCs/>
                <w:szCs w:val="21"/>
              </w:rPr>
              <w:t>2</w:t>
            </w:r>
            <w:r>
              <w:rPr>
                <w:bCs/>
                <w:szCs w:val="21"/>
              </w:rPr>
              <w:t>.</w:t>
            </w:r>
            <w:r>
              <w:rPr>
                <w:rFonts w:hint="eastAsia"/>
                <w:bCs/>
                <w:szCs w:val="21"/>
              </w:rPr>
              <w:t>入围供应商须缴纳招标代理费，收费金额为：每个入围供应商：人民币肆仟伍佰元整（45</w:t>
            </w:r>
            <w:r>
              <w:rPr>
                <w:bCs/>
                <w:szCs w:val="21"/>
              </w:rPr>
              <w:t>00.00</w:t>
            </w:r>
            <w:r>
              <w:rPr>
                <w:rFonts w:hint="eastAsia"/>
                <w:bCs/>
                <w:szCs w:val="21"/>
              </w:rPr>
              <w:t>元）。</w:t>
            </w:r>
          </w:p>
          <w:p w14:paraId="5016F5A8">
            <w:pPr>
              <w:rPr>
                <w:rFonts w:ascii="宋体" w:hAnsi="宋体" w:cs="仿宋"/>
                <w:szCs w:val="21"/>
              </w:rPr>
            </w:pPr>
            <w:r>
              <w:rPr>
                <w:szCs w:val="22"/>
              </w:rPr>
              <w:t>4.</w:t>
            </w:r>
            <w:r>
              <w:rPr>
                <w:rFonts w:hint="eastAsia"/>
                <w:szCs w:val="22"/>
              </w:rPr>
              <w:t>入围通知书发出的同时，入围供应商应及时支付招标代理费，收到服务费后提供全额发票。入围结果确认后，因入围供应商自身原因退出入围，招标代理费不予退回。</w:t>
            </w:r>
          </w:p>
        </w:tc>
      </w:tr>
      <w:tr w14:paraId="49CD8A1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03" w:hRule="atLeast"/>
          <w:tblHeader/>
          <w:jc w:val="center"/>
        </w:trPr>
        <w:tc>
          <w:tcPr>
            <w:tcW w:w="629" w:type="dxa"/>
            <w:tcBorders>
              <w:tl2br w:val="nil"/>
              <w:tr2bl w:val="nil"/>
            </w:tcBorders>
            <w:vAlign w:val="center"/>
          </w:tcPr>
          <w:p w14:paraId="76BD22A6">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14</w:t>
            </w:r>
          </w:p>
        </w:tc>
        <w:tc>
          <w:tcPr>
            <w:tcW w:w="2524" w:type="dxa"/>
            <w:tcBorders>
              <w:tl2br w:val="nil"/>
              <w:tr2bl w:val="nil"/>
            </w:tcBorders>
            <w:vAlign w:val="center"/>
          </w:tcPr>
          <w:p w14:paraId="7B328D75">
            <w:pPr>
              <w:snapToGrid w:val="0"/>
              <w:spacing w:line="360" w:lineRule="auto"/>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供应商应当提供的资格、商务技术、报价等响应文件</w:t>
            </w:r>
          </w:p>
        </w:tc>
        <w:tc>
          <w:tcPr>
            <w:tcW w:w="6790" w:type="dxa"/>
            <w:tcBorders>
              <w:tl2br w:val="nil"/>
              <w:tr2bl w:val="nil"/>
            </w:tcBorders>
            <w:vAlign w:val="center"/>
          </w:tcPr>
          <w:p w14:paraId="55E58146">
            <w:pP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见征集文件第三部分“12.响应文件的组成”。第二部分“采购需求”、第四部分“确定第一阶段入围供应商的评审方法”、第六部分“响应文件编制格式及规范要求”的要求。供应商未提供有效的响应文件的，视为供应商不具备征集文件中规定的资格要求，响应无效。</w:t>
            </w:r>
          </w:p>
        </w:tc>
      </w:tr>
      <w:tr w14:paraId="41034A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50" w:hRule="atLeast"/>
          <w:tblHeader/>
          <w:jc w:val="center"/>
        </w:trPr>
        <w:tc>
          <w:tcPr>
            <w:tcW w:w="629" w:type="dxa"/>
            <w:tcBorders>
              <w:tl2br w:val="nil"/>
              <w:tr2bl w:val="nil"/>
            </w:tcBorders>
            <w:vAlign w:val="center"/>
          </w:tcPr>
          <w:p w14:paraId="04809F08">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15</w:t>
            </w:r>
          </w:p>
        </w:tc>
        <w:tc>
          <w:tcPr>
            <w:tcW w:w="2524" w:type="dxa"/>
            <w:tcBorders>
              <w:tl2br w:val="nil"/>
              <w:tr2bl w:val="nil"/>
            </w:tcBorders>
            <w:vAlign w:val="center"/>
          </w:tcPr>
          <w:p w14:paraId="42D7AFD6">
            <w:pPr>
              <w:snapToGrid w:val="0"/>
              <w:spacing w:line="360" w:lineRule="auto"/>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响应文件提交方式</w:t>
            </w:r>
          </w:p>
        </w:tc>
        <w:tc>
          <w:tcPr>
            <w:tcW w:w="6790" w:type="dxa"/>
            <w:tcBorders>
              <w:tl2br w:val="nil"/>
              <w:tr2bl w:val="nil"/>
            </w:tcBorders>
            <w:vAlign w:val="center"/>
          </w:tcPr>
          <w:p w14:paraId="3D28303A">
            <w:pPr>
              <w:snapToGrid w:val="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本项目通过政采云平台进行电子投标（响应）。</w:t>
            </w:r>
          </w:p>
          <w:p w14:paraId="3EA215C9">
            <w:pPr>
              <w:snapToGrid w:val="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供应商进行电子投标（响应）应安装客户端软件—“政采云电子交易客户端”，并按照征集文件和电子交易平台的要求编制并加密投标（响应）文件。供应商未按规定加密的投标（响应）文件，电子交易平台将拒收并提示。</w:t>
            </w:r>
          </w:p>
          <w:p w14:paraId="57ECB62D">
            <w:pPr>
              <w:snapToGrid w:val="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使用“政采云电子交易客户端”需要提前申领CA数字证书，申领流程请自行前往“浙江政府采购网-下载专区-电子交易客户端-CA驱动和申领流程”进行查阅。</w:t>
            </w:r>
          </w:p>
          <w:p w14:paraId="070DBC24">
            <w:pPr>
              <w:pStyle w:val="38"/>
              <w:snapToGrid w:val="0"/>
              <w:ind w:left="0" w:leftChars="0" w:firstLine="0" w:firstLineChars="0"/>
              <w:jc w:val="left"/>
              <w:rPr>
                <w:rFonts w:asciiTheme="minorEastAsia" w:hAnsiTheme="minorEastAsia" w:eastAsiaTheme="minorEastAsia"/>
                <w:color w:val="000000" w:themeColor="text1"/>
                <w:szCs w:val="21"/>
              </w:rPr>
            </w:pPr>
            <w:r>
              <w:rPr>
                <w:rFonts w:hint="eastAsia" w:asciiTheme="minorEastAsia" w:hAnsiTheme="minorEastAsia" w:eastAsiaTheme="minorEastAsia"/>
                <w:b/>
                <w:bCs/>
                <w:color w:val="000000" w:themeColor="text1"/>
                <w:szCs w:val="21"/>
              </w:rPr>
              <w:t>征集人拒绝纸质或非按本征集文件规定形式提交的投标（响应）文件。</w:t>
            </w:r>
          </w:p>
        </w:tc>
      </w:tr>
      <w:tr w14:paraId="7D3F9C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770" w:hRule="atLeast"/>
          <w:tblHeader/>
          <w:jc w:val="center"/>
        </w:trPr>
        <w:tc>
          <w:tcPr>
            <w:tcW w:w="629" w:type="dxa"/>
            <w:tcBorders>
              <w:tl2br w:val="nil"/>
              <w:tr2bl w:val="nil"/>
            </w:tcBorders>
            <w:vAlign w:val="center"/>
          </w:tcPr>
          <w:p w14:paraId="1DD512EA">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16</w:t>
            </w:r>
          </w:p>
        </w:tc>
        <w:tc>
          <w:tcPr>
            <w:tcW w:w="2524" w:type="dxa"/>
            <w:tcBorders>
              <w:tl2br w:val="nil"/>
              <w:tr2bl w:val="nil"/>
            </w:tcBorders>
            <w:vAlign w:val="center"/>
          </w:tcPr>
          <w:p w14:paraId="0369E898">
            <w:pPr>
              <w:snapToGrid w:val="0"/>
              <w:spacing w:line="360" w:lineRule="auto"/>
              <w:jc w:val="center"/>
              <w:rPr>
                <w:rFonts w:cs="宋体" w:asciiTheme="minorEastAsia" w:hAnsiTheme="minorEastAsia" w:eastAsiaTheme="minorEastAsia"/>
                <w:b/>
                <w:bCs/>
                <w:color w:val="000000" w:themeColor="text1"/>
                <w:szCs w:val="21"/>
              </w:rPr>
            </w:pPr>
            <w:r>
              <w:rPr>
                <w:rFonts w:hint="eastAsia" w:cs="宋体" w:asciiTheme="minorEastAsia" w:hAnsiTheme="minorEastAsia" w:eastAsiaTheme="minorEastAsia"/>
                <w:b/>
                <w:bCs/>
                <w:color w:val="000000" w:themeColor="text1"/>
                <w:szCs w:val="21"/>
              </w:rPr>
              <w:t>响应文件的解密</w:t>
            </w:r>
          </w:p>
        </w:tc>
        <w:tc>
          <w:tcPr>
            <w:tcW w:w="6790" w:type="dxa"/>
            <w:tcBorders>
              <w:tl2br w:val="nil"/>
              <w:tr2bl w:val="nil"/>
            </w:tcBorders>
            <w:vAlign w:val="center"/>
          </w:tcPr>
          <w:p w14:paraId="7C3312CA">
            <w:pPr>
              <w:pStyle w:val="3"/>
              <w:snapToGrid w:val="0"/>
              <w:spacing w:line="240" w:lineRule="auto"/>
              <w:ind w:left="0" w:firstLine="0"/>
              <w:rPr>
                <w:rFonts w:cs="宋体" w:asciiTheme="minorEastAsia" w:hAnsiTheme="minorEastAsia" w:eastAsiaTheme="minorEastAsia"/>
                <w:b w:val="0"/>
                <w:bCs w:val="0"/>
                <w:color w:val="000000" w:themeColor="text1"/>
                <w:sz w:val="21"/>
                <w:szCs w:val="21"/>
                <w:lang w:val="en-US"/>
              </w:rPr>
            </w:pPr>
            <w:r>
              <w:rPr>
                <w:rFonts w:hint="eastAsia" w:asciiTheme="minorEastAsia" w:hAnsiTheme="minorEastAsia" w:eastAsiaTheme="minorEastAsia"/>
                <w:b w:val="0"/>
                <w:bCs w:val="0"/>
                <w:color w:val="000000" w:themeColor="text1"/>
                <w:sz w:val="21"/>
                <w:szCs w:val="21"/>
                <w:lang w:val="en-US"/>
              </w:rPr>
              <w:t>供应商应按照平台提示和征集文件的规定在</w:t>
            </w:r>
            <w:r>
              <w:rPr>
                <w:rFonts w:hint="eastAsia" w:asciiTheme="minorEastAsia" w:hAnsiTheme="minorEastAsia" w:eastAsiaTheme="minorEastAsia"/>
                <w:color w:val="000000" w:themeColor="text1"/>
                <w:sz w:val="21"/>
                <w:szCs w:val="21"/>
                <w:lang w:val="en-US"/>
              </w:rPr>
              <w:t>半小时内</w:t>
            </w:r>
            <w:r>
              <w:rPr>
                <w:rFonts w:hint="eastAsia" w:asciiTheme="minorEastAsia" w:hAnsiTheme="minorEastAsia" w:eastAsiaTheme="minorEastAsia"/>
                <w:b w:val="0"/>
                <w:bCs w:val="0"/>
                <w:color w:val="000000" w:themeColor="text1"/>
                <w:sz w:val="21"/>
                <w:szCs w:val="21"/>
                <w:lang w:val="en-US"/>
              </w:rPr>
              <w:t>完成在线解密。详见第三部分“四、开启响应文件、资格审查与信用信息查询”。</w:t>
            </w:r>
          </w:p>
        </w:tc>
      </w:tr>
      <w:tr w14:paraId="5F1939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80" w:hRule="atLeast"/>
          <w:tblHeader/>
          <w:jc w:val="center"/>
        </w:trPr>
        <w:tc>
          <w:tcPr>
            <w:tcW w:w="629" w:type="dxa"/>
            <w:tcBorders>
              <w:tl2br w:val="nil"/>
              <w:tr2bl w:val="nil"/>
            </w:tcBorders>
            <w:vAlign w:val="center"/>
          </w:tcPr>
          <w:p w14:paraId="1C4B55C6">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17</w:t>
            </w:r>
          </w:p>
        </w:tc>
        <w:tc>
          <w:tcPr>
            <w:tcW w:w="2524" w:type="dxa"/>
            <w:tcBorders>
              <w:tl2br w:val="nil"/>
              <w:tr2bl w:val="nil"/>
            </w:tcBorders>
            <w:vAlign w:val="center"/>
          </w:tcPr>
          <w:p w14:paraId="64E6C4EC">
            <w:pPr>
              <w:snapToGrid w:val="0"/>
              <w:spacing w:line="360" w:lineRule="auto"/>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响应无效情形</w:t>
            </w:r>
          </w:p>
        </w:tc>
        <w:tc>
          <w:tcPr>
            <w:tcW w:w="6790" w:type="dxa"/>
            <w:tcBorders>
              <w:tl2br w:val="nil"/>
              <w:tr2bl w:val="nil"/>
            </w:tcBorders>
            <w:vAlign w:val="center"/>
          </w:tcPr>
          <w:p w14:paraId="54E5E7F2">
            <w:pPr>
              <w:snapToGrid w:val="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详见征集文件第四部分和其他部分特别指出之处。</w:t>
            </w:r>
          </w:p>
        </w:tc>
      </w:tr>
      <w:tr w14:paraId="6614FF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108" w:hRule="atLeast"/>
          <w:tblHeader/>
          <w:jc w:val="center"/>
        </w:trPr>
        <w:tc>
          <w:tcPr>
            <w:tcW w:w="629" w:type="dxa"/>
            <w:tcBorders>
              <w:tl2br w:val="nil"/>
              <w:tr2bl w:val="nil"/>
            </w:tcBorders>
            <w:vAlign w:val="center"/>
          </w:tcPr>
          <w:p w14:paraId="3BD8F1D4">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18</w:t>
            </w:r>
          </w:p>
        </w:tc>
        <w:tc>
          <w:tcPr>
            <w:tcW w:w="2524" w:type="dxa"/>
            <w:tcBorders>
              <w:tl2br w:val="nil"/>
              <w:tr2bl w:val="nil"/>
            </w:tcBorders>
            <w:vAlign w:val="center"/>
          </w:tcPr>
          <w:p w14:paraId="6696BFAA">
            <w:pPr>
              <w:snapToGrid w:val="0"/>
              <w:spacing w:line="360" w:lineRule="auto"/>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中小企业信用融资</w:t>
            </w:r>
          </w:p>
        </w:tc>
        <w:tc>
          <w:tcPr>
            <w:tcW w:w="6790" w:type="dxa"/>
            <w:tcBorders>
              <w:tl2br w:val="nil"/>
              <w:tr2bl w:val="nil"/>
            </w:tcBorders>
            <w:vAlign w:val="center"/>
          </w:tcPr>
          <w:p w14:paraId="1D4054D1">
            <w:pPr>
              <w:pStyle w:val="38"/>
              <w:spacing w:after="0"/>
              <w:ind w:left="0" w:leftChars="0" w:firstLine="0" w:firstLineChars="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入围供应商第二阶段中标后可在“政采云”平台申请政采贷：操作路径：登录政采云平台 ——前台大厅——网站导航— 金融服务 -【融资贷款】，可在热门申请中选择产品直接申请，也可点击云智贷匹配适合产品进行申请，或者在可申请项目中根据该项目进行申请。有关的合作银行详见附件。</w:t>
            </w:r>
          </w:p>
        </w:tc>
      </w:tr>
      <w:tr w14:paraId="6A2D69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34" w:hRule="atLeast"/>
          <w:tblHeader/>
          <w:jc w:val="center"/>
        </w:trPr>
        <w:tc>
          <w:tcPr>
            <w:tcW w:w="629" w:type="dxa"/>
            <w:tcBorders>
              <w:tl2br w:val="nil"/>
              <w:tr2bl w:val="nil"/>
            </w:tcBorders>
            <w:vAlign w:val="center"/>
          </w:tcPr>
          <w:p w14:paraId="14CF1564">
            <w:pPr>
              <w:snapToGrid w:val="0"/>
              <w:spacing w:line="360" w:lineRule="auto"/>
              <w:jc w:val="center"/>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19</w:t>
            </w:r>
          </w:p>
        </w:tc>
        <w:tc>
          <w:tcPr>
            <w:tcW w:w="2524" w:type="dxa"/>
            <w:tcBorders>
              <w:tl2br w:val="nil"/>
              <w:tr2bl w:val="nil"/>
            </w:tcBorders>
            <w:vAlign w:val="center"/>
          </w:tcPr>
          <w:p w14:paraId="53786918">
            <w:pPr>
              <w:snapToGrid w:val="0"/>
              <w:spacing w:line="360" w:lineRule="auto"/>
              <w:jc w:val="center"/>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备份响应文件及样品送达地点和签收人员</w:t>
            </w:r>
          </w:p>
        </w:tc>
        <w:tc>
          <w:tcPr>
            <w:tcW w:w="6790" w:type="dxa"/>
            <w:tcBorders>
              <w:tl2br w:val="nil"/>
              <w:tr2bl w:val="nil"/>
            </w:tcBorders>
            <w:vAlign w:val="center"/>
          </w:tcPr>
          <w:p w14:paraId="4176500D">
            <w:pPr>
              <w:pStyle w:val="22"/>
              <w:rPr>
                <w:rFonts w:cs="宋体" w:asciiTheme="minorEastAsia" w:hAnsiTheme="minorEastAsia" w:eastAsiaTheme="minorEastAsia"/>
                <w:kern w:val="28"/>
              </w:rPr>
            </w:pPr>
            <w:r>
              <w:rPr>
                <w:rFonts w:hint="eastAsia" w:cs="宋体" w:asciiTheme="minorEastAsia" w:hAnsiTheme="minorEastAsia" w:eastAsiaTheme="minorEastAsia"/>
                <w:kern w:val="28"/>
              </w:rPr>
              <w:t>供应商应于2025年</w:t>
            </w:r>
            <w:r>
              <w:rPr>
                <w:rFonts w:hint="eastAsia" w:cs="宋体" w:asciiTheme="minorEastAsia" w:hAnsiTheme="minorEastAsia" w:eastAsiaTheme="minorEastAsia"/>
                <w:kern w:val="28"/>
                <w:lang w:val="en-US" w:eastAsia="zh-CN"/>
              </w:rPr>
              <w:t>01</w:t>
            </w:r>
            <w:r>
              <w:rPr>
                <w:rFonts w:hint="eastAsia" w:cs="宋体" w:asciiTheme="minorEastAsia" w:hAnsiTheme="minorEastAsia" w:eastAsiaTheme="minorEastAsia"/>
                <w:kern w:val="28"/>
              </w:rPr>
              <w:t>月</w:t>
            </w:r>
            <w:r>
              <w:rPr>
                <w:rFonts w:hint="eastAsia" w:cs="宋体" w:asciiTheme="minorEastAsia" w:hAnsiTheme="minorEastAsia" w:eastAsiaTheme="minorEastAsia"/>
                <w:kern w:val="28"/>
                <w:lang w:val="en-US" w:eastAsia="zh-CN"/>
              </w:rPr>
              <w:t>16</w:t>
            </w:r>
            <w:r>
              <w:rPr>
                <w:rFonts w:hint="eastAsia" w:cs="宋体" w:asciiTheme="minorEastAsia" w:hAnsiTheme="minorEastAsia" w:eastAsiaTheme="minorEastAsia"/>
                <w:kern w:val="28"/>
              </w:rPr>
              <w:t>日11：30（北京时间）前将备份的投标文件寄于采购代理公司，地址：舟山市定海区昌国路232号中楼202深圳市国信招标有限公司舟山分公司（（收件人：任女士，联系电话：13567673203）。也可在开标会现场递交。</w:t>
            </w:r>
          </w:p>
          <w:p w14:paraId="1E0B9779">
            <w:pPr>
              <w:pStyle w:val="22"/>
              <w:rPr>
                <w:rFonts w:cs="仿宋_GB2312" w:asciiTheme="minorEastAsia" w:hAnsiTheme="minorEastAsia" w:eastAsiaTheme="minorEastAsia"/>
              </w:rPr>
            </w:pPr>
            <w:r>
              <w:rPr>
                <w:rFonts w:hint="eastAsia" w:cs="宋体" w:asciiTheme="minorEastAsia" w:hAnsiTheme="minorEastAsia" w:eastAsiaTheme="minorEastAsia"/>
                <w:kern w:val="28"/>
              </w:rPr>
              <w:t>备份响应文件要求见征集文件第三部分“16.备份响应文件”。</w:t>
            </w:r>
          </w:p>
          <w:p w14:paraId="54259138">
            <w:pPr>
              <w:pStyle w:val="22"/>
              <w:rPr>
                <w:rFonts w:cs="宋体" w:asciiTheme="minorEastAsia" w:hAnsiTheme="minorEastAsia" w:eastAsiaTheme="minorEastAsia"/>
                <w:color w:val="FF0000"/>
                <w:kern w:val="28"/>
              </w:rPr>
            </w:pPr>
            <w:r>
              <w:rPr>
                <w:rFonts w:hint="eastAsia" w:cs="宋体" w:asciiTheme="minorEastAsia" w:hAnsiTheme="minorEastAsia" w:eastAsiaTheme="minorEastAsia"/>
                <w:b/>
              </w:rPr>
              <w:t>征集人不强制或变相强制供应商提交备份响应文件，但由此造成项目开评标活动无法进行下去的，投标无效，相关风险由供应商自行承担。</w:t>
            </w:r>
          </w:p>
        </w:tc>
      </w:tr>
      <w:bookmarkEnd w:id="10"/>
    </w:tbl>
    <w:p w14:paraId="2C58342C">
      <w:pPr>
        <w:adjustRightInd/>
        <w:spacing w:line="360" w:lineRule="auto"/>
        <w:ind w:firstLine="482" w:firstLineChars="200"/>
        <w:outlineLvl w:val="0"/>
        <w:rPr>
          <w:rFonts w:ascii="仿宋_GB2312" w:hAnsi="宋体" w:eastAsia="仿宋_GB2312" w:cs="宋体"/>
          <w:b/>
          <w:color w:val="000000" w:themeColor="text1"/>
          <w:sz w:val="24"/>
        </w:rPr>
      </w:pPr>
      <w:bookmarkStart w:id="19" w:name="_Toc164416483"/>
    </w:p>
    <w:p w14:paraId="7001B3A2">
      <w:pPr>
        <w:adjustRightInd/>
        <w:spacing w:line="360" w:lineRule="auto"/>
        <w:outlineLvl w:val="0"/>
        <w:rPr>
          <w:rFonts w:ascii="仿宋_GB2312" w:hAnsi="宋体" w:eastAsia="仿宋_GB2312" w:cs="宋体"/>
          <w:b/>
          <w:color w:val="000000" w:themeColor="text1"/>
          <w:sz w:val="24"/>
        </w:rPr>
      </w:pPr>
    </w:p>
    <w:p w14:paraId="1B9CBAD6">
      <w:pPr>
        <w:adjustRightInd/>
        <w:spacing w:line="360" w:lineRule="auto"/>
        <w:outlineLvl w:val="0"/>
        <w:rPr>
          <w:rFonts w:cs="宋体" w:asciiTheme="minorEastAsia" w:hAnsiTheme="minorEastAsia" w:eastAsiaTheme="minorEastAsia"/>
          <w:b/>
          <w:color w:val="000000" w:themeColor="text1"/>
          <w:sz w:val="24"/>
        </w:rPr>
      </w:pPr>
      <w:r>
        <w:rPr>
          <w:rFonts w:hint="eastAsia" w:cs="宋体" w:asciiTheme="minorEastAsia" w:hAnsiTheme="minorEastAsia" w:eastAsiaTheme="minorEastAsia"/>
          <w:b/>
          <w:color w:val="000000" w:themeColor="text1"/>
          <w:sz w:val="24"/>
        </w:rPr>
        <w:t>一、总则</w:t>
      </w:r>
    </w:p>
    <w:p w14:paraId="47336CCB">
      <w:pPr>
        <w:snapToGrid w:val="0"/>
        <w:spacing w:line="360" w:lineRule="auto"/>
        <w:jc w:val="left"/>
        <w:outlineLvl w:val="1"/>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1. 适用范围</w:t>
      </w:r>
    </w:p>
    <w:p w14:paraId="62C8646E">
      <w:pPr>
        <w:snapToGrid w:val="0"/>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本征集文件适用于该项目的征集、响应、开标（开启响应文件）、资格审查及信用信息查询、评审、定标（确定入围）、协议签订、合同签订、验收、履约、支付、协议期内管理、清退、补充等行为（法律、法规另有规定的，从其规定）。</w:t>
      </w:r>
    </w:p>
    <w:p w14:paraId="761C3148">
      <w:pPr>
        <w:adjustRightInd/>
        <w:spacing w:line="360" w:lineRule="auto"/>
        <w:jc w:val="left"/>
        <w:outlineLvl w:val="0"/>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2. 定义</w:t>
      </w:r>
    </w:p>
    <w:p w14:paraId="155FFB9F">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2.1 “征集人”系指征集公告中载明的本项目的征集人，系岱山县财政局（岱山县政府投资项目审价中心）。</w:t>
      </w:r>
    </w:p>
    <w:p w14:paraId="679D5959">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2.2 “采购代理机构”系指征集公告中载明的本项目的采购代理机构，系深圳市国信招标有限公司。</w:t>
      </w:r>
    </w:p>
    <w:p w14:paraId="721205F9">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2.3 “供应商”系指参与响应本次征集、参加响应竞争的法人、其他组织或者自然人。</w:t>
      </w:r>
    </w:p>
    <w:p w14:paraId="633431DA">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2.4 “负责人”系指法人企业的法定负责人，或其他组织为法律、行政法规规定代表单位行使职权的主要负责人，或自然人本人。</w:t>
      </w:r>
    </w:p>
    <w:p w14:paraId="4D2139F4">
      <w:pPr>
        <w:pStyle w:val="46"/>
        <w:spacing w:line="360" w:lineRule="auto"/>
        <w:ind w:firstLine="400"/>
        <w:rPr>
          <w:rFonts w:asciiTheme="minorEastAsia" w:hAnsiTheme="minorEastAsia" w:eastAsiaTheme="minorEastAsia"/>
          <w:sz w:val="21"/>
          <w:szCs w:val="21"/>
        </w:rPr>
      </w:pPr>
      <w:r>
        <w:rPr>
          <w:rFonts w:hint="eastAsia" w:cs="宋体" w:asciiTheme="minorEastAsia" w:hAnsiTheme="minorEastAsia" w:eastAsiaTheme="minorEastAsia"/>
          <w:color w:val="000000" w:themeColor="text1"/>
          <w:sz w:val="21"/>
          <w:szCs w:val="21"/>
        </w:rPr>
        <w:t xml:space="preserve">2.5 </w:t>
      </w:r>
      <w:r>
        <w:rPr>
          <w:rFonts w:hint="eastAsia" w:asciiTheme="minorEastAsia" w:hAnsiTheme="minorEastAsia" w:eastAsiaTheme="minorEastAsia"/>
          <w:sz w:val="21"/>
          <w:szCs w:val="21"/>
        </w:rPr>
        <w:t>“供应商代表”系指负责人或其授权的委托代理人。</w:t>
      </w:r>
    </w:p>
    <w:p w14:paraId="3F69917D">
      <w:pPr>
        <w:pStyle w:val="46"/>
        <w:spacing w:line="360" w:lineRule="auto"/>
        <w:ind w:firstLine="400"/>
        <w:rPr>
          <w:rFonts w:asciiTheme="minorEastAsia" w:hAnsiTheme="minorEastAsia" w:eastAsiaTheme="minorEastAsia"/>
          <w:sz w:val="21"/>
          <w:szCs w:val="21"/>
        </w:rPr>
      </w:pPr>
      <w:r>
        <w:rPr>
          <w:rFonts w:hint="eastAsia" w:cs="宋体" w:asciiTheme="minorEastAsia" w:hAnsiTheme="minorEastAsia" w:eastAsiaTheme="minorEastAsia"/>
          <w:color w:val="000000" w:themeColor="text1"/>
          <w:sz w:val="21"/>
          <w:szCs w:val="21"/>
        </w:rPr>
        <w:t xml:space="preserve">2.6 </w:t>
      </w:r>
      <w:r>
        <w:rPr>
          <w:rFonts w:hint="eastAsia" w:asciiTheme="minorEastAsia" w:hAnsiTheme="minorEastAsia" w:eastAsiaTheme="minorEastAsia"/>
          <w:sz w:val="21"/>
          <w:szCs w:val="21"/>
        </w:rPr>
        <w:t>“合同”系指征集人与中标人双方签署的规定双方权利与义务的协议，以及所有附件、附录、招标文件和投标文件所提到的构成合同的所有文件。</w:t>
      </w:r>
    </w:p>
    <w:p w14:paraId="67227026">
      <w:pPr>
        <w:pStyle w:val="18"/>
        <w:rPr>
          <w:rFonts w:asciiTheme="minorEastAsia" w:hAnsiTheme="minorEastAsia" w:eastAsiaTheme="minorEastAsia"/>
          <w:sz w:val="21"/>
          <w:lang w:val="en-US"/>
        </w:rPr>
      </w:pPr>
      <w:r>
        <w:rPr>
          <w:rFonts w:hint="eastAsia" w:asciiTheme="minorEastAsia" w:hAnsiTheme="minorEastAsia" w:eastAsiaTheme="minorEastAsia"/>
          <w:sz w:val="21"/>
          <w:lang w:val="en-US"/>
        </w:rPr>
        <w:t xml:space="preserve">    2.7 “产品”系指供应商按招标文件规定，须向征集人提供的一切产品（包括：虚拟产品），以及产品相关的保险、税金、备品备件、附件、耗材、工具、手册及其它有关技术资料和材料等。</w:t>
      </w:r>
    </w:p>
    <w:p w14:paraId="62D10478">
      <w:pPr>
        <w:pStyle w:val="18"/>
        <w:rPr>
          <w:rFonts w:asciiTheme="minorEastAsia" w:hAnsiTheme="minorEastAsia" w:eastAsiaTheme="minorEastAsia"/>
          <w:sz w:val="21"/>
        </w:rPr>
      </w:pPr>
      <w:r>
        <w:rPr>
          <w:rFonts w:hint="eastAsia" w:asciiTheme="minorEastAsia" w:hAnsiTheme="minorEastAsia" w:eastAsiaTheme="minorEastAsia"/>
          <w:sz w:val="21"/>
          <w:lang w:val="en-US"/>
        </w:rPr>
        <w:t xml:space="preserve">    2.8 </w:t>
      </w:r>
      <w:r>
        <w:rPr>
          <w:rFonts w:hint="eastAsia" w:asciiTheme="minorEastAsia" w:hAnsiTheme="minorEastAsia" w:eastAsiaTheme="minorEastAsia"/>
          <w:sz w:val="21"/>
        </w:rPr>
        <w:t>“服务”系指供应商按招标文件规定应承担的送货上门、安装、调试、技术协助、维修、产品三包制度、校准、培训、技术指导以及其他类似的附随义务。</w:t>
      </w:r>
    </w:p>
    <w:p w14:paraId="42265BEE">
      <w:pPr>
        <w:pStyle w:val="19"/>
        <w:ind w:firstLine="0"/>
        <w:rPr>
          <w:rFonts w:asciiTheme="minorEastAsia" w:hAnsiTheme="minorEastAsia" w:eastAsiaTheme="minorEastAsia"/>
          <w:sz w:val="21"/>
          <w:szCs w:val="21"/>
          <w:lang w:val="en-US"/>
        </w:rPr>
      </w:pPr>
      <w:r>
        <w:rPr>
          <w:rFonts w:hint="eastAsia" w:asciiTheme="minorEastAsia" w:hAnsiTheme="minorEastAsia" w:eastAsiaTheme="minorEastAsia"/>
          <w:sz w:val="21"/>
          <w:szCs w:val="21"/>
          <w:lang w:val="en-US"/>
        </w:rPr>
        <w:t xml:space="preserve">    2.9 </w:t>
      </w:r>
      <w:r>
        <w:rPr>
          <w:rFonts w:hint="eastAsia" w:asciiTheme="minorEastAsia" w:hAnsiTheme="minorEastAsia" w:eastAsiaTheme="minorEastAsia"/>
          <w:sz w:val="21"/>
          <w:szCs w:val="21"/>
        </w:rPr>
        <w:t>“项目”系指供应商按招标文件规定向征集人提供的产品和服务。</w:t>
      </w:r>
    </w:p>
    <w:p w14:paraId="4FC57EE3">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2.10 “电子签名”系指数据电文中以电子形式所含、所附用于识别签名人身份并表明签名人认可其中内容的数据；“公章”系指单位法定名称章。</w:t>
      </w:r>
    </w:p>
    <w:p w14:paraId="0FD780EC">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2.11 “电子交易平台”是指本项目政府采购活动所依托的政府采购云平台（https://www.zcygov.cn/）。</w:t>
      </w:r>
    </w:p>
    <w:p w14:paraId="074331E8">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2.12 “★” 系指实质性要求条款，</w:t>
      </w:r>
      <w:r>
        <w:rPr>
          <w:rFonts w:hint="eastAsia" w:asciiTheme="minorEastAsia" w:hAnsiTheme="minorEastAsia" w:eastAsiaTheme="minorEastAsia"/>
          <w:szCs w:val="21"/>
        </w:rPr>
        <w:t>不允许负偏离</w:t>
      </w:r>
      <w:r>
        <w:rPr>
          <w:rFonts w:hint="eastAsia" w:cs="宋体" w:asciiTheme="minorEastAsia" w:hAnsiTheme="minorEastAsia" w:eastAsiaTheme="minorEastAsia"/>
          <w:color w:val="000000" w:themeColor="text1"/>
          <w:szCs w:val="21"/>
        </w:rPr>
        <w:t>。</w:t>
      </w:r>
    </w:p>
    <w:p w14:paraId="6852CB29">
      <w:pPr>
        <w:spacing w:line="360" w:lineRule="auto"/>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3. 联合体投标</w:t>
      </w:r>
    </w:p>
    <w:p w14:paraId="1B0C0F32">
      <w:pPr>
        <w:pStyle w:val="18"/>
        <w:ind w:firstLine="420" w:firstLineChars="200"/>
        <w:rPr>
          <w:rFonts w:asciiTheme="minorEastAsia" w:hAnsiTheme="minorEastAsia" w:eastAsiaTheme="minorEastAsia"/>
          <w:sz w:val="21"/>
          <w:lang w:val="en-US"/>
        </w:rPr>
      </w:pPr>
      <w:r>
        <w:rPr>
          <w:rFonts w:hint="eastAsia" w:asciiTheme="minorEastAsia" w:hAnsiTheme="minorEastAsia" w:eastAsiaTheme="minorEastAsia"/>
          <w:sz w:val="21"/>
        </w:rPr>
        <w:t>本项目不接受联合体投标。</w:t>
      </w:r>
    </w:p>
    <w:p w14:paraId="5F540D76">
      <w:pPr>
        <w:spacing w:line="360" w:lineRule="auto"/>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4. 采购项目需要落实的政府采购政策</w:t>
      </w:r>
    </w:p>
    <w:p w14:paraId="41F9B655">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（1）中小企业预留份额情况：根据《政府采购促进中小企业发展管理办法》（财库〔2020〕46号），本项目专门面向中小企业。本项目对应的中小企业划分标准所属行业：其也未列明行业。</w:t>
      </w:r>
    </w:p>
    <w:p w14:paraId="4C48268D">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（2）在政府采购活动中，供应商提供的货物、工程或者服务符合下列情形的，享受本办法规定的中小企业扶持政策：</w:t>
      </w:r>
    </w:p>
    <w:p w14:paraId="4FE80CA3">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①在货物采购项目中，货物由中小企业制造，即货物由中小企业生产且使用该中小企业商号或者注册商标；</w:t>
      </w:r>
    </w:p>
    <w:p w14:paraId="618E616F">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②在工程采购项目中，工程由中小企业承建，即工程施工单位为中小企业；</w:t>
      </w:r>
    </w:p>
    <w:p w14:paraId="4F7AA7E4">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③在服务采购项目中，服务由中小企业承接，即提供服务的人员为中小企业依照《中华人民共和国劳动合同法》订立劳动合同的从业人员。</w:t>
      </w:r>
    </w:p>
    <w:p w14:paraId="4983850C">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在货物采购项目中，供应商提供的货物既有中小企业制造货物，也有大型企业制造货物的，不享受本办法规定的中小企业扶持政策。</w:t>
      </w:r>
    </w:p>
    <w:p w14:paraId="22629F8B">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以联合体形式参加政府采购活动，联合体各方均为中小企业的，联合体视同中小企业。其中，联合体各方均为小微企业的，联合体视同小微企业。</w:t>
      </w:r>
    </w:p>
    <w:p w14:paraId="7AE29C59">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61B828D0">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（4）投标人符合《三部门联合发布关于促进残疾人就业政府采购政策的通知》（财库〔2017〕141号）文件要求，并提供《残疾人福利性单位声明函》的，则视同小型、微型企业。</w:t>
      </w:r>
    </w:p>
    <w:p w14:paraId="53E6456C">
      <w:pPr>
        <w:spacing w:line="360" w:lineRule="auto"/>
        <w:ind w:firstLine="420" w:firstLineChars="200"/>
        <w:jc w:val="left"/>
        <w:rPr>
          <w:rFonts w:cs="宋体" w:asciiTheme="minorEastAsia" w:hAnsiTheme="minorEastAsia" w:eastAsiaTheme="minorEastAsia"/>
          <w:b/>
          <w:bCs/>
          <w:color w:val="000000" w:themeColor="text1"/>
          <w:szCs w:val="21"/>
        </w:rPr>
      </w:pPr>
      <w:r>
        <w:rPr>
          <w:rFonts w:hint="eastAsia" w:cs="宋体" w:asciiTheme="minorEastAsia" w:hAnsiTheme="minorEastAsia" w:eastAsiaTheme="minorEastAsia"/>
          <w:color w:val="000000" w:themeColor="text1"/>
          <w:szCs w:val="21"/>
        </w:rPr>
        <w:t>本项目专门面向中小企业采购（参加投标供应商须出具《中小企业声明函》，未提供不认定为中小企业，此次投标无效）。</w:t>
      </w:r>
    </w:p>
    <w:p w14:paraId="53C9023D">
      <w:pPr>
        <w:spacing w:line="360" w:lineRule="auto"/>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5. 询问、质疑、投诉</w:t>
      </w:r>
    </w:p>
    <w:p w14:paraId="7D1DE7AC">
      <w:pPr>
        <w:autoSpaceDE w:val="0"/>
        <w:autoSpaceDN w:val="0"/>
        <w:spacing w:line="360" w:lineRule="auto"/>
        <w:ind w:firstLine="420" w:firstLineChars="200"/>
        <w:jc w:val="left"/>
        <w:rPr>
          <w:rFonts w:cs="宋体" w:asciiTheme="minorEastAsia" w:hAnsiTheme="minorEastAsia" w:eastAsiaTheme="minorEastAsia"/>
          <w:color w:val="000000" w:themeColor="text1"/>
          <w:kern w:val="0"/>
          <w:szCs w:val="21"/>
          <w:lang w:val="zh-CN"/>
        </w:rPr>
      </w:pPr>
      <w:r>
        <w:rPr>
          <w:rFonts w:hint="eastAsia" w:cs="宋体" w:asciiTheme="minorEastAsia" w:hAnsiTheme="minorEastAsia" w:eastAsiaTheme="minorEastAsia"/>
          <w:color w:val="000000" w:themeColor="text1"/>
          <w:kern w:val="0"/>
          <w:szCs w:val="21"/>
        </w:rPr>
        <w:t>5</w:t>
      </w:r>
      <w:r>
        <w:rPr>
          <w:rFonts w:hint="eastAsia" w:cs="宋体" w:asciiTheme="minorEastAsia" w:hAnsiTheme="minorEastAsia" w:eastAsiaTheme="minorEastAsia"/>
          <w:color w:val="000000" w:themeColor="text1"/>
          <w:kern w:val="0"/>
          <w:szCs w:val="21"/>
          <w:lang w:val="zh-CN"/>
        </w:rPr>
        <w:t>.1 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F7A88B3">
      <w:pPr>
        <w:autoSpaceDE w:val="0"/>
        <w:autoSpaceDN w:val="0"/>
        <w:spacing w:line="360" w:lineRule="auto"/>
        <w:ind w:firstLine="420" w:firstLineChars="200"/>
        <w:jc w:val="left"/>
        <w:rPr>
          <w:rFonts w:cs="宋体" w:asciiTheme="minorEastAsia" w:hAnsiTheme="minorEastAsia" w:eastAsiaTheme="minorEastAsia"/>
          <w:color w:val="000000" w:themeColor="text1"/>
          <w:kern w:val="0"/>
          <w:szCs w:val="21"/>
          <w:lang w:val="zh-CN"/>
        </w:rPr>
      </w:pPr>
      <w:r>
        <w:rPr>
          <w:rFonts w:hint="eastAsia" w:cs="宋体" w:asciiTheme="minorEastAsia" w:hAnsiTheme="minorEastAsia" w:eastAsiaTheme="minorEastAsia"/>
          <w:color w:val="000000" w:themeColor="text1"/>
          <w:kern w:val="0"/>
          <w:szCs w:val="21"/>
        </w:rPr>
        <w:t xml:space="preserve">5.2 </w:t>
      </w:r>
      <w:r>
        <w:rPr>
          <w:rFonts w:hint="eastAsia" w:cs="宋体" w:asciiTheme="minorEastAsia" w:hAnsiTheme="minorEastAsia" w:eastAsiaTheme="minorEastAsia"/>
          <w:color w:val="000000" w:themeColor="text1"/>
          <w:kern w:val="0"/>
          <w:szCs w:val="21"/>
          <w:lang w:val="zh-CN"/>
        </w:rPr>
        <w:t>供应商询问</w:t>
      </w:r>
    </w:p>
    <w:p w14:paraId="0C8676D4">
      <w:pPr>
        <w:autoSpaceDE w:val="0"/>
        <w:autoSpaceDN w:val="0"/>
        <w:spacing w:line="360" w:lineRule="auto"/>
        <w:ind w:firstLine="420" w:firstLineChars="200"/>
        <w:jc w:val="left"/>
        <w:rPr>
          <w:rFonts w:cs="宋体" w:asciiTheme="minorEastAsia" w:hAnsiTheme="minorEastAsia" w:eastAsiaTheme="minorEastAsia"/>
          <w:color w:val="000000" w:themeColor="text1"/>
          <w:kern w:val="0"/>
          <w:szCs w:val="21"/>
          <w:lang w:val="zh-CN"/>
        </w:rPr>
      </w:pPr>
      <w:r>
        <w:rPr>
          <w:rFonts w:hint="eastAsia" w:cs="宋体" w:asciiTheme="minorEastAsia" w:hAnsiTheme="minorEastAsia" w:eastAsiaTheme="minorEastAsia"/>
          <w:color w:val="000000" w:themeColor="text1"/>
          <w:kern w:val="0"/>
          <w:szCs w:val="21"/>
          <w:lang w:val="zh-CN"/>
        </w:rPr>
        <w:t>供应商对政府采购活动事项有疑问的，可以提出询问，</w:t>
      </w:r>
      <w:r>
        <w:rPr>
          <w:rFonts w:hint="eastAsia" w:cs="宋体" w:asciiTheme="minorEastAsia" w:hAnsiTheme="minorEastAsia" w:eastAsiaTheme="minorEastAsia"/>
          <w:color w:val="000000" w:themeColor="text1"/>
          <w:szCs w:val="21"/>
        </w:rPr>
        <w:t>采购代理机构（征集人）</w:t>
      </w:r>
      <w:r>
        <w:rPr>
          <w:rFonts w:hint="eastAsia" w:cs="宋体" w:asciiTheme="minorEastAsia" w:hAnsiTheme="minorEastAsia" w:eastAsiaTheme="minorEastAsia"/>
          <w:color w:val="000000" w:themeColor="text1"/>
          <w:kern w:val="0"/>
          <w:szCs w:val="21"/>
          <w:lang w:val="zh-CN"/>
        </w:rPr>
        <w:t>应当在3个工作日内对供应商依法提出的询问作出答复，但答复的内容不得涉及商业秘密。</w:t>
      </w:r>
    </w:p>
    <w:p w14:paraId="6938BA84">
      <w:pPr>
        <w:autoSpaceDE w:val="0"/>
        <w:autoSpaceDN w:val="0"/>
        <w:spacing w:line="360" w:lineRule="auto"/>
        <w:ind w:firstLine="420" w:firstLineChars="200"/>
        <w:jc w:val="left"/>
        <w:rPr>
          <w:rFonts w:cs="宋体" w:asciiTheme="minorEastAsia" w:hAnsiTheme="minorEastAsia" w:eastAsiaTheme="minorEastAsia"/>
          <w:color w:val="000000" w:themeColor="text1"/>
          <w:kern w:val="0"/>
          <w:szCs w:val="21"/>
          <w:lang w:val="zh-CN"/>
        </w:rPr>
      </w:pPr>
      <w:r>
        <w:rPr>
          <w:rFonts w:hint="eastAsia" w:cs="宋体" w:asciiTheme="minorEastAsia" w:hAnsiTheme="minorEastAsia" w:eastAsiaTheme="minorEastAsia"/>
          <w:color w:val="000000" w:themeColor="text1"/>
          <w:kern w:val="0"/>
          <w:szCs w:val="21"/>
        </w:rPr>
        <w:t>5</w:t>
      </w:r>
      <w:r>
        <w:rPr>
          <w:rFonts w:hint="eastAsia" w:cs="宋体" w:asciiTheme="minorEastAsia" w:hAnsiTheme="minorEastAsia" w:eastAsiaTheme="minorEastAsia"/>
          <w:color w:val="000000" w:themeColor="text1"/>
          <w:kern w:val="0"/>
          <w:szCs w:val="21"/>
          <w:lang w:val="zh-CN"/>
        </w:rPr>
        <w:t>.</w:t>
      </w:r>
      <w:r>
        <w:rPr>
          <w:rFonts w:hint="eastAsia" w:cs="宋体" w:asciiTheme="minorEastAsia" w:hAnsiTheme="minorEastAsia" w:eastAsiaTheme="minorEastAsia"/>
          <w:color w:val="000000" w:themeColor="text1"/>
          <w:kern w:val="0"/>
          <w:szCs w:val="21"/>
        </w:rPr>
        <w:t xml:space="preserve">3 </w:t>
      </w:r>
      <w:r>
        <w:rPr>
          <w:rFonts w:hint="eastAsia" w:cs="宋体" w:asciiTheme="minorEastAsia" w:hAnsiTheme="minorEastAsia" w:eastAsiaTheme="minorEastAsia"/>
          <w:color w:val="000000" w:themeColor="text1"/>
          <w:kern w:val="0"/>
          <w:szCs w:val="21"/>
          <w:lang w:val="zh-CN"/>
        </w:rPr>
        <w:t>供应商质疑</w:t>
      </w:r>
    </w:p>
    <w:p w14:paraId="1E296FCC">
      <w:pPr>
        <w:pStyle w:val="22"/>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rPr>
        <w:t>.1 提出质疑的供应商应当是参与所质疑项目采购活动的供应商。潜在供应商已依法获取其可质疑的征集文件的，可以对该文件提出质疑。</w:t>
      </w:r>
    </w:p>
    <w:p w14:paraId="2164D2EE">
      <w:pPr>
        <w:pStyle w:val="22"/>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rPr>
        <w:t>.2 供应商认为征集文件、采购过程和成交（入围）结果使自己的权益受到损害的，可以在知道或者应知其权益受到损害之日起七个工作日内，以书面形式向采购代理机构（征集人）提出质疑，否则，采购代理机构（征集人）不予受理：</w:t>
      </w:r>
    </w:p>
    <w:p w14:paraId="0A330554">
      <w:pPr>
        <w:pStyle w:val="5"/>
        <w:spacing w:line="360" w:lineRule="auto"/>
        <w:ind w:firstLine="420" w:firstLineChars="200"/>
        <w:jc w:val="left"/>
        <w:rPr>
          <w:rFonts w:cs="宋体" w:asciiTheme="minorEastAsia" w:hAnsiTheme="minorEastAsia" w:eastAsiaTheme="minorEastAsia"/>
          <w:snapToGrid/>
          <w:color w:val="000000" w:themeColor="text1"/>
          <w:kern w:val="2"/>
          <w:sz w:val="21"/>
          <w:szCs w:val="21"/>
        </w:rPr>
      </w:pPr>
      <w:r>
        <w:rPr>
          <w:rFonts w:hint="eastAsia" w:cs="宋体" w:asciiTheme="minorEastAsia" w:hAnsiTheme="minorEastAsia" w:eastAsiaTheme="minorEastAsia"/>
          <w:color w:val="000000" w:themeColor="text1"/>
          <w:kern w:val="0"/>
          <w:sz w:val="21"/>
          <w:szCs w:val="21"/>
        </w:rPr>
        <w:t>5</w:t>
      </w:r>
      <w:r>
        <w:rPr>
          <w:rFonts w:hint="eastAsia" w:cs="宋体" w:asciiTheme="minorEastAsia" w:hAnsiTheme="minorEastAsia" w:eastAsiaTheme="minorEastAsia"/>
          <w:snapToGrid/>
          <w:color w:val="000000" w:themeColor="text1"/>
          <w:kern w:val="2"/>
          <w:sz w:val="21"/>
          <w:szCs w:val="21"/>
        </w:rPr>
        <w:t>.3.2.1 对征集文件提出质疑的，质疑期限为供应商获得征集文件之日或者征集文件公告期限届满之日起计算。</w:t>
      </w:r>
    </w:p>
    <w:p w14:paraId="1DECDF26">
      <w:pPr>
        <w:pStyle w:val="22"/>
        <w:spacing w:line="360" w:lineRule="auto"/>
        <w:ind w:left="479" w:leftChars="228"/>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.2.2 对采购过程提出质疑的，质疑期限为各采购程序环节结束之日起计算。</w:t>
      </w:r>
    </w:p>
    <w:p w14:paraId="433C4B8F">
      <w:pPr>
        <w:pStyle w:val="22"/>
        <w:spacing w:line="360" w:lineRule="auto"/>
        <w:ind w:left="479" w:leftChars="228"/>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.2.3 对采购结果提出质疑的，质疑期限自采购结果公告期限届满之日起计算。</w:t>
      </w:r>
    </w:p>
    <w:p w14:paraId="44C30F7C">
      <w:pPr>
        <w:pStyle w:val="22"/>
        <w:spacing w:line="360" w:lineRule="auto"/>
        <w:ind w:firstLine="420" w:firstLineChars="200"/>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 xml:space="preserve">.3 </w:t>
      </w:r>
      <w:r>
        <w:rPr>
          <w:rFonts w:hint="eastAsia" w:cs="宋体" w:asciiTheme="minorEastAsia" w:hAnsiTheme="minorEastAsia" w:eastAsiaTheme="minorEastAsia"/>
          <w:color w:val="000000" w:themeColor="text1"/>
        </w:rPr>
        <w:t>供应商提出质疑应当提交质疑函和必要的证明材料。质疑函应当包括下列内容：</w:t>
      </w:r>
    </w:p>
    <w:p w14:paraId="6103E403">
      <w:pPr>
        <w:pStyle w:val="22"/>
        <w:spacing w:line="360" w:lineRule="auto"/>
        <w:ind w:firstLine="420" w:firstLineChars="200"/>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.3.1 供应商的姓名或者名称、地址、邮编、联系人及联系电话；</w:t>
      </w:r>
    </w:p>
    <w:p w14:paraId="0419593E">
      <w:pPr>
        <w:pStyle w:val="22"/>
        <w:spacing w:line="360" w:lineRule="auto"/>
        <w:ind w:firstLine="420" w:firstLineChars="200"/>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.3.2 质疑项目的名称、编号；</w:t>
      </w:r>
    </w:p>
    <w:p w14:paraId="1E87DC7D">
      <w:pPr>
        <w:pStyle w:val="22"/>
        <w:spacing w:line="360" w:lineRule="auto"/>
        <w:ind w:firstLine="420" w:firstLineChars="200"/>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.3.3 具体、明确的质疑事项和与质疑事项相关的请求；</w:t>
      </w:r>
    </w:p>
    <w:p w14:paraId="43C49EB8">
      <w:pPr>
        <w:pStyle w:val="22"/>
        <w:spacing w:line="360" w:lineRule="auto"/>
        <w:ind w:firstLine="420" w:firstLineChars="200"/>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.3.4 事实依据；</w:t>
      </w:r>
    </w:p>
    <w:p w14:paraId="6D4F1F31">
      <w:pPr>
        <w:pStyle w:val="22"/>
        <w:spacing w:line="360" w:lineRule="auto"/>
        <w:ind w:firstLine="420" w:firstLineChars="200"/>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.3.5 必要的法律依据；</w:t>
      </w:r>
    </w:p>
    <w:p w14:paraId="5BE7029F">
      <w:pPr>
        <w:pStyle w:val="22"/>
        <w:spacing w:line="360" w:lineRule="auto"/>
        <w:ind w:firstLine="420" w:firstLineChars="200"/>
        <w:jc w:val="left"/>
        <w:rPr>
          <w:rFonts w:cs="宋体" w:asciiTheme="minorEastAsia" w:hAnsiTheme="minorEastAsia" w:eastAsiaTheme="minorEastAsia"/>
          <w:color w:val="000000" w:themeColor="text1"/>
          <w:kern w:val="0"/>
          <w:lang w:val="zh-CN"/>
        </w:rPr>
      </w:pPr>
      <w:r>
        <w:rPr>
          <w:rFonts w:hint="eastAsia" w:cs="宋体" w:asciiTheme="minorEastAsia" w:hAnsiTheme="minorEastAsia" w:eastAsiaTheme="minorEastAsia"/>
          <w:color w:val="000000" w:themeColor="text1"/>
          <w:kern w:val="0"/>
        </w:rPr>
        <w:t>5</w:t>
      </w:r>
      <w:r>
        <w:rPr>
          <w:rFonts w:hint="eastAsia" w:cs="宋体" w:asciiTheme="minorEastAsia" w:hAnsiTheme="minorEastAsia" w:eastAsiaTheme="minorEastAsia"/>
          <w:color w:val="000000" w:themeColor="text1"/>
          <w:kern w:val="0"/>
          <w:lang w:val="zh-CN"/>
        </w:rPr>
        <w:t>.</w:t>
      </w:r>
      <w:r>
        <w:rPr>
          <w:rFonts w:hint="eastAsia" w:cs="宋体" w:asciiTheme="minorEastAsia" w:hAnsiTheme="minorEastAsia" w:eastAsiaTheme="minorEastAsia"/>
          <w:color w:val="000000" w:themeColor="text1"/>
          <w:kern w:val="0"/>
        </w:rPr>
        <w:t>3</w:t>
      </w:r>
      <w:r>
        <w:rPr>
          <w:rFonts w:hint="eastAsia" w:cs="宋体" w:asciiTheme="minorEastAsia" w:hAnsiTheme="minorEastAsia" w:eastAsiaTheme="minorEastAsia"/>
          <w:color w:val="000000" w:themeColor="text1"/>
          <w:kern w:val="0"/>
          <w:lang w:val="zh-CN"/>
        </w:rPr>
        <w:t>.3.6 提出质疑的日期。</w:t>
      </w:r>
    </w:p>
    <w:p w14:paraId="45240DA6">
      <w:pPr>
        <w:pStyle w:val="22"/>
        <w:spacing w:line="360" w:lineRule="auto"/>
        <w:ind w:firstLine="420" w:firstLineChars="200"/>
        <w:jc w:val="left"/>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供应商提交的质疑函需一式三份。供应商为自然人的，应当由本人签字；供应商为法人或者其他组织的，应当由法定代表人、主要负责人，或者其授权代表签字或者盖章，并加盖公章。质疑函范本请到浙江政府采购网下载专区下载。</w:t>
      </w:r>
    </w:p>
    <w:p w14:paraId="32C9EF88">
      <w:pPr>
        <w:pStyle w:val="22"/>
        <w:spacing w:line="360" w:lineRule="auto"/>
        <w:ind w:firstLine="420" w:firstLineChars="200"/>
        <w:jc w:val="left"/>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5.3.4 对同一采购程序环节的质疑，供应商须在法定质疑期内一次性提出。</w:t>
      </w:r>
    </w:p>
    <w:p w14:paraId="1C7A8E72">
      <w:pPr>
        <w:pStyle w:val="22"/>
        <w:spacing w:line="360" w:lineRule="auto"/>
        <w:ind w:firstLine="420" w:firstLineChars="200"/>
        <w:jc w:val="left"/>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5</w:t>
      </w:r>
      <w:r>
        <w:rPr>
          <w:rFonts w:hint="eastAsia" w:asciiTheme="minorEastAsia" w:hAnsiTheme="minorEastAsia" w:eastAsiaTheme="minorEastAsia"/>
          <w:color w:val="000000" w:themeColor="text1"/>
          <w:lang w:val="zh-CN"/>
        </w:rPr>
        <w:t>.</w:t>
      </w:r>
      <w:r>
        <w:rPr>
          <w:rFonts w:hint="eastAsia" w:asciiTheme="minorEastAsia" w:hAnsiTheme="minorEastAsia" w:eastAsiaTheme="minorEastAsia"/>
          <w:color w:val="000000" w:themeColor="text1"/>
        </w:rPr>
        <w:t>3.5 采购代理机构（征集人）应当在收到供应商的书面质疑后七个工作日内作出答复，并以书面形式通知质疑供应商和其他与质疑处理结果有利害关系的政府采购当事人，但答复的内容不得涉及商业秘密。采购代理机构（征集人）在浙江政府采购网的“其他公告”栏目公开质疑答复，答复内容应当完整。质疑函作为附件上传。</w:t>
      </w:r>
    </w:p>
    <w:p w14:paraId="560DFBEB">
      <w:pPr>
        <w:pStyle w:val="22"/>
        <w:spacing w:line="360" w:lineRule="auto"/>
        <w:ind w:firstLine="420" w:firstLineChars="200"/>
        <w:jc w:val="left"/>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5</w:t>
      </w:r>
      <w:r>
        <w:rPr>
          <w:rFonts w:hint="eastAsia" w:asciiTheme="minorEastAsia" w:hAnsiTheme="minorEastAsia" w:eastAsiaTheme="minorEastAsia"/>
          <w:color w:val="000000" w:themeColor="text1"/>
          <w:lang w:val="zh-CN"/>
        </w:rPr>
        <w:t>.</w:t>
      </w:r>
      <w:r>
        <w:rPr>
          <w:rFonts w:hint="eastAsia" w:asciiTheme="minorEastAsia" w:hAnsiTheme="minorEastAsia" w:eastAsiaTheme="minorEastAsia"/>
          <w:color w:val="000000" w:themeColor="text1"/>
        </w:rPr>
        <w:t>3.6 询问或者质疑事项可能影响采购结果的，征集人应当暂停签订合同，已经签订合同的，应当中止履行合同。</w:t>
      </w:r>
    </w:p>
    <w:p w14:paraId="5E9EFEF4">
      <w:pPr>
        <w:adjustRightInd/>
        <w:spacing w:line="360" w:lineRule="auto"/>
        <w:outlineLvl w:val="0"/>
        <w:rPr>
          <w:rFonts w:cs="宋体" w:asciiTheme="minorEastAsia" w:hAnsiTheme="minorEastAsia" w:eastAsiaTheme="minorEastAsia"/>
          <w:b/>
          <w:snapToGrid w:val="0"/>
          <w:color w:val="000000" w:themeColor="text1"/>
          <w:szCs w:val="21"/>
        </w:rPr>
      </w:pPr>
    </w:p>
    <w:p w14:paraId="393D6EEE">
      <w:pPr>
        <w:adjustRightInd/>
        <w:spacing w:line="360" w:lineRule="auto"/>
        <w:outlineLvl w:val="0"/>
        <w:rPr>
          <w:rFonts w:cs="宋体" w:asciiTheme="minorEastAsia" w:hAnsiTheme="minorEastAsia" w:eastAsiaTheme="minorEastAsia"/>
          <w:b/>
          <w:snapToGrid w:val="0"/>
          <w:color w:val="000000" w:themeColor="text1"/>
          <w:sz w:val="24"/>
        </w:rPr>
      </w:pPr>
      <w:r>
        <w:rPr>
          <w:rFonts w:hint="eastAsia" w:cs="宋体" w:asciiTheme="minorEastAsia" w:hAnsiTheme="minorEastAsia" w:eastAsiaTheme="minorEastAsia"/>
          <w:b/>
          <w:snapToGrid w:val="0"/>
          <w:color w:val="000000" w:themeColor="text1"/>
          <w:sz w:val="24"/>
        </w:rPr>
        <w:t>二、征集文件的构成、澄清、修改</w:t>
      </w:r>
    </w:p>
    <w:p w14:paraId="6A9D72A6">
      <w:pPr>
        <w:pStyle w:val="22"/>
        <w:spacing w:line="360" w:lineRule="auto"/>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rPr>
        <w:t>6. 征集文件的构成</w:t>
      </w:r>
    </w:p>
    <w:p w14:paraId="6482989C">
      <w:pPr>
        <w:pStyle w:val="22"/>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6.1 征集文件包括下列文件：</w:t>
      </w:r>
    </w:p>
    <w:p w14:paraId="3611F3FF">
      <w:pPr>
        <w:pStyle w:val="22"/>
        <w:tabs>
          <w:tab w:val="left" w:pos="840"/>
        </w:tabs>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6.1.1 征集公告；</w:t>
      </w:r>
    </w:p>
    <w:p w14:paraId="48E3BF1E">
      <w:pPr>
        <w:pStyle w:val="22"/>
        <w:tabs>
          <w:tab w:val="left" w:pos="840"/>
        </w:tabs>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6.1.2采购需求；</w:t>
      </w:r>
    </w:p>
    <w:p w14:paraId="3C3992F7">
      <w:pPr>
        <w:pStyle w:val="22"/>
        <w:tabs>
          <w:tab w:val="left" w:pos="840"/>
        </w:tabs>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6.1.3响应供应商须知；</w:t>
      </w:r>
    </w:p>
    <w:p w14:paraId="4EC8A3B3">
      <w:pPr>
        <w:pStyle w:val="22"/>
        <w:tabs>
          <w:tab w:val="left" w:pos="840"/>
        </w:tabs>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6.1.4 确定第一阶段入围供应商的评审方法；</w:t>
      </w:r>
    </w:p>
    <w:p w14:paraId="4580206B">
      <w:pPr>
        <w:pStyle w:val="22"/>
        <w:tabs>
          <w:tab w:val="left" w:pos="840"/>
        </w:tabs>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6.1.5 拟签订的框架协议文本和采购合同文本；</w:t>
      </w:r>
    </w:p>
    <w:p w14:paraId="7F2A34DC">
      <w:pPr>
        <w:pStyle w:val="22"/>
        <w:tabs>
          <w:tab w:val="left" w:pos="840"/>
        </w:tabs>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6.1.6 响应文件编制格式及规范要求。</w:t>
      </w:r>
    </w:p>
    <w:p w14:paraId="2BBB6799">
      <w:pPr>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6.2 与本项目有关的</w:t>
      </w:r>
      <w:r>
        <w:rPr>
          <w:rFonts w:hint="eastAsia" w:cs="宋体" w:asciiTheme="minorEastAsia" w:hAnsiTheme="minorEastAsia" w:eastAsiaTheme="minorEastAsia"/>
          <w:bCs/>
          <w:color w:val="000000" w:themeColor="text1"/>
          <w:szCs w:val="21"/>
        </w:rPr>
        <w:t>澄清或者修改的内容为征集文件的组成部分</w:t>
      </w:r>
      <w:r>
        <w:rPr>
          <w:rFonts w:hint="eastAsia" w:cs="宋体" w:asciiTheme="minorEastAsia" w:hAnsiTheme="minorEastAsia" w:eastAsiaTheme="minorEastAsia"/>
          <w:color w:val="000000" w:themeColor="text1"/>
          <w:szCs w:val="21"/>
        </w:rPr>
        <w:t>。</w:t>
      </w:r>
    </w:p>
    <w:p w14:paraId="15146DF9">
      <w:pPr>
        <w:pStyle w:val="22"/>
        <w:spacing w:line="360" w:lineRule="auto"/>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rPr>
        <w:t>7. 征集文件的澄清、修改</w:t>
      </w:r>
    </w:p>
    <w:p w14:paraId="2D007E92">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7.1 已获取征集文件的潜在供应商，若有问题需要澄清，应于响应截止时间前，以书面形式向采购机构（征集人）提出。</w:t>
      </w:r>
    </w:p>
    <w:p w14:paraId="19A2DFFA">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7.2 采购机构（征集人）对征集文件进行澄清或修改的，将同时通过电子交易平台通知已获取征集文件的潜在供应商。依法应当公告的，将按规定公告，同时视情况延长响应截止时间和开启响应文件时间。该澄清或者修改的内容为征集文件的组成部分。</w:t>
      </w:r>
    </w:p>
    <w:p w14:paraId="133BC043">
      <w:pPr>
        <w:adjustRightInd/>
        <w:spacing w:line="360" w:lineRule="auto"/>
        <w:jc w:val="center"/>
        <w:outlineLvl w:val="0"/>
        <w:rPr>
          <w:rFonts w:cs="宋体" w:asciiTheme="minorEastAsia" w:hAnsiTheme="minorEastAsia" w:eastAsiaTheme="minorEastAsia"/>
          <w:b/>
          <w:snapToGrid w:val="0"/>
          <w:color w:val="000000" w:themeColor="text1"/>
          <w:sz w:val="30"/>
          <w:szCs w:val="30"/>
        </w:rPr>
      </w:pPr>
    </w:p>
    <w:p w14:paraId="3D0DE021">
      <w:pPr>
        <w:adjustRightInd/>
        <w:spacing w:line="360" w:lineRule="auto"/>
        <w:outlineLvl w:val="0"/>
        <w:rPr>
          <w:rFonts w:cs="宋体" w:asciiTheme="minorEastAsia" w:hAnsiTheme="minorEastAsia" w:eastAsiaTheme="minorEastAsia"/>
          <w:b/>
          <w:snapToGrid w:val="0"/>
          <w:color w:val="000000" w:themeColor="text1"/>
          <w:sz w:val="24"/>
        </w:rPr>
      </w:pPr>
      <w:r>
        <w:rPr>
          <w:rFonts w:hint="eastAsia" w:cs="宋体" w:asciiTheme="minorEastAsia" w:hAnsiTheme="minorEastAsia" w:eastAsiaTheme="minorEastAsia"/>
          <w:b/>
          <w:snapToGrid w:val="0"/>
          <w:color w:val="000000" w:themeColor="text1"/>
          <w:sz w:val="24"/>
        </w:rPr>
        <w:t>三、响应</w:t>
      </w:r>
    </w:p>
    <w:p w14:paraId="5A9FDC2E">
      <w:pPr>
        <w:pStyle w:val="22"/>
        <w:spacing w:line="360" w:lineRule="auto"/>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rPr>
        <w:t>8. 征集文件的获取</w:t>
      </w:r>
    </w:p>
    <w:p w14:paraId="7AF380A2">
      <w:pPr>
        <w:spacing w:line="360" w:lineRule="auto"/>
        <w:ind w:firstLine="420" w:firstLineChars="200"/>
        <w:jc w:val="left"/>
        <w:rPr>
          <w:rFonts w:cs="宋体" w:asciiTheme="minorEastAsia" w:hAnsiTheme="minorEastAsia" w:eastAsiaTheme="minorEastAsia"/>
          <w:snapToGrid w:val="0"/>
          <w:color w:val="000000" w:themeColor="text1"/>
          <w:kern w:val="28"/>
          <w:szCs w:val="21"/>
        </w:rPr>
      </w:pPr>
      <w:r>
        <w:rPr>
          <w:rFonts w:hint="eastAsia" w:cs="宋体" w:asciiTheme="minorEastAsia" w:hAnsiTheme="minorEastAsia" w:eastAsiaTheme="minorEastAsia"/>
          <w:snapToGrid w:val="0"/>
          <w:color w:val="000000" w:themeColor="text1"/>
          <w:kern w:val="28"/>
          <w:szCs w:val="21"/>
        </w:rPr>
        <w:t>详见征集公告中获取征集文件的时间期限、地点、方式。</w:t>
      </w:r>
    </w:p>
    <w:p w14:paraId="25066F3A">
      <w:pPr>
        <w:pStyle w:val="22"/>
        <w:spacing w:line="360" w:lineRule="auto"/>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rPr>
        <w:t>9. 开标（开启响应文件）前答疑会或现场考察</w:t>
      </w:r>
    </w:p>
    <w:p w14:paraId="21902416">
      <w:pPr>
        <w:pStyle w:val="22"/>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本项目不组织潜在供应商现场考察或者召开开标（开启响应文件）前答疑会。</w:t>
      </w:r>
    </w:p>
    <w:p w14:paraId="7A4D6B55">
      <w:pPr>
        <w:pStyle w:val="22"/>
        <w:spacing w:line="360" w:lineRule="auto"/>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kern w:val="28"/>
        </w:rPr>
        <w:t>10. 响应保证金</w:t>
      </w:r>
    </w:p>
    <w:p w14:paraId="7F4AB6D1">
      <w:pPr>
        <w:pStyle w:val="5"/>
        <w:spacing w:line="360" w:lineRule="auto"/>
        <w:ind w:firstLine="411" w:firstLineChars="196"/>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本项目不需缴纳响应保证金。</w:t>
      </w:r>
    </w:p>
    <w:p w14:paraId="6BC31C3F">
      <w:pPr>
        <w:pStyle w:val="22"/>
        <w:spacing w:line="360" w:lineRule="auto"/>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rPr>
        <w:t>11. 响应文件的语言</w:t>
      </w:r>
    </w:p>
    <w:p w14:paraId="2292F9E3">
      <w:pPr>
        <w:autoSpaceDE w:val="0"/>
        <w:autoSpaceDN w:val="0"/>
        <w:spacing w:line="360" w:lineRule="auto"/>
        <w:ind w:firstLine="420" w:firstLineChars="200"/>
        <w:jc w:val="left"/>
        <w:rPr>
          <w:rFonts w:cs="宋体" w:asciiTheme="minorEastAsia" w:hAnsiTheme="minorEastAsia" w:eastAsiaTheme="minorEastAsia"/>
          <w:color w:val="000000" w:themeColor="text1"/>
          <w:szCs w:val="21"/>
          <w:lang w:val="zh-CN"/>
        </w:rPr>
      </w:pPr>
      <w:r>
        <w:rPr>
          <w:rFonts w:hint="eastAsia" w:cs="宋体" w:asciiTheme="minorEastAsia" w:hAnsiTheme="minorEastAsia" w:eastAsiaTheme="minorEastAsia"/>
          <w:color w:val="000000" w:themeColor="text1"/>
          <w:szCs w:val="21"/>
        </w:rPr>
        <w:t>响应文件及响应供应商与采购有关的来往通知、函件和文件均应使用中文。</w:t>
      </w:r>
    </w:p>
    <w:p w14:paraId="56714E6B">
      <w:pPr>
        <w:pStyle w:val="22"/>
        <w:spacing w:line="360" w:lineRule="auto"/>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rPr>
        <w:t>12. 响应文件的组成</w:t>
      </w:r>
    </w:p>
    <w:p w14:paraId="6BF7F7FC">
      <w:pPr>
        <w:snapToGrid w:val="0"/>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供应商按要求提供以下响应文件（无格式的自行设计）：</w:t>
      </w:r>
    </w:p>
    <w:p w14:paraId="0B95886D">
      <w:pPr>
        <w:snapToGrid w:val="0"/>
        <w:spacing w:line="360" w:lineRule="auto"/>
        <w:ind w:firstLine="420" w:firstLineChars="200"/>
        <w:jc w:val="left"/>
        <w:rPr>
          <w:rFonts w:cs="宋体" w:asciiTheme="minorEastAsia" w:hAnsiTheme="minorEastAsia" w:eastAsiaTheme="minorEastAsia"/>
          <w:color w:val="000000" w:themeColor="text1"/>
          <w:szCs w:val="21"/>
        </w:rPr>
      </w:pPr>
      <w:bookmarkStart w:id="20" w:name="_Hlk185592594"/>
      <w:r>
        <w:rPr>
          <w:rFonts w:hint="eastAsia" w:cs="宋体" w:asciiTheme="minorEastAsia" w:hAnsiTheme="minorEastAsia" w:eastAsiaTheme="minorEastAsia"/>
          <w:color w:val="000000" w:themeColor="text1"/>
          <w:szCs w:val="21"/>
        </w:rPr>
        <w:t xml:space="preserve">12.1 </w:t>
      </w:r>
      <w:r>
        <w:rPr>
          <w:rFonts w:hint="eastAsia" w:cs="宋体" w:asciiTheme="minorEastAsia" w:hAnsiTheme="minorEastAsia" w:eastAsiaTheme="minorEastAsia"/>
          <w:b/>
          <w:color w:val="000000" w:themeColor="text1"/>
          <w:szCs w:val="21"/>
        </w:rPr>
        <w:t>资格响应文件：</w:t>
      </w:r>
    </w:p>
    <w:p w14:paraId="360889FF">
      <w:pPr>
        <w:snapToGrid w:val="0"/>
        <w:spacing w:line="360" w:lineRule="auto"/>
        <w:ind w:firstLine="1260" w:firstLineChars="6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12.1.1 符合参加政府采购活动应当具备的一般条件的承诺函</w:t>
      </w:r>
    </w:p>
    <w:p w14:paraId="6C77F563">
      <w:pPr>
        <w:snapToGrid w:val="0"/>
        <w:spacing w:line="360" w:lineRule="auto"/>
        <w:ind w:firstLine="1260" w:firstLineChars="6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12.1.2 有效的营业执照电子文档</w:t>
      </w:r>
    </w:p>
    <w:p w14:paraId="4E01FC9C">
      <w:pPr>
        <w:snapToGrid w:val="0"/>
        <w:spacing w:line="360" w:lineRule="auto"/>
        <w:ind w:firstLine="1260" w:firstLineChars="6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12.1.3 法定代表人身份证电子文档</w:t>
      </w:r>
    </w:p>
    <w:p w14:paraId="435B9DCC">
      <w:pPr>
        <w:snapToGrid w:val="0"/>
        <w:spacing w:line="360" w:lineRule="auto"/>
        <w:ind w:firstLine="1260" w:firstLineChars="600"/>
        <w:jc w:val="left"/>
        <w:rPr>
          <w:rFonts w:cs="宋体" w:asciiTheme="minorEastAsia" w:hAnsiTheme="minorEastAsia" w:eastAsiaTheme="minorEastAsia"/>
          <w:szCs w:val="21"/>
        </w:rPr>
      </w:pPr>
      <w:r>
        <w:rPr>
          <w:rFonts w:hint="eastAsia" w:cs="宋体" w:asciiTheme="minorEastAsia" w:hAnsiTheme="minorEastAsia" w:eastAsiaTheme="minorEastAsia"/>
          <w:color w:val="000000" w:themeColor="text1"/>
          <w:szCs w:val="21"/>
        </w:rPr>
        <w:t>12.1.4</w:t>
      </w:r>
      <w:r>
        <w:rPr>
          <w:rFonts w:hint="eastAsia" w:cs="宋体" w:asciiTheme="minorEastAsia" w:hAnsiTheme="minorEastAsia" w:eastAsiaTheme="minorEastAsia"/>
          <w:szCs w:val="21"/>
        </w:rPr>
        <w:t>投标（响应）函、廉政承诺书</w:t>
      </w:r>
    </w:p>
    <w:p w14:paraId="390ACBC0">
      <w:pPr>
        <w:snapToGrid w:val="0"/>
        <w:spacing w:line="360" w:lineRule="auto"/>
        <w:ind w:firstLine="1260" w:firstLineChars="6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12.1.5 中小企业声明函；</w:t>
      </w:r>
    </w:p>
    <w:p w14:paraId="09368610">
      <w:pPr>
        <w:snapToGrid w:val="0"/>
        <w:spacing w:line="360" w:lineRule="auto"/>
        <w:ind w:firstLine="2100" w:firstLineChars="10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监狱企业声明函（如是）；</w:t>
      </w:r>
    </w:p>
    <w:p w14:paraId="2788AE69">
      <w:pPr>
        <w:snapToGrid w:val="0"/>
        <w:spacing w:line="360" w:lineRule="auto"/>
        <w:ind w:firstLine="2100" w:firstLineChars="10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残疾人福利性单位声明函（如是）；</w:t>
      </w:r>
    </w:p>
    <w:p w14:paraId="35E26FD8">
      <w:pPr>
        <w:snapToGrid w:val="0"/>
        <w:spacing w:line="360" w:lineRule="auto"/>
        <w:ind w:firstLine="420" w:firstLineChars="200"/>
        <w:jc w:val="left"/>
        <w:rPr>
          <w:rFonts w:cs="宋体" w:asciiTheme="minorEastAsia" w:hAnsiTheme="minorEastAsia" w:eastAsiaTheme="minorEastAsia"/>
          <w:color w:val="000000" w:themeColor="text1"/>
          <w:szCs w:val="21"/>
          <w:lang w:val="zh-CN"/>
        </w:rPr>
      </w:pPr>
      <w:r>
        <w:rPr>
          <w:rFonts w:hint="eastAsia" w:cs="宋体" w:asciiTheme="minorEastAsia" w:hAnsiTheme="minorEastAsia" w:eastAsiaTheme="minorEastAsia"/>
          <w:color w:val="000000" w:themeColor="text1"/>
          <w:szCs w:val="21"/>
        </w:rPr>
        <w:t>12</w:t>
      </w:r>
      <w:r>
        <w:rPr>
          <w:rFonts w:hint="eastAsia" w:cs="宋体" w:asciiTheme="minorEastAsia" w:hAnsiTheme="minorEastAsia" w:eastAsiaTheme="minorEastAsia"/>
          <w:color w:val="000000" w:themeColor="text1"/>
          <w:szCs w:val="21"/>
          <w:lang w:val="zh-CN"/>
        </w:rPr>
        <w:t>.</w:t>
      </w:r>
      <w:r>
        <w:rPr>
          <w:rFonts w:hint="eastAsia" w:cs="宋体" w:asciiTheme="minorEastAsia" w:hAnsiTheme="minorEastAsia" w:eastAsiaTheme="minorEastAsia"/>
          <w:color w:val="000000" w:themeColor="text1"/>
          <w:szCs w:val="21"/>
        </w:rPr>
        <w:t xml:space="preserve">2 </w:t>
      </w:r>
      <w:r>
        <w:rPr>
          <w:rFonts w:hint="eastAsia" w:cs="宋体" w:asciiTheme="minorEastAsia" w:hAnsiTheme="minorEastAsia" w:eastAsiaTheme="minorEastAsia"/>
          <w:b/>
          <w:bCs/>
          <w:color w:val="000000" w:themeColor="text1"/>
          <w:szCs w:val="21"/>
        </w:rPr>
        <w:t>商务技术响应文件</w:t>
      </w:r>
      <w:r>
        <w:rPr>
          <w:rFonts w:hint="eastAsia" w:cs="宋体" w:asciiTheme="minorEastAsia" w:hAnsiTheme="minorEastAsia" w:eastAsiaTheme="minorEastAsia"/>
          <w:b/>
          <w:bCs/>
          <w:color w:val="000000" w:themeColor="text1"/>
          <w:szCs w:val="21"/>
          <w:lang w:val="zh-CN"/>
        </w:rPr>
        <w:t>：</w:t>
      </w:r>
    </w:p>
    <w:p w14:paraId="545DAF4D">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12.2.1供应商基本情况表（如有）；供应商信誉；</w:t>
      </w:r>
    </w:p>
    <w:p w14:paraId="08830561">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12.2.2成功案例及业绩；</w:t>
      </w:r>
      <w:r>
        <w:rPr>
          <w:rFonts w:hint="eastAsia" w:asciiTheme="minorEastAsia" w:hAnsiTheme="minorEastAsia" w:eastAsiaTheme="minorEastAsia"/>
          <w:bCs/>
          <w:szCs w:val="21"/>
        </w:rPr>
        <w:tab/>
      </w:r>
    </w:p>
    <w:p w14:paraId="487C33CB">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12.2.3拟派团队基本情况及人员素质；</w:t>
      </w:r>
    </w:p>
    <w:p w14:paraId="51EFC89F">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12.2.4项目组人员专业能力；项目实施人员一览表；</w:t>
      </w:r>
    </w:p>
    <w:p w14:paraId="59AD8A57">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12.2.5商务偏离表；（格式自拟）</w:t>
      </w:r>
    </w:p>
    <w:p w14:paraId="38BCBA3E">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12.2.6工作实施总体方案（包括具体审核方案）；</w:t>
      </w:r>
    </w:p>
    <w:p w14:paraId="0225A106">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12.2.7质量保证措施；响应服务能力</w:t>
      </w:r>
    </w:p>
    <w:p w14:paraId="178909A4">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12.2.8进度保证措施；应急措施；</w:t>
      </w:r>
    </w:p>
    <w:p w14:paraId="0363F491">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12.2.9廉政风险及保密制度；</w:t>
      </w:r>
    </w:p>
    <w:p w14:paraId="2DEC364B">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12.2.10误差率承诺情况；</w:t>
      </w:r>
    </w:p>
    <w:p w14:paraId="7EE74242">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12.2.11对本项目的其他合理化建议、要求（如有）；</w:t>
      </w:r>
    </w:p>
    <w:p w14:paraId="03239EAF">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12.2.12优惠条件及特殊承诺；</w:t>
      </w:r>
    </w:p>
    <w:p w14:paraId="5B5A5009">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12.2.13技术偏离表（格式自拟）</w:t>
      </w:r>
    </w:p>
    <w:p w14:paraId="053DD271">
      <w:pPr>
        <w:pStyle w:val="38"/>
        <w:spacing w:line="312" w:lineRule="auto"/>
        <w:ind w:left="2100" w:leftChars="600" w:hanging="840" w:hangingChars="400"/>
        <w:jc w:val="left"/>
        <w:rPr>
          <w:rFonts w:asciiTheme="minorEastAsia" w:hAnsiTheme="minorEastAsia" w:eastAsiaTheme="minorEastAsia"/>
          <w:bCs/>
          <w:szCs w:val="21"/>
        </w:rPr>
      </w:pPr>
      <w:r>
        <w:rPr>
          <w:rFonts w:hint="eastAsia" w:asciiTheme="minorEastAsia" w:hAnsiTheme="minorEastAsia" w:eastAsiaTheme="minorEastAsia"/>
          <w:bCs/>
          <w:szCs w:val="21"/>
        </w:rPr>
        <w:t>12.2.14 评分规则中涉及的所需提交的材料（如有），供应商需要说明的其他文件和说明（如有）。</w:t>
      </w:r>
    </w:p>
    <w:bookmarkEnd w:id="20"/>
    <w:p w14:paraId="2B4DEAAF">
      <w:pPr>
        <w:pStyle w:val="38"/>
        <w:spacing w:line="312" w:lineRule="auto"/>
        <w:ind w:left="0" w:leftChars="0" w:firstLine="843" w:firstLineChars="40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响应文件含有征集人不能接受的附加条件的，响应无效；</w:t>
      </w:r>
    </w:p>
    <w:p w14:paraId="3054E77E">
      <w:pPr>
        <w:spacing w:line="360" w:lineRule="auto"/>
        <w:ind w:firstLine="843" w:firstLineChars="40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响应供应商提供虚假材料响应的，响应无效。</w:t>
      </w:r>
    </w:p>
    <w:p w14:paraId="473885E6">
      <w:pPr>
        <w:pStyle w:val="115"/>
        <w:snapToGrid w:val="0"/>
        <w:spacing w:before="0"/>
        <w:ind w:firstLine="0" w:firstLineChars="0"/>
        <w:jc w:val="left"/>
        <w:outlineLvl w:val="0"/>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color w:val="000000" w:themeColor="text1"/>
          <w:sz w:val="21"/>
          <w:szCs w:val="21"/>
        </w:rPr>
        <w:t>13</w:t>
      </w:r>
      <w:r>
        <w:rPr>
          <w:rFonts w:hint="eastAsia" w:cs="宋体" w:asciiTheme="minorEastAsia" w:hAnsiTheme="minorEastAsia" w:eastAsiaTheme="minorEastAsia"/>
          <w:b/>
          <w:color w:val="000000" w:themeColor="text1"/>
          <w:kern w:val="0"/>
          <w:sz w:val="21"/>
          <w:szCs w:val="21"/>
          <w:lang w:val="zh-CN"/>
        </w:rPr>
        <w:t xml:space="preserve">. </w:t>
      </w:r>
      <w:r>
        <w:rPr>
          <w:rFonts w:hint="eastAsia" w:cs="宋体" w:asciiTheme="minorEastAsia" w:hAnsiTheme="minorEastAsia" w:eastAsiaTheme="minorEastAsia"/>
          <w:b/>
          <w:color w:val="000000" w:themeColor="text1"/>
          <w:sz w:val="21"/>
          <w:szCs w:val="21"/>
        </w:rPr>
        <w:t>响应文件的编制</w:t>
      </w:r>
    </w:p>
    <w:p w14:paraId="6606FFCB">
      <w:pPr>
        <w:spacing w:line="360" w:lineRule="auto"/>
        <w:ind w:firstLine="420" w:firstLineChars="20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color w:val="000000" w:themeColor="text1"/>
          <w:kern w:val="0"/>
          <w:szCs w:val="21"/>
        </w:rPr>
        <w:t>13</w:t>
      </w:r>
      <w:r>
        <w:rPr>
          <w:rFonts w:hint="eastAsia" w:cs="宋体" w:asciiTheme="minorEastAsia" w:hAnsiTheme="minorEastAsia" w:eastAsiaTheme="minorEastAsia"/>
          <w:color w:val="000000" w:themeColor="text1"/>
          <w:kern w:val="0"/>
          <w:szCs w:val="21"/>
          <w:lang w:val="zh-CN"/>
        </w:rPr>
        <w:t>.1 响应文件分为资格响应文件、商务技术响应文件部分。各供应商在编制响应文件时请按照征集文件第六部分规定的格式和要求进行，混乱的编排导致响应文件被误读或评标委员会查找不到有效文件是响应供应商的风险。</w:t>
      </w:r>
    </w:p>
    <w:p w14:paraId="6BC20B8B">
      <w:pPr>
        <w:spacing w:line="360" w:lineRule="auto"/>
        <w:ind w:firstLine="420" w:firstLineChars="200"/>
        <w:jc w:val="left"/>
        <w:rPr>
          <w:rFonts w:cs="宋体" w:asciiTheme="minorEastAsia" w:hAnsiTheme="minorEastAsia" w:eastAsiaTheme="minorEastAsia"/>
          <w:color w:val="000000" w:themeColor="text1"/>
          <w:kern w:val="0"/>
          <w:szCs w:val="21"/>
          <w:lang w:val="zh-CN"/>
        </w:rPr>
      </w:pPr>
      <w:r>
        <w:rPr>
          <w:rFonts w:hint="eastAsia" w:cs="宋体" w:asciiTheme="minorEastAsia" w:hAnsiTheme="minorEastAsia" w:eastAsiaTheme="minorEastAsia"/>
          <w:color w:val="000000" w:themeColor="text1"/>
          <w:kern w:val="0"/>
          <w:szCs w:val="21"/>
        </w:rPr>
        <w:t>13</w:t>
      </w:r>
      <w:r>
        <w:rPr>
          <w:rFonts w:hint="eastAsia" w:cs="宋体" w:asciiTheme="minorEastAsia" w:hAnsiTheme="minorEastAsia" w:eastAsiaTheme="minorEastAsia"/>
          <w:color w:val="000000" w:themeColor="text1"/>
          <w:kern w:val="0"/>
          <w:szCs w:val="21"/>
          <w:lang w:val="zh-CN"/>
        </w:rPr>
        <w:t>.2 供应商进行电子响应应安装客户端软件—“政采云电子交易客户端”，并按照征集文件和电子交易平台的要求编制并加密响应文件。响应供应商未按规定加密的响应文件，电子交易平台将拒收并提示。</w:t>
      </w:r>
    </w:p>
    <w:p w14:paraId="768DD55A">
      <w:pPr>
        <w:spacing w:line="360" w:lineRule="auto"/>
        <w:ind w:firstLine="420" w:firstLineChars="200"/>
        <w:jc w:val="left"/>
        <w:rPr>
          <w:rFonts w:cs="宋体" w:asciiTheme="minorEastAsia" w:hAnsiTheme="minorEastAsia" w:eastAsiaTheme="minorEastAsia"/>
          <w:color w:val="000000" w:themeColor="text1"/>
          <w:kern w:val="0"/>
          <w:szCs w:val="21"/>
          <w:lang w:val="zh-CN"/>
        </w:rPr>
      </w:pPr>
      <w:r>
        <w:rPr>
          <w:rFonts w:hint="eastAsia" w:cs="宋体" w:asciiTheme="minorEastAsia" w:hAnsiTheme="minorEastAsia" w:eastAsiaTheme="minorEastAsia"/>
          <w:color w:val="000000" w:themeColor="text1"/>
          <w:kern w:val="0"/>
          <w:szCs w:val="21"/>
        </w:rPr>
        <w:t>13</w:t>
      </w:r>
      <w:r>
        <w:rPr>
          <w:rFonts w:hint="eastAsia" w:cs="宋体" w:asciiTheme="minorEastAsia" w:hAnsiTheme="minorEastAsia" w:eastAsiaTheme="minorEastAsia"/>
          <w:color w:val="000000" w:themeColor="text1"/>
          <w:kern w:val="0"/>
          <w:szCs w:val="21"/>
          <w:lang w:val="zh-CN"/>
        </w:rPr>
        <w:t>.3 使用“政采云电子交易客户端”需要提前申领CA数字证书，申领流程请自行前往“浙江政府采购网-下载专区-电子交易客户端-CA驱动和申领流程”进行查阅。</w:t>
      </w:r>
    </w:p>
    <w:p w14:paraId="41866DAA">
      <w:pPr>
        <w:snapToGrid w:val="0"/>
        <w:spacing w:line="360" w:lineRule="auto"/>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14. 响应文件的签署、盖章</w:t>
      </w:r>
    </w:p>
    <w:p w14:paraId="0E9DAAA9">
      <w:pPr>
        <w:pStyle w:val="115"/>
        <w:snapToGrid w:val="0"/>
        <w:spacing w:before="0"/>
        <w:ind w:firstLine="42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color w:val="000000" w:themeColor="text1"/>
          <w:sz w:val="21"/>
          <w:szCs w:val="21"/>
        </w:rPr>
        <w:t>14.1 响应文件按照征集文件第六部分的格式要求进行签署、盖章。</w:t>
      </w:r>
      <w:r>
        <w:rPr>
          <w:rFonts w:hint="eastAsia" w:cs="宋体" w:asciiTheme="minorEastAsia" w:hAnsiTheme="minorEastAsia" w:eastAsiaTheme="minorEastAsia"/>
          <w:b/>
          <w:color w:val="000000" w:themeColor="text1"/>
          <w:sz w:val="21"/>
          <w:szCs w:val="21"/>
        </w:rPr>
        <w:t>★供应商的响应文件未按照征集文件要求签署、盖章的，响应无效</w:t>
      </w:r>
      <w:r>
        <w:rPr>
          <w:rFonts w:hint="eastAsia" w:cs="宋体" w:asciiTheme="minorEastAsia" w:hAnsiTheme="minorEastAsia" w:eastAsiaTheme="minorEastAsia"/>
          <w:color w:val="000000" w:themeColor="text1"/>
          <w:sz w:val="21"/>
          <w:szCs w:val="21"/>
        </w:rPr>
        <w:t>。</w:t>
      </w:r>
    </w:p>
    <w:p w14:paraId="051780A1">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14.2 为确保网上操作合法、有效和安全，响应供应商应当在响应截止时间前完成在“政府采购云平台”的身份认证，确保在电子响应过程中能够对相关数据电文进行加密和使用电子签名。</w:t>
      </w:r>
    </w:p>
    <w:p w14:paraId="6FCE39D9">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14.3 征集文件对响应文件签署、盖章的要求适用于电子签名。</w:t>
      </w:r>
    </w:p>
    <w:p w14:paraId="11E61590">
      <w:pPr>
        <w:pStyle w:val="115"/>
        <w:spacing w:before="0"/>
        <w:ind w:firstLine="0" w:firstLineChars="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color w:val="000000" w:themeColor="text1"/>
          <w:sz w:val="21"/>
          <w:szCs w:val="21"/>
        </w:rPr>
        <w:t>15. 响应文件的提交、补充、修改、撤回</w:t>
      </w:r>
    </w:p>
    <w:p w14:paraId="75E19530">
      <w:pPr>
        <w:pStyle w:val="115"/>
        <w:spacing w:before="0"/>
        <w:ind w:firstLine="42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color w:val="000000" w:themeColor="text1"/>
          <w:sz w:val="21"/>
          <w:szCs w:val="21"/>
        </w:rPr>
        <w:t>15.1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75C8013D">
      <w:pPr>
        <w:pStyle w:val="115"/>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15.2 电子交易平台收到响应文件，将妥善保存并即时向供应商发出确认回执通知。在响应截止时间前，除供应商补充、修改或者撤回响应文件外，任何单位和个人不得解密或提取响应文件。</w:t>
      </w:r>
    </w:p>
    <w:p w14:paraId="0FA2E6D9">
      <w:pPr>
        <w:pStyle w:val="115"/>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15.3 征集人、采购代理机构可以视情况延长响应文件提交的截止时间。在上述情况下，采购代理机构与响应供应商以前在响应截止期方面的全部权利、责任和义务，将适用于延长至新的响应截止期。</w:t>
      </w:r>
    </w:p>
    <w:p w14:paraId="548AEAAA">
      <w:pPr>
        <w:pStyle w:val="22"/>
        <w:spacing w:line="360" w:lineRule="auto"/>
        <w:jc w:val="left"/>
        <w:rPr>
          <w:rFonts w:cs="宋体" w:asciiTheme="minorEastAsia" w:hAnsiTheme="minorEastAsia" w:eastAsiaTheme="minorEastAsia"/>
          <w:b/>
        </w:rPr>
      </w:pPr>
      <w:r>
        <w:rPr>
          <w:rFonts w:hint="eastAsia" w:cs="宋体" w:asciiTheme="minorEastAsia" w:hAnsiTheme="minorEastAsia" w:eastAsiaTheme="minorEastAsia"/>
          <w:b/>
          <w:color w:val="000000" w:themeColor="text1"/>
        </w:rPr>
        <w:t>16. 备份响应文件</w:t>
      </w:r>
    </w:p>
    <w:p w14:paraId="027680BF">
      <w:pPr>
        <w:pStyle w:val="22"/>
        <w:spacing w:line="360" w:lineRule="auto"/>
        <w:ind w:firstLine="315" w:firstLineChars="150"/>
        <w:jc w:val="left"/>
        <w:rPr>
          <w:rFonts w:cs="宋体" w:asciiTheme="minorEastAsia" w:hAnsiTheme="minorEastAsia" w:eastAsiaTheme="minorEastAsia"/>
          <w:b/>
        </w:rPr>
      </w:pPr>
      <w:r>
        <w:rPr>
          <w:rFonts w:hint="eastAsia" w:cs="宋体" w:asciiTheme="minorEastAsia" w:hAnsiTheme="minorEastAsia" w:eastAsiaTheme="minorEastAsia"/>
        </w:rPr>
        <w:t xml:space="preserve"> 16.1 供应商在电子交易平台传输递交响应文件后，还可以在响应截止时间前直接提交或者以邮政快递方式递交备份响应文件1份，</w:t>
      </w:r>
      <w:r>
        <w:rPr>
          <w:rFonts w:hint="eastAsia" w:cs="宋体" w:asciiTheme="minorEastAsia" w:hAnsiTheme="minorEastAsia" w:eastAsiaTheme="minorEastAsia"/>
          <w:b/>
        </w:rPr>
        <w:t>但征集人不强制或变相强制供应商提交备份响应文件，但由此造成项目开评标活动无法进行下去的，投标无效，相关风险由供应商自行承担。</w:t>
      </w:r>
    </w:p>
    <w:p w14:paraId="326C7190">
      <w:pPr>
        <w:pStyle w:val="22"/>
        <w:spacing w:line="360" w:lineRule="auto"/>
        <w:ind w:firstLine="420" w:firstLineChars="200"/>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color w:val="000000" w:themeColor="text1"/>
        </w:rPr>
        <w:t>16.2 备份响应文件须在“政采云电子交易客户端”制作生成，并储存在介质中。备份响应文件应当密封包装，在密封包装上加盖供应商公章并注明响应项目名称、项目编号、供应商名称、供应商联系方式。</w:t>
      </w:r>
      <w:r>
        <w:rPr>
          <w:rFonts w:hint="eastAsia" w:cs="宋体" w:asciiTheme="minorEastAsia" w:hAnsiTheme="minorEastAsia" w:eastAsiaTheme="minorEastAsia"/>
          <w:b/>
          <w:color w:val="000000" w:themeColor="text1"/>
        </w:rPr>
        <w:t>不符合上述制作、存储、密封规定的备份响应文件将被视为无效或者被拒绝接收。</w:t>
      </w:r>
    </w:p>
    <w:p w14:paraId="537F8D1C">
      <w:pPr>
        <w:pStyle w:val="22"/>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16.3 直接提交备份响应文件的，供应商须于响应当日响应截止时间前按</w:t>
      </w:r>
      <w:r>
        <w:rPr>
          <w:rFonts w:hint="eastAsia" w:cs="宋体" w:asciiTheme="minorEastAsia" w:hAnsiTheme="minorEastAsia" w:eastAsiaTheme="minorEastAsia"/>
          <w:snapToGrid/>
          <w:color w:val="000000" w:themeColor="text1"/>
        </w:rPr>
        <w:t>征集文件第三部分“响应供应商须知”前附表规定的备份响应文件送达地点</w:t>
      </w:r>
      <w:r>
        <w:rPr>
          <w:rFonts w:hint="eastAsia" w:cs="宋体" w:asciiTheme="minorEastAsia" w:hAnsiTheme="minorEastAsia" w:eastAsiaTheme="minorEastAsia"/>
          <w:color w:val="000000" w:themeColor="text1"/>
        </w:rPr>
        <w:t>送达采购代理机构，送达时间以签收人签收时间为准。采购代理机构将拒绝接受逾期送达的备份响应文件。</w:t>
      </w:r>
    </w:p>
    <w:p w14:paraId="5BAFF728">
      <w:pPr>
        <w:pStyle w:val="22"/>
        <w:spacing w:line="360" w:lineRule="auto"/>
        <w:ind w:firstLine="420" w:firstLineChars="200"/>
        <w:jc w:val="left"/>
        <w:rPr>
          <w:rFonts w:cs="宋体" w:asciiTheme="minorEastAsia" w:hAnsiTheme="minorEastAsia" w:eastAsiaTheme="minorEastAsia"/>
          <w:color w:val="000000" w:themeColor="text1"/>
        </w:rPr>
      </w:pPr>
      <w:r>
        <w:rPr>
          <w:rFonts w:hint="eastAsia" w:cs="宋体" w:asciiTheme="minorEastAsia" w:hAnsiTheme="minorEastAsia" w:eastAsiaTheme="minorEastAsia"/>
          <w:color w:val="000000" w:themeColor="text1"/>
        </w:rPr>
        <w:t>16.4 以邮政快递方式递交备份响应文件的，响应供应商应先将备份响应文件按要求密封和标记，再进行邮政快递包装后邮寄。备份响应文件须在响应截止时间之前送达</w:t>
      </w:r>
      <w:r>
        <w:rPr>
          <w:rFonts w:hint="eastAsia" w:cs="宋体" w:asciiTheme="minorEastAsia" w:hAnsiTheme="minorEastAsia" w:eastAsiaTheme="minorEastAsia"/>
          <w:snapToGrid/>
          <w:color w:val="000000" w:themeColor="text1"/>
        </w:rPr>
        <w:t>征集文件第三部分“响应供应商须知”前附表规定的备份响应文件送达地点；</w:t>
      </w:r>
      <w:r>
        <w:rPr>
          <w:rFonts w:hint="eastAsia" w:cs="宋体" w:asciiTheme="minorEastAsia" w:hAnsiTheme="minorEastAsia" w:eastAsiaTheme="minorEastAsia"/>
          <w:color w:val="000000" w:themeColor="text1"/>
        </w:rPr>
        <w:t>送达时间以签收人签收时间为准。采购代理机构将拒绝接受逾期送达的备份响应文件。邮寄过程中，电子备份响应文件发生泄露、遗失、损坏或延期送达等情况的，由响应供应商自行负责。</w:t>
      </w:r>
    </w:p>
    <w:p w14:paraId="7D126527">
      <w:pPr>
        <w:pStyle w:val="22"/>
        <w:spacing w:line="360" w:lineRule="auto"/>
        <w:ind w:firstLine="420" w:firstLineChars="199"/>
        <w:jc w:val="left"/>
        <w:rPr>
          <w:rFonts w:cs="宋体" w:asciiTheme="minorEastAsia" w:hAnsiTheme="minorEastAsia" w:eastAsiaTheme="minorEastAsia"/>
          <w:b/>
          <w:color w:val="000000" w:themeColor="text1"/>
        </w:rPr>
      </w:pPr>
      <w:r>
        <w:rPr>
          <w:rFonts w:hint="eastAsia" w:cs="宋体" w:asciiTheme="minorEastAsia" w:hAnsiTheme="minorEastAsia" w:eastAsiaTheme="minorEastAsia"/>
          <w:b/>
          <w:color w:val="000000" w:themeColor="text1"/>
        </w:rPr>
        <w:t>16.5 供应商仅提交备份响应文件，未在电子交易平台传输递交响应文件的，响应无效。</w:t>
      </w:r>
    </w:p>
    <w:p w14:paraId="6C69AD3B">
      <w:pPr>
        <w:pStyle w:val="115"/>
        <w:spacing w:before="0"/>
        <w:ind w:firstLine="0" w:firstLineChars="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color w:val="000000" w:themeColor="text1"/>
          <w:sz w:val="21"/>
          <w:szCs w:val="21"/>
        </w:rPr>
        <w:t>17. 响应文件的无效处理</w:t>
      </w:r>
    </w:p>
    <w:p w14:paraId="7F19C979">
      <w:pPr>
        <w:pStyle w:val="20"/>
        <w:spacing w:line="360" w:lineRule="auto"/>
        <w:ind w:left="0" w:leftChars="0"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有征集文件第四部分6.2规定的情形之一的，响应无效：</w:t>
      </w:r>
    </w:p>
    <w:p w14:paraId="42DED2CE">
      <w:pPr>
        <w:pStyle w:val="20"/>
        <w:spacing w:line="360" w:lineRule="auto"/>
        <w:ind w:left="0" w:leftChars="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18. 响应有效期</w:t>
      </w:r>
    </w:p>
    <w:p w14:paraId="562AE0E3">
      <w:pPr>
        <w:pStyle w:val="20"/>
        <w:spacing w:line="360" w:lineRule="auto"/>
        <w:ind w:left="0" w:leftChars="0"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18.1 响应有效期为从提交响应文件的截止之日起，不少于本项目协议采购有效期，在协议期满之前均具有约束力。★</w:t>
      </w:r>
      <w:r>
        <w:rPr>
          <w:rFonts w:hint="eastAsia" w:cs="宋体" w:asciiTheme="minorEastAsia" w:hAnsiTheme="minorEastAsia" w:eastAsiaTheme="minorEastAsia"/>
          <w:b/>
          <w:color w:val="000000" w:themeColor="text1"/>
          <w:szCs w:val="21"/>
        </w:rPr>
        <w:t>供应商的响应文件中承诺的响应有效期少于征集文件中载明的响应有效期的，响应无效。</w:t>
      </w:r>
    </w:p>
    <w:p w14:paraId="46915970">
      <w:pPr>
        <w:pStyle w:val="115"/>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18.2 响应文件合格投递后，自响应截止日期起，在响应有效期内有效。</w:t>
      </w:r>
    </w:p>
    <w:p w14:paraId="2CAA6EBC">
      <w:pPr>
        <w:pStyle w:val="115"/>
        <w:spacing w:before="0"/>
        <w:ind w:firstLine="42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color w:val="000000" w:themeColor="text1"/>
          <w:sz w:val="21"/>
          <w:szCs w:val="21"/>
        </w:rPr>
        <w:t>18.3 在原定响应有效期满之前，如果出现特殊情况，采购代理机构可以以书面形式通知响应供应商延长响应有效期。响应供应商同意延长的，不得要求或被允许修改其响应文件，响应供应商拒绝延长的，其响应无效。</w:t>
      </w:r>
    </w:p>
    <w:p w14:paraId="4FD2E801">
      <w:pPr>
        <w:pStyle w:val="115"/>
        <w:spacing w:before="0"/>
        <w:ind w:firstLine="602"/>
        <w:jc w:val="center"/>
        <w:rPr>
          <w:rFonts w:cs="宋体" w:asciiTheme="minorEastAsia" w:hAnsiTheme="minorEastAsia" w:eastAsiaTheme="minorEastAsia"/>
          <w:b/>
          <w:color w:val="000000" w:themeColor="text1"/>
          <w:kern w:val="0"/>
          <w:sz w:val="30"/>
          <w:szCs w:val="30"/>
        </w:rPr>
      </w:pPr>
    </w:p>
    <w:p w14:paraId="585C40BB">
      <w:pPr>
        <w:pStyle w:val="115"/>
        <w:spacing w:before="0"/>
        <w:ind w:firstLine="0" w:firstLineChars="0"/>
        <w:rPr>
          <w:rFonts w:cs="宋体" w:asciiTheme="minorEastAsia" w:hAnsiTheme="minorEastAsia" w:eastAsiaTheme="minorEastAsia"/>
          <w:b/>
          <w:color w:val="000000" w:themeColor="text1"/>
          <w:kern w:val="0"/>
          <w:szCs w:val="24"/>
        </w:rPr>
      </w:pPr>
      <w:r>
        <w:rPr>
          <w:rFonts w:hint="eastAsia" w:cs="宋体" w:asciiTheme="minorEastAsia" w:hAnsiTheme="minorEastAsia" w:eastAsiaTheme="minorEastAsia"/>
          <w:b/>
          <w:color w:val="000000" w:themeColor="text1"/>
          <w:kern w:val="0"/>
          <w:szCs w:val="24"/>
        </w:rPr>
        <w:t>四、开启响应文件、资格审查与信用信息查询</w:t>
      </w:r>
    </w:p>
    <w:p w14:paraId="2CC723D4">
      <w:pPr>
        <w:pStyle w:val="196"/>
        <w:spacing w:before="0" w:line="360" w:lineRule="auto"/>
        <w:ind w:left="0" w:firstLine="0"/>
        <w:contextualSpacing/>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b/>
          <w:color w:val="000000" w:themeColor="text1"/>
          <w:sz w:val="21"/>
          <w:szCs w:val="21"/>
        </w:rPr>
        <w:t>19. 开启响应文件</w:t>
      </w:r>
    </w:p>
    <w:p w14:paraId="59872ABA">
      <w:pPr>
        <w:pStyle w:val="196"/>
        <w:spacing w:before="0" w:line="360" w:lineRule="auto"/>
        <w:ind w:left="0" w:firstLine="420" w:firstLineChars="200"/>
        <w:contextualSpacing/>
        <w:jc w:val="left"/>
        <w:rPr>
          <w:rFonts w:cs="宋体" w:asciiTheme="minorEastAsia" w:hAnsiTheme="minorEastAsia" w:eastAsiaTheme="minorEastAsia"/>
          <w:sz w:val="21"/>
          <w:szCs w:val="21"/>
        </w:rPr>
      </w:pPr>
      <w:r>
        <w:rPr>
          <w:rFonts w:hint="eastAsia" w:cs="宋体" w:asciiTheme="minorEastAsia" w:hAnsiTheme="minorEastAsia" w:eastAsiaTheme="minorEastAsia"/>
          <w:color w:val="000000" w:themeColor="text1"/>
          <w:sz w:val="21"/>
          <w:szCs w:val="21"/>
        </w:rPr>
        <w:t>19.1 采购代理机构按照征集文件规定的时间通过电子交易平台组织响应文件开启，所有响应供应商均应当准</w:t>
      </w:r>
      <w:r>
        <w:rPr>
          <w:rFonts w:hint="eastAsia" w:cs="宋体" w:asciiTheme="minorEastAsia" w:hAnsiTheme="minorEastAsia" w:eastAsiaTheme="minorEastAsia"/>
          <w:sz w:val="21"/>
          <w:szCs w:val="21"/>
        </w:rPr>
        <w:t>时在线参加。响应供应商不足13家的，不得开启响应文件。</w:t>
      </w:r>
    </w:p>
    <w:p w14:paraId="331EB8EF">
      <w:pPr>
        <w:pStyle w:val="196"/>
        <w:spacing w:before="0" w:line="360" w:lineRule="auto"/>
        <w:ind w:left="0" w:firstLine="210" w:firstLineChars="100"/>
        <w:contextualSpacing/>
        <w:jc w:val="left"/>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　19.2 响应文件开启时，电子交易平台按开启时间自动提取所有响应文件。采购代理机构依托电子交易平台发起开始解密指令，响应供应商按照平台提示和征集文件的规定在半小时内完成在线解密。</w:t>
      </w:r>
    </w:p>
    <w:p w14:paraId="0F6A0A88">
      <w:pPr>
        <w:pStyle w:val="196"/>
        <w:spacing w:before="0" w:line="360" w:lineRule="auto"/>
        <w:ind w:left="0" w:firstLine="422" w:firstLineChars="200"/>
        <w:contextualSpacing/>
        <w:jc w:val="left"/>
        <w:rPr>
          <w:rFonts w:cs="宋体" w:asciiTheme="minorEastAsia" w:hAnsiTheme="minorEastAsia" w:eastAsiaTheme="minorEastAsia"/>
          <w:b/>
          <w:sz w:val="21"/>
          <w:szCs w:val="21"/>
        </w:rPr>
      </w:pPr>
      <w:r>
        <w:rPr>
          <w:rFonts w:hint="eastAsia" w:cs="宋体" w:asciiTheme="minorEastAsia" w:hAnsiTheme="minorEastAsia" w:eastAsiaTheme="minorEastAsia"/>
          <w:b/>
          <w:sz w:val="21"/>
          <w:szCs w:val="21"/>
        </w:rPr>
        <w:t>19.3响应文件未按时解密，响应供应商提供了备份响应文件的，以备份响应文件作为依据，否则视为响应文件撤回。响应文件已按时解密的，备份响应文件自动失效。</w:t>
      </w:r>
    </w:p>
    <w:p w14:paraId="7C147EA6">
      <w:pPr>
        <w:pStyle w:val="196"/>
        <w:spacing w:before="0" w:line="360" w:lineRule="auto"/>
        <w:ind w:left="0" w:firstLine="0"/>
        <w:contextualSpacing/>
        <w:jc w:val="left"/>
        <w:rPr>
          <w:rFonts w:cs="宋体" w:asciiTheme="minorEastAsia" w:hAnsiTheme="minorEastAsia" w:eastAsiaTheme="minorEastAsia"/>
          <w:sz w:val="21"/>
          <w:szCs w:val="21"/>
        </w:rPr>
      </w:pPr>
      <w:r>
        <w:rPr>
          <w:rFonts w:hint="eastAsia" w:cs="宋体" w:asciiTheme="minorEastAsia" w:hAnsiTheme="minorEastAsia" w:eastAsiaTheme="minorEastAsia"/>
          <w:b/>
          <w:sz w:val="21"/>
          <w:szCs w:val="21"/>
        </w:rPr>
        <w:t>20.资格审查</w:t>
      </w:r>
    </w:p>
    <w:p w14:paraId="2D428971">
      <w:pPr>
        <w:pStyle w:val="196"/>
        <w:spacing w:before="0" w:line="360" w:lineRule="auto"/>
        <w:ind w:left="0" w:firstLine="420" w:firstLineChars="200"/>
        <w:contextualSpacing/>
        <w:jc w:val="left"/>
        <w:rPr>
          <w:rFonts w:cs="宋体" w:asciiTheme="minorEastAsia" w:hAnsiTheme="minorEastAsia" w:eastAsiaTheme="minorEastAsia"/>
          <w:b/>
          <w:bCs/>
          <w:sz w:val="21"/>
          <w:szCs w:val="21"/>
        </w:rPr>
      </w:pPr>
      <w:r>
        <w:rPr>
          <w:rFonts w:hint="eastAsia" w:cs="宋体" w:asciiTheme="minorEastAsia" w:hAnsiTheme="minorEastAsia" w:eastAsiaTheme="minorEastAsia"/>
          <w:sz w:val="21"/>
          <w:szCs w:val="21"/>
        </w:rPr>
        <w:t>20.1 开标（开启响应文件）后，</w:t>
      </w:r>
      <w:r>
        <w:rPr>
          <w:rFonts w:hint="eastAsia" w:cs="宋体" w:asciiTheme="minorEastAsia" w:hAnsiTheme="minorEastAsia" w:eastAsiaTheme="minorEastAsia"/>
          <w:b/>
          <w:bCs/>
          <w:sz w:val="21"/>
          <w:szCs w:val="21"/>
        </w:rPr>
        <w:t>评标委员会将依据法律法规和征集文件的规定，对响应供应商的资格进行审查。</w:t>
      </w:r>
    </w:p>
    <w:p w14:paraId="2902D99A">
      <w:pPr>
        <w:pStyle w:val="115"/>
        <w:spacing w:before="0"/>
        <w:ind w:firstLine="420"/>
        <w:jc w:val="left"/>
        <w:rPr>
          <w:rFonts w:cs="宋体" w:asciiTheme="minorEastAsia" w:hAnsiTheme="minorEastAsia" w:eastAsiaTheme="minorEastAsia"/>
          <w:sz w:val="21"/>
          <w:szCs w:val="21"/>
        </w:rPr>
      </w:pPr>
      <w:r>
        <w:rPr>
          <w:rFonts w:hint="eastAsia" w:cs="宋体" w:asciiTheme="minorEastAsia" w:hAnsiTheme="minorEastAsia" w:eastAsiaTheme="minorEastAsia"/>
          <w:kern w:val="0"/>
          <w:sz w:val="21"/>
          <w:szCs w:val="21"/>
        </w:rPr>
        <w:t>20.2 响应</w:t>
      </w:r>
      <w:r>
        <w:rPr>
          <w:rFonts w:hint="eastAsia" w:cs="宋体" w:asciiTheme="minorEastAsia" w:hAnsiTheme="minorEastAsia" w:eastAsiaTheme="minorEastAsia"/>
          <w:sz w:val="21"/>
          <w:szCs w:val="21"/>
        </w:rPr>
        <w:t>供应商</w:t>
      </w:r>
      <w:r>
        <w:rPr>
          <w:rFonts w:hint="eastAsia" w:cs="宋体" w:asciiTheme="minorEastAsia" w:hAnsiTheme="minorEastAsia" w:eastAsiaTheme="minorEastAsia"/>
          <w:kern w:val="0"/>
          <w:sz w:val="21"/>
          <w:szCs w:val="21"/>
        </w:rPr>
        <w:t>未按照征集文件要求提供与</w:t>
      </w:r>
      <w:r>
        <w:rPr>
          <w:rFonts w:hint="eastAsia" w:cs="宋体" w:asciiTheme="minorEastAsia" w:hAnsiTheme="minorEastAsia" w:eastAsiaTheme="minorEastAsia"/>
          <w:sz w:val="21"/>
          <w:szCs w:val="21"/>
        </w:rPr>
        <w:t>资格条件相应的</w:t>
      </w:r>
      <w:r>
        <w:rPr>
          <w:rFonts w:hint="eastAsia" w:cs="宋体" w:asciiTheme="minorEastAsia" w:hAnsiTheme="minorEastAsia" w:eastAsiaTheme="minorEastAsia"/>
          <w:kern w:val="0"/>
          <w:sz w:val="21"/>
          <w:szCs w:val="21"/>
        </w:rPr>
        <w:t>有效资格证明材料的，视为</w:t>
      </w:r>
      <w:r>
        <w:rPr>
          <w:rFonts w:hint="eastAsia" w:cs="宋体" w:asciiTheme="minorEastAsia" w:hAnsiTheme="minorEastAsia" w:eastAsiaTheme="minorEastAsia"/>
          <w:sz w:val="21"/>
          <w:szCs w:val="21"/>
        </w:rPr>
        <w:t>响应供应商不具备征集文件中规定的资格要求，其响应无效。</w:t>
      </w:r>
    </w:p>
    <w:p w14:paraId="7958B790">
      <w:pPr>
        <w:pStyle w:val="115"/>
        <w:spacing w:before="0"/>
        <w:ind w:firstLine="420"/>
        <w:jc w:val="left"/>
        <w:rPr>
          <w:rFonts w:cs="宋体" w:asciiTheme="minorEastAsia" w:hAnsiTheme="minorEastAsia" w:eastAsiaTheme="minorEastAsia"/>
          <w:sz w:val="21"/>
          <w:szCs w:val="21"/>
        </w:rPr>
      </w:pPr>
      <w:r>
        <w:rPr>
          <w:rFonts w:hint="eastAsia" w:cs="宋体" w:asciiTheme="minorEastAsia" w:hAnsiTheme="minorEastAsia" w:eastAsiaTheme="minorEastAsia"/>
          <w:kern w:val="0"/>
          <w:sz w:val="21"/>
          <w:szCs w:val="21"/>
        </w:rPr>
        <w:t xml:space="preserve">20.3 </w:t>
      </w:r>
      <w:r>
        <w:rPr>
          <w:rFonts w:hint="eastAsia" w:cs="宋体" w:asciiTheme="minorEastAsia" w:hAnsiTheme="minorEastAsia" w:eastAsiaTheme="minorEastAsia"/>
          <w:sz w:val="21"/>
          <w:szCs w:val="21"/>
        </w:rPr>
        <w:t>对未通过资格审查的响应供应商，采购代理机构告知其未通过的原因。</w:t>
      </w:r>
    </w:p>
    <w:p w14:paraId="5198EB71">
      <w:pPr>
        <w:pStyle w:val="115"/>
        <w:spacing w:before="0"/>
        <w:ind w:firstLine="420"/>
        <w:jc w:val="left"/>
        <w:rPr>
          <w:rFonts w:cs="宋体" w:asciiTheme="minorEastAsia" w:hAnsiTheme="minorEastAsia" w:eastAsiaTheme="minorEastAsia"/>
          <w:sz w:val="21"/>
          <w:szCs w:val="21"/>
        </w:rPr>
      </w:pPr>
      <w:r>
        <w:rPr>
          <w:rFonts w:hint="eastAsia" w:cs="宋体" w:asciiTheme="minorEastAsia" w:hAnsiTheme="minorEastAsia" w:eastAsiaTheme="minorEastAsia"/>
          <w:kern w:val="0"/>
          <w:sz w:val="21"/>
          <w:szCs w:val="21"/>
        </w:rPr>
        <w:t xml:space="preserve">20.4 </w:t>
      </w:r>
      <w:r>
        <w:rPr>
          <w:rFonts w:hint="eastAsia" w:cs="宋体" w:asciiTheme="minorEastAsia" w:hAnsiTheme="minorEastAsia" w:eastAsiaTheme="minorEastAsia"/>
          <w:sz w:val="21"/>
          <w:szCs w:val="21"/>
        </w:rPr>
        <w:t>合格响应供应商不足13家的，不再评审。</w:t>
      </w:r>
    </w:p>
    <w:p w14:paraId="3142B47C">
      <w:pPr>
        <w:pStyle w:val="115"/>
        <w:spacing w:before="0"/>
        <w:ind w:firstLine="0" w:firstLineChars="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color w:val="000000" w:themeColor="text1"/>
          <w:sz w:val="21"/>
          <w:szCs w:val="21"/>
        </w:rPr>
        <w:t>21. 信用信息查询</w:t>
      </w:r>
    </w:p>
    <w:p w14:paraId="753EA351">
      <w:pPr>
        <w:pStyle w:val="115"/>
        <w:spacing w:before="0"/>
        <w:ind w:firstLine="495" w:firstLineChars="0"/>
        <w:jc w:val="left"/>
        <w:rPr>
          <w:rFonts w:cs="宋体" w:asciiTheme="minorEastAsia" w:hAnsiTheme="minorEastAsia" w:eastAsiaTheme="minorEastAsia"/>
          <w:color w:val="000000" w:themeColor="text1"/>
          <w:kern w:val="0"/>
          <w:sz w:val="21"/>
          <w:szCs w:val="21"/>
        </w:rPr>
      </w:pPr>
      <w:r>
        <w:rPr>
          <w:rFonts w:hint="eastAsia" w:cs="宋体" w:asciiTheme="minorEastAsia" w:hAnsiTheme="minorEastAsia" w:eastAsiaTheme="minorEastAsia"/>
          <w:color w:val="000000" w:themeColor="text1"/>
          <w:kern w:val="0"/>
          <w:sz w:val="21"/>
          <w:szCs w:val="21"/>
        </w:rPr>
        <w:t>21.1 信用信息查询渠道及截止时间：采购机构（征集人）通过“信用中国”网站(www.creditchina.gov.cn)、中国政府采购网(www.ccgp.gov.cn)渠道查询响应</w:t>
      </w:r>
      <w:r>
        <w:rPr>
          <w:rFonts w:hint="eastAsia" w:cs="宋体" w:asciiTheme="minorEastAsia" w:hAnsiTheme="minorEastAsia" w:eastAsiaTheme="minorEastAsia"/>
          <w:color w:val="000000" w:themeColor="text1"/>
          <w:sz w:val="21"/>
          <w:szCs w:val="21"/>
        </w:rPr>
        <w:t>供应商</w:t>
      </w:r>
      <w:r>
        <w:rPr>
          <w:rFonts w:hint="eastAsia" w:cs="宋体" w:asciiTheme="minorEastAsia" w:hAnsiTheme="minorEastAsia" w:eastAsiaTheme="minorEastAsia"/>
          <w:color w:val="000000" w:themeColor="text1"/>
          <w:kern w:val="0"/>
          <w:sz w:val="21"/>
          <w:szCs w:val="21"/>
        </w:rPr>
        <w:t>接受资格审查时的信用记录。</w:t>
      </w:r>
    </w:p>
    <w:p w14:paraId="484718DD">
      <w:pPr>
        <w:pStyle w:val="115"/>
        <w:spacing w:before="0"/>
        <w:ind w:firstLine="495" w:firstLineChars="0"/>
        <w:jc w:val="left"/>
        <w:rPr>
          <w:rFonts w:cs="宋体" w:asciiTheme="minorEastAsia" w:hAnsiTheme="minorEastAsia" w:eastAsiaTheme="minorEastAsia"/>
          <w:color w:val="000000" w:themeColor="text1"/>
          <w:kern w:val="0"/>
          <w:sz w:val="21"/>
          <w:szCs w:val="21"/>
        </w:rPr>
      </w:pPr>
      <w:r>
        <w:rPr>
          <w:rFonts w:hint="eastAsia" w:cs="宋体" w:asciiTheme="minorEastAsia" w:hAnsiTheme="minorEastAsia" w:eastAsiaTheme="minorEastAsia"/>
          <w:color w:val="000000" w:themeColor="text1"/>
          <w:kern w:val="0"/>
          <w:sz w:val="21"/>
          <w:szCs w:val="21"/>
        </w:rPr>
        <w:t>21.2 信用信息查询记录和证据留存的具体方式：现场查询的响应供应商的信用记录、查询结果经确认后将与采购文件一起存档。</w:t>
      </w:r>
    </w:p>
    <w:p w14:paraId="1FB8B13D">
      <w:pPr>
        <w:pStyle w:val="115"/>
        <w:spacing w:before="0"/>
        <w:ind w:firstLine="495" w:firstLineChars="0"/>
        <w:jc w:val="left"/>
        <w:rPr>
          <w:rFonts w:cs="宋体" w:asciiTheme="minorEastAsia" w:hAnsiTheme="minorEastAsia" w:eastAsiaTheme="minorEastAsia"/>
          <w:color w:val="000000" w:themeColor="text1"/>
          <w:kern w:val="0"/>
          <w:sz w:val="21"/>
          <w:szCs w:val="21"/>
        </w:rPr>
      </w:pPr>
      <w:r>
        <w:rPr>
          <w:rFonts w:hint="eastAsia" w:cs="宋体" w:asciiTheme="minorEastAsia" w:hAnsiTheme="minorEastAsia" w:eastAsiaTheme="minorEastAsia"/>
          <w:color w:val="000000" w:themeColor="text1"/>
          <w:kern w:val="0"/>
          <w:sz w:val="21"/>
          <w:szCs w:val="21"/>
        </w:rPr>
        <w:t>21.3 信用信息的使用规则：经查询列入失信被执行人名单、重大税收违法案件当事人名单、政府采购严重违法失信行为记录名单的响应供应商将被拒绝参与政府采购活动。</w:t>
      </w:r>
    </w:p>
    <w:p w14:paraId="7784C4F3">
      <w:pPr>
        <w:pStyle w:val="115"/>
        <w:spacing w:before="0"/>
        <w:ind w:firstLine="0" w:firstLineChars="0"/>
        <w:jc w:val="left"/>
        <w:rPr>
          <w:rFonts w:cs="宋体" w:asciiTheme="minorEastAsia" w:hAnsiTheme="minorEastAsia" w:eastAsiaTheme="minorEastAsia"/>
          <w:color w:val="000000" w:themeColor="text1"/>
          <w:kern w:val="0"/>
          <w:sz w:val="21"/>
          <w:szCs w:val="21"/>
        </w:rPr>
      </w:pPr>
    </w:p>
    <w:p w14:paraId="64055199">
      <w:pPr>
        <w:snapToGrid w:val="0"/>
        <w:spacing w:line="360" w:lineRule="auto"/>
        <w:outlineLvl w:val="0"/>
        <w:rPr>
          <w:rFonts w:cs="宋体" w:asciiTheme="minorEastAsia" w:hAnsiTheme="minorEastAsia" w:eastAsiaTheme="minorEastAsia"/>
          <w:b/>
          <w:color w:val="000000" w:themeColor="text1"/>
          <w:sz w:val="24"/>
        </w:rPr>
      </w:pPr>
      <w:r>
        <w:rPr>
          <w:rFonts w:hint="eastAsia" w:cs="宋体" w:asciiTheme="minorEastAsia" w:hAnsiTheme="minorEastAsia" w:eastAsiaTheme="minorEastAsia"/>
          <w:b/>
          <w:color w:val="000000" w:themeColor="text1"/>
          <w:sz w:val="24"/>
        </w:rPr>
        <w:t>五、评审</w:t>
      </w:r>
      <w:bookmarkStart w:id="21" w:name="_Toc91899903"/>
    </w:p>
    <w:p w14:paraId="73C8DD05">
      <w:pPr>
        <w:spacing w:line="360" w:lineRule="auto"/>
        <w:ind w:firstLine="422" w:firstLineChars="20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 xml:space="preserve">22. </w:t>
      </w:r>
      <w:r>
        <w:rPr>
          <w:rFonts w:hint="eastAsia" w:cs="宋体" w:asciiTheme="minorEastAsia" w:hAnsiTheme="minorEastAsia" w:eastAsiaTheme="minorEastAsia"/>
          <w:color w:val="000000" w:themeColor="text1"/>
          <w:szCs w:val="21"/>
        </w:rPr>
        <w:t>评标委员会将根据征集文件和有关规定，履行评审工作职责，并按照评审方法及要求，全面衡量各响应供应商对征集文件的响应情况。</w:t>
      </w:r>
      <w:r>
        <w:rPr>
          <w:rFonts w:hint="eastAsia" w:cs="宋体" w:asciiTheme="minorEastAsia" w:hAnsiTheme="minorEastAsia" w:eastAsiaTheme="minorEastAsia"/>
          <w:b/>
          <w:color w:val="000000" w:themeColor="text1"/>
          <w:szCs w:val="21"/>
        </w:rPr>
        <w:t>详见征集文件第四部分确定第一阶段入围供应商的评审方法。</w:t>
      </w:r>
    </w:p>
    <w:p w14:paraId="5E55F195">
      <w:pPr>
        <w:spacing w:line="360" w:lineRule="auto"/>
        <w:ind w:firstLine="422" w:firstLineChars="200"/>
        <w:jc w:val="left"/>
        <w:rPr>
          <w:rFonts w:cs="宋体" w:asciiTheme="minorEastAsia" w:hAnsiTheme="minorEastAsia" w:eastAsiaTheme="minorEastAsia"/>
          <w:b/>
          <w:color w:val="000000" w:themeColor="text1"/>
          <w:szCs w:val="21"/>
        </w:rPr>
      </w:pPr>
    </w:p>
    <w:p w14:paraId="5F96DC2C">
      <w:pPr>
        <w:snapToGrid w:val="0"/>
        <w:spacing w:line="360" w:lineRule="auto"/>
        <w:outlineLvl w:val="0"/>
        <w:rPr>
          <w:rFonts w:cs="宋体" w:asciiTheme="minorEastAsia" w:hAnsiTheme="minorEastAsia" w:eastAsiaTheme="minorEastAsia"/>
          <w:b/>
          <w:color w:val="000000" w:themeColor="text1"/>
          <w:sz w:val="24"/>
        </w:rPr>
      </w:pPr>
      <w:r>
        <w:rPr>
          <w:rFonts w:hint="eastAsia" w:cs="宋体" w:asciiTheme="minorEastAsia" w:hAnsiTheme="minorEastAsia" w:eastAsiaTheme="minorEastAsia"/>
          <w:b/>
          <w:color w:val="000000" w:themeColor="text1"/>
          <w:sz w:val="24"/>
        </w:rPr>
        <w:t>六、确定评审结果</w:t>
      </w:r>
    </w:p>
    <w:p w14:paraId="49E22034">
      <w:pPr>
        <w:pStyle w:val="20"/>
        <w:spacing w:line="360" w:lineRule="auto"/>
        <w:ind w:left="0" w:leftChars="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23. 确定入围供应商</w:t>
      </w:r>
    </w:p>
    <w:p w14:paraId="3541C4BB">
      <w:pPr>
        <w:pStyle w:val="20"/>
        <w:spacing w:line="360" w:lineRule="auto"/>
        <w:ind w:left="0" w:leftChars="0" w:firstLine="420" w:firstLineChars="20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color w:val="000000" w:themeColor="text1"/>
          <w:szCs w:val="21"/>
        </w:rPr>
        <w:t>23.1 评标委员会对满足采购需求的供应商，按照商务技术得分从高到低排序，根据征集文件规定的入围要求确定入围供应商。</w:t>
      </w:r>
      <w:r>
        <w:rPr>
          <w:rFonts w:hint="eastAsia" w:cs="宋体" w:asciiTheme="minorEastAsia" w:hAnsiTheme="minorEastAsia" w:eastAsiaTheme="minorEastAsia"/>
          <w:b/>
          <w:color w:val="000000" w:themeColor="text1"/>
          <w:szCs w:val="21"/>
        </w:rPr>
        <w:t>详见征集文件第四部分确定第一阶段入围供应商的评审方法。</w:t>
      </w:r>
    </w:p>
    <w:p w14:paraId="6BA95E9D">
      <w:pPr>
        <w:pStyle w:val="115"/>
        <w:snapToGrid w:val="0"/>
        <w:spacing w:before="0"/>
        <w:ind w:firstLine="42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color w:val="000000" w:themeColor="text1"/>
          <w:sz w:val="21"/>
          <w:szCs w:val="21"/>
        </w:rPr>
        <w:t>23.2 政府采购项目实行全流程电子化，评审报告送交、采购结果确定和入围结果公告均在线完成。</w:t>
      </w:r>
    </w:p>
    <w:p w14:paraId="50D0D411">
      <w:pPr>
        <w:pStyle w:val="115"/>
        <w:snapToGrid w:val="0"/>
        <w:spacing w:before="0"/>
        <w:ind w:firstLine="0" w:firstLineChars="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color w:val="000000" w:themeColor="text1"/>
          <w:sz w:val="21"/>
          <w:szCs w:val="21"/>
        </w:rPr>
        <w:t>24. 入围通知与入围结果公告</w:t>
      </w:r>
    </w:p>
    <w:p w14:paraId="2855644B">
      <w:pPr>
        <w:widowControl/>
        <w:shd w:val="clear" w:color="auto" w:fill="FFFFFF"/>
        <w:spacing w:line="360" w:lineRule="auto"/>
        <w:ind w:firstLine="48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24.1 自入围供应商确定之日起2个工作日内，采购代理机构通过电子交易平台向入围供应商发出入围通知书，同时编制发布入围结果公告。</w:t>
      </w:r>
    </w:p>
    <w:p w14:paraId="5A368D7A">
      <w:pPr>
        <w:widowControl/>
        <w:shd w:val="clear" w:color="auto" w:fill="FFFFFF"/>
        <w:spacing w:line="360" w:lineRule="auto"/>
        <w:ind w:firstLine="48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24.2 入围结果公告内容包括采购项目名称、编号，征集人的名称、地址、联系人和联系方式，入围供应商名称、地址及排序，入围主要服务内容及服务标准，评审小组成员名单，采购代理服务收费标准及金额，公告期限，省级以上财政部门规定的其他事项。</w:t>
      </w:r>
    </w:p>
    <w:p w14:paraId="74A014A9">
      <w:pPr>
        <w:widowControl/>
        <w:shd w:val="clear" w:color="auto" w:fill="FFFFFF"/>
        <w:spacing w:line="360" w:lineRule="auto"/>
        <w:ind w:firstLine="48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24.3 公告期限为1个工作日。</w:t>
      </w:r>
    </w:p>
    <w:p w14:paraId="65B60D2C">
      <w:pPr>
        <w:snapToGrid w:val="0"/>
        <w:spacing w:line="360" w:lineRule="auto"/>
        <w:rPr>
          <w:rFonts w:cs="宋体" w:asciiTheme="minorEastAsia" w:hAnsiTheme="minorEastAsia" w:eastAsiaTheme="minorEastAsia"/>
          <w:b/>
          <w:color w:val="000000" w:themeColor="text1"/>
          <w:sz w:val="30"/>
          <w:szCs w:val="30"/>
        </w:rPr>
      </w:pPr>
    </w:p>
    <w:p w14:paraId="232048AD">
      <w:pPr>
        <w:snapToGrid w:val="0"/>
        <w:spacing w:line="360" w:lineRule="auto"/>
        <w:rPr>
          <w:rFonts w:cs="宋体" w:asciiTheme="minorEastAsia" w:hAnsiTheme="minorEastAsia" w:eastAsiaTheme="minorEastAsia"/>
          <w:b/>
          <w:color w:val="000000" w:themeColor="text1"/>
          <w:sz w:val="24"/>
        </w:rPr>
      </w:pPr>
      <w:r>
        <w:rPr>
          <w:rFonts w:hint="eastAsia" w:cs="宋体" w:asciiTheme="minorEastAsia" w:hAnsiTheme="minorEastAsia" w:eastAsiaTheme="minorEastAsia"/>
          <w:b/>
          <w:color w:val="000000" w:themeColor="text1"/>
          <w:sz w:val="24"/>
        </w:rPr>
        <w:t>七、框架协议、采购合同签订</w:t>
      </w:r>
    </w:p>
    <w:p w14:paraId="0A4184ED">
      <w:pPr>
        <w:pStyle w:val="115"/>
        <w:snapToGrid w:val="0"/>
        <w:spacing w:before="0"/>
        <w:ind w:firstLine="0" w:firstLineChars="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color w:val="000000" w:themeColor="text1"/>
          <w:sz w:val="21"/>
          <w:szCs w:val="21"/>
        </w:rPr>
        <w:t>25. 框架协议的签订</w:t>
      </w:r>
    </w:p>
    <w:p w14:paraId="7840F20F">
      <w:pPr>
        <w:widowControl/>
        <w:shd w:val="clear" w:color="auto" w:fill="FFFFFF"/>
        <w:spacing w:line="360" w:lineRule="auto"/>
        <w:ind w:firstLine="480"/>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color w:val="000000" w:themeColor="text1"/>
          <w:szCs w:val="21"/>
        </w:rPr>
        <w:t>25.1 框架协议主要条款详见第五部分拟签订的框架协议文本。</w:t>
      </w:r>
    </w:p>
    <w:p w14:paraId="6312F955">
      <w:pPr>
        <w:widowControl/>
        <w:shd w:val="clear" w:color="auto" w:fill="FFFFFF"/>
        <w:spacing w:line="360" w:lineRule="auto"/>
        <w:ind w:firstLine="48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25.2 除不可抗力等特殊情况外，</w:t>
      </w:r>
      <w:r>
        <w:rPr>
          <w:rFonts w:hint="eastAsia" w:cs="宋体" w:asciiTheme="minorEastAsia" w:hAnsiTheme="minorEastAsia" w:eastAsiaTheme="minorEastAsia"/>
          <w:color w:val="000000" w:themeColor="text1"/>
          <w:kern w:val="0"/>
          <w:szCs w:val="21"/>
        </w:rPr>
        <w:t>征集人应当在入围通知书发出之日起30日内和入围供应商签订框架协议，并在框架协议签订后7个工作日内，将框架协议副本报本级财政部门备案。</w:t>
      </w:r>
    </w:p>
    <w:p w14:paraId="6961232E">
      <w:pPr>
        <w:widowControl/>
        <w:shd w:val="clear" w:color="auto" w:fill="FFFFFF"/>
        <w:spacing w:line="360" w:lineRule="auto"/>
        <w:ind w:firstLine="48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25.3 封闭式框架协议入围供应商无正当理由，不得主动放弃入围资格或者退出框架协议。</w:t>
      </w:r>
    </w:p>
    <w:p w14:paraId="14C53CCD">
      <w:pPr>
        <w:widowControl/>
        <w:shd w:val="clear" w:color="auto" w:fill="FFFFFF"/>
        <w:spacing w:line="360" w:lineRule="auto"/>
        <w:ind w:firstLine="480"/>
        <w:jc w:val="left"/>
        <w:rPr>
          <w:rFonts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25.4 征集人应当在框架协议签订后3个工作日内通过电子化采购系统将入围信息告知适用框架协议的所有征集人或者服务对象。入围信息应当包括所有入围供应商的名称、地址、联系方式、入围产品信息等内容。入围产品信息应当详细列明技术规格或者服务内容、服务标准等能反映产品质量特点的内容。征集人应当确保征集文件和入围信息在整个框架协议有效期内随时可供公众查阅。</w:t>
      </w:r>
    </w:p>
    <w:p w14:paraId="4A51BC0A">
      <w:pPr>
        <w:widowControl/>
        <w:shd w:val="clear" w:color="auto" w:fill="FFFFFF"/>
        <w:spacing w:line="360" w:lineRule="auto"/>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26. 采购合同的签订</w:t>
      </w:r>
    </w:p>
    <w:p w14:paraId="0836EA19">
      <w:pPr>
        <w:widowControl/>
        <w:shd w:val="clear" w:color="auto" w:fill="FFFFFF"/>
        <w:spacing w:line="360" w:lineRule="auto"/>
        <w:ind w:firstLine="48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 xml:space="preserve">26.1 确定第二阶段成交供应商的方式：送审金额在1亿元以下的采用顺序轮候方式，1亿元以上（含1亿元）的在入围供应商中采用二次竞价方式。 </w:t>
      </w:r>
    </w:p>
    <w:p w14:paraId="4D59D78E">
      <w:pPr>
        <w:widowControl/>
        <w:shd w:val="clear" w:color="auto" w:fill="FFFFFF"/>
        <w:spacing w:line="360" w:lineRule="auto"/>
        <w:ind w:firstLine="48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szCs w:val="21"/>
        </w:rPr>
        <w:t>26</w:t>
      </w:r>
      <w:r>
        <w:rPr>
          <w:rFonts w:hint="eastAsia" w:cs="宋体" w:asciiTheme="minorEastAsia" w:hAnsiTheme="minorEastAsia" w:eastAsiaTheme="minorEastAsia"/>
          <w:color w:val="000000" w:themeColor="text1"/>
          <w:kern w:val="0"/>
          <w:szCs w:val="21"/>
        </w:rPr>
        <w:t xml:space="preserve">.2 </w:t>
      </w:r>
      <w:r>
        <w:rPr>
          <w:rFonts w:hint="eastAsia" w:cs="宋体" w:asciiTheme="minorEastAsia" w:hAnsiTheme="minorEastAsia" w:eastAsiaTheme="minorEastAsia"/>
          <w:color w:val="000000" w:themeColor="text1"/>
          <w:szCs w:val="21"/>
        </w:rPr>
        <w:t>采购合同主要条款详见第五部分拟签订的采购合同文本，</w:t>
      </w:r>
      <w:r>
        <w:rPr>
          <w:rFonts w:hint="eastAsia" w:cs="宋体" w:asciiTheme="minorEastAsia" w:hAnsiTheme="minorEastAsia" w:eastAsiaTheme="minorEastAsia"/>
          <w:color w:val="000000" w:themeColor="text1"/>
          <w:kern w:val="0"/>
          <w:szCs w:val="21"/>
        </w:rPr>
        <w:t>征集人和供应商不得擅自改变框架协议约定的合同实质性条款。</w:t>
      </w:r>
    </w:p>
    <w:p w14:paraId="7771D592">
      <w:pPr>
        <w:widowControl/>
        <w:shd w:val="clear" w:color="auto" w:fill="FFFFFF"/>
        <w:spacing w:line="360" w:lineRule="auto"/>
        <w:ind w:firstLine="48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szCs w:val="21"/>
        </w:rPr>
        <w:t>26</w:t>
      </w:r>
      <w:r>
        <w:rPr>
          <w:rFonts w:hint="eastAsia" w:cs="宋体" w:asciiTheme="minorEastAsia" w:hAnsiTheme="minorEastAsia" w:eastAsiaTheme="minorEastAsia"/>
          <w:color w:val="000000" w:themeColor="text1"/>
          <w:kern w:val="0"/>
          <w:szCs w:val="21"/>
        </w:rPr>
        <w:t>.3 成交供应商按规定的日期、时间、地点，由法定代表人或其授权代表与征集人或服务对象代表在成交结果发布后30个工作日内签订合同。</w:t>
      </w:r>
    </w:p>
    <w:p w14:paraId="4299D688">
      <w:pPr>
        <w:pStyle w:val="115"/>
        <w:snapToGrid w:val="0"/>
        <w:spacing w:before="0" w:after="120"/>
        <w:ind w:firstLine="420"/>
        <w:jc w:val="left"/>
        <w:rPr>
          <w:rFonts w:cs="宋体" w:asciiTheme="minorEastAsia" w:hAnsiTheme="minorEastAsia" w:eastAsiaTheme="minorEastAsia"/>
          <w:color w:val="000000" w:themeColor="text1"/>
          <w:kern w:val="0"/>
          <w:sz w:val="21"/>
          <w:szCs w:val="21"/>
        </w:rPr>
      </w:pPr>
      <w:r>
        <w:rPr>
          <w:rFonts w:hint="eastAsia" w:cs="宋体" w:asciiTheme="minorEastAsia" w:hAnsiTheme="minorEastAsia" w:eastAsiaTheme="minorEastAsia"/>
          <w:color w:val="000000" w:themeColor="text1"/>
          <w:sz w:val="21"/>
          <w:szCs w:val="21"/>
        </w:rPr>
        <w:t>26</w:t>
      </w:r>
      <w:r>
        <w:rPr>
          <w:rFonts w:hint="eastAsia" w:cs="宋体" w:asciiTheme="minorEastAsia" w:hAnsiTheme="minorEastAsia" w:eastAsiaTheme="minorEastAsia"/>
          <w:color w:val="000000" w:themeColor="text1"/>
          <w:kern w:val="0"/>
          <w:sz w:val="21"/>
          <w:szCs w:val="21"/>
        </w:rPr>
        <w:t xml:space="preserve">.4 </w:t>
      </w:r>
      <w:r>
        <w:rPr>
          <w:rFonts w:hint="eastAsia" w:cs="宋体" w:asciiTheme="minorEastAsia" w:hAnsiTheme="minorEastAsia" w:eastAsiaTheme="minorEastAsia"/>
          <w:color w:val="000000" w:themeColor="text1"/>
          <w:sz w:val="21"/>
          <w:szCs w:val="21"/>
        </w:rPr>
        <w:t>采购合同由征集人与成交供应商通过政府采购电子交易平台在线签订，自动备案。</w:t>
      </w:r>
    </w:p>
    <w:p w14:paraId="67AC179D">
      <w:pPr>
        <w:widowControl/>
        <w:shd w:val="clear" w:color="auto" w:fill="FFFFFF"/>
        <w:spacing w:line="360" w:lineRule="auto"/>
        <w:jc w:val="left"/>
        <w:rPr>
          <w:rFonts w:cs="宋体"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27. 履约保证金</w:t>
      </w:r>
    </w:p>
    <w:p w14:paraId="351EEB41">
      <w:pPr>
        <w:tabs>
          <w:tab w:val="left" w:pos="0"/>
        </w:tabs>
        <w:spacing w:line="360" w:lineRule="auto"/>
        <w:ind w:firstLine="482"/>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kern w:val="0"/>
          <w:szCs w:val="21"/>
        </w:rPr>
        <w:t>征集人免收履约保证金</w:t>
      </w:r>
      <w:r>
        <w:rPr>
          <w:rFonts w:hint="eastAsia" w:cs="宋体" w:asciiTheme="minorEastAsia" w:hAnsiTheme="minorEastAsia" w:eastAsiaTheme="minorEastAsia"/>
          <w:snapToGrid w:val="0"/>
          <w:color w:val="000000" w:themeColor="text1"/>
          <w:kern w:val="28"/>
          <w:szCs w:val="21"/>
        </w:rPr>
        <w:t>。</w:t>
      </w:r>
    </w:p>
    <w:p w14:paraId="4DA74EAD">
      <w:pPr>
        <w:snapToGrid w:val="0"/>
        <w:spacing w:line="360" w:lineRule="auto"/>
        <w:ind w:firstLine="602" w:firstLineChars="200"/>
        <w:jc w:val="center"/>
        <w:rPr>
          <w:rFonts w:cs="宋体" w:asciiTheme="minorEastAsia" w:hAnsiTheme="minorEastAsia" w:eastAsiaTheme="minorEastAsia"/>
          <w:b/>
          <w:color w:val="000000" w:themeColor="text1"/>
          <w:sz w:val="30"/>
          <w:szCs w:val="30"/>
        </w:rPr>
      </w:pPr>
    </w:p>
    <w:p w14:paraId="78DBBD1A">
      <w:pPr>
        <w:snapToGrid w:val="0"/>
        <w:spacing w:line="360" w:lineRule="auto"/>
        <w:rPr>
          <w:rFonts w:cs="宋体" w:asciiTheme="minorEastAsia" w:hAnsiTheme="minorEastAsia" w:eastAsiaTheme="minorEastAsia"/>
          <w:b/>
          <w:color w:val="000000" w:themeColor="text1"/>
          <w:sz w:val="24"/>
        </w:rPr>
      </w:pPr>
      <w:r>
        <w:rPr>
          <w:rFonts w:hint="eastAsia" w:cs="宋体" w:asciiTheme="minorEastAsia" w:hAnsiTheme="minorEastAsia" w:eastAsiaTheme="minorEastAsia"/>
          <w:b/>
          <w:color w:val="000000" w:themeColor="text1"/>
          <w:sz w:val="24"/>
        </w:rPr>
        <w:t>八、电子交易活动的中止</w:t>
      </w:r>
    </w:p>
    <w:p w14:paraId="6AFF1BA4">
      <w:pPr>
        <w:pStyle w:val="115"/>
        <w:snapToGrid w:val="0"/>
        <w:spacing w:before="0"/>
        <w:ind w:firstLine="0" w:firstLineChars="0"/>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bCs/>
          <w:color w:val="000000" w:themeColor="text1"/>
          <w:sz w:val="21"/>
          <w:szCs w:val="21"/>
        </w:rPr>
        <w:t>28.</w:t>
      </w:r>
      <w:r>
        <w:rPr>
          <w:rFonts w:hint="eastAsia" w:cs="宋体" w:asciiTheme="minorEastAsia" w:hAnsiTheme="minorEastAsia" w:eastAsiaTheme="minorEastAsia"/>
          <w:b/>
          <w:color w:val="000000" w:themeColor="text1"/>
          <w:sz w:val="21"/>
          <w:szCs w:val="21"/>
        </w:rPr>
        <w:t xml:space="preserve"> 电子交易活动的中止。</w:t>
      </w:r>
    </w:p>
    <w:p w14:paraId="0A828DDB">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采购过程中出现以下情形，导致电子交易平台无法正常运行，或者无法保证电子交易的公平、公正和安全时，采购机构（征集人）可中止电子交易活动：</w:t>
      </w:r>
    </w:p>
    <w:p w14:paraId="4667097E">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 xml:space="preserve">28.1 电子交易平台发生故障而无法登录访问的； </w:t>
      </w:r>
    </w:p>
    <w:p w14:paraId="51F79D5F">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28.2 电子交易平台应用或数据库出现错误，不能进行正常操作的；</w:t>
      </w:r>
    </w:p>
    <w:p w14:paraId="3340A2F5">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28.3 电子交易平台发现严重安全漏洞，有潜在泄密危险的；</w:t>
      </w:r>
    </w:p>
    <w:p w14:paraId="0F95F99D">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 xml:space="preserve">28.4 病毒发作导致不能进行正常操作的； </w:t>
      </w:r>
    </w:p>
    <w:p w14:paraId="726E0FF9">
      <w:pPr>
        <w:pStyle w:val="115"/>
        <w:snapToGrid w:val="0"/>
        <w:spacing w:before="0"/>
        <w:ind w:firstLine="420"/>
        <w:jc w:val="left"/>
        <w:rPr>
          <w:rFonts w:cs="宋体" w:asciiTheme="minorEastAsia" w:hAnsiTheme="minorEastAsia" w:eastAsiaTheme="minorEastAsia"/>
          <w:color w:val="000000" w:themeColor="text1"/>
          <w:sz w:val="21"/>
          <w:szCs w:val="21"/>
        </w:rPr>
      </w:pPr>
      <w:r>
        <w:rPr>
          <w:rFonts w:hint="eastAsia" w:cs="宋体" w:asciiTheme="minorEastAsia" w:hAnsiTheme="minorEastAsia" w:eastAsiaTheme="minorEastAsia"/>
          <w:color w:val="000000" w:themeColor="text1"/>
          <w:sz w:val="21"/>
          <w:szCs w:val="21"/>
        </w:rPr>
        <w:t>28.5 其他无法保证电子交易的公平、公正和安全的情况。</w:t>
      </w:r>
    </w:p>
    <w:p w14:paraId="2EB6D02F">
      <w:pPr>
        <w:pStyle w:val="115"/>
        <w:snapToGrid w:val="0"/>
        <w:spacing w:before="0"/>
        <w:ind w:firstLine="422"/>
        <w:jc w:val="left"/>
        <w:rPr>
          <w:rFonts w:cs="宋体" w:asciiTheme="minorEastAsia" w:hAnsiTheme="minorEastAsia" w:eastAsiaTheme="minorEastAsia"/>
          <w:b/>
          <w:color w:val="000000" w:themeColor="text1"/>
          <w:sz w:val="21"/>
          <w:szCs w:val="21"/>
        </w:rPr>
      </w:pPr>
      <w:r>
        <w:rPr>
          <w:rFonts w:hint="eastAsia" w:cs="宋体" w:asciiTheme="minorEastAsia" w:hAnsiTheme="minorEastAsia" w:eastAsiaTheme="minorEastAsia"/>
          <w:b/>
          <w:bCs/>
          <w:color w:val="000000" w:themeColor="text1"/>
          <w:sz w:val="21"/>
          <w:szCs w:val="21"/>
        </w:rPr>
        <w:t xml:space="preserve">29. </w:t>
      </w:r>
      <w:r>
        <w:rPr>
          <w:rFonts w:hint="eastAsia" w:cs="宋体" w:asciiTheme="minorEastAsia" w:hAnsiTheme="minorEastAsia" w:eastAsiaTheme="minorEastAsia"/>
          <w:b/>
          <w:color w:val="000000" w:themeColor="text1"/>
          <w:sz w:val="21"/>
          <w:szCs w:val="21"/>
        </w:rPr>
        <w:t>出现以上情形，不影响采购公平、公正性的，采购组织机构（征集人）可以待上述情形消除后继续组织电子交易活动，也可以决定某些环节以纸质形式进行；影响或可能影响采购公平、公正性的，应当重新采购。</w:t>
      </w:r>
    </w:p>
    <w:bookmarkEnd w:id="21"/>
    <w:p w14:paraId="2A9F353B">
      <w:pPr>
        <w:snapToGrid w:val="0"/>
        <w:spacing w:line="360" w:lineRule="auto"/>
        <w:ind w:firstLine="602" w:firstLineChars="200"/>
        <w:jc w:val="center"/>
        <w:rPr>
          <w:rFonts w:cs="宋体" w:asciiTheme="majorEastAsia" w:hAnsiTheme="majorEastAsia" w:eastAsiaTheme="majorEastAsia"/>
          <w:b/>
          <w:color w:val="000000" w:themeColor="text1"/>
          <w:sz w:val="30"/>
          <w:szCs w:val="30"/>
        </w:rPr>
      </w:pPr>
    </w:p>
    <w:p w14:paraId="069F74BA">
      <w:pPr>
        <w:snapToGrid w:val="0"/>
        <w:spacing w:line="360" w:lineRule="auto"/>
        <w:rPr>
          <w:rFonts w:cs="宋体" w:asciiTheme="majorEastAsia" w:hAnsiTheme="majorEastAsia" w:eastAsiaTheme="majorEastAsia"/>
          <w:b/>
          <w:color w:val="000000" w:themeColor="text1"/>
          <w:sz w:val="24"/>
        </w:rPr>
      </w:pPr>
      <w:r>
        <w:rPr>
          <w:rFonts w:hint="eastAsia" w:cs="宋体" w:asciiTheme="majorEastAsia" w:hAnsiTheme="majorEastAsia" w:eastAsiaTheme="majorEastAsia"/>
          <w:b/>
          <w:color w:val="000000" w:themeColor="text1"/>
          <w:sz w:val="24"/>
        </w:rPr>
        <w:t>九、验收和支付</w:t>
      </w:r>
    </w:p>
    <w:p w14:paraId="20C576F5">
      <w:pPr>
        <w:pStyle w:val="18"/>
        <w:jc w:val="left"/>
        <w:rPr>
          <w:rFonts w:asciiTheme="minorEastAsia" w:hAnsiTheme="minorEastAsia" w:eastAsiaTheme="minorEastAsia"/>
          <w:b/>
          <w:bCs/>
          <w:color w:val="000000" w:themeColor="text1"/>
          <w:sz w:val="21"/>
          <w:lang w:val="en-US"/>
        </w:rPr>
      </w:pPr>
      <w:r>
        <w:rPr>
          <w:rFonts w:hint="eastAsia" w:asciiTheme="minorEastAsia" w:hAnsiTheme="minorEastAsia" w:eastAsiaTheme="minorEastAsia"/>
          <w:b/>
          <w:bCs/>
          <w:color w:val="000000" w:themeColor="text1"/>
          <w:sz w:val="21"/>
          <w:lang w:val="en-US"/>
        </w:rPr>
        <w:t>30. 验收</w:t>
      </w:r>
    </w:p>
    <w:p w14:paraId="7D909CA5">
      <w:pPr>
        <w:tabs>
          <w:tab w:val="left" w:pos="0"/>
        </w:tabs>
        <w:spacing w:line="360" w:lineRule="auto"/>
        <w:ind w:firstLine="48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30.1 严格按照约定开展履约验收。验收结束后，应当出具验收书，由验收双方共同签署。</w:t>
      </w:r>
    </w:p>
    <w:p w14:paraId="2490B6EF">
      <w:pPr>
        <w:tabs>
          <w:tab w:val="left" w:pos="0"/>
        </w:tabs>
        <w:spacing w:line="360" w:lineRule="auto"/>
        <w:ind w:firstLine="480"/>
        <w:jc w:val="left"/>
        <w:rPr>
          <w:rFonts w:cs="宋体" w:asciiTheme="minorEastAsia" w:hAnsiTheme="minorEastAsia" w:eastAsiaTheme="minorEastAsia"/>
          <w:b/>
          <w:bCs/>
          <w:color w:val="000000" w:themeColor="text1"/>
          <w:kern w:val="0"/>
          <w:szCs w:val="21"/>
        </w:rPr>
      </w:pPr>
      <w:r>
        <w:rPr>
          <w:rFonts w:hint="eastAsia" w:cs="宋体" w:asciiTheme="minorEastAsia" w:hAnsiTheme="minorEastAsia" w:eastAsiaTheme="minorEastAsia"/>
          <w:color w:val="000000" w:themeColor="text1"/>
          <w:kern w:val="0"/>
          <w:szCs w:val="21"/>
        </w:rPr>
        <w:t>30.2 验收合格的项目，征集人将根据约定向供应商支付采购资金。验收不合格的项目，征集人将依法进行处理。</w:t>
      </w:r>
    </w:p>
    <w:p w14:paraId="2EFE124C">
      <w:pPr>
        <w:pStyle w:val="18"/>
        <w:jc w:val="left"/>
        <w:rPr>
          <w:rFonts w:asciiTheme="minorEastAsia" w:hAnsiTheme="minorEastAsia" w:eastAsiaTheme="minorEastAsia"/>
          <w:b/>
          <w:bCs/>
          <w:color w:val="000000" w:themeColor="text1"/>
          <w:sz w:val="21"/>
          <w:lang w:val="en-US"/>
        </w:rPr>
      </w:pPr>
      <w:bookmarkStart w:id="22" w:name="_Hlt75236011"/>
      <w:bookmarkEnd w:id="22"/>
      <w:bookmarkStart w:id="23" w:name="_Hlt74714665"/>
      <w:bookmarkEnd w:id="23"/>
      <w:bookmarkStart w:id="24" w:name="_Hlt75236101"/>
      <w:bookmarkEnd w:id="24"/>
      <w:bookmarkStart w:id="25" w:name="_Hlt75236290"/>
      <w:bookmarkEnd w:id="25"/>
      <w:bookmarkStart w:id="26" w:name="_Hlt68072990"/>
      <w:bookmarkEnd w:id="26"/>
      <w:bookmarkStart w:id="27" w:name="_Hlt68072998"/>
      <w:bookmarkEnd w:id="27"/>
      <w:bookmarkStart w:id="28" w:name="_Hlt74707468"/>
      <w:bookmarkEnd w:id="28"/>
      <w:bookmarkStart w:id="29" w:name="_Hlt68403820"/>
      <w:bookmarkEnd w:id="29"/>
      <w:bookmarkStart w:id="30" w:name="_Hlt74729768"/>
      <w:bookmarkEnd w:id="30"/>
      <w:bookmarkStart w:id="31" w:name="_Hlt74730295"/>
      <w:bookmarkEnd w:id="31"/>
      <w:bookmarkStart w:id="32" w:name="_Hlt68073093"/>
      <w:bookmarkEnd w:id="32"/>
      <w:bookmarkStart w:id="33" w:name="_Hlt68057669"/>
      <w:bookmarkEnd w:id="33"/>
      <w:r>
        <w:rPr>
          <w:rFonts w:hint="eastAsia" w:asciiTheme="minorEastAsia" w:hAnsiTheme="minorEastAsia" w:eastAsiaTheme="minorEastAsia"/>
          <w:b/>
          <w:bCs/>
          <w:color w:val="000000" w:themeColor="text1"/>
          <w:sz w:val="21"/>
          <w:lang w:val="en-US"/>
        </w:rPr>
        <w:t>31. 支付</w:t>
      </w:r>
    </w:p>
    <w:p w14:paraId="555A3438">
      <w:pPr>
        <w:pStyle w:val="18"/>
        <w:ind w:firstLine="420" w:firstLineChars="200"/>
        <w:jc w:val="left"/>
        <w:rPr>
          <w:rFonts w:asciiTheme="minorEastAsia" w:hAnsiTheme="minorEastAsia" w:eastAsiaTheme="minorEastAsia"/>
          <w:color w:val="000000" w:themeColor="text1"/>
          <w:sz w:val="21"/>
        </w:rPr>
      </w:pPr>
      <w:r>
        <w:rPr>
          <w:rFonts w:hint="eastAsia" w:asciiTheme="minorEastAsia" w:hAnsiTheme="minorEastAsia" w:eastAsiaTheme="minorEastAsia"/>
          <w:color w:val="000000" w:themeColor="text1"/>
          <w:sz w:val="21"/>
        </w:rPr>
        <w:t>征集人对于满足约定支付条件的，将资金支付到供应商账户。</w:t>
      </w:r>
    </w:p>
    <w:p w14:paraId="54007C91">
      <w:pPr>
        <w:pStyle w:val="38"/>
        <w:spacing w:line="360" w:lineRule="auto"/>
        <w:ind w:left="0" w:leftChars="0" w:firstLine="602"/>
        <w:jc w:val="center"/>
        <w:rPr>
          <w:rFonts w:cs="Arial" w:asciiTheme="minorEastAsia" w:hAnsiTheme="minorEastAsia" w:eastAsiaTheme="minorEastAsia"/>
          <w:b/>
          <w:bCs/>
          <w:snapToGrid w:val="0"/>
          <w:color w:val="000000" w:themeColor="text1"/>
          <w:sz w:val="30"/>
          <w:szCs w:val="30"/>
        </w:rPr>
      </w:pPr>
    </w:p>
    <w:p w14:paraId="6494F6D2">
      <w:pPr>
        <w:pStyle w:val="38"/>
        <w:spacing w:line="360" w:lineRule="auto"/>
        <w:ind w:left="0" w:leftChars="0" w:firstLine="0" w:firstLineChars="0"/>
        <w:rPr>
          <w:rFonts w:asciiTheme="minorEastAsia" w:hAnsiTheme="minorEastAsia" w:eastAsiaTheme="minorEastAsia"/>
          <w:b/>
          <w:bCs/>
          <w:color w:val="000000" w:themeColor="text1"/>
          <w:sz w:val="24"/>
        </w:rPr>
      </w:pPr>
      <w:r>
        <w:rPr>
          <w:rFonts w:hint="eastAsia" w:cs="Arial" w:asciiTheme="minorEastAsia" w:hAnsiTheme="minorEastAsia" w:eastAsiaTheme="minorEastAsia"/>
          <w:b/>
          <w:bCs/>
          <w:snapToGrid w:val="0"/>
          <w:color w:val="000000" w:themeColor="text1"/>
          <w:sz w:val="24"/>
        </w:rPr>
        <w:t>十、协议期内的监督与管理</w:t>
      </w:r>
    </w:p>
    <w:p w14:paraId="04F06D4F">
      <w:pPr>
        <w:pStyle w:val="18"/>
        <w:jc w:val="left"/>
        <w:rPr>
          <w:rFonts w:asciiTheme="minorEastAsia" w:hAnsiTheme="minorEastAsia" w:eastAsiaTheme="minorEastAsia"/>
          <w:color w:val="000000" w:themeColor="text1"/>
          <w:sz w:val="21"/>
          <w:lang w:val="en-US"/>
        </w:rPr>
      </w:pPr>
      <w:r>
        <w:rPr>
          <w:rFonts w:hint="eastAsia" w:asciiTheme="minorEastAsia" w:hAnsiTheme="minorEastAsia" w:eastAsiaTheme="minorEastAsia"/>
          <w:b/>
          <w:bCs/>
          <w:color w:val="000000" w:themeColor="text1"/>
          <w:sz w:val="21"/>
          <w:lang w:val="en-US"/>
        </w:rPr>
        <w:t>32. 入围供应商信息变更</w:t>
      </w:r>
    </w:p>
    <w:p w14:paraId="3A24A1AD">
      <w:pPr>
        <w:pStyle w:val="19"/>
        <w:jc w:val="left"/>
        <w:rPr>
          <w:rFonts w:asciiTheme="minorEastAsia" w:hAnsiTheme="minorEastAsia" w:eastAsiaTheme="minorEastAsia"/>
          <w:color w:val="000000" w:themeColor="text1"/>
          <w:sz w:val="21"/>
          <w:szCs w:val="21"/>
          <w:lang w:val="en-US"/>
        </w:rPr>
      </w:pPr>
      <w:r>
        <w:rPr>
          <w:rFonts w:hint="eastAsia" w:asciiTheme="minorEastAsia" w:hAnsiTheme="minorEastAsia" w:eastAsiaTheme="minorEastAsia"/>
          <w:color w:val="000000" w:themeColor="text1"/>
          <w:sz w:val="21"/>
          <w:szCs w:val="21"/>
          <w:lang w:val="en-US"/>
        </w:rPr>
        <w:t>32.1 在协议期内，入围供应商如有信息变更（如变更法定代表人、主要负责人、联系人、联系电话、地址等），应及时在政采云系统中更新相关信息并通知征集人，按征集人要求提供相关资料备案。</w:t>
      </w:r>
    </w:p>
    <w:p w14:paraId="634F9A73">
      <w:pPr>
        <w:pStyle w:val="19"/>
        <w:jc w:val="left"/>
        <w:rPr>
          <w:rFonts w:asciiTheme="minorEastAsia" w:hAnsiTheme="minorEastAsia" w:eastAsiaTheme="minorEastAsia"/>
          <w:color w:val="000000" w:themeColor="text1"/>
          <w:sz w:val="21"/>
          <w:szCs w:val="21"/>
          <w:lang w:val="en-US"/>
        </w:rPr>
      </w:pPr>
      <w:r>
        <w:rPr>
          <w:rFonts w:hint="eastAsia" w:asciiTheme="minorEastAsia" w:hAnsiTheme="minorEastAsia" w:eastAsiaTheme="minorEastAsia"/>
          <w:color w:val="000000" w:themeColor="text1"/>
          <w:sz w:val="21"/>
          <w:szCs w:val="21"/>
          <w:lang w:val="en-US"/>
        </w:rPr>
        <w:t>32.2 在协议期内，入围供应商应遵守和履行本项目征集文件、框架协议的各项规定，遵守电子系统的操作规定和交易规则，积极配合征集人和采购监管部门的工作。</w:t>
      </w:r>
    </w:p>
    <w:p w14:paraId="32C9DF6C">
      <w:pPr>
        <w:pStyle w:val="19"/>
        <w:ind w:firstLine="0"/>
        <w:jc w:val="left"/>
        <w:rPr>
          <w:rFonts w:asciiTheme="minorEastAsia" w:hAnsiTheme="minorEastAsia" w:eastAsiaTheme="minorEastAsia"/>
          <w:b/>
          <w:bCs/>
          <w:color w:val="000000" w:themeColor="text1"/>
          <w:sz w:val="21"/>
          <w:szCs w:val="21"/>
          <w:lang w:val="en-US"/>
        </w:rPr>
      </w:pPr>
      <w:r>
        <w:rPr>
          <w:rFonts w:hint="eastAsia" w:asciiTheme="minorEastAsia" w:hAnsiTheme="minorEastAsia" w:eastAsiaTheme="minorEastAsia"/>
          <w:b/>
          <w:bCs/>
          <w:color w:val="000000" w:themeColor="text1"/>
          <w:sz w:val="21"/>
          <w:szCs w:val="21"/>
          <w:lang w:val="en-US"/>
        </w:rPr>
        <w:t>33. 入围供应商清退规则</w:t>
      </w:r>
    </w:p>
    <w:p w14:paraId="64A850B3">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在下列情形下征集人有权清退入围供应商，而不需要承担任何责任：</w:t>
      </w:r>
    </w:p>
    <w:p w14:paraId="5811173E">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33.1入围供应商实质性违反本协议约定的；</w:t>
      </w:r>
    </w:p>
    <w:p w14:paraId="71DFF9B8">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 xml:space="preserve">33.2入围供应商有违反合同约定或其职责、义务的行为，在征集人指定期限内未予以纠正或补救的； </w:t>
      </w:r>
    </w:p>
    <w:p w14:paraId="381A2385">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33.3入围供应商资质吊销或注销的；</w:t>
      </w:r>
    </w:p>
    <w:p w14:paraId="464B3238">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33.4入围供应商未严格执行保密制度，泄漏委托方的秘密或与第三方串通损害征集人利益的；由此造成的经济损失，入围方应予赔偿；存在违法违规行为的，由相关部门进行处理；</w:t>
      </w:r>
    </w:p>
    <w:p w14:paraId="68177B63">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33.5征集人针对项目服务时限、质量有权提出要求并进行考核，由于入围供应商原因，项目服务时限超出委托时限或质量不合格导致考核结果不合格的；</w:t>
      </w:r>
    </w:p>
    <w:p w14:paraId="75804A23">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33.6入围供应商与项目相关单位或个人私下交易，接受财物、吃请等违纪行为经查实的；存在违法违规行为的，由相关部门进行处理；</w:t>
      </w:r>
    </w:p>
    <w:p w14:paraId="06041EAE">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33.7入围供应商在审核过程中将审核资料丢失的；由此造成的经济损失，入围供应商应予赔偿；存在违法违规行为的，由相关部门进行处理；</w:t>
      </w:r>
    </w:p>
    <w:p w14:paraId="28CFC3C4">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33.8在入围供应商违约情形下，征集人有权对本项目合同进行必要的变更。 因入围供应商违约导致合同解除的，入围供应商应按本项目正常计算酬金的 20%支付违约金。</w:t>
      </w:r>
    </w:p>
    <w:p w14:paraId="231224B7">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33.9入围供应商提供服务时，需按委托人要求时限完成，无正当理由，未按时完成的将解除合同。</w:t>
      </w:r>
    </w:p>
    <w:p w14:paraId="02655148">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33.10执行纠错机制，即因审计结果存在较大争议，相关单位提出投诉，并确认入围供应商为责任方的，征集人有权终止合同。</w:t>
      </w:r>
    </w:p>
    <w:p w14:paraId="018DBBE7">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33.11确定入围供应商后，征集人有权对入围供应商提供的人员名单、注册证明、执业资格、人事关系、业绩材料等相关资料到相关部门进行核实，如投标文件存在虚假情况，则取消入围供应商的入围资格，存在违法违规行为的，由相关部门进行处理；</w:t>
      </w:r>
    </w:p>
    <w:p w14:paraId="1F666290">
      <w:pPr>
        <w:tabs>
          <w:tab w:val="left" w:pos="840"/>
        </w:tabs>
        <w:spacing w:line="360" w:lineRule="auto"/>
        <w:ind w:firstLine="420" w:firstLineChars="200"/>
        <w:rPr>
          <w:rFonts w:cs="仿宋" w:asciiTheme="minorEastAsia" w:hAnsiTheme="minorEastAsia" w:eastAsiaTheme="minorEastAsia"/>
          <w:snapToGrid w:val="0"/>
          <w:kern w:val="0"/>
          <w:szCs w:val="21"/>
        </w:rPr>
      </w:pPr>
      <w:r>
        <w:rPr>
          <w:rFonts w:hint="eastAsia" w:cs="仿宋" w:asciiTheme="minorEastAsia" w:hAnsiTheme="minorEastAsia" w:eastAsiaTheme="minorEastAsia"/>
          <w:snapToGrid w:val="0"/>
          <w:kern w:val="0"/>
          <w:szCs w:val="21"/>
        </w:rPr>
        <w:t>33.12如遇到政策变化或者其他不可抗力因素，双方协商解除。</w:t>
      </w:r>
    </w:p>
    <w:p w14:paraId="7EEB1533">
      <w:pPr>
        <w:tabs>
          <w:tab w:val="left" w:pos="840"/>
        </w:tabs>
        <w:spacing w:line="360" w:lineRule="auto"/>
        <w:rPr>
          <w:rFonts w:cs="仿宋" w:asciiTheme="minorEastAsia" w:hAnsiTheme="minorEastAsia" w:eastAsiaTheme="minorEastAsia"/>
          <w:snapToGrid w:val="0"/>
          <w:kern w:val="0"/>
          <w:szCs w:val="21"/>
        </w:rPr>
      </w:pPr>
      <w:r>
        <w:rPr>
          <w:rFonts w:hint="eastAsia" w:cs="仿宋" w:asciiTheme="minorEastAsia" w:hAnsiTheme="minorEastAsia" w:eastAsiaTheme="minorEastAsia"/>
          <w:b/>
          <w:bCs/>
          <w:snapToGrid w:val="0"/>
          <w:kern w:val="0"/>
          <w:szCs w:val="21"/>
        </w:rPr>
        <w:t>34. 补充规则：在框架协议有效期内，不再补充征集供应商。</w:t>
      </w:r>
    </w:p>
    <w:p w14:paraId="6C5E4E55">
      <w:pPr>
        <w:pStyle w:val="19"/>
        <w:ind w:firstLineChars="200"/>
        <w:jc w:val="left"/>
        <w:rPr>
          <w:rFonts w:ascii="仿宋_GB2312" w:eastAsia="仿宋_GB2312"/>
          <w:color w:val="000000" w:themeColor="text1"/>
          <w:sz w:val="21"/>
          <w:szCs w:val="21"/>
          <w:lang w:val="en-US"/>
        </w:rPr>
      </w:pPr>
    </w:p>
    <w:p w14:paraId="12611158">
      <w:pPr>
        <w:pStyle w:val="46"/>
        <w:ind w:firstLine="0" w:firstLineChars="0"/>
        <w:rPr>
          <w:rFonts w:ascii="仿宋_GB2312" w:eastAsia="仿宋_GB2312"/>
          <w:color w:val="000000" w:themeColor="text1"/>
        </w:rPr>
      </w:pPr>
    </w:p>
    <w:bookmarkEnd w:id="19"/>
    <w:p w14:paraId="77CAE6F9">
      <w:pPr>
        <w:spacing w:line="360" w:lineRule="auto"/>
        <w:ind w:firstLine="482" w:firstLineChars="200"/>
        <w:rPr>
          <w:rFonts w:ascii="仿宋_GB2312" w:hAnsi="宋体" w:eastAsia="仿宋_GB2312" w:cs="宋体"/>
          <w:b/>
          <w:color w:val="000000" w:themeColor="text1"/>
          <w:sz w:val="24"/>
        </w:rPr>
      </w:pPr>
      <w:bookmarkStart w:id="34" w:name="第四部分"/>
    </w:p>
    <w:bookmarkEnd w:id="34"/>
    <w:p w14:paraId="53BF833B">
      <w:pPr>
        <w:spacing w:line="360" w:lineRule="auto"/>
        <w:jc w:val="center"/>
        <w:rPr>
          <w:rFonts w:cs="宋体" w:asciiTheme="minorEastAsia" w:hAnsiTheme="minorEastAsia" w:eastAsiaTheme="minorEastAsia"/>
          <w:b/>
          <w:color w:val="000000" w:themeColor="text1"/>
          <w:sz w:val="32"/>
          <w:szCs w:val="32"/>
        </w:rPr>
      </w:pPr>
    </w:p>
    <w:p w14:paraId="01031271">
      <w:pPr>
        <w:spacing w:line="360" w:lineRule="auto"/>
        <w:jc w:val="center"/>
        <w:rPr>
          <w:rFonts w:cs="宋体" w:asciiTheme="minorEastAsia" w:hAnsiTheme="minorEastAsia" w:eastAsiaTheme="minorEastAsia"/>
          <w:b/>
          <w:color w:val="000000" w:themeColor="text1"/>
          <w:sz w:val="32"/>
          <w:szCs w:val="32"/>
        </w:rPr>
      </w:pPr>
    </w:p>
    <w:p w14:paraId="51931A00">
      <w:pPr>
        <w:spacing w:line="360" w:lineRule="auto"/>
        <w:jc w:val="center"/>
        <w:rPr>
          <w:rFonts w:cs="宋体" w:asciiTheme="minorEastAsia" w:hAnsiTheme="minorEastAsia" w:eastAsiaTheme="minorEastAsia"/>
          <w:b/>
          <w:color w:val="000000" w:themeColor="text1"/>
          <w:sz w:val="32"/>
          <w:szCs w:val="32"/>
        </w:rPr>
      </w:pPr>
    </w:p>
    <w:p w14:paraId="133BA570">
      <w:pPr>
        <w:spacing w:line="360" w:lineRule="auto"/>
        <w:jc w:val="center"/>
        <w:rPr>
          <w:rFonts w:cs="宋体" w:asciiTheme="minorEastAsia" w:hAnsiTheme="minorEastAsia" w:eastAsiaTheme="minorEastAsia"/>
          <w:b/>
          <w:color w:val="000000" w:themeColor="text1"/>
          <w:sz w:val="32"/>
          <w:szCs w:val="32"/>
        </w:rPr>
      </w:pPr>
    </w:p>
    <w:p w14:paraId="19CCE7F8">
      <w:pPr>
        <w:spacing w:line="360" w:lineRule="auto"/>
        <w:jc w:val="center"/>
        <w:rPr>
          <w:rFonts w:cs="宋体" w:asciiTheme="minorEastAsia" w:hAnsiTheme="minorEastAsia" w:eastAsiaTheme="minorEastAsia"/>
          <w:b/>
          <w:color w:val="000000" w:themeColor="text1"/>
          <w:sz w:val="32"/>
          <w:szCs w:val="32"/>
        </w:rPr>
      </w:pPr>
    </w:p>
    <w:p w14:paraId="1858F36A">
      <w:pPr>
        <w:spacing w:line="360" w:lineRule="auto"/>
        <w:jc w:val="center"/>
        <w:rPr>
          <w:rFonts w:cs="宋体" w:asciiTheme="minorEastAsia" w:hAnsiTheme="minorEastAsia" w:eastAsiaTheme="minorEastAsia"/>
          <w:b/>
          <w:color w:val="000000" w:themeColor="text1"/>
          <w:sz w:val="32"/>
          <w:szCs w:val="32"/>
        </w:rPr>
      </w:pPr>
    </w:p>
    <w:p w14:paraId="2F7C2821">
      <w:pPr>
        <w:spacing w:line="360" w:lineRule="auto"/>
        <w:jc w:val="center"/>
        <w:rPr>
          <w:rFonts w:cs="宋体" w:asciiTheme="minorEastAsia" w:hAnsiTheme="minorEastAsia" w:eastAsiaTheme="minorEastAsia"/>
          <w:b/>
          <w:color w:val="000000" w:themeColor="text1"/>
          <w:sz w:val="32"/>
          <w:szCs w:val="32"/>
        </w:rPr>
      </w:pPr>
    </w:p>
    <w:p w14:paraId="170ED35F">
      <w:pPr>
        <w:spacing w:line="360" w:lineRule="auto"/>
        <w:jc w:val="center"/>
        <w:rPr>
          <w:rFonts w:cs="宋体" w:asciiTheme="minorEastAsia" w:hAnsiTheme="minorEastAsia" w:eastAsiaTheme="minorEastAsia"/>
          <w:b/>
          <w:color w:val="000000" w:themeColor="text1"/>
          <w:sz w:val="32"/>
          <w:szCs w:val="32"/>
        </w:rPr>
      </w:pPr>
    </w:p>
    <w:p w14:paraId="4AE7CDAA">
      <w:pPr>
        <w:spacing w:line="360" w:lineRule="auto"/>
        <w:jc w:val="center"/>
        <w:rPr>
          <w:rFonts w:cs="宋体" w:asciiTheme="minorEastAsia" w:hAnsiTheme="minorEastAsia" w:eastAsiaTheme="minorEastAsia"/>
          <w:b/>
          <w:color w:val="000000" w:themeColor="text1"/>
          <w:sz w:val="32"/>
          <w:szCs w:val="32"/>
        </w:rPr>
      </w:pPr>
    </w:p>
    <w:p w14:paraId="4515A497">
      <w:pPr>
        <w:spacing w:line="360" w:lineRule="auto"/>
        <w:jc w:val="center"/>
        <w:rPr>
          <w:rFonts w:cs="宋体" w:asciiTheme="minorEastAsia" w:hAnsiTheme="minorEastAsia" w:eastAsiaTheme="minorEastAsia"/>
          <w:b/>
          <w:color w:val="000000" w:themeColor="text1"/>
          <w:sz w:val="32"/>
          <w:szCs w:val="32"/>
        </w:rPr>
      </w:pPr>
      <w:r>
        <w:rPr>
          <w:rFonts w:hint="eastAsia" w:cs="宋体" w:asciiTheme="minorEastAsia" w:hAnsiTheme="minorEastAsia" w:eastAsiaTheme="minorEastAsia"/>
          <w:b/>
          <w:color w:val="000000" w:themeColor="text1"/>
          <w:sz w:val="32"/>
          <w:szCs w:val="32"/>
        </w:rPr>
        <w:t xml:space="preserve">第四部分   </w:t>
      </w:r>
      <w:bookmarkStart w:id="35" w:name="_Toc184314473"/>
      <w:bookmarkEnd w:id="35"/>
      <w:bookmarkStart w:id="36" w:name="_Toc184314432"/>
      <w:bookmarkEnd w:id="36"/>
      <w:bookmarkStart w:id="37" w:name="_Toc184308102"/>
      <w:bookmarkEnd w:id="37"/>
      <w:bookmarkStart w:id="38" w:name="_Toc184313257"/>
      <w:bookmarkEnd w:id="38"/>
      <w:bookmarkStart w:id="39" w:name="_Toc184313265"/>
      <w:bookmarkEnd w:id="39"/>
      <w:bookmarkStart w:id="40" w:name="_Toc184308059"/>
      <w:bookmarkEnd w:id="40"/>
      <w:bookmarkStart w:id="41" w:name="_Toc184308095"/>
      <w:bookmarkEnd w:id="41"/>
      <w:bookmarkStart w:id="42" w:name="_Toc184308081"/>
      <w:bookmarkEnd w:id="42"/>
      <w:bookmarkStart w:id="43" w:name="_Toc184312131"/>
      <w:bookmarkEnd w:id="43"/>
      <w:bookmarkStart w:id="44" w:name="_Toc184310343"/>
      <w:bookmarkEnd w:id="44"/>
      <w:bookmarkStart w:id="45" w:name="_Toc184313308"/>
      <w:bookmarkEnd w:id="45"/>
      <w:bookmarkStart w:id="46" w:name="_Toc184308046"/>
      <w:bookmarkEnd w:id="46"/>
      <w:bookmarkStart w:id="47" w:name="_Toc184308049"/>
      <w:bookmarkEnd w:id="47"/>
      <w:bookmarkStart w:id="48" w:name="_Toc184310328"/>
      <w:bookmarkEnd w:id="48"/>
      <w:bookmarkStart w:id="49" w:name="_Toc184314478"/>
      <w:bookmarkEnd w:id="49"/>
      <w:bookmarkStart w:id="50" w:name="_Toc184310280"/>
      <w:bookmarkEnd w:id="50"/>
      <w:bookmarkStart w:id="51" w:name="_Toc184308076"/>
      <w:bookmarkEnd w:id="51"/>
      <w:bookmarkStart w:id="52" w:name="_Toc184313268"/>
      <w:bookmarkEnd w:id="52"/>
      <w:bookmarkStart w:id="53" w:name="_Toc184310337"/>
      <w:bookmarkEnd w:id="53"/>
      <w:bookmarkStart w:id="54" w:name="_Toc184313292"/>
      <w:bookmarkEnd w:id="54"/>
      <w:bookmarkStart w:id="55" w:name="_Toc184314458"/>
      <w:bookmarkEnd w:id="55"/>
      <w:bookmarkStart w:id="56" w:name="_Toc184312089"/>
      <w:bookmarkEnd w:id="56"/>
      <w:bookmarkStart w:id="57" w:name="_Toc184314414"/>
      <w:bookmarkEnd w:id="57"/>
      <w:bookmarkStart w:id="58" w:name="_Toc184310331"/>
      <w:bookmarkEnd w:id="58"/>
      <w:bookmarkStart w:id="59" w:name="_Toc184313279"/>
      <w:bookmarkEnd w:id="59"/>
      <w:bookmarkStart w:id="60" w:name="_Toc184310275"/>
      <w:bookmarkEnd w:id="60"/>
      <w:bookmarkStart w:id="61" w:name="_Toc184312118"/>
      <w:bookmarkEnd w:id="61"/>
      <w:bookmarkStart w:id="62" w:name="_Toc184312129"/>
      <w:bookmarkEnd w:id="62"/>
      <w:bookmarkStart w:id="63" w:name="_Toc184313247"/>
      <w:bookmarkEnd w:id="63"/>
      <w:bookmarkStart w:id="64" w:name="_Toc184312124"/>
      <w:bookmarkEnd w:id="64"/>
      <w:bookmarkStart w:id="65" w:name="_Toc184312095"/>
      <w:bookmarkEnd w:id="65"/>
      <w:bookmarkStart w:id="66" w:name="_Toc184310336"/>
      <w:bookmarkEnd w:id="66"/>
      <w:bookmarkStart w:id="67" w:name="_Toc184313250"/>
      <w:bookmarkEnd w:id="67"/>
      <w:bookmarkStart w:id="68" w:name="_Toc184312104"/>
      <w:bookmarkEnd w:id="68"/>
      <w:bookmarkStart w:id="69" w:name="_Toc184310341"/>
      <w:bookmarkEnd w:id="69"/>
      <w:bookmarkStart w:id="70" w:name="_Toc184314444"/>
      <w:bookmarkEnd w:id="70"/>
      <w:bookmarkStart w:id="71" w:name="_Toc184314472"/>
      <w:bookmarkEnd w:id="71"/>
      <w:bookmarkStart w:id="72" w:name="_Toc184312111"/>
      <w:bookmarkEnd w:id="72"/>
      <w:bookmarkStart w:id="73" w:name="_Toc184310272"/>
      <w:bookmarkEnd w:id="73"/>
      <w:bookmarkStart w:id="74" w:name="_Toc184313258"/>
      <w:bookmarkEnd w:id="74"/>
      <w:bookmarkStart w:id="75" w:name="_Toc184312072"/>
      <w:bookmarkEnd w:id="75"/>
      <w:bookmarkStart w:id="76" w:name="_Toc184312073"/>
      <w:bookmarkEnd w:id="76"/>
      <w:bookmarkStart w:id="77" w:name="_Toc184310283"/>
      <w:bookmarkEnd w:id="77"/>
      <w:bookmarkStart w:id="78" w:name="_Toc184310326"/>
      <w:bookmarkEnd w:id="78"/>
      <w:bookmarkStart w:id="79" w:name="_Toc184312088"/>
      <w:bookmarkEnd w:id="79"/>
      <w:bookmarkStart w:id="80" w:name="_Toc184310276"/>
      <w:bookmarkEnd w:id="80"/>
      <w:bookmarkStart w:id="81" w:name="_Toc184313303"/>
      <w:bookmarkEnd w:id="81"/>
      <w:bookmarkStart w:id="82" w:name="_Toc184310277"/>
      <w:bookmarkEnd w:id="82"/>
      <w:bookmarkStart w:id="83" w:name="_Toc184314437"/>
      <w:bookmarkEnd w:id="83"/>
      <w:bookmarkStart w:id="84" w:name="_Toc184312091"/>
      <w:bookmarkEnd w:id="84"/>
      <w:bookmarkStart w:id="85" w:name="_Toc184310339"/>
      <w:bookmarkEnd w:id="85"/>
      <w:bookmarkStart w:id="86" w:name="_Toc184308092"/>
      <w:bookmarkEnd w:id="86"/>
      <w:bookmarkStart w:id="87" w:name="_Toc184313259"/>
      <w:bookmarkEnd w:id="87"/>
      <w:bookmarkStart w:id="88" w:name="_Toc184308052"/>
      <w:bookmarkEnd w:id="88"/>
      <w:bookmarkStart w:id="89" w:name="_Toc184314480"/>
      <w:bookmarkEnd w:id="89"/>
      <w:bookmarkStart w:id="90" w:name="_Toc184314412"/>
      <w:bookmarkEnd w:id="90"/>
      <w:bookmarkStart w:id="91" w:name="_Toc184308087"/>
      <w:bookmarkEnd w:id="91"/>
      <w:bookmarkStart w:id="92" w:name="_Toc184314419"/>
      <w:bookmarkEnd w:id="92"/>
      <w:bookmarkStart w:id="93" w:name="_Toc184314429"/>
      <w:bookmarkEnd w:id="93"/>
      <w:bookmarkStart w:id="94" w:name="_Toc184310330"/>
      <w:bookmarkEnd w:id="94"/>
      <w:bookmarkStart w:id="95" w:name="_Toc184313241"/>
      <w:bookmarkEnd w:id="95"/>
      <w:bookmarkStart w:id="96" w:name="_Toc184308053"/>
      <w:bookmarkEnd w:id="96"/>
      <w:bookmarkStart w:id="97" w:name="_Toc184308061"/>
      <w:bookmarkEnd w:id="97"/>
      <w:bookmarkStart w:id="98" w:name="_Toc184314482"/>
      <w:bookmarkEnd w:id="98"/>
      <w:bookmarkStart w:id="99" w:name="_Toc184314465"/>
      <w:bookmarkEnd w:id="99"/>
      <w:bookmarkStart w:id="100" w:name="_Toc184312139"/>
      <w:bookmarkEnd w:id="100"/>
      <w:bookmarkStart w:id="101" w:name="_Toc184308086"/>
      <w:bookmarkEnd w:id="101"/>
      <w:bookmarkStart w:id="102" w:name="_Toc184313244"/>
      <w:bookmarkEnd w:id="102"/>
      <w:bookmarkStart w:id="103" w:name="_Toc184314420"/>
      <w:bookmarkEnd w:id="103"/>
      <w:bookmarkStart w:id="104" w:name="_Toc184313291"/>
      <w:bookmarkEnd w:id="104"/>
      <w:bookmarkStart w:id="105" w:name="_Toc184310284"/>
      <w:bookmarkEnd w:id="105"/>
      <w:bookmarkStart w:id="106" w:name="_Toc184313304"/>
      <w:bookmarkEnd w:id="106"/>
      <w:bookmarkStart w:id="107" w:name="_Toc184313287"/>
      <w:bookmarkEnd w:id="107"/>
      <w:bookmarkStart w:id="108" w:name="_Toc184310316"/>
      <w:bookmarkEnd w:id="108"/>
      <w:bookmarkStart w:id="109" w:name="_Toc184314475"/>
      <w:bookmarkEnd w:id="109"/>
      <w:bookmarkStart w:id="110" w:name="_Toc184314453"/>
      <w:bookmarkEnd w:id="110"/>
      <w:bookmarkStart w:id="111" w:name="_Toc184308093"/>
      <w:bookmarkEnd w:id="111"/>
      <w:bookmarkStart w:id="112" w:name="_Toc184313272"/>
      <w:bookmarkEnd w:id="112"/>
      <w:bookmarkStart w:id="113" w:name="_Toc184312105"/>
      <w:bookmarkEnd w:id="113"/>
      <w:bookmarkStart w:id="114" w:name="_Toc184314417"/>
      <w:bookmarkEnd w:id="114"/>
      <w:bookmarkStart w:id="115" w:name="_Toc184308100"/>
      <w:bookmarkEnd w:id="115"/>
      <w:bookmarkStart w:id="116" w:name="_Toc184314459"/>
      <w:bookmarkEnd w:id="116"/>
      <w:bookmarkStart w:id="117" w:name="_Toc184312122"/>
      <w:bookmarkEnd w:id="117"/>
      <w:bookmarkStart w:id="118" w:name="_Toc184313309"/>
      <w:bookmarkEnd w:id="118"/>
      <w:bookmarkStart w:id="119" w:name="_Toc184313273"/>
      <w:bookmarkEnd w:id="119"/>
      <w:bookmarkStart w:id="120" w:name="_Toc184308066"/>
      <w:bookmarkEnd w:id="120"/>
      <w:bookmarkStart w:id="121" w:name="_Toc184314413"/>
      <w:bookmarkEnd w:id="121"/>
      <w:bookmarkStart w:id="122" w:name="_Toc184314471"/>
      <w:bookmarkEnd w:id="122"/>
      <w:bookmarkStart w:id="123" w:name="_Toc184313298"/>
      <w:bookmarkEnd w:id="123"/>
      <w:bookmarkStart w:id="124" w:name="_Toc184313284"/>
      <w:bookmarkEnd w:id="124"/>
      <w:bookmarkStart w:id="125" w:name="_Toc184310311"/>
      <w:bookmarkEnd w:id="125"/>
      <w:bookmarkStart w:id="126" w:name="_Toc184312127"/>
      <w:bookmarkEnd w:id="126"/>
      <w:bookmarkStart w:id="127" w:name="_Toc184308105"/>
      <w:bookmarkEnd w:id="127"/>
      <w:bookmarkStart w:id="128" w:name="_Toc184310297"/>
      <w:bookmarkEnd w:id="128"/>
      <w:bookmarkStart w:id="129" w:name="_Toc184308070"/>
      <w:bookmarkEnd w:id="129"/>
      <w:bookmarkStart w:id="130" w:name="_Toc184312110"/>
      <w:bookmarkEnd w:id="130"/>
      <w:bookmarkStart w:id="131" w:name="_Toc184310303"/>
      <w:bookmarkEnd w:id="131"/>
      <w:bookmarkStart w:id="132" w:name="_Toc184314476"/>
      <w:bookmarkEnd w:id="132"/>
      <w:bookmarkStart w:id="133" w:name="_Toc184314477"/>
      <w:bookmarkEnd w:id="133"/>
      <w:bookmarkStart w:id="134" w:name="_Toc184313283"/>
      <w:bookmarkEnd w:id="134"/>
      <w:bookmarkStart w:id="135" w:name="_Toc184310319"/>
      <w:bookmarkEnd w:id="135"/>
      <w:bookmarkStart w:id="136" w:name="_Toc184313260"/>
      <w:bookmarkEnd w:id="136"/>
      <w:bookmarkStart w:id="137" w:name="_Toc184313301"/>
      <w:bookmarkEnd w:id="137"/>
      <w:bookmarkStart w:id="138" w:name="_Toc184312101"/>
      <w:bookmarkEnd w:id="138"/>
      <w:bookmarkStart w:id="139" w:name="_Toc184308057"/>
      <w:bookmarkEnd w:id="139"/>
      <w:bookmarkStart w:id="140" w:name="_Toc184310320"/>
      <w:bookmarkEnd w:id="140"/>
      <w:bookmarkStart w:id="141" w:name="_Toc184312070"/>
      <w:bookmarkEnd w:id="141"/>
      <w:bookmarkStart w:id="142" w:name="_Toc184314440"/>
      <w:bookmarkEnd w:id="142"/>
      <w:bookmarkStart w:id="143" w:name="_Toc184313296"/>
      <w:bookmarkEnd w:id="143"/>
      <w:bookmarkStart w:id="144" w:name="_Toc184312108"/>
      <w:bookmarkEnd w:id="144"/>
      <w:bookmarkStart w:id="145" w:name="_Toc184313240"/>
      <w:bookmarkEnd w:id="145"/>
      <w:bookmarkStart w:id="146" w:name="_Toc184310286"/>
      <w:bookmarkEnd w:id="146"/>
      <w:bookmarkStart w:id="147" w:name="_Toc184308056"/>
      <w:bookmarkEnd w:id="147"/>
      <w:bookmarkStart w:id="148" w:name="_Toc184312085"/>
      <w:bookmarkEnd w:id="148"/>
      <w:bookmarkStart w:id="149" w:name="_Toc184313263"/>
      <w:bookmarkEnd w:id="149"/>
      <w:bookmarkStart w:id="150" w:name="_Toc184312109"/>
      <w:bookmarkEnd w:id="150"/>
      <w:bookmarkStart w:id="151" w:name="_Toc184312130"/>
      <w:bookmarkEnd w:id="151"/>
      <w:bookmarkStart w:id="152" w:name="_Toc184314456"/>
      <w:bookmarkEnd w:id="152"/>
      <w:bookmarkStart w:id="153" w:name="_Toc184310295"/>
      <w:bookmarkEnd w:id="153"/>
      <w:bookmarkStart w:id="154" w:name="_Toc184314426"/>
      <w:bookmarkEnd w:id="154"/>
      <w:bookmarkStart w:id="155" w:name="_Toc184308084"/>
      <w:bookmarkEnd w:id="155"/>
      <w:bookmarkStart w:id="156" w:name="_Toc184308099"/>
      <w:bookmarkEnd w:id="156"/>
      <w:bookmarkStart w:id="157" w:name="_Toc184314421"/>
      <w:bookmarkEnd w:id="157"/>
      <w:bookmarkStart w:id="158" w:name="_Toc184310309"/>
      <w:bookmarkEnd w:id="158"/>
      <w:bookmarkStart w:id="159" w:name="_Toc184308065"/>
      <w:bookmarkEnd w:id="159"/>
      <w:bookmarkStart w:id="160" w:name="_Toc184308080"/>
      <w:bookmarkEnd w:id="160"/>
      <w:bookmarkStart w:id="161" w:name="_Toc184313243"/>
      <w:bookmarkEnd w:id="161"/>
      <w:bookmarkStart w:id="162" w:name="_Toc184313297"/>
      <w:bookmarkEnd w:id="162"/>
      <w:bookmarkStart w:id="163" w:name="_Toc184313306"/>
      <w:bookmarkEnd w:id="163"/>
      <w:bookmarkStart w:id="164" w:name="_Toc184313295"/>
      <w:bookmarkEnd w:id="164"/>
      <w:bookmarkStart w:id="165" w:name="_Toc184312135"/>
      <w:bookmarkEnd w:id="165"/>
      <w:bookmarkStart w:id="166" w:name="_Toc184314416"/>
      <w:bookmarkEnd w:id="166"/>
      <w:bookmarkStart w:id="167" w:name="_Toc184314434"/>
      <w:bookmarkEnd w:id="167"/>
      <w:bookmarkStart w:id="168" w:name="_Toc184313254"/>
      <w:bookmarkEnd w:id="168"/>
      <w:bookmarkStart w:id="169" w:name="_Toc184314461"/>
      <w:bookmarkEnd w:id="169"/>
      <w:bookmarkStart w:id="170" w:name="_Toc184310290"/>
      <w:bookmarkEnd w:id="170"/>
      <w:bookmarkStart w:id="171" w:name="_Toc184310300"/>
      <w:bookmarkEnd w:id="171"/>
      <w:bookmarkStart w:id="172" w:name="_Toc184310301"/>
      <w:bookmarkEnd w:id="172"/>
      <w:bookmarkStart w:id="173" w:name="_Toc184313293"/>
      <w:bookmarkEnd w:id="173"/>
      <w:bookmarkStart w:id="174" w:name="_Toc184310285"/>
      <w:bookmarkEnd w:id="174"/>
      <w:bookmarkStart w:id="175" w:name="_Toc184308050"/>
      <w:bookmarkEnd w:id="175"/>
      <w:bookmarkStart w:id="176" w:name="_Toc184314464"/>
      <w:bookmarkEnd w:id="176"/>
      <w:bookmarkStart w:id="177" w:name="_Toc184312133"/>
      <w:bookmarkEnd w:id="177"/>
      <w:bookmarkStart w:id="178" w:name="_Toc184314415"/>
      <w:bookmarkEnd w:id="178"/>
      <w:bookmarkStart w:id="179" w:name="_Toc184308075"/>
      <w:bookmarkEnd w:id="179"/>
      <w:bookmarkStart w:id="180" w:name="_Toc184310321"/>
      <w:bookmarkEnd w:id="180"/>
      <w:bookmarkStart w:id="181" w:name="_Toc184310287"/>
      <w:bookmarkEnd w:id="181"/>
      <w:bookmarkStart w:id="182" w:name="_Toc184310299"/>
      <w:bookmarkEnd w:id="182"/>
      <w:bookmarkStart w:id="183" w:name="_Toc184314454"/>
      <w:bookmarkEnd w:id="183"/>
      <w:bookmarkStart w:id="184" w:name="_Toc184308085"/>
      <w:bookmarkEnd w:id="184"/>
      <w:bookmarkStart w:id="185" w:name="_Toc184313264"/>
      <w:bookmarkEnd w:id="185"/>
      <w:bookmarkStart w:id="186" w:name="_Toc184308047"/>
      <w:bookmarkEnd w:id="186"/>
      <w:bookmarkStart w:id="187" w:name="_Toc184313246"/>
      <w:bookmarkEnd w:id="187"/>
      <w:bookmarkStart w:id="188" w:name="_Toc184312115"/>
      <w:bookmarkEnd w:id="188"/>
      <w:bookmarkStart w:id="189" w:name="_Toc184313310"/>
      <w:bookmarkEnd w:id="189"/>
      <w:bookmarkStart w:id="190" w:name="_Toc184308062"/>
      <w:bookmarkEnd w:id="190"/>
      <w:bookmarkStart w:id="191" w:name="_Toc184312120"/>
      <w:bookmarkEnd w:id="191"/>
      <w:bookmarkStart w:id="192" w:name="_Toc184308068"/>
      <w:bookmarkEnd w:id="192"/>
      <w:bookmarkStart w:id="193" w:name="_Toc184314447"/>
      <w:bookmarkEnd w:id="193"/>
      <w:bookmarkStart w:id="194" w:name="_Toc184314435"/>
      <w:bookmarkEnd w:id="194"/>
      <w:bookmarkStart w:id="195" w:name="_Toc184312068"/>
      <w:bookmarkEnd w:id="195"/>
      <w:bookmarkStart w:id="196" w:name="_Toc184313239"/>
      <w:bookmarkEnd w:id="196"/>
      <w:bookmarkStart w:id="197" w:name="_Toc184313238"/>
      <w:bookmarkEnd w:id="197"/>
      <w:bookmarkStart w:id="198" w:name="_Toc184313305"/>
      <w:bookmarkEnd w:id="198"/>
      <w:bookmarkStart w:id="199" w:name="_Toc184314474"/>
      <w:bookmarkEnd w:id="199"/>
      <w:bookmarkStart w:id="200" w:name="_Toc184313288"/>
      <w:bookmarkEnd w:id="200"/>
      <w:bookmarkStart w:id="201" w:name="_Toc184313285"/>
      <w:bookmarkEnd w:id="201"/>
      <w:bookmarkStart w:id="202" w:name="_Toc184310288"/>
      <w:bookmarkEnd w:id="202"/>
      <w:bookmarkStart w:id="203" w:name="_Toc184312137"/>
      <w:bookmarkEnd w:id="203"/>
      <w:bookmarkStart w:id="204" w:name="_Toc184314462"/>
      <w:bookmarkEnd w:id="204"/>
      <w:bookmarkStart w:id="205" w:name="_Toc184313253"/>
      <w:bookmarkEnd w:id="205"/>
      <w:bookmarkStart w:id="206" w:name="_Toc184313286"/>
      <w:bookmarkEnd w:id="206"/>
      <w:bookmarkStart w:id="207" w:name="_Toc184310302"/>
      <w:bookmarkEnd w:id="207"/>
      <w:bookmarkStart w:id="208" w:name="_Toc184314470"/>
      <w:bookmarkEnd w:id="208"/>
      <w:bookmarkStart w:id="209" w:name="_Toc184310335"/>
      <w:bookmarkEnd w:id="209"/>
      <w:bookmarkStart w:id="210" w:name="_Toc184314469"/>
      <w:bookmarkEnd w:id="210"/>
      <w:bookmarkStart w:id="211" w:name="_Toc184310315"/>
      <w:bookmarkEnd w:id="211"/>
      <w:bookmarkStart w:id="212" w:name="_Toc184308041"/>
      <w:bookmarkEnd w:id="212"/>
      <w:bookmarkStart w:id="213" w:name="_Toc184310323"/>
      <w:bookmarkEnd w:id="213"/>
      <w:bookmarkStart w:id="214" w:name="_Toc184314424"/>
      <w:bookmarkEnd w:id="214"/>
      <w:bookmarkStart w:id="215" w:name="_Toc184312092"/>
      <w:bookmarkEnd w:id="215"/>
      <w:bookmarkStart w:id="216" w:name="_Toc184314446"/>
      <w:bookmarkEnd w:id="216"/>
      <w:bookmarkStart w:id="217" w:name="_Toc184310327"/>
      <w:bookmarkEnd w:id="217"/>
      <w:bookmarkStart w:id="218" w:name="_Toc184312113"/>
      <w:bookmarkEnd w:id="218"/>
      <w:bookmarkStart w:id="219" w:name="_Toc184312087"/>
      <w:bookmarkEnd w:id="219"/>
      <w:bookmarkStart w:id="220" w:name="_Toc184312107"/>
      <w:bookmarkEnd w:id="220"/>
      <w:bookmarkStart w:id="221" w:name="_Toc184312080"/>
      <w:bookmarkEnd w:id="221"/>
      <w:bookmarkStart w:id="222" w:name="_Toc184314442"/>
      <w:bookmarkEnd w:id="222"/>
      <w:bookmarkStart w:id="223" w:name="_Toc184310281"/>
      <w:bookmarkEnd w:id="223"/>
      <w:bookmarkStart w:id="224" w:name="_Toc184308098"/>
      <w:bookmarkEnd w:id="224"/>
      <w:bookmarkStart w:id="225" w:name="_Toc184310310"/>
      <w:bookmarkEnd w:id="225"/>
      <w:bookmarkStart w:id="226" w:name="_Toc184310338"/>
      <w:bookmarkEnd w:id="226"/>
      <w:bookmarkStart w:id="227" w:name="_Toc184308077"/>
      <w:bookmarkEnd w:id="227"/>
      <w:bookmarkStart w:id="228" w:name="_Toc184310305"/>
      <w:bookmarkEnd w:id="228"/>
      <w:bookmarkStart w:id="229" w:name="_Toc184312112"/>
      <w:bookmarkEnd w:id="229"/>
      <w:bookmarkStart w:id="230" w:name="_Toc184312126"/>
      <w:bookmarkEnd w:id="230"/>
      <w:bookmarkStart w:id="231" w:name="_Toc184310298"/>
      <w:bookmarkEnd w:id="231"/>
      <w:bookmarkStart w:id="232" w:name="_Toc184314443"/>
      <w:bookmarkEnd w:id="232"/>
      <w:bookmarkStart w:id="233" w:name="_Toc184312093"/>
      <w:bookmarkEnd w:id="233"/>
      <w:bookmarkStart w:id="234" w:name="_Toc184312128"/>
      <w:bookmarkEnd w:id="234"/>
      <w:bookmarkStart w:id="235" w:name="_Toc184312106"/>
      <w:bookmarkEnd w:id="235"/>
      <w:bookmarkStart w:id="236" w:name="_Toc184313274"/>
      <w:bookmarkEnd w:id="236"/>
      <w:bookmarkStart w:id="237" w:name="_Toc184312067"/>
      <w:bookmarkEnd w:id="237"/>
      <w:bookmarkStart w:id="238" w:name="_Toc184312136"/>
      <w:bookmarkEnd w:id="238"/>
      <w:bookmarkStart w:id="239" w:name="_Toc184314439"/>
      <w:bookmarkEnd w:id="239"/>
      <w:bookmarkStart w:id="240" w:name="_Toc184308036"/>
      <w:bookmarkEnd w:id="240"/>
      <w:bookmarkStart w:id="241" w:name="_Toc184310318"/>
      <w:bookmarkEnd w:id="241"/>
      <w:bookmarkStart w:id="242" w:name="_Toc184312121"/>
      <w:bookmarkEnd w:id="242"/>
      <w:bookmarkStart w:id="243" w:name="_Toc184308089"/>
      <w:bookmarkEnd w:id="243"/>
      <w:bookmarkStart w:id="244" w:name="_Toc184310308"/>
      <w:bookmarkEnd w:id="244"/>
      <w:bookmarkStart w:id="245" w:name="_Toc184314448"/>
      <w:bookmarkEnd w:id="245"/>
      <w:bookmarkStart w:id="246" w:name="_Toc184314422"/>
      <w:bookmarkEnd w:id="246"/>
      <w:bookmarkStart w:id="247" w:name="_Toc184314441"/>
      <w:bookmarkEnd w:id="247"/>
      <w:bookmarkStart w:id="248" w:name="_Toc184308082"/>
      <w:bookmarkEnd w:id="248"/>
      <w:bookmarkStart w:id="249" w:name="_Toc184312086"/>
      <w:bookmarkEnd w:id="249"/>
      <w:bookmarkStart w:id="250" w:name="_Toc184312077"/>
      <w:bookmarkEnd w:id="250"/>
      <w:bookmarkStart w:id="251" w:name="_Toc184308103"/>
      <w:bookmarkEnd w:id="251"/>
      <w:bookmarkStart w:id="252" w:name="_Toc184312102"/>
      <w:bookmarkEnd w:id="252"/>
      <w:bookmarkStart w:id="253" w:name="_Toc184312116"/>
      <w:bookmarkEnd w:id="253"/>
      <w:bookmarkStart w:id="254" w:name="_Toc184312090"/>
      <w:bookmarkEnd w:id="254"/>
      <w:bookmarkStart w:id="255" w:name="_Toc184313266"/>
      <w:bookmarkEnd w:id="255"/>
      <w:bookmarkStart w:id="256" w:name="_Toc184312079"/>
      <w:bookmarkEnd w:id="256"/>
      <w:bookmarkStart w:id="257" w:name="_Toc184313248"/>
      <w:bookmarkEnd w:id="257"/>
      <w:bookmarkStart w:id="258" w:name="_Toc184314425"/>
      <w:bookmarkEnd w:id="258"/>
      <w:bookmarkStart w:id="259" w:name="_Toc184314427"/>
      <w:bookmarkEnd w:id="259"/>
      <w:bookmarkStart w:id="260" w:name="_Toc184312103"/>
      <w:bookmarkEnd w:id="260"/>
      <w:bookmarkStart w:id="261" w:name="_Toc184314455"/>
      <w:bookmarkEnd w:id="261"/>
      <w:bookmarkStart w:id="262" w:name="_Toc184312132"/>
      <w:bookmarkEnd w:id="262"/>
      <w:bookmarkStart w:id="263" w:name="_Toc184312097"/>
      <w:bookmarkEnd w:id="263"/>
      <w:bookmarkStart w:id="264" w:name="_Toc184314428"/>
      <w:bookmarkEnd w:id="264"/>
      <w:bookmarkStart w:id="265" w:name="_Toc184310344"/>
      <w:bookmarkEnd w:id="265"/>
      <w:bookmarkStart w:id="266" w:name="_Toc184314457"/>
      <w:bookmarkEnd w:id="266"/>
      <w:bookmarkStart w:id="267" w:name="_Toc184313299"/>
      <w:bookmarkEnd w:id="267"/>
      <w:bookmarkStart w:id="268" w:name="_Toc184314430"/>
      <w:bookmarkEnd w:id="268"/>
      <w:bookmarkStart w:id="269" w:name="_Toc184312099"/>
      <w:bookmarkEnd w:id="269"/>
      <w:bookmarkStart w:id="270" w:name="_Toc184308079"/>
      <w:bookmarkEnd w:id="270"/>
      <w:bookmarkStart w:id="271" w:name="_Toc184312123"/>
      <w:bookmarkEnd w:id="271"/>
      <w:bookmarkStart w:id="272" w:name="_Toc184312094"/>
      <w:bookmarkEnd w:id="272"/>
      <w:bookmarkStart w:id="273" w:name="_Toc184314479"/>
      <w:bookmarkEnd w:id="273"/>
      <w:bookmarkStart w:id="274" w:name="_Toc184312117"/>
      <w:bookmarkEnd w:id="274"/>
      <w:bookmarkStart w:id="275" w:name="_Toc184314410"/>
      <w:bookmarkEnd w:id="275"/>
      <w:bookmarkStart w:id="276" w:name="_Toc184312078"/>
      <w:bookmarkEnd w:id="276"/>
      <w:bookmarkStart w:id="277" w:name="_Toc184308094"/>
      <w:bookmarkEnd w:id="277"/>
      <w:bookmarkStart w:id="278" w:name="_Toc184308104"/>
      <w:bookmarkEnd w:id="278"/>
      <w:bookmarkStart w:id="279" w:name="_Toc184313255"/>
      <w:bookmarkEnd w:id="279"/>
      <w:bookmarkStart w:id="280" w:name="_Toc184308055"/>
      <w:bookmarkEnd w:id="280"/>
      <w:bookmarkStart w:id="281" w:name="_Toc184313275"/>
      <w:bookmarkEnd w:id="281"/>
      <w:bookmarkStart w:id="282" w:name="_Toc184313278"/>
      <w:bookmarkEnd w:id="282"/>
      <w:bookmarkStart w:id="283" w:name="_Toc184313281"/>
      <w:bookmarkEnd w:id="283"/>
      <w:bookmarkStart w:id="284" w:name="_Toc184314411"/>
      <w:bookmarkEnd w:id="284"/>
      <w:bookmarkStart w:id="285" w:name="_Toc184312081"/>
      <w:bookmarkEnd w:id="285"/>
      <w:bookmarkStart w:id="286" w:name="_Toc184312098"/>
      <w:bookmarkEnd w:id="286"/>
      <w:bookmarkStart w:id="287" w:name="_Toc184313261"/>
      <w:bookmarkEnd w:id="287"/>
      <w:bookmarkStart w:id="288" w:name="_Toc184310332"/>
      <w:bookmarkEnd w:id="288"/>
      <w:bookmarkStart w:id="289" w:name="_Toc184314450"/>
      <w:bookmarkEnd w:id="289"/>
      <w:bookmarkStart w:id="290" w:name="_Toc184314449"/>
      <w:bookmarkEnd w:id="290"/>
      <w:bookmarkStart w:id="291" w:name="_Toc184314463"/>
      <w:bookmarkEnd w:id="291"/>
      <w:bookmarkStart w:id="292" w:name="_Toc184313269"/>
      <w:bookmarkEnd w:id="292"/>
      <w:bookmarkStart w:id="293" w:name="_Toc184308069"/>
      <w:bookmarkEnd w:id="293"/>
      <w:bookmarkStart w:id="294" w:name="_Toc184310279"/>
      <w:bookmarkEnd w:id="294"/>
      <w:bookmarkStart w:id="295" w:name="_Toc184308048"/>
      <w:bookmarkEnd w:id="295"/>
      <w:bookmarkStart w:id="296" w:name="_Toc184310325"/>
      <w:bookmarkEnd w:id="296"/>
      <w:bookmarkStart w:id="297" w:name="_Toc184310329"/>
      <w:bookmarkEnd w:id="297"/>
      <w:bookmarkStart w:id="298" w:name="_Toc184308091"/>
      <w:bookmarkEnd w:id="298"/>
      <w:bookmarkStart w:id="299" w:name="_Toc184312125"/>
      <w:bookmarkEnd w:id="299"/>
      <w:bookmarkStart w:id="300" w:name="_Toc184312100"/>
      <w:bookmarkEnd w:id="300"/>
      <w:bookmarkStart w:id="301" w:name="_Toc184308040"/>
      <w:bookmarkEnd w:id="301"/>
      <w:bookmarkStart w:id="302" w:name="_Toc184312076"/>
      <w:bookmarkEnd w:id="302"/>
      <w:bookmarkStart w:id="303" w:name="_Toc184310274"/>
      <w:bookmarkEnd w:id="303"/>
      <w:bookmarkStart w:id="304" w:name="_Toc184312114"/>
      <w:bookmarkEnd w:id="304"/>
      <w:bookmarkStart w:id="305" w:name="_Toc184314438"/>
      <w:bookmarkEnd w:id="305"/>
      <w:bookmarkStart w:id="306" w:name="_Toc184313289"/>
      <w:bookmarkEnd w:id="306"/>
      <w:bookmarkStart w:id="307" w:name="_Toc184310342"/>
      <w:bookmarkEnd w:id="307"/>
      <w:bookmarkStart w:id="308" w:name="_Toc184313280"/>
      <w:bookmarkEnd w:id="308"/>
      <w:bookmarkStart w:id="309" w:name="_Toc184308039"/>
      <w:bookmarkEnd w:id="309"/>
      <w:bookmarkStart w:id="310" w:name="_Toc184313252"/>
      <w:bookmarkEnd w:id="310"/>
      <w:bookmarkStart w:id="311" w:name="_Toc184310273"/>
      <w:bookmarkEnd w:id="311"/>
      <w:bookmarkStart w:id="312" w:name="_Toc184314467"/>
      <w:bookmarkEnd w:id="312"/>
      <w:bookmarkStart w:id="313" w:name="_Toc184312083"/>
      <w:bookmarkEnd w:id="313"/>
      <w:bookmarkStart w:id="314" w:name="_Toc184314436"/>
      <w:bookmarkEnd w:id="314"/>
      <w:bookmarkStart w:id="315" w:name="_Toc184308058"/>
      <w:bookmarkEnd w:id="315"/>
      <w:bookmarkStart w:id="316" w:name="_Toc184310293"/>
      <w:bookmarkEnd w:id="316"/>
      <w:bookmarkStart w:id="317" w:name="_Toc184308044"/>
      <w:bookmarkEnd w:id="317"/>
      <w:bookmarkStart w:id="318" w:name="_Toc184308096"/>
      <w:bookmarkEnd w:id="318"/>
      <w:bookmarkStart w:id="319" w:name="_Toc184313300"/>
      <w:bookmarkEnd w:id="319"/>
      <w:bookmarkStart w:id="320" w:name="_Toc184313270"/>
      <w:bookmarkEnd w:id="320"/>
      <w:bookmarkStart w:id="321" w:name="_Toc184310278"/>
      <w:bookmarkEnd w:id="321"/>
      <w:bookmarkStart w:id="322" w:name="_Toc184310294"/>
      <w:bookmarkEnd w:id="322"/>
      <w:bookmarkStart w:id="323" w:name="_Toc184310307"/>
      <w:bookmarkEnd w:id="323"/>
      <w:bookmarkStart w:id="324" w:name="_Toc184313277"/>
      <w:bookmarkEnd w:id="324"/>
      <w:bookmarkStart w:id="325" w:name="_Toc184308045"/>
      <w:bookmarkEnd w:id="325"/>
      <w:bookmarkStart w:id="326" w:name="_Toc184308037"/>
      <w:bookmarkEnd w:id="326"/>
      <w:bookmarkStart w:id="327" w:name="_Toc184313290"/>
      <w:bookmarkEnd w:id="327"/>
      <w:bookmarkStart w:id="328" w:name="_Toc184308064"/>
      <w:bookmarkEnd w:id="328"/>
      <w:bookmarkStart w:id="329" w:name="_Toc184308078"/>
      <w:bookmarkEnd w:id="329"/>
      <w:bookmarkStart w:id="330" w:name="_Toc184313271"/>
      <w:bookmarkEnd w:id="330"/>
      <w:bookmarkStart w:id="331" w:name="_Toc184312096"/>
      <w:bookmarkEnd w:id="331"/>
      <w:bookmarkStart w:id="332" w:name="_Toc184308042"/>
      <w:bookmarkEnd w:id="332"/>
      <w:bookmarkStart w:id="333" w:name="_Toc184314481"/>
      <w:bookmarkEnd w:id="333"/>
      <w:bookmarkStart w:id="334" w:name="_Toc184308083"/>
      <w:bookmarkEnd w:id="334"/>
      <w:bookmarkStart w:id="335" w:name="_Toc184310289"/>
      <w:bookmarkEnd w:id="335"/>
      <w:bookmarkStart w:id="336" w:name="_Toc184312138"/>
      <w:bookmarkEnd w:id="336"/>
      <w:bookmarkStart w:id="337" w:name="_Toc184313282"/>
      <w:bookmarkEnd w:id="337"/>
      <w:bookmarkStart w:id="338" w:name="_Toc184310306"/>
      <w:bookmarkEnd w:id="338"/>
      <w:bookmarkStart w:id="339" w:name="_Toc184313242"/>
      <w:bookmarkEnd w:id="339"/>
      <w:bookmarkStart w:id="340" w:name="_Toc184310340"/>
      <w:bookmarkEnd w:id="340"/>
      <w:bookmarkStart w:id="341" w:name="_Toc184314431"/>
      <w:bookmarkEnd w:id="341"/>
      <w:bookmarkStart w:id="342" w:name="_Toc184314451"/>
      <w:bookmarkEnd w:id="342"/>
      <w:bookmarkStart w:id="343" w:name="_Toc184313267"/>
      <w:bookmarkEnd w:id="343"/>
      <w:bookmarkStart w:id="344" w:name="_Toc184313307"/>
      <w:bookmarkEnd w:id="344"/>
      <w:bookmarkStart w:id="345" w:name="_Toc184308043"/>
      <w:bookmarkEnd w:id="345"/>
      <w:bookmarkStart w:id="346" w:name="_Toc184308063"/>
      <w:bookmarkEnd w:id="346"/>
      <w:bookmarkStart w:id="347" w:name="_Toc184308097"/>
      <w:bookmarkEnd w:id="347"/>
      <w:bookmarkStart w:id="348" w:name="_Toc184308054"/>
      <w:bookmarkEnd w:id="348"/>
      <w:bookmarkStart w:id="349" w:name="_Toc184308090"/>
      <w:bookmarkEnd w:id="349"/>
      <w:bookmarkStart w:id="350" w:name="_Toc184308060"/>
      <w:bookmarkEnd w:id="350"/>
      <w:bookmarkStart w:id="351" w:name="_Toc184308073"/>
      <w:bookmarkEnd w:id="351"/>
      <w:bookmarkStart w:id="352" w:name="_Toc184312069"/>
      <w:bookmarkEnd w:id="352"/>
      <w:bookmarkStart w:id="353" w:name="_Toc184312071"/>
      <w:bookmarkEnd w:id="353"/>
      <w:bookmarkStart w:id="354" w:name="_Toc184313294"/>
      <w:bookmarkEnd w:id="354"/>
      <w:bookmarkStart w:id="355" w:name="_Toc184308108"/>
      <w:bookmarkEnd w:id="355"/>
      <w:bookmarkStart w:id="356" w:name="_Toc184310322"/>
      <w:bookmarkEnd w:id="356"/>
      <w:bookmarkStart w:id="357" w:name="_Toc184310296"/>
      <w:bookmarkEnd w:id="357"/>
      <w:bookmarkStart w:id="358" w:name="_Toc184314468"/>
      <w:bookmarkEnd w:id="358"/>
      <w:bookmarkStart w:id="359" w:name="_Toc184314433"/>
      <w:bookmarkEnd w:id="359"/>
      <w:bookmarkStart w:id="360" w:name="_Toc184310304"/>
      <w:bookmarkEnd w:id="360"/>
      <w:bookmarkStart w:id="361" w:name="_Toc184312074"/>
      <w:bookmarkEnd w:id="361"/>
      <w:bookmarkStart w:id="362" w:name="_Toc184314452"/>
      <w:bookmarkEnd w:id="362"/>
      <w:bookmarkStart w:id="363" w:name="_Toc184308107"/>
      <w:bookmarkEnd w:id="363"/>
      <w:bookmarkStart w:id="364" w:name="_Toc184310291"/>
      <w:bookmarkEnd w:id="364"/>
      <w:bookmarkStart w:id="365" w:name="_Toc184308088"/>
      <w:bookmarkEnd w:id="365"/>
      <w:bookmarkStart w:id="366" w:name="_Toc184313256"/>
      <w:bookmarkEnd w:id="366"/>
      <w:bookmarkStart w:id="367" w:name="_Toc184312134"/>
      <w:bookmarkEnd w:id="367"/>
      <w:bookmarkStart w:id="368" w:name="_Toc184313245"/>
      <w:bookmarkEnd w:id="368"/>
      <w:bookmarkStart w:id="369" w:name="_Toc184313302"/>
      <w:bookmarkEnd w:id="369"/>
      <w:bookmarkStart w:id="370" w:name="_Toc184310334"/>
      <w:bookmarkEnd w:id="370"/>
      <w:bookmarkStart w:id="371" w:name="_Toc184310324"/>
      <w:bookmarkEnd w:id="371"/>
      <w:bookmarkStart w:id="372" w:name="_Toc184308051"/>
      <w:bookmarkEnd w:id="372"/>
      <w:bookmarkStart w:id="373" w:name="_Toc184310282"/>
      <w:bookmarkEnd w:id="373"/>
      <w:bookmarkStart w:id="374" w:name="_Toc184310317"/>
      <w:bookmarkEnd w:id="374"/>
      <w:bookmarkStart w:id="375" w:name="_Toc184314445"/>
      <w:bookmarkEnd w:id="375"/>
      <w:bookmarkStart w:id="376" w:name="_Toc184314466"/>
      <w:bookmarkEnd w:id="376"/>
      <w:bookmarkStart w:id="377" w:name="_Toc184314418"/>
      <w:bookmarkEnd w:id="377"/>
      <w:bookmarkStart w:id="378" w:name="_Toc184313262"/>
      <w:bookmarkEnd w:id="378"/>
      <w:bookmarkStart w:id="379" w:name="_Toc184308101"/>
      <w:bookmarkEnd w:id="379"/>
      <w:bookmarkStart w:id="380" w:name="_Toc184308074"/>
      <w:bookmarkEnd w:id="380"/>
      <w:bookmarkStart w:id="381" w:name="_Toc184308067"/>
      <w:bookmarkEnd w:id="381"/>
      <w:bookmarkStart w:id="382" w:name="_Toc184310333"/>
      <w:bookmarkEnd w:id="382"/>
      <w:bookmarkStart w:id="383" w:name="_Toc184314423"/>
      <w:bookmarkEnd w:id="383"/>
      <w:bookmarkStart w:id="384" w:name="_Toc184308106"/>
      <w:bookmarkEnd w:id="384"/>
      <w:bookmarkStart w:id="385" w:name="_Toc184312075"/>
      <w:bookmarkEnd w:id="385"/>
      <w:bookmarkStart w:id="386" w:name="_Toc184313251"/>
      <w:bookmarkEnd w:id="386"/>
      <w:bookmarkStart w:id="387" w:name="_Toc184314460"/>
      <w:bookmarkEnd w:id="387"/>
      <w:bookmarkStart w:id="388" w:name="_Toc184308038"/>
      <w:bookmarkEnd w:id="388"/>
      <w:bookmarkStart w:id="389" w:name="_Toc184310313"/>
      <w:bookmarkEnd w:id="389"/>
      <w:bookmarkStart w:id="390" w:name="_Toc184310292"/>
      <w:bookmarkEnd w:id="390"/>
      <w:bookmarkStart w:id="391" w:name="_Toc184308071"/>
      <w:bookmarkEnd w:id="391"/>
      <w:bookmarkStart w:id="392" w:name="_Toc184308072"/>
      <w:bookmarkEnd w:id="392"/>
      <w:bookmarkStart w:id="393" w:name="_Toc184310314"/>
      <w:bookmarkEnd w:id="393"/>
      <w:bookmarkStart w:id="394" w:name="_Toc184312084"/>
      <w:bookmarkEnd w:id="394"/>
      <w:bookmarkStart w:id="395" w:name="_Toc184313249"/>
      <w:bookmarkEnd w:id="395"/>
      <w:bookmarkStart w:id="396" w:name="_Toc184312119"/>
      <w:bookmarkEnd w:id="396"/>
      <w:bookmarkStart w:id="397" w:name="_Toc184310312"/>
      <w:bookmarkEnd w:id="397"/>
      <w:bookmarkStart w:id="398" w:name="_Toc184313276"/>
      <w:bookmarkEnd w:id="398"/>
      <w:bookmarkStart w:id="399" w:name="_Toc184312082"/>
      <w:bookmarkEnd w:id="399"/>
      <w:r>
        <w:rPr>
          <w:rFonts w:hint="eastAsia" w:cs="宋体" w:asciiTheme="minorEastAsia" w:hAnsiTheme="minorEastAsia" w:eastAsiaTheme="minorEastAsia"/>
          <w:b/>
          <w:color w:val="000000" w:themeColor="text1"/>
          <w:sz w:val="32"/>
          <w:szCs w:val="32"/>
        </w:rPr>
        <w:t>确定第一阶段入围供应商的评审方法</w:t>
      </w:r>
    </w:p>
    <w:p w14:paraId="0DD128ED">
      <w:pPr>
        <w:pStyle w:val="38"/>
        <w:spacing w:line="360" w:lineRule="auto"/>
        <w:ind w:left="0" w:leftChars="0" w:firstLine="482"/>
        <w:jc w:val="left"/>
        <w:rPr>
          <w:rFonts w:ascii="仿宋_GB2312" w:eastAsia="仿宋_GB2312" w:cs="宋体"/>
          <w:b/>
          <w:bCs/>
          <w:color w:val="000000" w:themeColor="text1"/>
          <w:sz w:val="24"/>
        </w:rPr>
      </w:pPr>
    </w:p>
    <w:p w14:paraId="6E07F692">
      <w:pPr>
        <w:pStyle w:val="38"/>
        <w:spacing w:line="360" w:lineRule="auto"/>
        <w:ind w:left="0" w:leftChars="0" w:firstLine="0" w:firstLineChars="0"/>
        <w:jc w:val="left"/>
        <w:rPr>
          <w:rFonts w:cs="宋体" w:asciiTheme="minorEastAsia" w:hAnsiTheme="minorEastAsia" w:eastAsiaTheme="minorEastAsia"/>
          <w:b/>
          <w:bCs/>
          <w:color w:val="000000" w:themeColor="text1"/>
          <w:sz w:val="24"/>
        </w:rPr>
      </w:pPr>
      <w:r>
        <w:rPr>
          <w:rFonts w:hint="eastAsia" w:cs="宋体" w:asciiTheme="minorEastAsia" w:hAnsiTheme="minorEastAsia" w:eastAsiaTheme="minorEastAsia"/>
          <w:b/>
          <w:bCs/>
          <w:color w:val="000000" w:themeColor="text1"/>
          <w:sz w:val="24"/>
        </w:rPr>
        <w:t>一、评标办法</w:t>
      </w:r>
    </w:p>
    <w:p w14:paraId="0C11FCB2">
      <w:pPr>
        <w:pStyle w:val="38"/>
        <w:spacing w:line="360" w:lineRule="auto"/>
        <w:ind w:left="0" w:leftChars="0" w:firstLine="422"/>
        <w:jc w:val="left"/>
        <w:rPr>
          <w:rFonts w:cs="宋体" w:asciiTheme="minorEastAsia" w:hAnsiTheme="minorEastAsia" w:eastAsiaTheme="minorEastAsia"/>
          <w:b/>
          <w:bCs/>
          <w:color w:val="000000" w:themeColor="text1"/>
          <w:szCs w:val="21"/>
        </w:rPr>
      </w:pPr>
      <w:r>
        <w:rPr>
          <w:rFonts w:hint="eastAsia" w:cs="宋体" w:asciiTheme="minorEastAsia" w:hAnsiTheme="minorEastAsia" w:eastAsiaTheme="minorEastAsia"/>
          <w:b/>
          <w:bCs/>
          <w:color w:val="000000" w:themeColor="text1"/>
          <w:szCs w:val="21"/>
        </w:rPr>
        <w:t>确定第一阶段入围供应商的评审方法：质量优先法。</w:t>
      </w:r>
    </w:p>
    <w:p w14:paraId="3097C9E9">
      <w:pPr>
        <w:pStyle w:val="38"/>
        <w:spacing w:line="360" w:lineRule="auto"/>
        <w:ind w:left="0" w:leftChars="0" w:firstLine="420"/>
        <w:jc w:val="left"/>
        <w:rPr>
          <w:rFonts w:cs="宋体" w:asciiTheme="minorEastAsia" w:hAnsiTheme="minorEastAsia" w:eastAsiaTheme="minorEastAsia"/>
          <w:b/>
          <w:bCs/>
          <w:color w:val="auto"/>
          <w:sz w:val="24"/>
        </w:rPr>
      </w:pPr>
      <w:r>
        <w:rPr>
          <w:rFonts w:hint="eastAsia" w:cs="宋体" w:asciiTheme="minorEastAsia" w:hAnsiTheme="minorEastAsia" w:eastAsiaTheme="minorEastAsia"/>
          <w:color w:val="auto"/>
          <w:szCs w:val="21"/>
        </w:rPr>
        <w:t>本次采购采用质量优先法，总分100分。评标委员会按照评审标准（商务技术打分表）规定的内容和分值设置独立评定打分，汇总各评委对各供应商的评分，取算术平均值（小数点后保留二位数）即为各供应商的综合得分，按照综合得分由高到低进行排序，向征集人推荐入围供应商。</w:t>
      </w:r>
      <w:r>
        <w:rPr>
          <w:rFonts w:hint="eastAsia" w:cs="宋体" w:asciiTheme="minorEastAsia" w:hAnsiTheme="minorEastAsia" w:eastAsiaTheme="minorEastAsia"/>
          <w:color w:val="auto"/>
          <w:szCs w:val="21"/>
          <w:lang w:eastAsia="zh-TW"/>
        </w:rPr>
        <w:t>汇总得分相同的，按照客观分得分由高到低顺序排列；客观分得分也相同的，按团队负责人一级注册造价工程师初始注册时间早的入围</w:t>
      </w:r>
      <w:r>
        <w:rPr>
          <w:rFonts w:hint="eastAsia" w:cs="宋体" w:asciiTheme="minorEastAsia" w:hAnsiTheme="minorEastAsia" w:eastAsiaTheme="minorEastAsia"/>
          <w:b/>
          <w:color w:val="auto"/>
          <w:szCs w:val="21"/>
        </w:rPr>
        <w:t>(如证书上未体现初始时间的，可提供相关证明文件，未提供视为证书上的时间，下同)</w:t>
      </w:r>
      <w:r>
        <w:rPr>
          <w:rFonts w:hint="eastAsia" w:cs="宋体" w:asciiTheme="minorEastAsia" w:hAnsiTheme="minorEastAsia" w:eastAsiaTheme="minorEastAsia"/>
          <w:color w:val="auto"/>
          <w:szCs w:val="21"/>
          <w:lang w:eastAsia="zh-TW"/>
        </w:rPr>
        <w:t>；团队负责人一级注册造价工程师初始注册时间也相同的，按技术负责人一级注册造价工程师初始注册时间早的入围；都相同的，抽签决定，第一次抽签出来的为第一，依序排列。</w:t>
      </w:r>
    </w:p>
    <w:p w14:paraId="77CFA328">
      <w:pPr>
        <w:pStyle w:val="38"/>
        <w:spacing w:line="360" w:lineRule="auto"/>
        <w:ind w:left="0" w:leftChars="0" w:firstLine="0" w:firstLineChars="0"/>
        <w:jc w:val="left"/>
        <w:rPr>
          <w:rFonts w:cs="宋体" w:asciiTheme="minorEastAsia" w:hAnsiTheme="minorEastAsia" w:eastAsiaTheme="minorEastAsia"/>
          <w:b/>
          <w:bCs/>
          <w:color w:val="000000" w:themeColor="text1"/>
          <w:sz w:val="24"/>
        </w:rPr>
      </w:pPr>
    </w:p>
    <w:p w14:paraId="7612AE72">
      <w:pPr>
        <w:pStyle w:val="38"/>
        <w:spacing w:line="360" w:lineRule="auto"/>
        <w:ind w:left="0" w:leftChars="0" w:firstLine="0" w:firstLineChars="0"/>
        <w:jc w:val="left"/>
        <w:rPr>
          <w:rFonts w:cs="宋体" w:asciiTheme="minorEastAsia" w:hAnsiTheme="minorEastAsia" w:eastAsiaTheme="minorEastAsia"/>
          <w:b/>
          <w:bCs/>
          <w:color w:val="000000" w:themeColor="text1"/>
          <w:sz w:val="24"/>
        </w:rPr>
      </w:pPr>
      <w:r>
        <w:rPr>
          <w:rFonts w:hint="eastAsia" w:cs="宋体" w:asciiTheme="minorEastAsia" w:hAnsiTheme="minorEastAsia" w:eastAsiaTheme="minorEastAsia"/>
          <w:b/>
          <w:bCs/>
          <w:color w:val="000000" w:themeColor="text1"/>
          <w:sz w:val="24"/>
        </w:rPr>
        <w:t>二、评标委员会的组成</w:t>
      </w:r>
    </w:p>
    <w:p w14:paraId="46E5C38B">
      <w:pPr>
        <w:pStyle w:val="18"/>
        <w:ind w:firstLine="420" w:firstLineChars="200"/>
        <w:rPr>
          <w:rFonts w:cs="宋体" w:asciiTheme="minorEastAsia" w:hAnsiTheme="minorEastAsia" w:eastAsiaTheme="minorEastAsia"/>
          <w:snapToGrid/>
          <w:color w:val="000000" w:themeColor="text1"/>
          <w:sz w:val="21"/>
          <w:lang w:val="en-US"/>
        </w:rPr>
      </w:pPr>
      <w:r>
        <w:rPr>
          <w:rFonts w:hint="eastAsia" w:cs="宋体" w:asciiTheme="minorEastAsia" w:hAnsiTheme="minorEastAsia" w:eastAsiaTheme="minorEastAsia"/>
          <w:color w:val="000000" w:themeColor="text1"/>
          <w:sz w:val="21"/>
        </w:rPr>
        <w:t>1 评标委员会的组成。</w:t>
      </w:r>
      <w:r>
        <w:rPr>
          <w:rFonts w:hint="eastAsia" w:cs="宋体" w:asciiTheme="minorEastAsia" w:hAnsiTheme="minorEastAsia" w:eastAsiaTheme="minorEastAsia"/>
          <w:snapToGrid/>
          <w:color w:val="000000" w:themeColor="text1"/>
          <w:sz w:val="21"/>
          <w:lang w:val="en-US"/>
        </w:rPr>
        <w:t>评标委员会由评审专家组成，成员人数为5人及以上单数。</w:t>
      </w:r>
      <w:r>
        <w:rPr>
          <w:rFonts w:hint="eastAsia" w:asciiTheme="minorEastAsia" w:hAnsiTheme="minorEastAsia" w:eastAsiaTheme="minorEastAsia"/>
          <w:sz w:val="21"/>
        </w:rPr>
        <w:t>评审专家按规定从评审专家库中随机抽取。如有特殊情况的，按相关规定组建评标委员会。</w:t>
      </w:r>
    </w:p>
    <w:p w14:paraId="62420384">
      <w:pPr>
        <w:pStyle w:val="19"/>
        <w:rPr>
          <w:rFonts w:cs="宋体" w:asciiTheme="minorEastAsia" w:hAnsiTheme="minorEastAsia" w:eastAsiaTheme="minorEastAsia"/>
          <w:color w:val="000000" w:themeColor="text1"/>
          <w:sz w:val="21"/>
          <w:szCs w:val="21"/>
          <w:lang w:val="en-US"/>
        </w:rPr>
      </w:pPr>
      <w:r>
        <w:rPr>
          <w:rFonts w:hint="eastAsia" w:cs="宋体" w:asciiTheme="minorEastAsia" w:hAnsiTheme="minorEastAsia" w:eastAsiaTheme="minorEastAsia"/>
          <w:color w:val="000000" w:themeColor="text1"/>
          <w:sz w:val="21"/>
          <w:szCs w:val="21"/>
          <w:lang w:val="en-US"/>
        </w:rPr>
        <w:t>2 评标委员会的组成人员的回避。在政府采购活动中，评标委员会的组成人员与供应商有下列利害关系之一的，应当回避：</w:t>
      </w:r>
    </w:p>
    <w:p w14:paraId="7B80D2E1">
      <w:pPr>
        <w:pStyle w:val="19"/>
        <w:rPr>
          <w:rFonts w:cs="宋体" w:asciiTheme="minorEastAsia" w:hAnsiTheme="minorEastAsia" w:eastAsiaTheme="minorEastAsia"/>
          <w:color w:val="000000" w:themeColor="text1"/>
          <w:sz w:val="21"/>
          <w:szCs w:val="21"/>
          <w:lang w:val="en-US"/>
        </w:rPr>
      </w:pPr>
      <w:r>
        <w:rPr>
          <w:rFonts w:hint="eastAsia" w:cs="宋体" w:asciiTheme="minorEastAsia" w:hAnsiTheme="minorEastAsia" w:eastAsiaTheme="minorEastAsia"/>
          <w:color w:val="000000" w:themeColor="text1"/>
          <w:sz w:val="21"/>
          <w:szCs w:val="21"/>
          <w:lang w:val="en-US"/>
        </w:rPr>
        <w:t>2.1 参加采购活动前3年内与供应商存在劳动关系；</w:t>
      </w:r>
    </w:p>
    <w:p w14:paraId="6C5E0214">
      <w:pPr>
        <w:pStyle w:val="19"/>
        <w:rPr>
          <w:rFonts w:cs="宋体" w:asciiTheme="minorEastAsia" w:hAnsiTheme="minorEastAsia" w:eastAsiaTheme="minorEastAsia"/>
          <w:color w:val="000000" w:themeColor="text1"/>
          <w:sz w:val="21"/>
          <w:szCs w:val="21"/>
          <w:lang w:val="en-US"/>
        </w:rPr>
      </w:pPr>
      <w:r>
        <w:rPr>
          <w:rFonts w:hint="eastAsia" w:cs="宋体" w:asciiTheme="minorEastAsia" w:hAnsiTheme="minorEastAsia" w:eastAsiaTheme="minorEastAsia"/>
          <w:color w:val="000000" w:themeColor="text1"/>
          <w:sz w:val="21"/>
          <w:szCs w:val="21"/>
          <w:lang w:val="en-US"/>
        </w:rPr>
        <w:t>2.2 参加采购活动前3年内担任供应商的董事、监事；</w:t>
      </w:r>
    </w:p>
    <w:p w14:paraId="2CAB6250">
      <w:pPr>
        <w:pStyle w:val="19"/>
        <w:rPr>
          <w:rFonts w:cs="宋体" w:asciiTheme="minorEastAsia" w:hAnsiTheme="minorEastAsia" w:eastAsiaTheme="minorEastAsia"/>
          <w:color w:val="000000" w:themeColor="text1"/>
          <w:sz w:val="21"/>
          <w:szCs w:val="21"/>
          <w:lang w:val="en-US"/>
        </w:rPr>
      </w:pPr>
      <w:r>
        <w:rPr>
          <w:rFonts w:hint="eastAsia" w:cs="宋体" w:asciiTheme="minorEastAsia" w:hAnsiTheme="minorEastAsia" w:eastAsiaTheme="minorEastAsia"/>
          <w:color w:val="000000" w:themeColor="text1"/>
          <w:sz w:val="21"/>
          <w:szCs w:val="21"/>
          <w:lang w:val="en-US"/>
        </w:rPr>
        <w:t>2.3 参加采购活动前3年内是供应商的控股股东或者实际控制人；</w:t>
      </w:r>
    </w:p>
    <w:p w14:paraId="1D35EDD7">
      <w:pPr>
        <w:pStyle w:val="19"/>
        <w:rPr>
          <w:rFonts w:cs="宋体" w:asciiTheme="minorEastAsia" w:hAnsiTheme="minorEastAsia" w:eastAsiaTheme="minorEastAsia"/>
          <w:color w:val="000000" w:themeColor="text1"/>
          <w:sz w:val="21"/>
          <w:szCs w:val="21"/>
          <w:lang w:val="en-US"/>
        </w:rPr>
      </w:pPr>
      <w:r>
        <w:rPr>
          <w:rFonts w:hint="eastAsia" w:cs="宋体" w:asciiTheme="minorEastAsia" w:hAnsiTheme="minorEastAsia" w:eastAsiaTheme="minorEastAsia"/>
          <w:color w:val="000000" w:themeColor="text1"/>
          <w:sz w:val="21"/>
          <w:szCs w:val="21"/>
          <w:lang w:val="en-US"/>
        </w:rPr>
        <w:t>2.4 与供应商的法定代表人或者负责人有夫妻、直系血亲、三代以内旁系血亲或者近姻亲关系；</w:t>
      </w:r>
    </w:p>
    <w:p w14:paraId="44B2C029">
      <w:pPr>
        <w:pStyle w:val="19"/>
        <w:rPr>
          <w:rFonts w:cs="宋体" w:asciiTheme="minorEastAsia" w:hAnsiTheme="minorEastAsia" w:eastAsiaTheme="minorEastAsia"/>
          <w:color w:val="000000" w:themeColor="text1"/>
          <w:sz w:val="21"/>
          <w:szCs w:val="21"/>
          <w:lang w:val="en-US"/>
        </w:rPr>
      </w:pPr>
      <w:r>
        <w:rPr>
          <w:rFonts w:hint="eastAsia" w:cs="宋体" w:asciiTheme="minorEastAsia" w:hAnsiTheme="minorEastAsia" w:eastAsiaTheme="minorEastAsia"/>
          <w:color w:val="000000" w:themeColor="text1"/>
          <w:sz w:val="21"/>
          <w:szCs w:val="21"/>
          <w:lang w:val="en-US"/>
        </w:rPr>
        <w:t>2.5 与供应商有其他可能影响政府采购活动公平、公正进行的关系。</w:t>
      </w:r>
    </w:p>
    <w:p w14:paraId="36C1DB3D">
      <w:pPr>
        <w:spacing w:line="360" w:lineRule="auto"/>
        <w:rPr>
          <w:rFonts w:cs="宋体" w:asciiTheme="minorEastAsia" w:hAnsiTheme="minorEastAsia" w:eastAsiaTheme="minorEastAsia"/>
          <w:b/>
          <w:bCs/>
          <w:color w:val="000000" w:themeColor="text1"/>
          <w:sz w:val="24"/>
        </w:rPr>
      </w:pPr>
    </w:p>
    <w:p w14:paraId="2B26A1AA">
      <w:pPr>
        <w:spacing w:line="360" w:lineRule="auto"/>
        <w:rPr>
          <w:rFonts w:cs="宋体" w:asciiTheme="minorEastAsia" w:hAnsiTheme="minorEastAsia" w:eastAsiaTheme="minorEastAsia"/>
          <w:b/>
          <w:bCs/>
          <w:color w:val="000000" w:themeColor="text1"/>
          <w:sz w:val="24"/>
        </w:rPr>
      </w:pPr>
      <w:r>
        <w:rPr>
          <w:rFonts w:hint="eastAsia" w:cs="宋体" w:asciiTheme="minorEastAsia" w:hAnsiTheme="minorEastAsia" w:eastAsiaTheme="minorEastAsia"/>
          <w:b/>
          <w:bCs/>
          <w:color w:val="000000" w:themeColor="text1"/>
          <w:sz w:val="24"/>
        </w:rPr>
        <w:t>三、评标委员会的职责</w:t>
      </w:r>
    </w:p>
    <w:p w14:paraId="48DC85FB">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3.1 评标委员会负责具体评标事务，并独立履行下列职责：</w:t>
      </w:r>
    </w:p>
    <w:p w14:paraId="75D50613">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3.1.1 审查、评价响应文件是否符合征集文件的商务、技术等实质性要求；</w:t>
      </w:r>
    </w:p>
    <w:p w14:paraId="584F4B37">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3.1.2 要求供应商对响应文件有关事项作出澄清或者说明；</w:t>
      </w:r>
    </w:p>
    <w:p w14:paraId="01CB2EF9">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3.1.3 对响应文件进行比较和评价；</w:t>
      </w:r>
    </w:p>
    <w:p w14:paraId="0F45288C">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3.1.4 确定入围名单；</w:t>
      </w:r>
    </w:p>
    <w:p w14:paraId="65CC2CFC">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3.1.5 向征集人、采购代理机构或者有关部门报告评标中发现的违法行为；</w:t>
      </w:r>
    </w:p>
    <w:p w14:paraId="79E39B2D">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3.1.6 法律、法规、规章、征集文件等规定的其它事项。</w:t>
      </w:r>
    </w:p>
    <w:p w14:paraId="764983B5">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 评标委员会及其成员不得有下列行为：</w:t>
      </w:r>
    </w:p>
    <w:p w14:paraId="3808CDB9">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3.2.1 确定参与评标至评标结束前私自接触供应商；</w:t>
      </w:r>
    </w:p>
    <w:p w14:paraId="5A5F50DC">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3.2.2接受供应商提出的与响应文件不一致的澄清或者说明（财政部87号《政府采购货物和服务招投标管理办法》第五十一条规定的情形除外）；</w:t>
      </w:r>
    </w:p>
    <w:p w14:paraId="27D2053B">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3.2.3 违反评标纪律发表倾向性意见或者征询征集人的倾向性意见；</w:t>
      </w:r>
    </w:p>
    <w:p w14:paraId="3F4F6FC2">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3.2.4 对需要专业判断的主观评审因素协商评分；</w:t>
      </w:r>
    </w:p>
    <w:p w14:paraId="6EB85DF0">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3.2.5 在评标过程中擅离职守，影响评标程序正常进行的；</w:t>
      </w:r>
    </w:p>
    <w:p w14:paraId="5F3D3E18">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3.2.6 记录、复制或者带走任何评标资料；</w:t>
      </w:r>
    </w:p>
    <w:p w14:paraId="0E0BA9C2">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3.2.7 其他不遵守评标纪律的行为。</w:t>
      </w:r>
    </w:p>
    <w:p w14:paraId="04558B55">
      <w:pPr>
        <w:pStyle w:val="38"/>
        <w:spacing w:line="312" w:lineRule="auto"/>
        <w:ind w:left="0" w:leftChars="0"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评标委员会成员有3.2.1-3.2.7行为之一的，其评审意见无效，并不得获取评审劳务报酬和报销异地评审差旅费。</w:t>
      </w:r>
    </w:p>
    <w:p w14:paraId="4537E440">
      <w:pPr>
        <w:pStyle w:val="38"/>
        <w:spacing w:line="360" w:lineRule="auto"/>
        <w:ind w:left="0" w:leftChars="0" w:firstLine="0" w:firstLineChars="0"/>
        <w:jc w:val="left"/>
        <w:rPr>
          <w:rFonts w:cs="宋体" w:asciiTheme="minorEastAsia" w:hAnsiTheme="minorEastAsia" w:eastAsiaTheme="minorEastAsia"/>
          <w:b/>
          <w:bCs/>
          <w:color w:val="000000" w:themeColor="text1"/>
          <w:sz w:val="24"/>
        </w:rPr>
      </w:pPr>
    </w:p>
    <w:p w14:paraId="6875DC6C">
      <w:pPr>
        <w:pStyle w:val="38"/>
        <w:spacing w:line="360" w:lineRule="auto"/>
        <w:ind w:left="0" w:leftChars="0" w:firstLine="0" w:firstLineChars="0"/>
        <w:jc w:val="left"/>
        <w:rPr>
          <w:rFonts w:cs="宋体" w:asciiTheme="minorEastAsia" w:hAnsiTheme="minorEastAsia" w:eastAsiaTheme="minorEastAsia"/>
          <w:b/>
          <w:bCs/>
          <w:color w:val="auto"/>
          <w:sz w:val="24"/>
        </w:rPr>
      </w:pPr>
      <w:r>
        <w:rPr>
          <w:rFonts w:hint="eastAsia" w:cs="宋体" w:asciiTheme="minorEastAsia" w:hAnsiTheme="minorEastAsia" w:eastAsiaTheme="minorEastAsia"/>
          <w:b/>
          <w:bCs/>
          <w:color w:val="auto"/>
          <w:sz w:val="24"/>
        </w:rPr>
        <w:t>四、入围原则</w:t>
      </w:r>
    </w:p>
    <w:p w14:paraId="39656588">
      <w:pPr>
        <w:pStyle w:val="38"/>
        <w:spacing w:line="360" w:lineRule="auto"/>
        <w:ind w:left="0" w:leftChars="0" w:firstLine="422"/>
        <w:jc w:val="left"/>
        <w:rPr>
          <w:rFonts w:cs="宋体" w:asciiTheme="minorEastAsia" w:hAnsiTheme="minorEastAsia" w:eastAsiaTheme="minorEastAsia"/>
          <w:color w:val="auto"/>
          <w:szCs w:val="21"/>
        </w:rPr>
      </w:pPr>
      <w:r>
        <w:rPr>
          <w:rFonts w:hint="eastAsia" w:cs="宋体" w:asciiTheme="minorEastAsia" w:hAnsiTheme="minorEastAsia" w:eastAsiaTheme="minorEastAsia"/>
          <w:b/>
          <w:bCs/>
          <w:color w:val="auto"/>
          <w:szCs w:val="21"/>
        </w:rPr>
        <w:t>4.1 排序</w:t>
      </w:r>
    </w:p>
    <w:p w14:paraId="4FCF67B9">
      <w:pPr>
        <w:pStyle w:val="38"/>
        <w:spacing w:line="360" w:lineRule="auto"/>
        <w:ind w:left="0" w:leftChars="0" w:firstLine="420"/>
        <w:jc w:val="lef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lang w:eastAsia="zh-TW"/>
        </w:rPr>
        <w:t>按评审后汇总得分（商务技术得分情况）由高到低顺序排列。汇总得分相同的，按照客观分得分由高到低顺序排列；客观分得分也相同的，按团队负责人一级注册造价工程师初始注册时间早的入围</w:t>
      </w:r>
      <w:r>
        <w:rPr>
          <w:rFonts w:hint="eastAsia" w:cs="宋体" w:asciiTheme="minorEastAsia" w:hAnsiTheme="minorEastAsia" w:eastAsiaTheme="minorEastAsia"/>
          <w:b/>
          <w:color w:val="auto"/>
          <w:szCs w:val="21"/>
        </w:rPr>
        <w:t>(如证书上未体现初始时间的，可提供相关证明文件，未提供视为证书上的时间，下同)</w:t>
      </w:r>
      <w:r>
        <w:rPr>
          <w:rFonts w:hint="eastAsia" w:cs="宋体" w:asciiTheme="minorEastAsia" w:hAnsiTheme="minorEastAsia" w:eastAsiaTheme="minorEastAsia"/>
          <w:color w:val="auto"/>
          <w:szCs w:val="21"/>
          <w:lang w:eastAsia="zh-TW"/>
        </w:rPr>
        <w:t>；团队负责人一级注册造价工程师初始注册时间也相同的，按技术负责人一级注册造价工程师初始注册时间早的入围；都相同的，抽签决定，第一次抽签出来的为第一，依序排列。</w:t>
      </w:r>
    </w:p>
    <w:p w14:paraId="498692A5">
      <w:pPr>
        <w:pStyle w:val="38"/>
        <w:spacing w:line="360" w:lineRule="auto"/>
        <w:ind w:left="0" w:leftChars="0" w:firstLine="422"/>
        <w:jc w:val="left"/>
        <w:rPr>
          <w:rFonts w:cs="宋体" w:asciiTheme="minorEastAsia" w:hAnsiTheme="minorEastAsia" w:eastAsiaTheme="minorEastAsia"/>
          <w:color w:val="auto"/>
          <w:szCs w:val="21"/>
        </w:rPr>
      </w:pPr>
      <w:r>
        <w:rPr>
          <w:rFonts w:hint="eastAsia" w:cs="宋体" w:asciiTheme="minorEastAsia" w:hAnsiTheme="minorEastAsia" w:eastAsiaTheme="minorEastAsia"/>
          <w:b/>
          <w:bCs/>
          <w:color w:val="auto"/>
          <w:szCs w:val="21"/>
        </w:rPr>
        <w:t>4.2 淘汰率</w:t>
      </w:r>
    </w:p>
    <w:p w14:paraId="6019C063">
      <w:pPr>
        <w:pStyle w:val="38"/>
        <w:spacing w:line="360" w:lineRule="auto"/>
        <w:ind w:left="0" w:leftChars="0" w:firstLine="420"/>
        <w:jc w:val="left"/>
        <w:rPr>
          <w:rFonts w:cs="宋体" w:asciiTheme="minorEastAsia" w:hAnsiTheme="minorEastAsia" w:eastAsiaTheme="minorEastAsia"/>
          <w:b/>
          <w:bCs/>
          <w:color w:val="auto"/>
          <w:kern w:val="0"/>
          <w:szCs w:val="21"/>
        </w:rPr>
      </w:pPr>
      <w:r>
        <w:rPr>
          <w:rFonts w:hint="eastAsia" w:cs="宋体" w:asciiTheme="minorEastAsia" w:hAnsiTheme="minorEastAsia" w:eastAsiaTheme="minorEastAsia"/>
          <w:color w:val="auto"/>
          <w:szCs w:val="21"/>
        </w:rPr>
        <w:t>4.3.1确定第一阶段入围供应商时，提交响应文件和符合资格条件、实质性要求的供应商应当均不少于13家，淘汰比例为20%，且至少淘汰一家供应商。</w:t>
      </w:r>
      <w:r>
        <w:rPr>
          <w:rFonts w:hint="eastAsia" w:cs="宋体" w:asciiTheme="minorEastAsia" w:hAnsiTheme="minorEastAsia" w:eastAsiaTheme="minorEastAsia"/>
          <w:b/>
          <w:bCs/>
          <w:color w:val="auto"/>
          <w:kern w:val="0"/>
          <w:szCs w:val="21"/>
        </w:rPr>
        <w:t>淘汰后剩余单位多于13家，按照排序先后选择10家单位。</w:t>
      </w:r>
    </w:p>
    <w:p w14:paraId="35E7A095">
      <w:pPr>
        <w:pStyle w:val="18"/>
        <w:rPr>
          <w:rFonts w:asciiTheme="minorEastAsia" w:hAnsiTheme="minorEastAsia" w:eastAsiaTheme="minorEastAsia"/>
          <w:color w:val="auto"/>
          <w:sz w:val="21"/>
          <w:lang w:val="en-US"/>
        </w:rPr>
      </w:pPr>
      <w:r>
        <w:rPr>
          <w:rFonts w:hint="eastAsia" w:cs="宋体" w:asciiTheme="minorEastAsia" w:hAnsiTheme="minorEastAsia" w:eastAsiaTheme="minorEastAsia"/>
          <w:b/>
          <w:bCs/>
          <w:color w:val="auto"/>
          <w:kern w:val="0"/>
          <w:sz w:val="21"/>
          <w:lang w:val="en-US"/>
        </w:rPr>
        <w:t xml:space="preserve">    4.3.2入围供应商数量：最多10家。</w:t>
      </w:r>
    </w:p>
    <w:p w14:paraId="4CD9F182">
      <w:pPr>
        <w:pStyle w:val="38"/>
        <w:spacing w:line="360" w:lineRule="auto"/>
        <w:ind w:left="0" w:leftChars="0" w:firstLine="0" w:firstLineChars="0"/>
        <w:jc w:val="left"/>
        <w:rPr>
          <w:rFonts w:cs="宋体" w:asciiTheme="minorEastAsia" w:hAnsiTheme="minorEastAsia" w:eastAsiaTheme="minorEastAsia"/>
          <w:b/>
          <w:bCs/>
          <w:color w:val="auto"/>
          <w:sz w:val="24"/>
        </w:rPr>
      </w:pPr>
    </w:p>
    <w:p w14:paraId="73E01BE8">
      <w:pPr>
        <w:pStyle w:val="38"/>
        <w:spacing w:line="360" w:lineRule="auto"/>
        <w:ind w:left="0" w:leftChars="0" w:firstLine="0" w:firstLineChars="0"/>
        <w:jc w:val="left"/>
        <w:rPr>
          <w:rFonts w:cs="宋体" w:asciiTheme="minorEastAsia" w:hAnsiTheme="minorEastAsia" w:eastAsiaTheme="minorEastAsia"/>
          <w:b/>
          <w:bCs/>
          <w:color w:val="000000" w:themeColor="text1"/>
          <w:sz w:val="24"/>
        </w:rPr>
      </w:pPr>
      <w:r>
        <w:rPr>
          <w:rFonts w:hint="eastAsia" w:cs="宋体" w:asciiTheme="minorEastAsia" w:hAnsiTheme="minorEastAsia" w:eastAsiaTheme="minorEastAsia"/>
          <w:b/>
          <w:bCs/>
          <w:color w:val="000000" w:themeColor="text1"/>
          <w:sz w:val="24"/>
        </w:rPr>
        <w:t>五、评审程序</w:t>
      </w:r>
    </w:p>
    <w:p w14:paraId="51C19410">
      <w:pPr>
        <w:pStyle w:val="18"/>
        <w:ind w:firstLine="422" w:firstLineChars="200"/>
        <w:rPr>
          <w:rFonts w:cs="宋体" w:asciiTheme="minorEastAsia" w:hAnsiTheme="minorEastAsia" w:eastAsiaTheme="minorEastAsia"/>
          <w:snapToGrid/>
          <w:sz w:val="21"/>
          <w:lang w:val="en-US"/>
        </w:rPr>
      </w:pPr>
      <w:r>
        <w:rPr>
          <w:rFonts w:hint="eastAsia" w:cs="宋体" w:asciiTheme="minorEastAsia" w:hAnsiTheme="minorEastAsia" w:eastAsiaTheme="minorEastAsia"/>
          <w:b/>
          <w:bCs/>
          <w:snapToGrid/>
          <w:sz w:val="21"/>
          <w:lang w:val="en-US"/>
        </w:rPr>
        <w:t>5.1 符合性审查。</w:t>
      </w:r>
      <w:r>
        <w:rPr>
          <w:rFonts w:hint="eastAsia" w:cs="宋体" w:asciiTheme="minorEastAsia" w:hAnsiTheme="minorEastAsia" w:eastAsiaTheme="minorEastAsia"/>
          <w:snapToGrid/>
          <w:sz w:val="21"/>
          <w:lang w:val="en-US"/>
        </w:rPr>
        <w:t>评标委员会应当对符合资格的供应商的投标文件进行审查，以确定其是否满足招标文件的实质性要求。不满足招标文件的实质性要求的，投标无效。通过符合性审查不足两家的，除采购任务取消情形外，按相关规定重新组织招标。</w:t>
      </w:r>
    </w:p>
    <w:p w14:paraId="5271535D">
      <w:pPr>
        <w:pStyle w:val="18"/>
        <w:ind w:firstLine="422" w:firstLineChars="200"/>
        <w:rPr>
          <w:rFonts w:cs="宋体" w:asciiTheme="minorEastAsia" w:hAnsiTheme="minorEastAsia" w:eastAsiaTheme="minorEastAsia"/>
          <w:b/>
          <w:bCs/>
          <w:snapToGrid/>
          <w:sz w:val="21"/>
          <w:lang w:val="en-US"/>
        </w:rPr>
      </w:pPr>
      <w:r>
        <w:rPr>
          <w:rFonts w:hint="eastAsia" w:cs="宋体" w:asciiTheme="minorEastAsia" w:hAnsiTheme="minorEastAsia" w:eastAsiaTheme="minorEastAsia"/>
          <w:b/>
          <w:bCs/>
          <w:snapToGrid/>
          <w:sz w:val="21"/>
          <w:lang w:val="en-US"/>
        </w:rPr>
        <w:t>5.2 响应报价评审。</w:t>
      </w:r>
    </w:p>
    <w:p w14:paraId="05EE50C8">
      <w:pPr>
        <w:pStyle w:val="19"/>
        <w:rPr>
          <w:sz w:val="21"/>
          <w:szCs w:val="21"/>
          <w:lang w:val="en-US"/>
        </w:rPr>
      </w:pPr>
      <w:r>
        <w:rPr>
          <w:rFonts w:hint="eastAsia"/>
          <w:sz w:val="21"/>
          <w:szCs w:val="21"/>
          <w:lang w:val="en-US"/>
        </w:rPr>
        <w:t>本项目采用固定价格采购，价格不列为评审因素。审核费用的计算以浙价服〔2009〕84号文件规定为基础（注：每件咨询服务合同按上表计算不足2000元的，按2000元收费，概算审核的收费基数不包括土地使用费）。</w:t>
      </w:r>
    </w:p>
    <w:p w14:paraId="47550C42">
      <w:pPr>
        <w:pStyle w:val="19"/>
        <w:rPr>
          <w:sz w:val="21"/>
          <w:szCs w:val="21"/>
          <w:lang w:val="en-US"/>
        </w:rPr>
      </w:pPr>
      <w:r>
        <w:rPr>
          <w:rFonts w:hint="eastAsia"/>
          <w:sz w:val="21"/>
          <w:szCs w:val="21"/>
          <w:lang w:val="en-US"/>
        </w:rPr>
        <w:t>1.送审核金额1亿元以下的：</w:t>
      </w:r>
    </w:p>
    <w:p w14:paraId="791C37A1">
      <w:pPr>
        <w:pStyle w:val="19"/>
        <w:rPr>
          <w:sz w:val="21"/>
          <w:szCs w:val="21"/>
          <w:lang w:val="en-US"/>
        </w:rPr>
      </w:pPr>
      <w:r>
        <w:rPr>
          <w:rFonts w:hint="eastAsia"/>
          <w:sz w:val="21"/>
          <w:szCs w:val="21"/>
          <w:lang w:val="en-US"/>
        </w:rPr>
        <w:t>概算和预算（招标控制价）审核费：按浙价服〔2009〕84号文件概算和预算审核规定收费标准的21%执行。</w:t>
      </w:r>
    </w:p>
    <w:p w14:paraId="65484A44">
      <w:pPr>
        <w:pStyle w:val="19"/>
        <w:rPr>
          <w:sz w:val="21"/>
          <w:szCs w:val="21"/>
          <w:lang w:val="en-US"/>
        </w:rPr>
      </w:pPr>
      <w:r>
        <w:rPr>
          <w:rFonts w:hint="eastAsia"/>
          <w:sz w:val="21"/>
          <w:szCs w:val="21"/>
          <w:lang w:val="en-US"/>
        </w:rPr>
        <w:t>2.送审金额1亿元及以上的：</w:t>
      </w:r>
    </w:p>
    <w:p w14:paraId="3EC14C29">
      <w:pPr>
        <w:pStyle w:val="19"/>
        <w:rPr>
          <w:sz w:val="21"/>
          <w:szCs w:val="21"/>
          <w:lang w:val="en-US"/>
        </w:rPr>
      </w:pPr>
      <w:r>
        <w:rPr>
          <w:rFonts w:hint="eastAsia"/>
          <w:sz w:val="21"/>
          <w:szCs w:val="21"/>
          <w:lang w:val="en-US"/>
        </w:rPr>
        <w:t>在以按浙价服〔2009〕84号文件概算和预算审核规定收费标准的21%为最高限价的基础上，以二次竞价的方式另行确定</w:t>
      </w:r>
    </w:p>
    <w:p w14:paraId="715F660D">
      <w:pPr>
        <w:spacing w:line="360" w:lineRule="auto"/>
        <w:ind w:firstLine="422" w:firstLineChars="200"/>
        <w:rPr>
          <w:rFonts w:cs="宋体" w:asciiTheme="minorEastAsia" w:hAnsiTheme="minorEastAsia" w:eastAsiaTheme="minorEastAsia"/>
          <w:b/>
          <w:color w:val="000000" w:themeColor="text1"/>
          <w:kern w:val="0"/>
          <w:szCs w:val="21"/>
        </w:rPr>
      </w:pPr>
      <w:r>
        <w:rPr>
          <w:rFonts w:hint="eastAsia" w:cs="宋体" w:asciiTheme="minorEastAsia" w:hAnsiTheme="minorEastAsia" w:eastAsiaTheme="minorEastAsia"/>
          <w:b/>
          <w:color w:val="000000" w:themeColor="text1"/>
          <w:kern w:val="0"/>
          <w:szCs w:val="21"/>
        </w:rPr>
        <w:t>5.3 排序和确定入围供应商。</w:t>
      </w:r>
      <w:r>
        <w:rPr>
          <w:rFonts w:hint="eastAsia" w:cs="宋体" w:asciiTheme="minorEastAsia" w:hAnsiTheme="minorEastAsia" w:eastAsiaTheme="minorEastAsia"/>
          <w:bCs/>
          <w:color w:val="000000" w:themeColor="text1"/>
          <w:kern w:val="0"/>
          <w:szCs w:val="21"/>
        </w:rPr>
        <w:t>评标委员会按照入围要求对有效响应供应商进行排序并确定入围供应商。</w:t>
      </w:r>
    </w:p>
    <w:p w14:paraId="2231120F">
      <w:pPr>
        <w:spacing w:line="360" w:lineRule="auto"/>
        <w:ind w:firstLine="413" w:firstLineChars="196"/>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b/>
          <w:color w:val="000000" w:themeColor="text1"/>
          <w:kern w:val="0"/>
          <w:szCs w:val="21"/>
        </w:rPr>
        <w:t>5.4 编写评审报告。</w:t>
      </w:r>
      <w:r>
        <w:rPr>
          <w:rFonts w:hint="eastAsia" w:cs="宋体" w:asciiTheme="minorEastAsia" w:hAnsiTheme="minorEastAsia" w:eastAsiaTheme="minorEastAsia"/>
          <w:bCs/>
          <w:color w:val="000000" w:themeColor="text1"/>
          <w:kern w:val="0"/>
          <w:szCs w:val="21"/>
        </w:rPr>
        <w:t>评标委员会</w:t>
      </w:r>
      <w:r>
        <w:rPr>
          <w:rFonts w:hint="eastAsia" w:cs="宋体" w:asciiTheme="minorEastAsia" w:hAnsiTheme="minorEastAsia" w:eastAsiaTheme="minorEastAsia"/>
          <w:color w:val="000000" w:themeColor="text1"/>
          <w:kern w:val="0"/>
          <w:szCs w:val="21"/>
        </w:rPr>
        <w:t>根据全体评审成员签字的评审记录和评审结果编写评审报告。评标委员会成员对需要共同认定的事项存在争议的，应当按照少数服从多数的原则作出结论。持不同意见的评标委员会成员应当在评审报告上签署不同意见及理由，否则视为同意评审报告。</w:t>
      </w:r>
    </w:p>
    <w:p w14:paraId="03B0641C">
      <w:pPr>
        <w:widowControl/>
        <w:shd w:val="clear" w:color="auto" w:fill="FFFFFF"/>
        <w:adjustRightInd/>
        <w:spacing w:after="225" w:line="315" w:lineRule="atLeast"/>
        <w:jc w:val="left"/>
        <w:rPr>
          <w:rFonts w:cs="宋体" w:asciiTheme="minorEastAsia" w:hAnsiTheme="minorEastAsia" w:eastAsiaTheme="minorEastAsia"/>
          <w:b/>
          <w:color w:val="000000" w:themeColor="text1"/>
          <w:sz w:val="24"/>
        </w:rPr>
      </w:pPr>
    </w:p>
    <w:p w14:paraId="5B97C547">
      <w:pPr>
        <w:widowControl/>
        <w:shd w:val="clear" w:color="auto" w:fill="FFFFFF"/>
        <w:adjustRightInd/>
        <w:spacing w:after="225" w:line="315" w:lineRule="atLeast"/>
        <w:jc w:val="left"/>
        <w:rPr>
          <w:rFonts w:cs="宋体" w:asciiTheme="minorEastAsia" w:hAnsiTheme="minorEastAsia" w:eastAsiaTheme="minorEastAsia"/>
          <w:b/>
          <w:color w:val="000000" w:themeColor="text1"/>
          <w:sz w:val="24"/>
        </w:rPr>
      </w:pPr>
      <w:r>
        <w:rPr>
          <w:rFonts w:hint="eastAsia" w:cs="宋体" w:asciiTheme="minorEastAsia" w:hAnsiTheme="minorEastAsia" w:eastAsiaTheme="minorEastAsia"/>
          <w:b/>
          <w:color w:val="000000" w:themeColor="text1"/>
          <w:sz w:val="24"/>
        </w:rPr>
        <w:t>六、评审中的其他事项</w:t>
      </w:r>
    </w:p>
    <w:p w14:paraId="69AEB8F3">
      <w:pPr>
        <w:pStyle w:val="115"/>
        <w:spacing w:before="0"/>
        <w:ind w:firstLine="413" w:firstLineChars="196"/>
        <w:rPr>
          <w:rFonts w:cs="宋体" w:asciiTheme="minorEastAsia" w:hAnsiTheme="minorEastAsia" w:eastAsiaTheme="minorEastAsia"/>
          <w:b/>
          <w:color w:val="000000" w:themeColor="text1"/>
          <w:kern w:val="0"/>
          <w:sz w:val="21"/>
          <w:szCs w:val="21"/>
        </w:rPr>
      </w:pPr>
      <w:r>
        <w:rPr>
          <w:rFonts w:hint="eastAsia" w:cs="宋体" w:asciiTheme="minorEastAsia" w:hAnsiTheme="minorEastAsia" w:eastAsiaTheme="minorEastAsia"/>
          <w:b/>
          <w:color w:val="000000" w:themeColor="text1"/>
          <w:kern w:val="0"/>
          <w:sz w:val="21"/>
          <w:szCs w:val="21"/>
        </w:rPr>
        <w:t>6.1 供应商澄清、说明或者补正。</w:t>
      </w:r>
    </w:p>
    <w:p w14:paraId="3B8A359E">
      <w:pPr>
        <w:pStyle w:val="115"/>
        <w:spacing w:before="0"/>
        <w:ind w:firstLine="420"/>
        <w:rPr>
          <w:rFonts w:cs="宋体" w:asciiTheme="minorEastAsia" w:hAnsiTheme="minorEastAsia" w:eastAsiaTheme="minorEastAsia"/>
          <w:color w:val="000000" w:themeColor="text1"/>
          <w:kern w:val="0"/>
          <w:sz w:val="21"/>
          <w:szCs w:val="21"/>
        </w:rPr>
      </w:pPr>
      <w:r>
        <w:rPr>
          <w:rFonts w:hint="eastAsia" w:cs="宋体" w:asciiTheme="minorEastAsia" w:hAnsiTheme="minorEastAsia" w:eastAsiaTheme="minorEastAsia"/>
          <w:bCs/>
          <w:color w:val="000000" w:themeColor="text1"/>
          <w:kern w:val="0"/>
          <w:sz w:val="21"/>
          <w:szCs w:val="21"/>
        </w:rPr>
        <w:t xml:space="preserve">6.1.1 </w:t>
      </w:r>
      <w:r>
        <w:rPr>
          <w:rFonts w:hint="eastAsia" w:cs="宋体" w:asciiTheme="minorEastAsia" w:hAnsiTheme="minorEastAsia" w:eastAsiaTheme="minorEastAsia"/>
          <w:color w:val="000000" w:themeColor="text1"/>
          <w:kern w:val="0"/>
          <w:sz w:val="21"/>
          <w:szCs w:val="21"/>
        </w:rPr>
        <w:t>对于响应文件中含义不明确、同类问题表述不一致或者有明显文字和计算错误的内容，评审小组应当要求响应供应商作出必要的澄清、说明或者补正。评审小组和响应供应商通过电子交易平台交换数据电文，供应商提交的澄清、说明或补正以使用电子签名的相关数据电文或通过平台上传加盖公章的扫描件为准。给予供应商提交澄清、说明或补正的时间不得少于半小时，供应商已经明确表示澄清、说明或补正完毕的除外。供应商的澄清、说明或者补正不得超出响应文件的范围或者改变响应文件的实质性内容。</w:t>
      </w:r>
    </w:p>
    <w:p w14:paraId="7EDA673B">
      <w:pPr>
        <w:pStyle w:val="115"/>
        <w:spacing w:before="0"/>
        <w:ind w:firstLine="420"/>
        <w:jc w:val="left"/>
        <w:rPr>
          <w:rFonts w:cs="宋体" w:asciiTheme="minorEastAsia" w:hAnsiTheme="minorEastAsia" w:eastAsiaTheme="minorEastAsia"/>
          <w:b/>
          <w:bCs/>
          <w:color w:val="000000" w:themeColor="text1"/>
          <w:kern w:val="0"/>
          <w:sz w:val="21"/>
          <w:szCs w:val="21"/>
        </w:rPr>
      </w:pPr>
      <w:r>
        <w:rPr>
          <w:rFonts w:hint="eastAsia" w:cs="宋体" w:asciiTheme="minorEastAsia" w:hAnsiTheme="minorEastAsia" w:eastAsiaTheme="minorEastAsia"/>
          <w:bCs/>
          <w:color w:val="000000" w:themeColor="text1"/>
          <w:kern w:val="0"/>
          <w:sz w:val="21"/>
          <w:szCs w:val="21"/>
        </w:rPr>
        <w:t>6</w:t>
      </w:r>
      <w:r>
        <w:rPr>
          <w:rFonts w:hint="eastAsia" w:cs="宋体" w:asciiTheme="minorEastAsia" w:hAnsiTheme="minorEastAsia" w:eastAsiaTheme="minorEastAsia"/>
          <w:color w:val="000000" w:themeColor="text1"/>
          <w:kern w:val="0"/>
          <w:sz w:val="21"/>
          <w:szCs w:val="21"/>
        </w:rPr>
        <w:t>.1.2 供应商在政采云系统中填报的响应内容与上传的加盖电子签名的响应文件内容有不一致或者矛盾的，以加盖电子签名的响应文件内容为准，并对政采云系统填报的响应内容进行修正。</w:t>
      </w:r>
    </w:p>
    <w:p w14:paraId="2D3A22B8">
      <w:pPr>
        <w:pStyle w:val="20"/>
        <w:spacing w:line="360" w:lineRule="auto"/>
        <w:ind w:left="954" w:leftChars="226" w:hanging="479"/>
        <w:rPr>
          <w:rFonts w:cs="宋体" w:asciiTheme="minorEastAsia" w:hAnsiTheme="minorEastAsia" w:eastAsiaTheme="minorEastAsia"/>
          <w:b/>
          <w:color w:val="000000" w:themeColor="text1"/>
          <w:kern w:val="0"/>
          <w:szCs w:val="21"/>
        </w:rPr>
      </w:pPr>
      <w:r>
        <w:rPr>
          <w:rFonts w:hint="eastAsia" w:cs="宋体" w:asciiTheme="minorEastAsia" w:hAnsiTheme="minorEastAsia" w:eastAsiaTheme="minorEastAsia"/>
          <w:b/>
          <w:color w:val="000000" w:themeColor="text1"/>
          <w:kern w:val="0"/>
          <w:szCs w:val="21"/>
        </w:rPr>
        <w:t>6.2 响应无效。</w:t>
      </w:r>
    </w:p>
    <w:p w14:paraId="5840E2FD">
      <w:pPr>
        <w:pStyle w:val="20"/>
        <w:spacing w:line="360" w:lineRule="auto"/>
        <w:ind w:left="954" w:leftChars="226" w:hanging="479"/>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有下列情形之一的，响应无效：</w:t>
      </w:r>
    </w:p>
    <w:p w14:paraId="5A90897D">
      <w:pPr>
        <w:pStyle w:val="20"/>
        <w:spacing w:line="360" w:lineRule="auto"/>
        <w:ind w:left="0" w:leftChars="0" w:firstLine="420" w:firstLineChars="20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kern w:val="0"/>
          <w:szCs w:val="21"/>
        </w:rPr>
        <w:t>6.2.1 供应商不具备征集文件中规定的资格要求的（供应商未提供有效的资格响应文件的，视为供应商不具备征集文件中规定的资格要求）；</w:t>
      </w:r>
    </w:p>
    <w:p w14:paraId="2064A82F">
      <w:pPr>
        <w:spacing w:line="360" w:lineRule="auto"/>
        <w:ind w:firstLine="420" w:firstLineChars="20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6.2.2 响应文件未按照征集文件要求签署、盖章的；</w:t>
      </w:r>
    </w:p>
    <w:p w14:paraId="29622C69">
      <w:pPr>
        <w:spacing w:line="360" w:lineRule="auto"/>
        <w:ind w:firstLine="420" w:firstLineChars="20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6.2.3 响应文件含有征集人不能接受的附加条件的；</w:t>
      </w:r>
    </w:p>
    <w:p w14:paraId="1B23820E">
      <w:pPr>
        <w:spacing w:line="360" w:lineRule="auto"/>
        <w:ind w:firstLine="420" w:firstLineChars="20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6.2.4 响应文件中承诺的响应有效期少于征集文件中载明的响应有效期的；</w:t>
      </w:r>
    </w:p>
    <w:p w14:paraId="614FE785">
      <w:pPr>
        <w:snapToGrid w:val="0"/>
        <w:spacing w:line="360" w:lineRule="auto"/>
        <w:ind w:firstLine="420" w:firstLineChars="20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6.2.5 供应商提供虚假材料响应的；</w:t>
      </w:r>
    </w:p>
    <w:p w14:paraId="314641E0">
      <w:pPr>
        <w:snapToGrid w:val="0"/>
        <w:spacing w:line="360" w:lineRule="auto"/>
        <w:ind w:firstLine="420" w:firstLineChars="20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6.2.6 供应商有恶意串通、妨碍其他供应商的竞争行为，损害征集人、征集人或者其他供应商的合法权益情形的；</w:t>
      </w:r>
    </w:p>
    <w:p w14:paraId="63B98B11">
      <w:pPr>
        <w:spacing w:line="360" w:lineRule="auto"/>
        <w:ind w:firstLine="420" w:firstLineChars="20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6.2.7 供应商仅提交备份响应文件，未在电子交易平台传输递交响应文件的；</w:t>
      </w:r>
    </w:p>
    <w:p w14:paraId="21A4B23C">
      <w:pPr>
        <w:spacing w:line="360" w:lineRule="auto"/>
        <w:ind w:firstLine="420" w:firstLineChars="200"/>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6.2.8 响应文件不满足征集文件的实质性要求的；</w:t>
      </w:r>
    </w:p>
    <w:p w14:paraId="06C7518E">
      <w:pPr>
        <w:spacing w:line="360" w:lineRule="auto"/>
        <w:ind w:firstLine="422" w:firstLineChars="200"/>
        <w:jc w:val="left"/>
        <w:rPr>
          <w:rFonts w:cs="宋体" w:asciiTheme="minorEastAsia" w:hAnsiTheme="minorEastAsia" w:eastAsiaTheme="minorEastAsia"/>
          <w:b/>
          <w:bCs/>
          <w:color w:val="auto"/>
          <w:kern w:val="0"/>
          <w:szCs w:val="21"/>
        </w:rPr>
      </w:pPr>
      <w:r>
        <w:rPr>
          <w:rFonts w:hint="eastAsia" w:cs="宋体" w:asciiTheme="minorEastAsia" w:hAnsiTheme="minorEastAsia" w:eastAsiaTheme="minorEastAsia"/>
          <w:b/>
          <w:bCs/>
          <w:color w:val="000000" w:themeColor="text1"/>
          <w:kern w:val="0"/>
          <w:szCs w:val="21"/>
        </w:rPr>
        <w:t>6.2.9</w:t>
      </w:r>
      <w:r>
        <w:rPr>
          <w:rFonts w:hint="eastAsia" w:asciiTheme="minorEastAsia" w:hAnsiTheme="minorEastAsia" w:eastAsiaTheme="minorEastAsia"/>
          <w:b/>
          <w:bCs/>
          <w:szCs w:val="21"/>
        </w:rPr>
        <w:t>在不影响公平竞争的前提下，采购文件中参与同一标项的供应商存在以下情形的，其响应文件相应无效：MAC地址相同、计算机硬盘序列号相同、采购文件细节错误一致且无合理解释的等情</w:t>
      </w:r>
      <w:r>
        <w:rPr>
          <w:rFonts w:hint="eastAsia" w:asciiTheme="minorEastAsia" w:hAnsiTheme="minorEastAsia" w:eastAsiaTheme="minorEastAsia"/>
          <w:b/>
          <w:bCs/>
          <w:color w:val="auto"/>
          <w:szCs w:val="21"/>
        </w:rPr>
        <w:t>形;</w:t>
      </w:r>
    </w:p>
    <w:p w14:paraId="715513E1">
      <w:pPr>
        <w:spacing w:line="360" w:lineRule="auto"/>
        <w:ind w:firstLine="420" w:firstLineChars="200"/>
        <w:jc w:val="left"/>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6.2.10法律、法规、规章及省级以上规范性文件（适用本省级、本市的）规定的其他无效情形。</w:t>
      </w:r>
    </w:p>
    <w:p w14:paraId="65AA53CE">
      <w:pPr>
        <w:pStyle w:val="20"/>
        <w:snapToGrid w:val="0"/>
        <w:spacing w:after="0" w:line="360" w:lineRule="auto"/>
        <w:ind w:left="0" w:leftChars="0" w:firstLine="422" w:firstLineChars="200"/>
        <w:rPr>
          <w:rFonts w:cs="宋体" w:asciiTheme="minorEastAsia" w:hAnsiTheme="minorEastAsia" w:eastAsiaTheme="minorEastAsia"/>
          <w:color w:val="auto"/>
          <w:szCs w:val="21"/>
        </w:rPr>
      </w:pPr>
      <w:r>
        <w:rPr>
          <w:rFonts w:hint="eastAsia" w:cs="宋体" w:asciiTheme="minorEastAsia" w:hAnsiTheme="minorEastAsia" w:eastAsiaTheme="minorEastAsia"/>
          <w:b/>
          <w:color w:val="auto"/>
          <w:szCs w:val="21"/>
        </w:rPr>
        <w:t>6.3 征集失败。</w:t>
      </w:r>
      <w:r>
        <w:rPr>
          <w:rFonts w:hint="eastAsia" w:cs="宋体" w:asciiTheme="minorEastAsia" w:hAnsiTheme="minorEastAsia" w:eastAsiaTheme="minorEastAsia"/>
          <w:color w:val="auto"/>
          <w:szCs w:val="21"/>
        </w:rPr>
        <w:t>出现下列情形之一的，征集失败：</w:t>
      </w:r>
    </w:p>
    <w:p w14:paraId="20044EC9">
      <w:pPr>
        <w:pStyle w:val="20"/>
        <w:snapToGrid w:val="0"/>
        <w:spacing w:after="0" w:line="360" w:lineRule="auto"/>
        <w:ind w:left="0" w:leftChars="0" w:firstLine="420" w:firstLineChars="200"/>
        <w:rPr>
          <w:rFonts w:asciiTheme="minorEastAsia" w:hAnsiTheme="minorEastAsia" w:eastAsiaTheme="minorEastAsia"/>
          <w:b/>
          <w:bCs/>
          <w:color w:val="auto"/>
          <w:szCs w:val="21"/>
        </w:rPr>
      </w:pPr>
      <w:r>
        <w:rPr>
          <w:rFonts w:hint="eastAsia" w:cs="宋体" w:asciiTheme="minorEastAsia" w:hAnsiTheme="minorEastAsia" w:eastAsiaTheme="minorEastAsia"/>
          <w:bCs/>
          <w:color w:val="auto"/>
          <w:szCs w:val="21"/>
        </w:rPr>
        <w:t>6.3.</w:t>
      </w:r>
      <w:r>
        <w:rPr>
          <w:rFonts w:hint="eastAsia" w:cs="宋体" w:asciiTheme="minorEastAsia" w:hAnsiTheme="minorEastAsia" w:eastAsiaTheme="minorEastAsia"/>
          <w:color w:val="auto"/>
          <w:szCs w:val="21"/>
        </w:rPr>
        <w:t>1 提交响应文件或符合资格条件、实质性要求的供应商不足13家的；</w:t>
      </w:r>
    </w:p>
    <w:p w14:paraId="255306E2">
      <w:pPr>
        <w:pStyle w:val="20"/>
        <w:snapToGrid w:val="0"/>
        <w:spacing w:after="0" w:line="360" w:lineRule="auto"/>
        <w:ind w:left="0" w:leftChars="0" w:firstLine="420" w:firstLineChars="20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bCs/>
          <w:color w:val="000000" w:themeColor="text1"/>
          <w:szCs w:val="21"/>
        </w:rPr>
        <w:t>6.3</w:t>
      </w:r>
      <w:r>
        <w:rPr>
          <w:rFonts w:hint="eastAsia" w:cs="宋体" w:asciiTheme="minorEastAsia" w:hAnsiTheme="minorEastAsia" w:eastAsiaTheme="minorEastAsia"/>
          <w:color w:val="000000" w:themeColor="text1"/>
          <w:szCs w:val="21"/>
        </w:rPr>
        <w:t>.2 出现影响采购公正的违法、违规行为的；</w:t>
      </w:r>
    </w:p>
    <w:p w14:paraId="46C0462D">
      <w:pPr>
        <w:pStyle w:val="20"/>
        <w:snapToGrid w:val="0"/>
        <w:spacing w:after="0" w:line="360" w:lineRule="auto"/>
        <w:ind w:left="0" w:leftChars="0" w:firstLine="420" w:firstLineChars="20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bCs/>
          <w:color w:val="000000" w:themeColor="text1"/>
          <w:szCs w:val="21"/>
        </w:rPr>
        <w:t>6.3</w:t>
      </w:r>
      <w:r>
        <w:rPr>
          <w:rFonts w:hint="eastAsia" w:cs="宋体" w:asciiTheme="minorEastAsia" w:hAnsiTheme="minorEastAsia" w:eastAsiaTheme="minorEastAsia"/>
          <w:color w:val="000000" w:themeColor="text1"/>
          <w:szCs w:val="21"/>
        </w:rPr>
        <w:t>.3 因重大变故，采购任务取消的；</w:t>
      </w:r>
    </w:p>
    <w:p w14:paraId="525BB33D">
      <w:pPr>
        <w:pStyle w:val="20"/>
        <w:snapToGrid w:val="0"/>
        <w:spacing w:after="0" w:line="360" w:lineRule="auto"/>
        <w:ind w:left="0" w:leftChars="0" w:firstLine="420" w:firstLineChars="20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bCs/>
          <w:color w:val="000000" w:themeColor="text1"/>
          <w:szCs w:val="21"/>
        </w:rPr>
        <w:t>6.3</w:t>
      </w:r>
      <w:r>
        <w:rPr>
          <w:rFonts w:hint="eastAsia" w:cs="宋体" w:asciiTheme="minorEastAsia" w:hAnsiTheme="minorEastAsia" w:eastAsiaTheme="minorEastAsia"/>
          <w:color w:val="000000" w:themeColor="text1"/>
          <w:szCs w:val="21"/>
        </w:rPr>
        <w:t>.4 法律、法规、规章及省级以上规范性文件（适用本省级、本市的）规定的其他情形。</w:t>
      </w:r>
    </w:p>
    <w:p w14:paraId="5610FA84">
      <w:pPr>
        <w:pStyle w:val="20"/>
        <w:snapToGrid w:val="0"/>
        <w:spacing w:after="0" w:line="360" w:lineRule="auto"/>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征集失败后，征集人应当将失败理由通知所有响应供应商。</w:t>
      </w:r>
    </w:p>
    <w:p w14:paraId="5B7D87D3">
      <w:pPr>
        <w:pStyle w:val="20"/>
        <w:snapToGrid w:val="0"/>
        <w:spacing w:after="0" w:line="360" w:lineRule="auto"/>
        <w:ind w:left="0" w:leftChars="0" w:firstLine="422" w:firstLineChars="20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b/>
          <w:color w:val="000000" w:themeColor="text1"/>
          <w:szCs w:val="21"/>
        </w:rPr>
        <w:t>6.4 重新组织采购活动。</w:t>
      </w:r>
      <w:r>
        <w:rPr>
          <w:rFonts w:hint="eastAsia" w:cs="宋体" w:asciiTheme="minorEastAsia" w:hAnsiTheme="minorEastAsia" w:eastAsiaTheme="minorEastAsia"/>
          <w:color w:val="000000" w:themeColor="text1"/>
          <w:szCs w:val="21"/>
        </w:rPr>
        <w:t>评标委员会发现征集文件存在歧义、重大缺陷导致评审工作无法进行，或者征集文件内容违反国家有关强制性规定的，将停止评审工作，与采购机构（征集人）沟通并作书面记录。采购机构（征集人）确认后，将修改征集文件，重新组织采购活动。</w:t>
      </w:r>
    </w:p>
    <w:p w14:paraId="7B078163">
      <w:pPr>
        <w:pStyle w:val="20"/>
        <w:snapToGrid w:val="0"/>
        <w:spacing w:after="0" w:line="360" w:lineRule="auto"/>
        <w:ind w:left="0" w:leftChars="0" w:firstLine="480" w:firstLineChars="200"/>
        <w:rPr>
          <w:rFonts w:ascii="仿宋_GB2312" w:eastAsia="仿宋_GB2312" w:cs="宋体" w:hAnsiTheme="minorEastAsia"/>
          <w:color w:val="000000" w:themeColor="text1"/>
          <w:sz w:val="24"/>
        </w:rPr>
      </w:pPr>
    </w:p>
    <w:p w14:paraId="7695F572">
      <w:pPr>
        <w:pStyle w:val="38"/>
        <w:ind w:left="0" w:leftChars="0" w:firstLine="0" w:firstLineChars="0"/>
        <w:rPr>
          <w:rFonts w:hint="eastAsia" w:cs="宋体"/>
          <w:b/>
          <w:bCs/>
          <w:color w:val="000000" w:themeColor="text1"/>
          <w:sz w:val="24"/>
        </w:rPr>
      </w:pPr>
    </w:p>
    <w:p w14:paraId="76DCB3AF">
      <w:pPr>
        <w:pStyle w:val="38"/>
        <w:ind w:left="0" w:leftChars="0" w:firstLine="0" w:firstLineChars="0"/>
        <w:rPr>
          <w:rFonts w:hint="eastAsia" w:cs="宋体"/>
          <w:b/>
          <w:bCs/>
          <w:color w:val="000000" w:themeColor="text1"/>
          <w:sz w:val="24"/>
        </w:rPr>
      </w:pPr>
    </w:p>
    <w:p w14:paraId="134CE1AF">
      <w:pPr>
        <w:pStyle w:val="38"/>
        <w:ind w:left="0" w:leftChars="0" w:firstLine="0" w:firstLineChars="0"/>
        <w:rPr>
          <w:rFonts w:hint="eastAsia" w:cs="宋体"/>
          <w:b/>
          <w:bCs/>
          <w:color w:val="000000" w:themeColor="text1"/>
          <w:sz w:val="24"/>
        </w:rPr>
      </w:pPr>
    </w:p>
    <w:p w14:paraId="73D1803D">
      <w:pPr>
        <w:pStyle w:val="38"/>
        <w:ind w:left="0" w:leftChars="0" w:firstLine="0" w:firstLineChars="0"/>
        <w:rPr>
          <w:rFonts w:hint="eastAsia" w:cs="宋体"/>
          <w:b/>
          <w:bCs/>
          <w:color w:val="000000" w:themeColor="text1"/>
          <w:sz w:val="24"/>
        </w:rPr>
      </w:pPr>
    </w:p>
    <w:p w14:paraId="335592C1">
      <w:pPr>
        <w:pStyle w:val="38"/>
        <w:ind w:left="0" w:leftChars="0" w:firstLine="0" w:firstLineChars="0"/>
        <w:rPr>
          <w:rFonts w:hint="eastAsia" w:cs="宋体"/>
          <w:b/>
          <w:bCs/>
          <w:color w:val="000000" w:themeColor="text1"/>
          <w:sz w:val="24"/>
        </w:rPr>
      </w:pPr>
    </w:p>
    <w:p w14:paraId="29FC9487">
      <w:pPr>
        <w:pStyle w:val="38"/>
        <w:ind w:left="0" w:leftChars="0" w:firstLine="0" w:firstLineChars="0"/>
        <w:rPr>
          <w:rFonts w:hint="eastAsia" w:cs="宋体"/>
          <w:b/>
          <w:bCs/>
          <w:color w:val="000000" w:themeColor="text1"/>
          <w:sz w:val="24"/>
        </w:rPr>
      </w:pPr>
    </w:p>
    <w:p w14:paraId="2AEF9CAF">
      <w:pPr>
        <w:pStyle w:val="38"/>
        <w:ind w:left="0" w:leftChars="0" w:firstLine="0" w:firstLineChars="0"/>
        <w:rPr>
          <w:rFonts w:hint="eastAsia" w:cs="宋体"/>
          <w:b/>
          <w:bCs/>
          <w:color w:val="000000" w:themeColor="text1"/>
          <w:sz w:val="24"/>
        </w:rPr>
      </w:pPr>
    </w:p>
    <w:p w14:paraId="3586DE7F">
      <w:pPr>
        <w:pStyle w:val="38"/>
        <w:ind w:left="0" w:leftChars="0" w:firstLine="0" w:firstLineChars="0"/>
        <w:rPr>
          <w:rFonts w:hint="eastAsia" w:cs="宋体"/>
          <w:b/>
          <w:bCs/>
          <w:color w:val="000000" w:themeColor="text1"/>
          <w:sz w:val="24"/>
        </w:rPr>
      </w:pPr>
    </w:p>
    <w:p w14:paraId="2FDFA7E7">
      <w:pPr>
        <w:pStyle w:val="18"/>
        <w:rPr>
          <w:rFonts w:hint="eastAsia" w:cs="宋体"/>
          <w:b/>
          <w:bCs/>
          <w:color w:val="000000" w:themeColor="text1"/>
          <w:sz w:val="24"/>
        </w:rPr>
      </w:pPr>
    </w:p>
    <w:p w14:paraId="1D48CE1C">
      <w:pPr>
        <w:pStyle w:val="19"/>
        <w:rPr>
          <w:rFonts w:hint="eastAsia" w:cs="宋体"/>
          <w:b/>
          <w:bCs/>
          <w:color w:val="000000" w:themeColor="text1"/>
          <w:sz w:val="24"/>
        </w:rPr>
      </w:pPr>
    </w:p>
    <w:p w14:paraId="74BD5FB4">
      <w:pPr>
        <w:rPr>
          <w:rFonts w:hint="eastAsia" w:cs="宋体"/>
          <w:b/>
          <w:bCs/>
          <w:color w:val="000000" w:themeColor="text1"/>
          <w:sz w:val="24"/>
        </w:rPr>
      </w:pPr>
    </w:p>
    <w:p w14:paraId="7330EE0B">
      <w:pPr>
        <w:rPr>
          <w:rFonts w:hint="eastAsia" w:cs="宋体"/>
          <w:b/>
          <w:bCs/>
          <w:color w:val="000000" w:themeColor="text1"/>
          <w:sz w:val="24"/>
        </w:rPr>
      </w:pPr>
    </w:p>
    <w:p w14:paraId="393F6A98">
      <w:pPr>
        <w:rPr>
          <w:rFonts w:hint="eastAsia"/>
        </w:rPr>
      </w:pPr>
    </w:p>
    <w:p w14:paraId="3DDCAB26">
      <w:pPr>
        <w:pStyle w:val="38"/>
        <w:ind w:left="0" w:leftChars="0" w:firstLine="0" w:firstLineChars="0"/>
        <w:rPr>
          <w:rFonts w:cs="宋体"/>
          <w:b/>
          <w:bCs/>
          <w:color w:val="000000" w:themeColor="text1"/>
          <w:sz w:val="24"/>
          <w:lang w:val="zh-CN"/>
        </w:rPr>
      </w:pPr>
      <w:r>
        <w:rPr>
          <w:rFonts w:hint="eastAsia" w:cs="宋体"/>
          <w:b/>
          <w:bCs/>
          <w:color w:val="000000" w:themeColor="text1"/>
          <w:sz w:val="24"/>
        </w:rPr>
        <w:t>七、</w:t>
      </w:r>
      <w:r>
        <w:rPr>
          <w:rFonts w:hint="eastAsia" w:cs="宋体"/>
          <w:b/>
          <w:bCs/>
          <w:color w:val="000000" w:themeColor="text1"/>
          <w:sz w:val="24"/>
          <w:lang w:val="zh-CN"/>
        </w:rPr>
        <w:t>评分内容及标准</w:t>
      </w:r>
    </w:p>
    <w:p w14:paraId="5CAE6D0B">
      <w:pPr>
        <w:pStyle w:val="24"/>
        <w:ind w:firstLine="422" w:firstLineChars="200"/>
        <w:rPr>
          <w:rFonts w:hAnsi="宋体" w:cs="仿宋"/>
          <w:sz w:val="24"/>
        </w:rPr>
      </w:pPr>
      <w:r>
        <w:rPr>
          <w:rFonts w:hint="eastAsia" w:hAnsi="宋体" w:cs="宋体"/>
          <w:b/>
          <w:bCs/>
          <w:color w:val="000000" w:themeColor="text1"/>
          <w:sz w:val="21"/>
          <w:szCs w:val="21"/>
          <w:lang w:val="zh-CN"/>
        </w:rPr>
        <w:t>本项目采用质量优先法，各供应商的最终得分为供应商的商务技术得分，总分为100分，投标价格不作为评审因素。</w:t>
      </w:r>
    </w:p>
    <w:tbl>
      <w:tblPr>
        <w:tblStyle w:val="39"/>
        <w:tblW w:w="9870" w:type="dxa"/>
        <w:tblInd w:w="-123" w:type="dxa"/>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57"/>
        <w:gridCol w:w="1134"/>
        <w:gridCol w:w="850"/>
        <w:gridCol w:w="6521"/>
        <w:gridCol w:w="708"/>
      </w:tblGrid>
      <w:tr w14:paraId="1130148C">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9" w:hRule="atLeast"/>
        </w:trPr>
        <w:tc>
          <w:tcPr>
            <w:tcW w:w="657" w:type="dxa"/>
            <w:tcBorders>
              <w:tl2br w:val="nil"/>
              <w:tr2bl w:val="nil"/>
            </w:tcBorders>
            <w:vAlign w:val="center"/>
          </w:tcPr>
          <w:p w14:paraId="2148B6F6">
            <w:pPr>
              <w:widowControl/>
              <w:adjustRightInd/>
              <w:spacing w:line="360" w:lineRule="auto"/>
              <w:jc w:val="center"/>
              <w:rPr>
                <w:rFonts w:ascii="宋体" w:hAnsi="宋体" w:cs="仿宋"/>
                <w:b/>
                <w:kern w:val="0"/>
                <w:szCs w:val="21"/>
              </w:rPr>
            </w:pPr>
            <w:r>
              <w:rPr>
                <w:rFonts w:hint="eastAsia" w:ascii="宋体" w:hAnsi="宋体" w:cs="仿宋"/>
                <w:b/>
                <w:kern w:val="0"/>
                <w:szCs w:val="21"/>
              </w:rPr>
              <w:t>序号</w:t>
            </w:r>
          </w:p>
        </w:tc>
        <w:tc>
          <w:tcPr>
            <w:tcW w:w="1134" w:type="dxa"/>
            <w:tcBorders>
              <w:tl2br w:val="nil"/>
              <w:tr2bl w:val="nil"/>
            </w:tcBorders>
            <w:vAlign w:val="center"/>
          </w:tcPr>
          <w:p w14:paraId="00CF8A9F">
            <w:pPr>
              <w:widowControl/>
              <w:adjustRightInd/>
              <w:jc w:val="center"/>
              <w:rPr>
                <w:rFonts w:ascii="宋体" w:hAnsi="宋体" w:cs="仿宋"/>
                <w:b/>
                <w:kern w:val="0"/>
                <w:szCs w:val="21"/>
              </w:rPr>
            </w:pPr>
            <w:r>
              <w:rPr>
                <w:rFonts w:hint="eastAsia" w:ascii="宋体" w:hAnsi="宋体" w:cs="仿宋"/>
                <w:b/>
                <w:kern w:val="0"/>
                <w:szCs w:val="21"/>
              </w:rPr>
              <w:t>评分内容</w:t>
            </w:r>
          </w:p>
        </w:tc>
        <w:tc>
          <w:tcPr>
            <w:tcW w:w="850" w:type="dxa"/>
            <w:tcBorders>
              <w:tl2br w:val="nil"/>
              <w:tr2bl w:val="nil"/>
            </w:tcBorders>
            <w:vAlign w:val="center"/>
          </w:tcPr>
          <w:p w14:paraId="77F80F55">
            <w:pPr>
              <w:widowControl/>
              <w:adjustRightInd/>
              <w:spacing w:line="360" w:lineRule="auto"/>
              <w:jc w:val="center"/>
              <w:rPr>
                <w:rFonts w:ascii="宋体" w:hAnsi="宋体" w:cs="仿宋"/>
                <w:b/>
                <w:kern w:val="0"/>
                <w:szCs w:val="21"/>
              </w:rPr>
            </w:pPr>
            <w:r>
              <w:rPr>
                <w:rFonts w:hint="eastAsia" w:ascii="宋体" w:hAnsi="宋体" w:cs="仿宋"/>
                <w:b/>
                <w:kern w:val="0"/>
                <w:szCs w:val="21"/>
              </w:rPr>
              <w:t>得分</w:t>
            </w:r>
          </w:p>
        </w:tc>
        <w:tc>
          <w:tcPr>
            <w:tcW w:w="6521" w:type="dxa"/>
            <w:tcBorders>
              <w:tl2br w:val="nil"/>
              <w:tr2bl w:val="nil"/>
            </w:tcBorders>
            <w:vAlign w:val="center"/>
          </w:tcPr>
          <w:p w14:paraId="77FF1875">
            <w:pPr>
              <w:widowControl/>
              <w:adjustRightInd/>
              <w:spacing w:line="360" w:lineRule="auto"/>
              <w:jc w:val="center"/>
              <w:rPr>
                <w:rFonts w:ascii="宋体" w:hAnsi="宋体" w:cs="仿宋"/>
                <w:b/>
                <w:kern w:val="0"/>
                <w:szCs w:val="21"/>
              </w:rPr>
            </w:pPr>
            <w:r>
              <w:rPr>
                <w:rFonts w:hint="eastAsia" w:ascii="宋体" w:hAnsi="宋体" w:cs="仿宋"/>
                <w:b/>
                <w:kern w:val="0"/>
                <w:szCs w:val="21"/>
              </w:rPr>
              <w:t>评审标准</w:t>
            </w:r>
          </w:p>
        </w:tc>
        <w:tc>
          <w:tcPr>
            <w:tcW w:w="708" w:type="dxa"/>
            <w:tcBorders>
              <w:tl2br w:val="nil"/>
              <w:tr2bl w:val="nil"/>
            </w:tcBorders>
            <w:vAlign w:val="center"/>
          </w:tcPr>
          <w:p w14:paraId="2C1B046F">
            <w:pPr>
              <w:widowControl/>
              <w:adjustRightInd/>
              <w:spacing w:line="360" w:lineRule="auto"/>
              <w:jc w:val="center"/>
              <w:rPr>
                <w:rFonts w:ascii="宋体" w:hAnsi="宋体" w:cs="仿宋"/>
                <w:b/>
                <w:kern w:val="0"/>
                <w:szCs w:val="21"/>
              </w:rPr>
            </w:pPr>
            <w:r>
              <w:rPr>
                <w:rFonts w:hint="eastAsia" w:ascii="宋体" w:hAnsi="宋体" w:cs="仿宋"/>
                <w:b/>
                <w:kern w:val="0"/>
                <w:szCs w:val="21"/>
              </w:rPr>
              <w:t>分值</w:t>
            </w:r>
          </w:p>
        </w:tc>
      </w:tr>
      <w:tr w14:paraId="2BD7E27E">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9" w:hRule="atLeast"/>
        </w:trPr>
        <w:tc>
          <w:tcPr>
            <w:tcW w:w="657" w:type="dxa"/>
            <w:tcBorders>
              <w:tl2br w:val="nil"/>
              <w:tr2bl w:val="nil"/>
            </w:tcBorders>
            <w:vAlign w:val="center"/>
          </w:tcPr>
          <w:p w14:paraId="447C42A8">
            <w:pPr>
              <w:widowControl/>
              <w:adjustRightInd/>
              <w:spacing w:line="360" w:lineRule="auto"/>
              <w:jc w:val="center"/>
              <w:rPr>
                <w:rFonts w:ascii="宋体" w:hAnsi="宋体" w:cs="仿宋"/>
                <w:b/>
                <w:kern w:val="0"/>
                <w:szCs w:val="21"/>
              </w:rPr>
            </w:pPr>
            <w:r>
              <w:rPr>
                <w:rFonts w:hint="eastAsia" w:ascii="宋体" w:hAnsi="宋体" w:cs="仿宋"/>
                <w:b/>
                <w:kern w:val="0"/>
                <w:szCs w:val="21"/>
              </w:rPr>
              <w:t>1</w:t>
            </w:r>
          </w:p>
        </w:tc>
        <w:tc>
          <w:tcPr>
            <w:tcW w:w="1134" w:type="dxa"/>
            <w:tcBorders>
              <w:tl2br w:val="nil"/>
              <w:tr2bl w:val="nil"/>
            </w:tcBorders>
            <w:vAlign w:val="center"/>
          </w:tcPr>
          <w:p w14:paraId="1FA1B0D3">
            <w:pPr>
              <w:widowControl/>
              <w:adjustRightInd/>
              <w:jc w:val="center"/>
              <w:rPr>
                <w:rFonts w:ascii="宋体" w:hAnsi="宋体" w:cs="仿宋"/>
                <w:b/>
                <w:kern w:val="0"/>
                <w:szCs w:val="21"/>
              </w:rPr>
            </w:pPr>
            <w:r>
              <w:rPr>
                <w:rFonts w:hint="eastAsia" w:ascii="宋体" w:hAnsi="宋体" w:cs="仿宋"/>
                <w:b/>
                <w:kern w:val="0"/>
                <w:szCs w:val="21"/>
              </w:rPr>
              <w:t>履约情况及用户评价</w:t>
            </w:r>
          </w:p>
        </w:tc>
        <w:tc>
          <w:tcPr>
            <w:tcW w:w="850" w:type="dxa"/>
            <w:tcBorders>
              <w:tl2br w:val="nil"/>
              <w:tr2bl w:val="nil"/>
            </w:tcBorders>
            <w:vAlign w:val="center"/>
          </w:tcPr>
          <w:p w14:paraId="048BD787">
            <w:pPr>
              <w:widowControl/>
              <w:adjustRightInd/>
              <w:spacing w:line="360" w:lineRule="auto"/>
              <w:jc w:val="center"/>
              <w:rPr>
                <w:rFonts w:ascii="宋体" w:hAnsi="宋体" w:cs="仿宋"/>
                <w:bCs/>
                <w:kern w:val="0"/>
                <w:szCs w:val="21"/>
              </w:rPr>
            </w:pPr>
            <w:r>
              <w:rPr>
                <w:rFonts w:hint="eastAsia" w:ascii="宋体" w:hAnsi="宋体" w:cs="仿宋"/>
                <w:bCs/>
                <w:kern w:val="0"/>
                <w:szCs w:val="21"/>
              </w:rPr>
              <w:t>3分</w:t>
            </w:r>
          </w:p>
        </w:tc>
        <w:tc>
          <w:tcPr>
            <w:tcW w:w="6521" w:type="dxa"/>
            <w:tcBorders>
              <w:tl2br w:val="nil"/>
              <w:tr2bl w:val="nil"/>
            </w:tcBorders>
            <w:vAlign w:val="center"/>
          </w:tcPr>
          <w:p w14:paraId="1847543C">
            <w:pPr>
              <w:widowControl/>
              <w:adjustRightInd/>
              <w:jc w:val="left"/>
              <w:rPr>
                <w:rFonts w:ascii="宋体" w:hAnsi="宋体" w:cs="仿宋"/>
                <w:bCs/>
                <w:kern w:val="0"/>
                <w:szCs w:val="21"/>
              </w:rPr>
            </w:pPr>
            <w:r>
              <w:rPr>
                <w:rFonts w:hint="eastAsia" w:ascii="宋体" w:hAnsi="宋体" w:cs="仿宋"/>
                <w:bCs/>
                <w:kern w:val="0"/>
                <w:szCs w:val="21"/>
              </w:rPr>
              <w:t>投标人自2021年1月1日以来，从事造价审查服务时未受到行政处罚或者行业主管部门、财政部门、审计等部门通报批评及以上处理的，得3分；有此情形的，每出现一次扣1分，最少为0分。</w:t>
            </w:r>
          </w:p>
          <w:p w14:paraId="43F59613">
            <w:pPr>
              <w:widowControl/>
              <w:adjustRightInd/>
              <w:jc w:val="left"/>
              <w:rPr>
                <w:rFonts w:ascii="宋体" w:hAnsi="宋体" w:cs="仿宋"/>
                <w:b/>
                <w:kern w:val="0"/>
                <w:szCs w:val="21"/>
              </w:rPr>
            </w:pPr>
            <w:r>
              <w:rPr>
                <w:rFonts w:hint="eastAsia" w:ascii="宋体" w:hAnsi="宋体" w:cs="仿宋"/>
                <w:b/>
                <w:kern w:val="0"/>
                <w:szCs w:val="21"/>
              </w:rPr>
              <w:t>（以投标人提供的书面承诺为准，承诺书应是原件并加盖公章，未提供不得分）</w:t>
            </w:r>
          </w:p>
        </w:tc>
        <w:tc>
          <w:tcPr>
            <w:tcW w:w="708" w:type="dxa"/>
            <w:tcBorders>
              <w:tl2br w:val="nil"/>
              <w:tr2bl w:val="nil"/>
            </w:tcBorders>
            <w:vAlign w:val="center"/>
          </w:tcPr>
          <w:p w14:paraId="18BD1BF0">
            <w:pPr>
              <w:widowControl/>
              <w:adjustRightInd/>
              <w:spacing w:line="360" w:lineRule="auto"/>
              <w:jc w:val="center"/>
              <w:rPr>
                <w:rFonts w:hint="eastAsia" w:ascii="宋体" w:hAnsi="宋体" w:eastAsia="宋体" w:cs="仿宋"/>
                <w:b/>
                <w:kern w:val="0"/>
                <w:szCs w:val="21"/>
                <w:lang w:val="en-US" w:eastAsia="zh-CN"/>
              </w:rPr>
            </w:pPr>
          </w:p>
        </w:tc>
      </w:tr>
      <w:tr w14:paraId="6AA0CE6E">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657" w:type="dxa"/>
            <w:tcBorders>
              <w:tl2br w:val="nil"/>
              <w:tr2bl w:val="nil"/>
            </w:tcBorders>
            <w:vAlign w:val="center"/>
          </w:tcPr>
          <w:p w14:paraId="13B3830C">
            <w:pPr>
              <w:widowControl/>
              <w:adjustRightInd/>
              <w:spacing w:line="360" w:lineRule="auto"/>
              <w:jc w:val="center"/>
              <w:rPr>
                <w:rFonts w:ascii="宋体" w:hAnsi="宋体" w:cs="仿宋"/>
                <w:szCs w:val="21"/>
              </w:rPr>
            </w:pPr>
            <w:r>
              <w:rPr>
                <w:rFonts w:hint="eastAsia" w:ascii="宋体" w:hAnsi="宋体" w:cs="仿宋"/>
                <w:szCs w:val="21"/>
              </w:rPr>
              <w:t>2</w:t>
            </w:r>
          </w:p>
        </w:tc>
        <w:tc>
          <w:tcPr>
            <w:tcW w:w="1134" w:type="dxa"/>
            <w:tcBorders>
              <w:tl2br w:val="nil"/>
              <w:tr2bl w:val="nil"/>
            </w:tcBorders>
            <w:vAlign w:val="center"/>
          </w:tcPr>
          <w:p w14:paraId="43BFE3B3">
            <w:pPr>
              <w:jc w:val="left"/>
              <w:rPr>
                <w:rFonts w:ascii="宋体" w:hAnsi="宋体"/>
                <w:szCs w:val="21"/>
              </w:rPr>
            </w:pPr>
            <w:r>
              <w:rPr>
                <w:rFonts w:hint="eastAsia" w:ascii="宋体" w:hAnsi="宋体"/>
                <w:b/>
                <w:bCs/>
                <w:szCs w:val="21"/>
              </w:rPr>
              <w:t>企业荣誉</w:t>
            </w:r>
          </w:p>
        </w:tc>
        <w:tc>
          <w:tcPr>
            <w:tcW w:w="850" w:type="dxa"/>
            <w:tcBorders>
              <w:tl2br w:val="nil"/>
              <w:tr2bl w:val="nil"/>
            </w:tcBorders>
            <w:vAlign w:val="center"/>
          </w:tcPr>
          <w:p w14:paraId="5FFAE4E9">
            <w:pPr>
              <w:jc w:val="center"/>
              <w:rPr>
                <w:rFonts w:ascii="宋体" w:hAnsi="宋体" w:cs="宋体"/>
                <w:szCs w:val="21"/>
                <w:shd w:val="clear" w:color="auto" w:fill="FFFFFF"/>
              </w:rPr>
            </w:pPr>
            <w:r>
              <w:rPr>
                <w:rFonts w:hint="eastAsia" w:ascii="宋体" w:hAnsi="宋体" w:cs="宋体"/>
                <w:szCs w:val="21"/>
                <w:shd w:val="clear" w:color="auto" w:fill="FFFFFF"/>
              </w:rPr>
              <w:t>6分</w:t>
            </w:r>
          </w:p>
        </w:tc>
        <w:tc>
          <w:tcPr>
            <w:tcW w:w="6521" w:type="dxa"/>
            <w:tcBorders>
              <w:tl2br w:val="nil"/>
              <w:tr2bl w:val="nil"/>
            </w:tcBorders>
            <w:vAlign w:val="center"/>
          </w:tcPr>
          <w:p w14:paraId="7C0DE807">
            <w:pPr>
              <w:rPr>
                <w:rFonts w:ascii="宋体" w:hAnsi="宋体" w:cs="宋体"/>
                <w:szCs w:val="21"/>
                <w:shd w:val="clear" w:color="auto" w:fill="FFFFFF"/>
              </w:rPr>
            </w:pPr>
            <w:r>
              <w:rPr>
                <w:rFonts w:hint="eastAsia" w:ascii="宋体" w:hAnsi="宋体" w:cs="宋体"/>
                <w:szCs w:val="21"/>
                <w:shd w:val="clear" w:color="auto" w:fill="FFFFFF"/>
              </w:rPr>
              <w:t>自2021年1月1日以来，获得地级市及以上行政部门（部、委、局）、造价管理站等颁发的工程造价相关的奖项或荣誉，每获得一次表彰计3分，最高得6分。</w:t>
            </w:r>
          </w:p>
          <w:p w14:paraId="3F2945CB">
            <w:pPr>
              <w:rPr>
                <w:rFonts w:ascii="宋体" w:hAnsi="宋体"/>
                <w:b/>
                <w:bCs/>
                <w:szCs w:val="21"/>
              </w:rPr>
            </w:pPr>
            <w:r>
              <w:rPr>
                <w:rFonts w:hint="eastAsia" w:ascii="宋体" w:hAnsi="宋体" w:cs="宋体"/>
                <w:b/>
                <w:bCs/>
                <w:szCs w:val="21"/>
                <w:shd w:val="clear" w:color="auto" w:fill="FFFFFF"/>
              </w:rPr>
              <w:t>（注：提供证书复印件并加盖公章，未提供不得分。）</w:t>
            </w:r>
          </w:p>
        </w:tc>
        <w:tc>
          <w:tcPr>
            <w:tcW w:w="708" w:type="dxa"/>
            <w:tcBorders>
              <w:tl2br w:val="nil"/>
              <w:tr2bl w:val="nil"/>
            </w:tcBorders>
            <w:vAlign w:val="center"/>
          </w:tcPr>
          <w:p w14:paraId="6DEEA1BE">
            <w:pPr>
              <w:adjustRightInd/>
              <w:spacing w:line="360" w:lineRule="auto"/>
              <w:jc w:val="center"/>
              <w:outlineLvl w:val="0"/>
              <w:rPr>
                <w:rFonts w:ascii="宋体" w:hAnsi="宋体" w:cs="仿宋"/>
                <w:szCs w:val="21"/>
              </w:rPr>
            </w:pPr>
          </w:p>
        </w:tc>
      </w:tr>
      <w:tr w14:paraId="5019BD31">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35" w:hRule="atLeast"/>
        </w:trPr>
        <w:tc>
          <w:tcPr>
            <w:tcW w:w="657" w:type="dxa"/>
            <w:tcBorders>
              <w:tl2br w:val="nil"/>
              <w:tr2bl w:val="nil"/>
            </w:tcBorders>
            <w:vAlign w:val="center"/>
          </w:tcPr>
          <w:p w14:paraId="66731050">
            <w:pPr>
              <w:widowControl/>
              <w:adjustRightInd/>
              <w:spacing w:line="360" w:lineRule="auto"/>
              <w:jc w:val="center"/>
              <w:rPr>
                <w:rFonts w:ascii="宋体" w:hAnsi="宋体" w:cs="仿宋"/>
                <w:bCs/>
                <w:kern w:val="0"/>
                <w:szCs w:val="21"/>
              </w:rPr>
            </w:pPr>
            <w:r>
              <w:rPr>
                <w:rFonts w:hint="eastAsia" w:ascii="宋体" w:hAnsi="宋体" w:cs="仿宋"/>
                <w:bCs/>
                <w:kern w:val="0"/>
                <w:szCs w:val="21"/>
              </w:rPr>
              <w:t>3</w:t>
            </w:r>
          </w:p>
        </w:tc>
        <w:tc>
          <w:tcPr>
            <w:tcW w:w="1134" w:type="dxa"/>
            <w:tcBorders>
              <w:tl2br w:val="nil"/>
              <w:tr2bl w:val="nil"/>
            </w:tcBorders>
            <w:vAlign w:val="center"/>
          </w:tcPr>
          <w:p w14:paraId="2CC0514E">
            <w:pPr>
              <w:rPr>
                <w:rFonts w:ascii="宋体" w:hAnsi="宋体"/>
                <w:b/>
                <w:bCs/>
                <w:szCs w:val="21"/>
              </w:rPr>
            </w:pPr>
            <w:r>
              <w:rPr>
                <w:rFonts w:hint="eastAsia" w:ascii="宋体" w:hAnsi="宋体"/>
                <w:b/>
                <w:bCs/>
                <w:szCs w:val="21"/>
              </w:rPr>
              <w:t>服务响应能力</w:t>
            </w:r>
          </w:p>
        </w:tc>
        <w:tc>
          <w:tcPr>
            <w:tcW w:w="850" w:type="dxa"/>
            <w:tcBorders>
              <w:tl2br w:val="nil"/>
              <w:tr2bl w:val="nil"/>
            </w:tcBorders>
            <w:vAlign w:val="center"/>
          </w:tcPr>
          <w:p w14:paraId="5A441FB1">
            <w:pPr>
              <w:rPr>
                <w:rFonts w:ascii="宋体" w:hAnsi="宋体" w:cs="宋体"/>
                <w:szCs w:val="21"/>
              </w:rPr>
            </w:pPr>
            <w:r>
              <w:rPr>
                <w:rFonts w:hint="eastAsia" w:ascii="宋体" w:hAnsi="宋体" w:cs="宋体"/>
                <w:szCs w:val="21"/>
              </w:rPr>
              <w:t>10分</w:t>
            </w:r>
          </w:p>
        </w:tc>
        <w:tc>
          <w:tcPr>
            <w:tcW w:w="6521" w:type="dxa"/>
            <w:tcBorders>
              <w:tl2br w:val="nil"/>
              <w:tr2bl w:val="nil"/>
            </w:tcBorders>
            <w:vAlign w:val="center"/>
          </w:tcPr>
          <w:p w14:paraId="3AB0FC19">
            <w:pPr>
              <w:rPr>
                <w:rFonts w:ascii="宋体" w:hAnsi="宋体" w:cs="宋体"/>
                <w:szCs w:val="21"/>
              </w:rPr>
            </w:pPr>
            <w:r>
              <w:rPr>
                <w:rFonts w:hint="eastAsia" w:ascii="宋体" w:hAnsi="宋体" w:cs="宋体"/>
                <w:szCs w:val="21"/>
              </w:rPr>
              <w:t>1.供应商承诺对于分配的项目及时响应，并予以优先安排</w:t>
            </w:r>
          </w:p>
          <w:p w14:paraId="4F3D6EEA">
            <w:pPr>
              <w:rPr>
                <w:rFonts w:ascii="宋体" w:hAnsi="宋体" w:cs="宋体"/>
                <w:szCs w:val="21"/>
              </w:rPr>
            </w:pPr>
            <w:r>
              <w:rPr>
                <w:rFonts w:hint="eastAsia" w:ascii="宋体" w:hAnsi="宋体" w:cs="宋体"/>
                <w:szCs w:val="21"/>
              </w:rPr>
              <w:t>服务响应时间小于等于2小时的得8分，</w:t>
            </w:r>
          </w:p>
          <w:p w14:paraId="54748B7A">
            <w:pPr>
              <w:rPr>
                <w:rFonts w:ascii="宋体" w:hAnsi="宋体" w:cs="宋体"/>
                <w:szCs w:val="21"/>
              </w:rPr>
            </w:pPr>
            <w:r>
              <w:rPr>
                <w:rFonts w:hint="eastAsia" w:ascii="宋体" w:hAnsi="宋体" w:cs="宋体"/>
                <w:szCs w:val="21"/>
              </w:rPr>
              <w:t>服务响应时间在2~ 2.5小时内的得4分（含2.5小时），</w:t>
            </w:r>
          </w:p>
          <w:p w14:paraId="33859C34">
            <w:pPr>
              <w:rPr>
                <w:rFonts w:ascii="宋体" w:hAnsi="宋体" w:cs="宋体"/>
                <w:szCs w:val="21"/>
              </w:rPr>
            </w:pPr>
            <w:r>
              <w:rPr>
                <w:rFonts w:hint="eastAsia" w:ascii="宋体" w:hAnsi="宋体" w:cs="宋体"/>
                <w:szCs w:val="21"/>
              </w:rPr>
              <w:t>服务响应时间在2.5~ 3小时内的得2分（含3小时），</w:t>
            </w:r>
          </w:p>
          <w:p w14:paraId="2190B8B5">
            <w:pPr>
              <w:rPr>
                <w:rFonts w:ascii="宋体" w:hAnsi="宋体" w:cs="宋体"/>
                <w:szCs w:val="21"/>
              </w:rPr>
            </w:pPr>
            <w:r>
              <w:rPr>
                <w:rFonts w:hint="eastAsia" w:ascii="宋体" w:hAnsi="宋体" w:cs="宋体"/>
                <w:szCs w:val="21"/>
              </w:rPr>
              <w:t>服务响应时间超过3小时的不得分。</w:t>
            </w:r>
          </w:p>
          <w:p w14:paraId="3A2AE574">
            <w:pPr>
              <w:widowControl/>
              <w:jc w:val="left"/>
              <w:textAlignment w:val="center"/>
              <w:rPr>
                <w:rFonts w:ascii="宋体" w:hAnsi="宋体" w:cs="宋体"/>
                <w:kern w:val="0"/>
                <w:szCs w:val="21"/>
              </w:rPr>
            </w:pPr>
            <w:r>
              <w:rPr>
                <w:rFonts w:hint="eastAsia" w:ascii="宋体" w:hAnsi="宋体" w:cs="宋体"/>
                <w:kern w:val="0"/>
                <w:szCs w:val="21"/>
              </w:rPr>
              <w:t>证明材料以下四种之一为准：</w:t>
            </w:r>
          </w:p>
          <w:p w14:paraId="09D623A0">
            <w:pPr>
              <w:widowControl/>
              <w:jc w:val="left"/>
              <w:textAlignment w:val="center"/>
              <w:rPr>
                <w:rFonts w:ascii="宋体" w:hAnsi="宋体" w:cs="宋体"/>
                <w:b/>
                <w:bCs/>
                <w:szCs w:val="21"/>
                <w:highlight w:val="none"/>
              </w:rPr>
            </w:pPr>
            <w:r>
              <w:rPr>
                <w:rFonts w:ascii="宋体" w:hAnsi="宋体" w:cs="宋体"/>
                <w:kern w:val="0"/>
                <w:szCs w:val="21"/>
              </w:rPr>
              <w:fldChar w:fldCharType="begin"/>
            </w:r>
            <w:r>
              <w:rPr>
                <w:rFonts w:hint="eastAsia" w:ascii="宋体" w:hAnsi="宋体" w:cs="宋体"/>
                <w:kern w:val="0"/>
                <w:szCs w:val="21"/>
              </w:rPr>
              <w:instrText xml:space="preserve">= 1 \* GB3</w:instrText>
            </w:r>
            <w:r>
              <w:rPr>
                <w:rFonts w:ascii="宋体" w:hAnsi="宋体" w:cs="宋体"/>
                <w:kern w:val="0"/>
                <w:szCs w:val="21"/>
              </w:rPr>
              <w:fldChar w:fldCharType="separate"/>
            </w:r>
            <w:r>
              <w:rPr>
                <w:rFonts w:hint="eastAsia" w:ascii="宋体" w:hAnsi="宋体" w:cs="宋体"/>
                <w:kern w:val="0"/>
                <w:szCs w:val="21"/>
              </w:rPr>
              <w:t>①</w:t>
            </w:r>
            <w:r>
              <w:rPr>
                <w:rFonts w:ascii="宋体" w:hAnsi="宋体" w:cs="宋体"/>
                <w:kern w:val="0"/>
                <w:szCs w:val="21"/>
              </w:rPr>
              <w:fldChar w:fldCharType="end"/>
            </w:r>
            <w:r>
              <w:rPr>
                <w:rFonts w:hint="eastAsia" w:ascii="宋体" w:hAnsi="宋体" w:cs="宋体"/>
                <w:kern w:val="0"/>
                <w:szCs w:val="21"/>
              </w:rPr>
              <w:t>提供总公司营业执照及百度地图等导航软件工作日九点至十七点之间的导航时间</w:t>
            </w:r>
            <w:r>
              <w:rPr>
                <w:rFonts w:hint="eastAsia" w:ascii="宋体" w:hAnsi="宋体" w:cs="宋体"/>
                <w:kern w:val="0"/>
                <w:szCs w:val="21"/>
                <w:highlight w:val="none"/>
              </w:rPr>
              <w:t>截图，导航起止地点为营业执照所在地和</w:t>
            </w:r>
            <w:r>
              <w:rPr>
                <w:rFonts w:hint="eastAsia" w:ascii="宋体" w:hAnsi="宋体" w:cs="宋体"/>
                <w:b/>
                <w:bCs/>
                <w:kern w:val="0"/>
                <w:szCs w:val="21"/>
                <w:highlight w:val="none"/>
              </w:rPr>
              <w:t>岱山县政府投资项目审价中心（舟山市岱山县高亭镇鱼山大道671号）</w:t>
            </w:r>
          </w:p>
          <w:p w14:paraId="66099330">
            <w:pPr>
              <w:widowControl/>
              <w:jc w:val="left"/>
              <w:textAlignment w:val="center"/>
              <w:rPr>
                <w:rFonts w:ascii="宋体" w:hAnsi="宋体" w:cs="宋体"/>
                <w:b/>
                <w:bCs/>
                <w:kern w:val="0"/>
                <w:szCs w:val="21"/>
                <w:highlight w:val="none"/>
              </w:rPr>
            </w:pPr>
            <w:r>
              <w:rPr>
                <w:rFonts w:hint="eastAsia" w:ascii="宋体" w:hAnsi="宋体" w:cs="宋体"/>
                <w:kern w:val="0"/>
                <w:szCs w:val="21"/>
                <w:highlight w:val="none"/>
              </w:rPr>
              <w:t>②分公司营业执照</w:t>
            </w:r>
            <w:r>
              <w:rPr>
                <w:rFonts w:hint="eastAsia" w:ascii="宋体" w:hAnsi="宋体" w:cs="宋体"/>
                <w:b/>
                <w:bCs/>
                <w:kern w:val="0"/>
                <w:szCs w:val="21"/>
                <w:highlight w:val="none"/>
              </w:rPr>
              <w:t>（成立时间早于开标截止时间）</w:t>
            </w:r>
            <w:r>
              <w:rPr>
                <w:rFonts w:hint="eastAsia" w:ascii="宋体" w:hAnsi="宋体" w:cs="宋体"/>
                <w:kern w:val="0"/>
                <w:szCs w:val="21"/>
                <w:highlight w:val="none"/>
              </w:rPr>
              <w:t>及百度地图等导航软件工作日九点至十七点之间的导航时间截图，导航起止地点为营业执照所在地和</w:t>
            </w:r>
            <w:r>
              <w:rPr>
                <w:rFonts w:hint="eastAsia" w:ascii="宋体" w:hAnsi="宋体" w:cs="宋体"/>
                <w:b/>
                <w:bCs/>
                <w:kern w:val="0"/>
                <w:szCs w:val="21"/>
                <w:highlight w:val="none"/>
              </w:rPr>
              <w:t>岱山县政府投资项目审价中心（舟山市岱山县高亭镇鱼山大道671号）</w:t>
            </w:r>
          </w:p>
          <w:p w14:paraId="32A4CEA3">
            <w:pPr>
              <w:widowControl/>
              <w:jc w:val="left"/>
              <w:textAlignment w:val="center"/>
              <w:rPr>
                <w:rFonts w:ascii="宋体" w:hAnsi="宋体" w:cs="宋体"/>
                <w:b/>
                <w:bCs/>
                <w:szCs w:val="21"/>
                <w:highlight w:val="none"/>
              </w:rPr>
            </w:pPr>
            <w:r>
              <w:rPr>
                <w:rFonts w:hint="eastAsia" w:ascii="宋体" w:hAnsi="宋体" w:cs="宋体"/>
                <w:kern w:val="0"/>
                <w:szCs w:val="21"/>
                <w:highlight w:val="none"/>
              </w:rPr>
              <w:t>③租赁合同、房产证、百度地图等导航软件工作日九点至十七点之间的导航时间截图，导航起止地点为租赁合同、房产证所在地和</w:t>
            </w:r>
            <w:r>
              <w:rPr>
                <w:rFonts w:hint="eastAsia" w:ascii="宋体" w:hAnsi="宋体" w:cs="宋体"/>
                <w:b/>
                <w:bCs/>
                <w:kern w:val="0"/>
                <w:szCs w:val="21"/>
                <w:highlight w:val="none"/>
              </w:rPr>
              <w:t>岱山县政府投资项目审价中心（舟山市岱山县高亭镇鱼山大道671号）</w:t>
            </w:r>
          </w:p>
          <w:p w14:paraId="74D9ACB9">
            <w:pPr>
              <w:widowControl/>
              <w:jc w:val="left"/>
              <w:textAlignment w:val="center"/>
              <w:rPr>
                <w:rFonts w:ascii="宋体" w:hAnsi="宋体" w:cs="宋体"/>
                <w:kern w:val="0"/>
                <w:szCs w:val="21"/>
                <w:highlight w:val="none"/>
              </w:rPr>
            </w:pPr>
            <w:r>
              <w:rPr>
                <w:rFonts w:hint="eastAsia" w:ascii="宋体" w:hAnsi="宋体" w:cs="宋体"/>
                <w:kern w:val="0"/>
                <w:szCs w:val="21"/>
                <w:highlight w:val="none"/>
              </w:rPr>
              <w:t>及</w:t>
            </w:r>
            <w:r>
              <w:rPr>
                <w:rFonts w:hint="eastAsia" w:ascii="宋体" w:hAnsi="宋体" w:cs="宋体"/>
                <w:b/>
                <w:bCs/>
                <w:kern w:val="0"/>
                <w:szCs w:val="21"/>
                <w:highlight w:val="none"/>
              </w:rPr>
              <w:t>开标截止时间前</w:t>
            </w:r>
            <w:r>
              <w:rPr>
                <w:rFonts w:hint="eastAsia" w:ascii="宋体" w:hAnsi="宋体" w:cs="宋体"/>
                <w:kern w:val="0"/>
                <w:szCs w:val="21"/>
                <w:highlight w:val="none"/>
              </w:rPr>
              <w:t>已缴纳房租的打款凭证。</w:t>
            </w:r>
          </w:p>
          <w:p w14:paraId="0C2C0BEF">
            <w:pPr>
              <w:autoSpaceDE w:val="0"/>
              <w:autoSpaceDN w:val="0"/>
              <w:rPr>
                <w:rFonts w:ascii="宋体" w:hAnsi="宋体" w:cs="宋体"/>
                <w:b/>
                <w:bCs/>
                <w:kern w:val="0"/>
                <w:szCs w:val="21"/>
              </w:rPr>
            </w:pPr>
            <w:r>
              <w:rPr>
                <w:rFonts w:hint="eastAsia" w:ascii="宋体" w:hAnsi="宋体" w:cs="宋体"/>
                <w:b/>
                <w:bCs/>
                <w:kern w:val="0"/>
                <w:szCs w:val="21"/>
                <w:highlight w:val="none"/>
              </w:rPr>
              <w:t>④或先承诺，入围公告期限届满之日内（10个工作日内）提供相关证明材料，如无法提供，视为放弃入围（成交）资格，并承担相关</w:t>
            </w:r>
            <w:r>
              <w:rPr>
                <w:rFonts w:hint="eastAsia" w:ascii="宋体" w:hAnsi="宋体" w:cs="宋体"/>
                <w:b/>
                <w:bCs/>
                <w:kern w:val="0"/>
                <w:szCs w:val="21"/>
              </w:rPr>
              <w:t>责任。</w:t>
            </w:r>
          </w:p>
          <w:p w14:paraId="589CE5B7">
            <w:pPr>
              <w:rPr>
                <w:rFonts w:ascii="宋体" w:hAnsi="宋体"/>
                <w:szCs w:val="21"/>
              </w:rPr>
            </w:pPr>
            <w:r>
              <w:rPr>
                <w:rFonts w:hint="eastAsia" w:ascii="宋体" w:hAnsi="宋体" w:cs="宋体"/>
                <w:szCs w:val="21"/>
              </w:rPr>
              <w:t>2.供应商承诺，在满足采购需求的基础上，能应征集人要求，前往岱山县范围内进行审核、踏勘、对账的，得2分；否则不得分。</w:t>
            </w:r>
          </w:p>
        </w:tc>
        <w:tc>
          <w:tcPr>
            <w:tcW w:w="708" w:type="dxa"/>
            <w:tcBorders>
              <w:tl2br w:val="nil"/>
              <w:tr2bl w:val="nil"/>
            </w:tcBorders>
            <w:vAlign w:val="center"/>
          </w:tcPr>
          <w:p w14:paraId="4393B9E5">
            <w:pPr>
              <w:adjustRightInd/>
              <w:spacing w:line="360" w:lineRule="auto"/>
              <w:jc w:val="center"/>
              <w:outlineLvl w:val="0"/>
              <w:rPr>
                <w:rFonts w:ascii="宋体" w:hAnsi="宋体" w:cs="仿宋"/>
                <w:szCs w:val="21"/>
              </w:rPr>
            </w:pPr>
          </w:p>
        </w:tc>
      </w:tr>
      <w:tr w14:paraId="60C17F63">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657" w:type="dxa"/>
            <w:tcBorders>
              <w:tl2br w:val="nil"/>
              <w:tr2bl w:val="nil"/>
            </w:tcBorders>
            <w:vAlign w:val="center"/>
          </w:tcPr>
          <w:p w14:paraId="73AF0F11">
            <w:pPr>
              <w:widowControl/>
              <w:adjustRightInd/>
              <w:spacing w:line="360" w:lineRule="auto"/>
              <w:jc w:val="center"/>
              <w:rPr>
                <w:rFonts w:ascii="宋体" w:hAnsi="宋体" w:cs="仿宋"/>
                <w:bCs/>
                <w:kern w:val="0"/>
                <w:szCs w:val="21"/>
              </w:rPr>
            </w:pPr>
            <w:r>
              <w:rPr>
                <w:rFonts w:hint="eastAsia" w:ascii="宋体" w:hAnsi="宋体" w:cs="仿宋"/>
                <w:bCs/>
                <w:kern w:val="0"/>
                <w:szCs w:val="21"/>
              </w:rPr>
              <w:t>4</w:t>
            </w:r>
          </w:p>
        </w:tc>
        <w:tc>
          <w:tcPr>
            <w:tcW w:w="1134" w:type="dxa"/>
            <w:tcBorders>
              <w:tl2br w:val="nil"/>
              <w:tr2bl w:val="nil"/>
            </w:tcBorders>
            <w:vAlign w:val="center"/>
          </w:tcPr>
          <w:p w14:paraId="3C7DCB4A">
            <w:pPr>
              <w:adjustRightInd/>
              <w:jc w:val="center"/>
              <w:outlineLvl w:val="0"/>
              <w:rPr>
                <w:rFonts w:ascii="宋体" w:hAnsi="宋体" w:cs="仿宋"/>
                <w:kern w:val="0"/>
                <w:szCs w:val="21"/>
              </w:rPr>
            </w:pPr>
            <w:r>
              <w:rPr>
                <w:rFonts w:hint="eastAsia" w:ascii="宋体" w:hAnsi="宋体" w:cs="仿宋"/>
                <w:b/>
                <w:bCs/>
                <w:kern w:val="0"/>
                <w:szCs w:val="21"/>
              </w:rPr>
              <w:t>投标审核误差率</w:t>
            </w:r>
          </w:p>
        </w:tc>
        <w:tc>
          <w:tcPr>
            <w:tcW w:w="850" w:type="dxa"/>
            <w:tcBorders>
              <w:tl2br w:val="nil"/>
              <w:tr2bl w:val="nil"/>
            </w:tcBorders>
            <w:vAlign w:val="center"/>
          </w:tcPr>
          <w:p w14:paraId="02DEC502">
            <w:pPr>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12分</w:t>
            </w:r>
          </w:p>
        </w:tc>
        <w:tc>
          <w:tcPr>
            <w:tcW w:w="6521" w:type="dxa"/>
            <w:tcBorders>
              <w:tl2br w:val="nil"/>
              <w:tr2bl w:val="nil"/>
            </w:tcBorders>
            <w:vAlign w:val="center"/>
          </w:tcPr>
          <w:p w14:paraId="2B14D21D">
            <w:pPr>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供应商的概算投标审核误差率应在3%以内，预算（含招标控制价及变更）应在2%以内。</w:t>
            </w:r>
          </w:p>
          <w:p w14:paraId="042FE3C8">
            <w:pPr>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概算投标审核误差率为0%-1%（含）的得6分，误差率为1%-2%（含）的得4分，误差率为2%-3%（含）的得2分，3%以上的不得分。</w:t>
            </w:r>
          </w:p>
          <w:p w14:paraId="42417ECC">
            <w:pPr>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预算（招标控制价）投标审核误差率为0%-0.5%（含）的得6分，误差率为0.5%-1%（含）的得4分，误差率为1%-1.5%（含）的得2分，误差率为1.5%-2%（含）的得1分，2%以上的不得分。</w:t>
            </w:r>
          </w:p>
          <w:p w14:paraId="407ABBF5">
            <w:pPr>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按供应商所投概算、预算（含招标控制价）审核得分之和计算该项得分。</w:t>
            </w:r>
          </w:p>
          <w:p w14:paraId="775A1DD3">
            <w:pPr>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投标审核误差率不符合要求的不得分。</w:t>
            </w:r>
          </w:p>
          <w:p w14:paraId="59D313F3">
            <w:pPr>
              <w:rPr>
                <w:rFonts w:cs="仿宋" w:asciiTheme="minorEastAsia" w:hAnsiTheme="minorEastAsia" w:eastAsiaTheme="minorEastAsia"/>
                <w:color w:val="auto"/>
                <w:szCs w:val="21"/>
              </w:rPr>
            </w:pPr>
            <w:r>
              <w:rPr>
                <w:rFonts w:hint="eastAsia" w:cs="仿宋" w:asciiTheme="minorEastAsia" w:hAnsiTheme="minorEastAsia" w:eastAsiaTheme="minorEastAsia"/>
                <w:b/>
                <w:bCs/>
                <w:color w:val="auto"/>
                <w:szCs w:val="21"/>
              </w:rPr>
              <w:t>投标审核误差率为确定值（精确至小数点后一位）。</w:t>
            </w:r>
          </w:p>
        </w:tc>
        <w:tc>
          <w:tcPr>
            <w:tcW w:w="708" w:type="dxa"/>
            <w:tcBorders>
              <w:tl2br w:val="nil"/>
              <w:tr2bl w:val="nil"/>
            </w:tcBorders>
            <w:vAlign w:val="center"/>
          </w:tcPr>
          <w:p w14:paraId="5D91992F">
            <w:pPr>
              <w:adjustRightInd/>
              <w:spacing w:line="360" w:lineRule="auto"/>
              <w:jc w:val="center"/>
              <w:outlineLvl w:val="0"/>
              <w:rPr>
                <w:rFonts w:ascii="宋体" w:hAnsi="宋体" w:cs="仿宋"/>
                <w:szCs w:val="21"/>
              </w:rPr>
            </w:pPr>
          </w:p>
        </w:tc>
      </w:tr>
      <w:tr w14:paraId="40403DB8">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657" w:type="dxa"/>
            <w:tcBorders>
              <w:tl2br w:val="nil"/>
              <w:tr2bl w:val="nil"/>
            </w:tcBorders>
            <w:vAlign w:val="center"/>
          </w:tcPr>
          <w:p w14:paraId="34A459C2">
            <w:pPr>
              <w:widowControl/>
              <w:adjustRightInd/>
              <w:spacing w:line="360" w:lineRule="auto"/>
              <w:jc w:val="center"/>
              <w:rPr>
                <w:rFonts w:ascii="宋体" w:hAnsi="宋体" w:cs="仿宋"/>
                <w:bCs/>
                <w:kern w:val="0"/>
                <w:szCs w:val="21"/>
              </w:rPr>
            </w:pPr>
            <w:r>
              <w:rPr>
                <w:rFonts w:hint="eastAsia" w:ascii="宋体" w:hAnsi="宋体" w:cs="仿宋"/>
                <w:bCs/>
                <w:kern w:val="0"/>
                <w:szCs w:val="21"/>
              </w:rPr>
              <w:t>5</w:t>
            </w:r>
          </w:p>
        </w:tc>
        <w:tc>
          <w:tcPr>
            <w:tcW w:w="1134" w:type="dxa"/>
            <w:tcBorders>
              <w:tl2br w:val="nil"/>
              <w:tr2bl w:val="nil"/>
            </w:tcBorders>
            <w:vAlign w:val="center"/>
          </w:tcPr>
          <w:p w14:paraId="4E7FE3F9">
            <w:pPr>
              <w:adjustRightInd/>
              <w:jc w:val="center"/>
              <w:outlineLvl w:val="0"/>
              <w:rPr>
                <w:rFonts w:ascii="宋体" w:hAnsi="宋体" w:cs="仿宋"/>
                <w:kern w:val="0"/>
                <w:szCs w:val="21"/>
              </w:rPr>
            </w:pPr>
            <w:r>
              <w:rPr>
                <w:rFonts w:hint="eastAsia" w:ascii="宋体" w:hAnsi="宋体" w:cs="宋体"/>
                <w:b/>
                <w:bCs/>
                <w:kern w:val="0"/>
                <w:szCs w:val="21"/>
              </w:rPr>
              <w:t>人员从业经验</w:t>
            </w:r>
          </w:p>
        </w:tc>
        <w:tc>
          <w:tcPr>
            <w:tcW w:w="850" w:type="dxa"/>
            <w:tcBorders>
              <w:tl2br w:val="nil"/>
              <w:tr2bl w:val="nil"/>
            </w:tcBorders>
            <w:vAlign w:val="center"/>
          </w:tcPr>
          <w:p w14:paraId="242B9476">
            <w:pPr>
              <w:widowControl/>
              <w:jc w:val="center"/>
              <w:textAlignment w:val="top"/>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11分</w:t>
            </w:r>
          </w:p>
        </w:tc>
        <w:tc>
          <w:tcPr>
            <w:tcW w:w="6521" w:type="dxa"/>
            <w:tcBorders>
              <w:tl2br w:val="nil"/>
              <w:tr2bl w:val="nil"/>
            </w:tcBorders>
            <w:vAlign w:val="center"/>
          </w:tcPr>
          <w:p w14:paraId="58DEB0A3">
            <w:pPr>
              <w:widowControl/>
              <w:jc w:val="left"/>
              <w:textAlignment w:val="top"/>
              <w:rPr>
                <w:rFonts w:cs="宋体" w:asciiTheme="minorEastAsia" w:hAnsiTheme="minorEastAsia" w:eastAsiaTheme="minorEastAsia"/>
                <w:color w:val="auto"/>
                <w:kern w:val="0"/>
                <w:szCs w:val="21"/>
              </w:rPr>
            </w:pPr>
            <w:r>
              <w:rPr>
                <w:rFonts w:cs="宋体" w:asciiTheme="minorEastAsia" w:hAnsiTheme="minorEastAsia" w:eastAsiaTheme="minorEastAsia"/>
                <w:color w:val="auto"/>
                <w:kern w:val="0"/>
                <w:szCs w:val="21"/>
              </w:rPr>
              <w:t>2021年1月1日以来</w:t>
            </w:r>
            <w:r>
              <w:rPr>
                <w:rFonts w:hint="eastAsia" w:cs="宋体" w:asciiTheme="minorEastAsia" w:hAnsiTheme="minorEastAsia" w:eastAsiaTheme="minorEastAsia"/>
                <w:color w:val="auto"/>
                <w:szCs w:val="21"/>
                <w:shd w:val="clear" w:color="auto" w:fill="FFFFFF"/>
              </w:rPr>
              <w:t>（以正式审核报告日期为准）</w:t>
            </w:r>
            <w:r>
              <w:rPr>
                <w:rFonts w:hint="eastAsia" w:cs="宋体" w:asciiTheme="minorEastAsia" w:hAnsiTheme="minorEastAsia" w:eastAsiaTheme="minorEastAsia"/>
                <w:color w:val="auto"/>
                <w:kern w:val="0"/>
                <w:szCs w:val="21"/>
              </w:rPr>
              <w:t>，拟派团队负责人或团队技术负责人或团队成员完成过政府及国企投资项目20个（含）以上业绩的得11分；完成过政府及国企投资项目11个（含）以上业绩的得7分；完成过政府及国企投资项目7个（含）以上业绩的得3分；其余不得分。</w:t>
            </w:r>
          </w:p>
          <w:p w14:paraId="4F990295">
            <w:pPr>
              <w:rPr>
                <w:rFonts w:asciiTheme="minorEastAsia" w:hAnsiTheme="minorEastAsia" w:eastAsiaTheme="minorEastAsia"/>
                <w:color w:val="auto"/>
                <w:szCs w:val="21"/>
              </w:rPr>
            </w:pPr>
            <w:r>
              <w:rPr>
                <w:rFonts w:hint="eastAsia" w:cs="宋体" w:asciiTheme="minorEastAsia" w:hAnsiTheme="minorEastAsia" w:eastAsiaTheme="minorEastAsia"/>
                <w:b/>
                <w:bCs/>
                <w:color w:val="auto"/>
                <w:kern w:val="0"/>
                <w:szCs w:val="21"/>
              </w:rPr>
              <w:t>（注：1.拟派团队负责人、团队技术负责人、团队成员须为本单位在职人员，否则本项不得分；2</w:t>
            </w:r>
            <w:r>
              <w:rPr>
                <w:rFonts w:hint="eastAsia" w:cs="宋体" w:asciiTheme="minorEastAsia" w:hAnsiTheme="minorEastAsia" w:eastAsiaTheme="minorEastAsia"/>
                <w:b/>
                <w:bCs/>
                <w:color w:val="auto"/>
                <w:szCs w:val="21"/>
                <w:shd w:val="clear" w:color="auto" w:fill="FFFFFF"/>
              </w:rPr>
              <w:t>.</w:t>
            </w:r>
            <w:r>
              <w:rPr>
                <w:rFonts w:asciiTheme="minorEastAsia" w:hAnsiTheme="minorEastAsia" w:eastAsiaTheme="minorEastAsia"/>
                <w:b/>
                <w:bCs/>
                <w:color w:val="auto"/>
                <w:szCs w:val="21"/>
              </w:rPr>
              <w:t xml:space="preserve"> 须提供以上拟派团队人员业绩材料（业绩须为本单位业绩），已完成项目的委托造价咨询服务合同（协议）、项目委托书、委托单位公章证明的项目清单汇总表（以上任选一项），并应提供项目已完成证明资料，如盖有公章的审定结论文件或委托单位出具的项目已完成证明等。同一项目不得重复计分。）</w:t>
            </w:r>
          </w:p>
        </w:tc>
        <w:tc>
          <w:tcPr>
            <w:tcW w:w="708" w:type="dxa"/>
            <w:tcBorders>
              <w:tl2br w:val="nil"/>
              <w:tr2bl w:val="nil"/>
            </w:tcBorders>
            <w:vAlign w:val="center"/>
          </w:tcPr>
          <w:p w14:paraId="7A25E5D7">
            <w:pPr>
              <w:adjustRightInd/>
              <w:spacing w:line="360" w:lineRule="auto"/>
              <w:jc w:val="center"/>
              <w:outlineLvl w:val="0"/>
              <w:rPr>
                <w:rFonts w:ascii="宋体" w:hAnsi="宋体" w:cs="仿宋"/>
                <w:szCs w:val="21"/>
              </w:rPr>
            </w:pPr>
          </w:p>
        </w:tc>
      </w:tr>
      <w:tr w14:paraId="5CE71131">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4" w:hRule="atLeast"/>
        </w:trPr>
        <w:tc>
          <w:tcPr>
            <w:tcW w:w="657" w:type="dxa"/>
            <w:tcBorders>
              <w:tl2br w:val="nil"/>
              <w:tr2bl w:val="nil"/>
            </w:tcBorders>
            <w:vAlign w:val="center"/>
          </w:tcPr>
          <w:p w14:paraId="561A88F3">
            <w:pPr>
              <w:widowControl/>
              <w:adjustRightInd/>
              <w:spacing w:line="360" w:lineRule="auto"/>
              <w:jc w:val="center"/>
              <w:rPr>
                <w:rFonts w:ascii="宋体" w:hAnsi="宋体" w:cs="仿宋"/>
                <w:kern w:val="0"/>
                <w:szCs w:val="21"/>
              </w:rPr>
            </w:pPr>
            <w:r>
              <w:rPr>
                <w:rFonts w:hint="eastAsia" w:ascii="宋体" w:hAnsi="宋体" w:cs="仿宋"/>
                <w:kern w:val="0"/>
                <w:szCs w:val="21"/>
              </w:rPr>
              <w:t>6</w:t>
            </w:r>
          </w:p>
        </w:tc>
        <w:tc>
          <w:tcPr>
            <w:tcW w:w="1134" w:type="dxa"/>
            <w:tcBorders>
              <w:tl2br w:val="nil"/>
              <w:tr2bl w:val="nil"/>
            </w:tcBorders>
            <w:vAlign w:val="center"/>
          </w:tcPr>
          <w:p w14:paraId="37BD0AD2">
            <w:pPr>
              <w:widowControl/>
              <w:jc w:val="left"/>
              <w:rPr>
                <w:rFonts w:ascii="宋体" w:hAnsi="宋体" w:cs="仿宋"/>
                <w:kern w:val="0"/>
                <w:szCs w:val="21"/>
              </w:rPr>
            </w:pPr>
            <w:r>
              <w:rPr>
                <w:rFonts w:hint="eastAsia" w:ascii="宋体" w:hAnsi="宋体" w:cs="宋体"/>
                <w:b/>
                <w:bCs/>
                <w:kern w:val="0"/>
                <w:szCs w:val="21"/>
              </w:rPr>
              <w:t>供应商拟派团队人员配置</w:t>
            </w:r>
          </w:p>
        </w:tc>
        <w:tc>
          <w:tcPr>
            <w:tcW w:w="850" w:type="dxa"/>
            <w:tcBorders>
              <w:tl2br w:val="nil"/>
              <w:tr2bl w:val="nil"/>
            </w:tcBorders>
            <w:vAlign w:val="center"/>
          </w:tcPr>
          <w:p w14:paraId="31CCE57A">
            <w:pPr>
              <w:keepNext/>
              <w:keepLines/>
              <w:tabs>
                <w:tab w:val="left" w:pos="432"/>
              </w:tabs>
              <w:adjustRightInd/>
              <w:jc w:val="center"/>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23分</w:t>
            </w:r>
          </w:p>
        </w:tc>
        <w:tc>
          <w:tcPr>
            <w:tcW w:w="6521" w:type="dxa"/>
            <w:tcBorders>
              <w:tl2br w:val="nil"/>
              <w:tr2bl w:val="nil"/>
            </w:tcBorders>
            <w:vAlign w:val="center"/>
          </w:tcPr>
          <w:p w14:paraId="357511B8">
            <w:pPr>
              <w:keepNext/>
              <w:keepLines/>
              <w:tabs>
                <w:tab w:val="left" w:pos="432"/>
              </w:tabs>
              <w:adjustRightInd/>
              <w:jc w:val="left"/>
              <w:outlineLvl w:val="1"/>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1.拟派团队负责人工作能力（须为本单位在职人员不得与技术负责人及项目团队成员兼任，否则本项不得分）：</w:t>
            </w:r>
          </w:p>
          <w:p w14:paraId="5CEF3BD1">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color w:val="auto"/>
                <w:szCs w:val="21"/>
              </w:rPr>
              <w:t>(1)拟派团队负责人具有工程造价咨询相关专业高级工程师职称的得2分，具有工程造价咨询相关专业中级工程师职称的得1分</w:t>
            </w:r>
            <w:r>
              <w:rPr>
                <w:rFonts w:hint="eastAsia" w:cs="仿宋" w:asciiTheme="minorEastAsia" w:hAnsiTheme="minorEastAsia" w:eastAsiaTheme="minorEastAsia"/>
                <w:b/>
                <w:bCs/>
                <w:color w:val="auto"/>
                <w:szCs w:val="21"/>
              </w:rPr>
              <w:t>（须提供该证书复印件加盖公章）；</w:t>
            </w:r>
          </w:p>
          <w:p w14:paraId="4484DFCA">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w:t>
            </w:r>
            <w:r>
              <w:rPr>
                <w:rFonts w:hint="eastAsia" w:cs="仿宋" w:asciiTheme="minorEastAsia" w:hAnsiTheme="minorEastAsia" w:eastAsiaTheme="minorEastAsia"/>
                <w:color w:val="auto"/>
                <w:szCs w:val="21"/>
              </w:rPr>
              <w:t>2)拟派团队负责人具有一级注册造价工程师职业证书的得2分，具有二级注册造价工程师职业证书的得1分</w:t>
            </w:r>
            <w:r>
              <w:rPr>
                <w:rFonts w:hint="eastAsia" w:cs="仿宋" w:asciiTheme="minorEastAsia" w:hAnsiTheme="minorEastAsia" w:eastAsiaTheme="minorEastAsia"/>
                <w:b/>
                <w:bCs/>
                <w:color w:val="auto"/>
                <w:szCs w:val="21"/>
              </w:rPr>
              <w:t>（须提供该证书复印件加盖公章）；</w:t>
            </w:r>
          </w:p>
          <w:p w14:paraId="7BF42AB8">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color w:val="auto"/>
                <w:szCs w:val="21"/>
              </w:rPr>
              <w:t>(3)拟派团队负责人具有10年及以上造价从业经验的得2分，具有8年（含）至10年（不含）造价从业经验的得1分；从业经验起始时间以造价资格证书（注册造价工程师证书或造价员证书）最早时间计取</w:t>
            </w:r>
            <w:r>
              <w:rPr>
                <w:rFonts w:hint="eastAsia" w:cs="仿宋" w:asciiTheme="minorEastAsia" w:hAnsiTheme="minorEastAsia" w:eastAsiaTheme="minorEastAsia"/>
                <w:b/>
                <w:bCs/>
                <w:color w:val="auto"/>
                <w:szCs w:val="21"/>
              </w:rPr>
              <w:t>（须提供该证书复印件加盖公章）；</w:t>
            </w:r>
          </w:p>
          <w:p w14:paraId="1E91292E">
            <w:pPr>
              <w:keepNext/>
              <w:keepLines/>
              <w:tabs>
                <w:tab w:val="left" w:pos="432"/>
              </w:tabs>
              <w:adjustRightInd/>
              <w:jc w:val="left"/>
              <w:outlineLvl w:val="1"/>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2.拟派团队技术负责人工作能力（须为本单位在职人员且不得与团队负责人及项目团队成员兼任，否则本项不得分）：</w:t>
            </w:r>
          </w:p>
          <w:p w14:paraId="05A33856">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color w:val="auto"/>
                <w:szCs w:val="21"/>
              </w:rPr>
              <w:t>(1)拟派团队技术负责人具有工程造价咨询相关专业高级工程师职称的得2分，不具备的不得分</w:t>
            </w:r>
            <w:r>
              <w:rPr>
                <w:rFonts w:hint="eastAsia" w:cs="仿宋" w:asciiTheme="minorEastAsia" w:hAnsiTheme="minorEastAsia" w:eastAsiaTheme="minorEastAsia"/>
                <w:b/>
                <w:bCs/>
                <w:color w:val="auto"/>
                <w:szCs w:val="21"/>
              </w:rPr>
              <w:t>（须提供该证书复印件加盖公章）；</w:t>
            </w:r>
          </w:p>
          <w:p w14:paraId="73FA5F33">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color w:val="auto"/>
                <w:szCs w:val="21"/>
              </w:rPr>
              <w:t>(2)拟派团队技术负责人具有一级注册造价工程师职业证书的得2分，不具备的不得分</w:t>
            </w:r>
            <w:r>
              <w:rPr>
                <w:rFonts w:hint="eastAsia" w:cs="仿宋" w:asciiTheme="minorEastAsia" w:hAnsiTheme="minorEastAsia" w:eastAsiaTheme="minorEastAsia"/>
                <w:b/>
                <w:bCs/>
                <w:color w:val="auto"/>
                <w:szCs w:val="21"/>
              </w:rPr>
              <w:t>（须提供该证书复印件加盖公章）；</w:t>
            </w:r>
          </w:p>
          <w:p w14:paraId="26AB61D0">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color w:val="auto"/>
                <w:szCs w:val="21"/>
              </w:rPr>
              <w:t>(3)拟派团队技术负责人具有10年及以上造价从业经验的得2分，具有8年（含）至10年（不含）造价从业经验的得1分；从业经验起始时间以造价资格证书（注册造价工程师证书或造价员证书）最早时间计取</w:t>
            </w:r>
            <w:r>
              <w:rPr>
                <w:rFonts w:hint="eastAsia" w:cs="仿宋" w:asciiTheme="minorEastAsia" w:hAnsiTheme="minorEastAsia" w:eastAsiaTheme="minorEastAsia"/>
                <w:b/>
                <w:bCs/>
                <w:color w:val="auto"/>
                <w:szCs w:val="21"/>
              </w:rPr>
              <w:t>（须提供该证书复印件加盖公章）；</w:t>
            </w:r>
          </w:p>
          <w:p w14:paraId="4D550415">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color w:val="auto"/>
                <w:szCs w:val="21"/>
              </w:rPr>
              <w:t>3.拟派项目团队成员工作能力（须为本单位在职人员且不得与团队负责人及团队技术负责人兼任，否则本项不得分）</w:t>
            </w:r>
            <w:r>
              <w:rPr>
                <w:rFonts w:hint="eastAsia" w:cs="仿宋" w:asciiTheme="minorEastAsia" w:hAnsiTheme="minorEastAsia" w:eastAsiaTheme="minorEastAsia"/>
                <w:b/>
                <w:bCs/>
                <w:color w:val="auto"/>
                <w:szCs w:val="21"/>
              </w:rPr>
              <w:t>：</w:t>
            </w:r>
          </w:p>
          <w:p w14:paraId="6343337E">
            <w:pPr>
              <w:keepNext/>
              <w:keepLines/>
              <w:tabs>
                <w:tab w:val="left" w:pos="432"/>
              </w:tabs>
              <w:adjustRightInd/>
              <w:jc w:val="left"/>
              <w:outlineLvl w:val="1"/>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1）拟派项目团队其他成员（除项目负责人和项目技术负责人）配备:一级注册造价工程师3人得3分，二级注册造价工程师5人得2.5分，合计得5.5分。（人员不足8人，此项不得分。二级注册造价工程师可用一级注册造价工程师代替，按一级注册造价工程师进行赋分，每个得1分，如配备一级注册造价工程师8人，则此项为8分。）</w:t>
            </w:r>
          </w:p>
          <w:p w14:paraId="5AA4665E">
            <w:pPr>
              <w:keepNext/>
              <w:keepLines/>
              <w:tabs>
                <w:tab w:val="left" w:pos="432"/>
              </w:tabs>
              <w:adjustRightInd/>
              <w:jc w:val="left"/>
              <w:outlineLvl w:val="1"/>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在此基础上，每增加一名一级注册造价工程师的加1分，每增加一名二级注册造价工程师的加0.5分，最多加2.5分；</w:t>
            </w:r>
          </w:p>
          <w:p w14:paraId="5C1E4CBC">
            <w:pPr>
              <w:keepNext/>
              <w:keepLines/>
              <w:tabs>
                <w:tab w:val="left" w:pos="432"/>
              </w:tabs>
              <w:adjustRightInd/>
              <w:jc w:val="left"/>
              <w:outlineLvl w:val="1"/>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成员须为公司固定职员，须提供有效证明材料，否则不得分；本项最高得8分；</w:t>
            </w:r>
          </w:p>
          <w:p w14:paraId="55BF1875">
            <w:pPr>
              <w:keepNext/>
              <w:keepLines/>
              <w:tabs>
                <w:tab w:val="left" w:pos="432"/>
              </w:tabs>
              <w:adjustRightInd/>
              <w:jc w:val="left"/>
              <w:outlineLvl w:val="1"/>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2）拟派项目团队（含团队负责人和团队技术负责人）的专业配备：一级注册造价工程师专业应配备建筑、安装、水利、公路、水运5个专业，配备4个专业得3分，配备3个专业得2分，配备2个及以下专业不得分；须提供有效证明材料，否则不得分。</w:t>
            </w:r>
          </w:p>
          <w:p w14:paraId="21945DFC">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备注：</w:t>
            </w:r>
          </w:p>
          <w:p w14:paraId="444A59B9">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1.中华人民共和国交通运输部颁发的甲级公路工程造价员资格证书视同一级，乙级公路工程造价员资格证书视同二级，中华人民共和国交通运输部颁发的水运工程造价师资格证书视同一级；中国水利工程协会颁布或水利部注册颁发的水利工程造价工程师资格证书视同一级；建设部原注册造价工程师视同为一级，原住建部全国建设工程造价员视同二级，其专业的认定需提供资格证书予以证明。</w:t>
            </w:r>
          </w:p>
          <w:p w14:paraId="664CBFEA">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2.所有证书必须真实、合规，在有效期内。</w:t>
            </w:r>
          </w:p>
          <w:p w14:paraId="2401CF1A">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3.投标文件中须提供清晰可辨的证书扫描件、身份证扫描件（正反面）并均加盖供应商公章。</w:t>
            </w:r>
          </w:p>
          <w:p w14:paraId="6F5A5E1E">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4.如供应商提供的证书扫描件因模糊不清而造成评标委员会在评审时做出对供应商不利的评审由供应商自行承担。</w:t>
            </w:r>
          </w:p>
          <w:p w14:paraId="5FDD931A">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5.以上人员需提供开标时间前三个月内（2024年10,11,12月）任意一个月在供应商处缴纳的社保缴纳证明材料（需含个人养老保险交纳清单），并均需为实际在岗人员，如为退休人员的，必须注册在本单位并且为单位出资人，需提供退休证明和工商部门出具的最新的相关出资证明资料。</w:t>
            </w:r>
          </w:p>
          <w:p w14:paraId="77275C2C">
            <w:pPr>
              <w:keepNext/>
              <w:keepLines/>
              <w:tabs>
                <w:tab w:val="left" w:pos="432"/>
              </w:tabs>
              <w:adjustRightInd/>
              <w:jc w:val="left"/>
              <w:outlineLvl w:val="1"/>
              <w:rPr>
                <w:rFonts w:cs="仿宋" w:asciiTheme="minorEastAsia" w:hAnsiTheme="minorEastAsia" w:eastAsiaTheme="minorEastAsia"/>
                <w:b/>
                <w:bCs/>
                <w:color w:val="auto"/>
                <w:szCs w:val="21"/>
              </w:rPr>
            </w:pPr>
            <w:r>
              <w:rPr>
                <w:rFonts w:hint="eastAsia" w:cs="仿宋" w:asciiTheme="minorEastAsia" w:hAnsiTheme="minorEastAsia" w:eastAsiaTheme="minorEastAsia"/>
                <w:b/>
                <w:bCs/>
                <w:color w:val="auto"/>
                <w:szCs w:val="21"/>
              </w:rPr>
              <w:t>6.注册造价工程师已注册未领证或因换证、年审等原因无法提供证书原件扫描件的，须提供相关主管部门证明原件扫描件和已通过待发意见的表述及造价工程师注册管理系统的打印件。</w:t>
            </w:r>
          </w:p>
          <w:p w14:paraId="0BE43DDB">
            <w:pPr>
              <w:rPr>
                <w:rFonts w:asciiTheme="minorEastAsia" w:hAnsiTheme="minorEastAsia" w:eastAsiaTheme="minorEastAsia"/>
                <w:color w:val="auto"/>
                <w:szCs w:val="21"/>
              </w:rPr>
            </w:pPr>
            <w:r>
              <w:rPr>
                <w:rFonts w:hint="eastAsia" w:cs="仿宋" w:asciiTheme="minorEastAsia" w:hAnsiTheme="minorEastAsia" w:eastAsiaTheme="minorEastAsia"/>
                <w:color w:val="auto"/>
                <w:szCs w:val="21"/>
              </w:rPr>
              <w:t>7</w:t>
            </w:r>
            <w:r>
              <w:rPr>
                <w:rFonts w:hint="eastAsia" w:cs="仿宋" w:asciiTheme="minorEastAsia" w:hAnsiTheme="minorEastAsia" w:eastAsiaTheme="minorEastAsia"/>
                <w:b/>
                <w:bCs/>
                <w:color w:val="auto"/>
                <w:szCs w:val="21"/>
              </w:rPr>
              <w:t>.工程造价咨询相关专业包括建筑、安装、交通运输、水利、市政、园林绿化、国土、通信、石油化工。</w:t>
            </w:r>
          </w:p>
        </w:tc>
        <w:tc>
          <w:tcPr>
            <w:tcW w:w="708" w:type="dxa"/>
            <w:tcBorders>
              <w:tl2br w:val="nil"/>
              <w:tr2bl w:val="nil"/>
            </w:tcBorders>
            <w:vAlign w:val="center"/>
          </w:tcPr>
          <w:p w14:paraId="1977CC1F">
            <w:pPr>
              <w:adjustRightInd/>
              <w:spacing w:line="360" w:lineRule="auto"/>
              <w:jc w:val="center"/>
              <w:outlineLvl w:val="0"/>
              <w:rPr>
                <w:rFonts w:ascii="宋体" w:hAnsi="宋体" w:cs="仿宋"/>
                <w:kern w:val="0"/>
                <w:szCs w:val="21"/>
              </w:rPr>
            </w:pPr>
          </w:p>
        </w:tc>
      </w:tr>
      <w:tr w14:paraId="16FFC157">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30" w:hRule="atLeast"/>
        </w:trPr>
        <w:tc>
          <w:tcPr>
            <w:tcW w:w="657" w:type="dxa"/>
            <w:tcBorders>
              <w:tl2br w:val="nil"/>
              <w:tr2bl w:val="nil"/>
            </w:tcBorders>
            <w:vAlign w:val="center"/>
          </w:tcPr>
          <w:p w14:paraId="50439E47">
            <w:pPr>
              <w:widowControl/>
              <w:adjustRightInd/>
              <w:spacing w:line="360" w:lineRule="auto"/>
              <w:jc w:val="center"/>
              <w:rPr>
                <w:rFonts w:ascii="宋体" w:hAnsi="宋体" w:cs="仿宋"/>
                <w:kern w:val="0"/>
                <w:szCs w:val="21"/>
              </w:rPr>
            </w:pPr>
            <w:r>
              <w:rPr>
                <w:rFonts w:hint="eastAsia" w:ascii="宋体" w:hAnsi="宋体" w:cs="仿宋"/>
                <w:kern w:val="0"/>
                <w:szCs w:val="21"/>
              </w:rPr>
              <w:t>7</w:t>
            </w:r>
          </w:p>
        </w:tc>
        <w:tc>
          <w:tcPr>
            <w:tcW w:w="1134" w:type="dxa"/>
            <w:tcBorders>
              <w:tl2br w:val="nil"/>
              <w:tr2bl w:val="nil"/>
            </w:tcBorders>
            <w:vAlign w:val="center"/>
          </w:tcPr>
          <w:p w14:paraId="42AAD421">
            <w:pPr>
              <w:adjustRightInd/>
              <w:jc w:val="center"/>
              <w:outlineLvl w:val="0"/>
              <w:rPr>
                <w:rFonts w:ascii="宋体" w:hAnsi="宋体" w:cs="仿宋"/>
                <w:kern w:val="0"/>
                <w:szCs w:val="21"/>
              </w:rPr>
            </w:pPr>
            <w:r>
              <w:rPr>
                <w:rFonts w:hint="eastAsia" w:ascii="宋体" w:hAnsi="宋体" w:cs="仿宋"/>
                <w:b/>
                <w:bCs/>
                <w:kern w:val="0"/>
                <w:szCs w:val="21"/>
              </w:rPr>
              <w:t>概算审核方案</w:t>
            </w:r>
          </w:p>
        </w:tc>
        <w:tc>
          <w:tcPr>
            <w:tcW w:w="850" w:type="dxa"/>
            <w:tcBorders>
              <w:tl2br w:val="nil"/>
              <w:tr2bl w:val="nil"/>
            </w:tcBorders>
            <w:vAlign w:val="center"/>
          </w:tcPr>
          <w:p w14:paraId="54F06812">
            <w:pPr>
              <w:widowControl/>
              <w:jc w:val="center"/>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5分</w:t>
            </w:r>
          </w:p>
        </w:tc>
        <w:tc>
          <w:tcPr>
            <w:tcW w:w="6521" w:type="dxa"/>
            <w:tcBorders>
              <w:tl2br w:val="nil"/>
              <w:tr2bl w:val="nil"/>
            </w:tcBorders>
            <w:vAlign w:val="center"/>
          </w:tcPr>
          <w:p w14:paraId="5402DBC9">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投标人的概算审核方案（包括工作流程、审核方式、质量审核、时效控制等内容）的完整性、严谨性、合理性等情况：</w:t>
            </w:r>
          </w:p>
          <w:p w14:paraId="6248D957">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概算审核方案（包括工作流程、审核方式、质量审核、时效控制等内容）完整、严谨、合理的，得5分；</w:t>
            </w:r>
          </w:p>
          <w:p w14:paraId="11722ECA">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概算审核方案（包括工作流程、审核方式、质量审核、时效控制等内容）基本完整、合理的，得3分；</w:t>
            </w:r>
          </w:p>
          <w:p w14:paraId="484BFAFA">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概算审核方案（包括工作流程、审核方式、质量审核、时效控制等内容）简单的，得1分；</w:t>
            </w:r>
          </w:p>
          <w:p w14:paraId="05F63BFF">
            <w:pPr>
              <w:autoSpaceDE w:val="0"/>
              <w:autoSpaceDN w:val="0"/>
              <w:rPr>
                <w:rFonts w:asciiTheme="minorEastAsia" w:hAnsiTheme="minorEastAsia" w:eastAsiaTheme="minorEastAsia"/>
                <w:szCs w:val="21"/>
                <w:lang w:val="zh-CN"/>
              </w:rPr>
            </w:pPr>
            <w:r>
              <w:rPr>
                <w:rFonts w:hint="eastAsia" w:cs="宋体" w:asciiTheme="minorEastAsia" w:hAnsiTheme="minorEastAsia" w:eastAsiaTheme="minorEastAsia"/>
                <w:kern w:val="0"/>
                <w:szCs w:val="21"/>
                <w:lang w:val="zh-CN"/>
              </w:rPr>
              <w:t>完全不合理未提及此项不得分。</w:t>
            </w:r>
          </w:p>
        </w:tc>
        <w:tc>
          <w:tcPr>
            <w:tcW w:w="708" w:type="dxa"/>
            <w:tcBorders>
              <w:tl2br w:val="nil"/>
              <w:tr2bl w:val="nil"/>
            </w:tcBorders>
            <w:vAlign w:val="center"/>
          </w:tcPr>
          <w:p w14:paraId="36485FE5">
            <w:pPr>
              <w:adjustRightInd/>
              <w:spacing w:line="360" w:lineRule="auto"/>
              <w:jc w:val="center"/>
              <w:outlineLvl w:val="0"/>
              <w:rPr>
                <w:rFonts w:ascii="宋体" w:hAnsi="宋体" w:cs="仿宋"/>
                <w:kern w:val="0"/>
                <w:szCs w:val="21"/>
              </w:rPr>
            </w:pPr>
          </w:p>
        </w:tc>
      </w:tr>
      <w:tr w14:paraId="6FFB8BC8">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13" w:hRule="atLeast"/>
        </w:trPr>
        <w:tc>
          <w:tcPr>
            <w:tcW w:w="657" w:type="dxa"/>
            <w:tcBorders>
              <w:tl2br w:val="nil"/>
              <w:tr2bl w:val="nil"/>
            </w:tcBorders>
            <w:vAlign w:val="center"/>
          </w:tcPr>
          <w:p w14:paraId="22A58EB5">
            <w:pPr>
              <w:widowControl/>
              <w:adjustRightInd/>
              <w:spacing w:line="360" w:lineRule="auto"/>
              <w:jc w:val="center"/>
              <w:rPr>
                <w:rFonts w:ascii="宋体" w:hAnsi="宋体" w:cs="仿宋"/>
                <w:kern w:val="0"/>
                <w:szCs w:val="21"/>
              </w:rPr>
            </w:pPr>
            <w:r>
              <w:rPr>
                <w:rFonts w:hint="eastAsia" w:ascii="宋体" w:hAnsi="宋体" w:cs="仿宋"/>
                <w:kern w:val="0"/>
                <w:szCs w:val="21"/>
              </w:rPr>
              <w:t>8</w:t>
            </w:r>
          </w:p>
        </w:tc>
        <w:tc>
          <w:tcPr>
            <w:tcW w:w="1134" w:type="dxa"/>
            <w:tcBorders>
              <w:tl2br w:val="nil"/>
              <w:tr2bl w:val="nil"/>
            </w:tcBorders>
            <w:vAlign w:val="center"/>
          </w:tcPr>
          <w:p w14:paraId="41877572">
            <w:pPr>
              <w:adjustRightInd/>
              <w:jc w:val="center"/>
              <w:outlineLvl w:val="0"/>
              <w:rPr>
                <w:rFonts w:ascii="宋体" w:hAnsi="宋体" w:cs="仿宋"/>
                <w:kern w:val="0"/>
                <w:szCs w:val="21"/>
              </w:rPr>
            </w:pPr>
            <w:r>
              <w:rPr>
                <w:rFonts w:hint="eastAsia" w:ascii="宋体" w:hAnsi="宋体" w:cs="仿宋"/>
                <w:b/>
                <w:bCs/>
                <w:kern w:val="0"/>
                <w:szCs w:val="21"/>
              </w:rPr>
              <w:t>预算（招标控制价）审核方案</w:t>
            </w:r>
          </w:p>
        </w:tc>
        <w:tc>
          <w:tcPr>
            <w:tcW w:w="850" w:type="dxa"/>
            <w:tcBorders>
              <w:tl2br w:val="nil"/>
              <w:tr2bl w:val="nil"/>
            </w:tcBorders>
            <w:vAlign w:val="center"/>
          </w:tcPr>
          <w:p w14:paraId="282E9213">
            <w:pPr>
              <w:widowControl/>
              <w:jc w:val="center"/>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5分</w:t>
            </w:r>
          </w:p>
        </w:tc>
        <w:tc>
          <w:tcPr>
            <w:tcW w:w="6521" w:type="dxa"/>
            <w:tcBorders>
              <w:tl2br w:val="nil"/>
              <w:tr2bl w:val="nil"/>
            </w:tcBorders>
            <w:vAlign w:val="center"/>
          </w:tcPr>
          <w:p w14:paraId="05BCE399">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投标人的预算审核方案（包括工作流程、审核方式、质量审核、时效控制等内容）的完整性、严谨性、合理性等情况：</w:t>
            </w:r>
          </w:p>
          <w:p w14:paraId="68EF1906">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预算审核方案（包括工作流程、审核方式、质量审核、时效控制等内容）完整、严谨、合理的，得5分；</w:t>
            </w:r>
          </w:p>
          <w:p w14:paraId="2665C24A">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预算审核方案（包括工作流程、审核方式、质量审核、时效控制等内容）基本完整、合理的，得3分；</w:t>
            </w:r>
          </w:p>
          <w:p w14:paraId="2A783F51">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预算审核方案（包括工作流程、审核方式、质量审核、时效控制等内容）简单的，得1分；</w:t>
            </w:r>
          </w:p>
          <w:p w14:paraId="0D6A5297">
            <w:pPr>
              <w:autoSpaceDE w:val="0"/>
              <w:autoSpaceDN w:val="0"/>
              <w:rPr>
                <w:rFonts w:cs="宋体" w:asciiTheme="minorEastAsia" w:hAnsiTheme="minorEastAsia" w:eastAsiaTheme="minorEastAsia"/>
                <w:kern w:val="0"/>
                <w:szCs w:val="21"/>
                <w:lang w:val="zh-CN"/>
              </w:rPr>
            </w:pPr>
            <w:r>
              <w:rPr>
                <w:rFonts w:hint="eastAsia" w:cs="宋体" w:asciiTheme="minorEastAsia" w:hAnsiTheme="minorEastAsia" w:eastAsiaTheme="minorEastAsia"/>
                <w:kern w:val="0"/>
                <w:szCs w:val="21"/>
                <w:lang w:val="zh-CN"/>
              </w:rPr>
              <w:t>完全不合理或未提及此项不得分。</w:t>
            </w:r>
          </w:p>
        </w:tc>
        <w:tc>
          <w:tcPr>
            <w:tcW w:w="708" w:type="dxa"/>
            <w:tcBorders>
              <w:tl2br w:val="nil"/>
              <w:tr2bl w:val="nil"/>
            </w:tcBorders>
            <w:vAlign w:val="center"/>
          </w:tcPr>
          <w:p w14:paraId="1039965A">
            <w:pPr>
              <w:adjustRightInd/>
              <w:spacing w:line="360" w:lineRule="auto"/>
              <w:jc w:val="center"/>
              <w:outlineLvl w:val="0"/>
              <w:rPr>
                <w:rFonts w:ascii="宋体" w:hAnsi="宋体" w:cs="仿宋"/>
                <w:kern w:val="0"/>
                <w:szCs w:val="21"/>
              </w:rPr>
            </w:pPr>
          </w:p>
        </w:tc>
      </w:tr>
      <w:tr w14:paraId="3788422E">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66" w:hRule="atLeast"/>
        </w:trPr>
        <w:tc>
          <w:tcPr>
            <w:tcW w:w="657" w:type="dxa"/>
            <w:tcBorders>
              <w:tl2br w:val="nil"/>
              <w:tr2bl w:val="nil"/>
            </w:tcBorders>
            <w:vAlign w:val="center"/>
          </w:tcPr>
          <w:p w14:paraId="78D5AE95">
            <w:pPr>
              <w:widowControl/>
              <w:adjustRightInd/>
              <w:spacing w:line="360" w:lineRule="auto"/>
              <w:jc w:val="center"/>
              <w:rPr>
                <w:rFonts w:ascii="宋体" w:hAnsi="宋体" w:cs="仿宋"/>
                <w:kern w:val="0"/>
                <w:szCs w:val="21"/>
              </w:rPr>
            </w:pPr>
            <w:r>
              <w:rPr>
                <w:rFonts w:hint="eastAsia" w:ascii="宋体" w:hAnsi="宋体" w:cs="仿宋"/>
                <w:kern w:val="0"/>
                <w:szCs w:val="21"/>
              </w:rPr>
              <w:t>9</w:t>
            </w:r>
          </w:p>
        </w:tc>
        <w:tc>
          <w:tcPr>
            <w:tcW w:w="1134" w:type="dxa"/>
            <w:tcBorders>
              <w:tl2br w:val="nil"/>
              <w:tr2bl w:val="nil"/>
            </w:tcBorders>
            <w:vAlign w:val="center"/>
          </w:tcPr>
          <w:p w14:paraId="60D9470B">
            <w:pPr>
              <w:adjustRightInd/>
              <w:jc w:val="center"/>
              <w:outlineLvl w:val="0"/>
              <w:rPr>
                <w:rFonts w:ascii="宋体" w:hAnsi="宋体" w:cs="仿宋"/>
                <w:kern w:val="0"/>
                <w:szCs w:val="21"/>
              </w:rPr>
            </w:pPr>
            <w:r>
              <w:rPr>
                <w:rFonts w:hint="eastAsia" w:ascii="宋体" w:hAnsi="宋体" w:cs="宋体"/>
                <w:b/>
                <w:bCs/>
                <w:szCs w:val="21"/>
              </w:rPr>
              <w:t>廉政风险及保密制度</w:t>
            </w:r>
          </w:p>
        </w:tc>
        <w:tc>
          <w:tcPr>
            <w:tcW w:w="850" w:type="dxa"/>
            <w:tcBorders>
              <w:tl2br w:val="nil"/>
              <w:tr2bl w:val="nil"/>
            </w:tcBorders>
            <w:vAlign w:val="center"/>
          </w:tcPr>
          <w:p w14:paraId="53A7D4C9">
            <w:pPr>
              <w:widowControl/>
              <w:jc w:val="center"/>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5分</w:t>
            </w:r>
          </w:p>
        </w:tc>
        <w:tc>
          <w:tcPr>
            <w:tcW w:w="6521" w:type="dxa"/>
            <w:tcBorders>
              <w:tl2br w:val="nil"/>
              <w:tr2bl w:val="nil"/>
            </w:tcBorders>
            <w:vAlign w:val="center"/>
          </w:tcPr>
          <w:p w14:paraId="16D71D22">
            <w:pPr>
              <w:widowControl/>
              <w:jc w:val="left"/>
              <w:textAlignment w:val="top"/>
              <w:rPr>
                <w:rFonts w:cs="宋体" w:asciiTheme="minorEastAsia" w:hAnsiTheme="minorEastAsia" w:eastAsiaTheme="minorEastAsia"/>
                <w:kern w:val="0"/>
                <w:szCs w:val="21"/>
                <w:lang w:val="zh-CN"/>
              </w:rPr>
            </w:pPr>
            <w:r>
              <w:rPr>
                <w:rFonts w:hint="eastAsia" w:cs="宋体" w:asciiTheme="minorEastAsia" w:hAnsiTheme="minorEastAsia" w:eastAsiaTheme="minorEastAsia"/>
                <w:kern w:val="0"/>
                <w:szCs w:val="21"/>
              </w:rPr>
              <w:t>投标人针对本项目的特点，结合本单位行之有效的内控制度，提出造价审核工作的廉政措施</w:t>
            </w:r>
            <w:r>
              <w:rPr>
                <w:rFonts w:hint="eastAsia" w:cs="宋体" w:asciiTheme="minorEastAsia" w:hAnsiTheme="minorEastAsia" w:eastAsiaTheme="minorEastAsia"/>
                <w:kern w:val="0"/>
                <w:szCs w:val="21"/>
                <w:lang w:val="zh-CN"/>
              </w:rPr>
              <w:t>、</w:t>
            </w:r>
            <w:r>
              <w:rPr>
                <w:rFonts w:hint="eastAsia" w:cs="宋体" w:asciiTheme="minorEastAsia" w:hAnsiTheme="minorEastAsia" w:eastAsiaTheme="minorEastAsia"/>
                <w:kern w:val="0"/>
                <w:szCs w:val="21"/>
              </w:rPr>
              <w:t>保密制度、</w:t>
            </w:r>
            <w:r>
              <w:rPr>
                <w:rFonts w:hint="eastAsia" w:cs="宋体" w:asciiTheme="minorEastAsia" w:hAnsiTheme="minorEastAsia" w:eastAsiaTheme="minorEastAsia"/>
                <w:kern w:val="0"/>
                <w:szCs w:val="21"/>
                <w:lang w:val="zh-CN"/>
              </w:rPr>
              <w:t>风险控制制度</w:t>
            </w:r>
            <w:r>
              <w:rPr>
                <w:rFonts w:hint="eastAsia" w:cs="宋体" w:asciiTheme="minorEastAsia" w:hAnsiTheme="minorEastAsia" w:eastAsiaTheme="minorEastAsia"/>
                <w:kern w:val="0"/>
                <w:szCs w:val="21"/>
              </w:rPr>
              <w:t>的合理性、可操作性</w:t>
            </w:r>
            <w:r>
              <w:rPr>
                <w:rFonts w:hint="eastAsia" w:cs="宋体" w:asciiTheme="minorEastAsia" w:hAnsiTheme="minorEastAsia" w:eastAsiaTheme="minorEastAsia"/>
                <w:kern w:val="0"/>
                <w:szCs w:val="21"/>
                <w:lang w:val="zh-CN"/>
              </w:rPr>
              <w:t>：</w:t>
            </w:r>
          </w:p>
          <w:p w14:paraId="434043C3">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廉政措施有效可行且能及时杜绝廉洁风险的，保密制度健全、完善且能有效避免采购人相关信息泄露的，风险控制制度切实可行、按照该制度执行可杜绝协审工作相关风险的，得5分；</w:t>
            </w:r>
          </w:p>
          <w:p w14:paraId="66D3520A">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廉政措施尚为完善、能基本杜绝廉洁风险的，保密制度基本健全且能较有效避免采购人相关信息泄露的，风险控制制度能较好控制本项目实施相关风险的，得3分；</w:t>
            </w:r>
          </w:p>
          <w:p w14:paraId="1C01A96E">
            <w:pPr>
              <w:widowControl/>
              <w:jc w:val="left"/>
              <w:textAlignment w:val="top"/>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廉政措施、保密制度、风险控制制度简单的，得1分。</w:t>
            </w:r>
          </w:p>
          <w:p w14:paraId="024F01DD">
            <w:pPr>
              <w:widowControl/>
              <w:jc w:val="left"/>
              <w:textAlignment w:val="top"/>
              <w:rPr>
                <w:rFonts w:asciiTheme="minorEastAsia" w:hAnsiTheme="minorEastAsia" w:eastAsiaTheme="minorEastAsia"/>
                <w:szCs w:val="21"/>
              </w:rPr>
            </w:pPr>
            <w:r>
              <w:rPr>
                <w:rFonts w:hint="eastAsia" w:cs="宋体" w:asciiTheme="minorEastAsia" w:hAnsiTheme="minorEastAsia" w:eastAsiaTheme="minorEastAsia"/>
                <w:kern w:val="0"/>
                <w:szCs w:val="21"/>
              </w:rPr>
              <w:t>未提及此项不得分。</w:t>
            </w:r>
          </w:p>
        </w:tc>
        <w:tc>
          <w:tcPr>
            <w:tcW w:w="708" w:type="dxa"/>
            <w:tcBorders>
              <w:tl2br w:val="nil"/>
              <w:tr2bl w:val="nil"/>
            </w:tcBorders>
            <w:vAlign w:val="center"/>
          </w:tcPr>
          <w:p w14:paraId="5DEFF9DF">
            <w:pPr>
              <w:adjustRightInd/>
              <w:spacing w:line="360" w:lineRule="auto"/>
              <w:jc w:val="center"/>
              <w:outlineLvl w:val="0"/>
              <w:rPr>
                <w:rFonts w:ascii="宋体" w:hAnsi="宋体" w:cs="仿宋"/>
                <w:kern w:val="0"/>
                <w:szCs w:val="21"/>
              </w:rPr>
            </w:pPr>
          </w:p>
        </w:tc>
      </w:tr>
      <w:tr w14:paraId="50B4D3D8">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9" w:hRule="atLeast"/>
        </w:trPr>
        <w:tc>
          <w:tcPr>
            <w:tcW w:w="657" w:type="dxa"/>
            <w:tcBorders>
              <w:tl2br w:val="nil"/>
              <w:tr2bl w:val="nil"/>
            </w:tcBorders>
            <w:vAlign w:val="center"/>
          </w:tcPr>
          <w:p w14:paraId="3B9BED55">
            <w:pPr>
              <w:widowControl/>
              <w:adjustRightInd/>
              <w:spacing w:line="360" w:lineRule="auto"/>
              <w:jc w:val="center"/>
              <w:rPr>
                <w:rFonts w:ascii="宋体" w:hAnsi="宋体" w:cs="仿宋"/>
                <w:kern w:val="0"/>
                <w:szCs w:val="21"/>
              </w:rPr>
            </w:pPr>
            <w:r>
              <w:rPr>
                <w:rFonts w:hint="eastAsia" w:ascii="宋体" w:hAnsi="宋体" w:cs="仿宋"/>
                <w:kern w:val="0"/>
                <w:szCs w:val="21"/>
              </w:rPr>
              <w:t>10</w:t>
            </w:r>
          </w:p>
        </w:tc>
        <w:tc>
          <w:tcPr>
            <w:tcW w:w="1134" w:type="dxa"/>
            <w:tcBorders>
              <w:tl2br w:val="nil"/>
              <w:tr2bl w:val="nil"/>
            </w:tcBorders>
            <w:vAlign w:val="center"/>
          </w:tcPr>
          <w:p w14:paraId="483F9DEC">
            <w:pPr>
              <w:adjustRightInd/>
              <w:jc w:val="center"/>
              <w:outlineLvl w:val="0"/>
              <w:rPr>
                <w:rFonts w:ascii="宋体" w:hAnsi="宋体" w:cs="仿宋"/>
                <w:kern w:val="0"/>
                <w:szCs w:val="21"/>
              </w:rPr>
            </w:pPr>
            <w:r>
              <w:rPr>
                <w:rFonts w:hint="eastAsia" w:ascii="宋体" w:hAnsi="宋体"/>
                <w:b/>
                <w:bCs/>
                <w:szCs w:val="21"/>
                <w:lang w:val="zh-CN"/>
              </w:rPr>
              <w:t>合理化建议</w:t>
            </w:r>
          </w:p>
        </w:tc>
        <w:tc>
          <w:tcPr>
            <w:tcW w:w="850" w:type="dxa"/>
            <w:tcBorders>
              <w:tl2br w:val="nil"/>
              <w:tr2bl w:val="nil"/>
            </w:tcBorders>
            <w:vAlign w:val="center"/>
          </w:tcPr>
          <w:p w14:paraId="231F6A39">
            <w:pPr>
              <w:autoSpaceDE w:val="0"/>
              <w:autoSpaceDN w:val="0"/>
              <w:ind w:firstLine="210" w:firstLineChars="100"/>
              <w:rPr>
                <w:rFonts w:asciiTheme="minorEastAsia" w:hAnsiTheme="minorEastAsia" w:eastAsiaTheme="minorEastAsia"/>
                <w:szCs w:val="21"/>
                <w:lang w:val="zh-CN"/>
              </w:rPr>
            </w:pPr>
            <w:r>
              <w:rPr>
                <w:rFonts w:hint="eastAsia" w:asciiTheme="minorEastAsia" w:hAnsiTheme="minorEastAsia" w:eastAsiaTheme="minorEastAsia"/>
                <w:szCs w:val="21"/>
                <w:lang w:val="zh-CN"/>
              </w:rPr>
              <w:t>4分</w:t>
            </w:r>
          </w:p>
        </w:tc>
        <w:tc>
          <w:tcPr>
            <w:tcW w:w="6521" w:type="dxa"/>
            <w:tcBorders>
              <w:tl2br w:val="nil"/>
              <w:tr2bl w:val="nil"/>
            </w:tcBorders>
            <w:vAlign w:val="center"/>
          </w:tcPr>
          <w:p w14:paraId="389151FE">
            <w:pPr>
              <w:autoSpaceDE w:val="0"/>
              <w:autoSpaceDN w:val="0"/>
              <w:rPr>
                <w:rFonts w:asciiTheme="minorEastAsia" w:hAnsiTheme="minorEastAsia" w:eastAsiaTheme="minorEastAsia"/>
                <w:szCs w:val="21"/>
                <w:lang w:val="zh-CN"/>
              </w:rPr>
            </w:pPr>
            <w:r>
              <w:rPr>
                <w:rFonts w:hint="eastAsia" w:asciiTheme="minorEastAsia" w:hAnsiTheme="minorEastAsia" w:eastAsiaTheme="minorEastAsia"/>
                <w:szCs w:val="21"/>
                <w:lang w:val="zh-CN"/>
              </w:rPr>
              <w:t>审核咨询服务的合理化建议（如针对图纸深度不足的设计优化建议、可能发生的不平衡报价应对措施或建议等）。</w:t>
            </w:r>
          </w:p>
          <w:p w14:paraId="08DB0502">
            <w:pPr>
              <w:autoSpaceDE w:val="0"/>
              <w:autoSpaceDN w:val="0"/>
              <w:rPr>
                <w:rFonts w:asciiTheme="minorEastAsia" w:hAnsiTheme="minorEastAsia" w:eastAsiaTheme="minorEastAsia"/>
                <w:szCs w:val="21"/>
                <w:lang w:val="zh-CN"/>
              </w:rPr>
            </w:pPr>
            <w:r>
              <w:rPr>
                <w:rFonts w:hint="eastAsia" w:asciiTheme="minorEastAsia" w:hAnsiTheme="minorEastAsia" w:eastAsiaTheme="minorEastAsia"/>
                <w:szCs w:val="21"/>
                <w:lang w:val="zh-CN"/>
              </w:rPr>
              <w:t>提出的建议合理、系统、完整的,得</w:t>
            </w:r>
            <w:r>
              <w:rPr>
                <w:rFonts w:hint="eastAsia" w:asciiTheme="minorEastAsia" w:hAnsiTheme="minorEastAsia" w:eastAsiaTheme="minorEastAsia"/>
                <w:szCs w:val="21"/>
              </w:rPr>
              <w:t>4</w:t>
            </w:r>
            <w:r>
              <w:rPr>
                <w:rFonts w:hint="eastAsia" w:asciiTheme="minorEastAsia" w:hAnsiTheme="minorEastAsia" w:eastAsiaTheme="minorEastAsia"/>
                <w:szCs w:val="21"/>
                <w:lang w:val="zh-CN"/>
              </w:rPr>
              <w:t>分；</w:t>
            </w:r>
          </w:p>
          <w:p w14:paraId="3EFEA3F6">
            <w:pPr>
              <w:autoSpaceDE w:val="0"/>
              <w:autoSpaceDN w:val="0"/>
              <w:rPr>
                <w:rFonts w:asciiTheme="minorEastAsia" w:hAnsiTheme="minorEastAsia" w:eastAsiaTheme="minorEastAsia"/>
                <w:szCs w:val="21"/>
                <w:lang w:val="zh-CN"/>
              </w:rPr>
            </w:pPr>
            <w:r>
              <w:rPr>
                <w:rFonts w:hint="eastAsia" w:asciiTheme="minorEastAsia" w:hAnsiTheme="minorEastAsia" w:eastAsiaTheme="minorEastAsia"/>
                <w:szCs w:val="21"/>
                <w:lang w:val="zh-CN"/>
              </w:rPr>
              <w:t>提出的建议有一定的合理性，较为完整的，得</w:t>
            </w:r>
            <w:r>
              <w:rPr>
                <w:rFonts w:hint="eastAsia" w:asciiTheme="minorEastAsia" w:hAnsiTheme="minorEastAsia" w:eastAsiaTheme="minorEastAsia"/>
                <w:szCs w:val="21"/>
              </w:rPr>
              <w:t>2</w:t>
            </w:r>
            <w:r>
              <w:rPr>
                <w:rFonts w:hint="eastAsia" w:asciiTheme="minorEastAsia" w:hAnsiTheme="minorEastAsia" w:eastAsiaTheme="minorEastAsia"/>
                <w:szCs w:val="21"/>
                <w:lang w:val="zh-CN"/>
              </w:rPr>
              <w:t>分；</w:t>
            </w:r>
          </w:p>
          <w:p w14:paraId="53522E8A">
            <w:pPr>
              <w:autoSpaceDE w:val="0"/>
              <w:autoSpaceDN w:val="0"/>
              <w:rPr>
                <w:rFonts w:asciiTheme="minorEastAsia" w:hAnsiTheme="minorEastAsia" w:eastAsiaTheme="minorEastAsia"/>
                <w:szCs w:val="21"/>
                <w:lang w:val="zh-CN"/>
              </w:rPr>
            </w:pPr>
            <w:r>
              <w:rPr>
                <w:rFonts w:hint="eastAsia" w:asciiTheme="minorEastAsia" w:hAnsiTheme="minorEastAsia" w:eastAsiaTheme="minorEastAsia"/>
                <w:szCs w:val="21"/>
                <w:lang w:val="zh-CN"/>
              </w:rPr>
              <w:t>提出的建议与实际脱离，或实施过程中可能存在问题的，得</w:t>
            </w:r>
            <w:r>
              <w:rPr>
                <w:rFonts w:hint="eastAsia" w:asciiTheme="minorEastAsia" w:hAnsiTheme="minorEastAsia" w:eastAsiaTheme="minorEastAsia"/>
                <w:szCs w:val="21"/>
              </w:rPr>
              <w:t>1</w:t>
            </w:r>
            <w:r>
              <w:rPr>
                <w:rFonts w:hint="eastAsia" w:asciiTheme="minorEastAsia" w:hAnsiTheme="minorEastAsia" w:eastAsiaTheme="minorEastAsia"/>
                <w:szCs w:val="21"/>
                <w:lang w:val="zh-CN"/>
              </w:rPr>
              <w:t>分；</w:t>
            </w:r>
          </w:p>
          <w:p w14:paraId="0CAFFC12">
            <w:pPr>
              <w:autoSpaceDE w:val="0"/>
              <w:autoSpaceDN w:val="0"/>
              <w:rPr>
                <w:rFonts w:asciiTheme="minorEastAsia" w:hAnsiTheme="minorEastAsia" w:eastAsiaTheme="minorEastAsia"/>
                <w:szCs w:val="21"/>
                <w:lang w:val="zh-CN"/>
              </w:rPr>
            </w:pPr>
            <w:r>
              <w:rPr>
                <w:rFonts w:hint="eastAsia" w:asciiTheme="minorEastAsia" w:hAnsiTheme="minorEastAsia" w:eastAsiaTheme="minorEastAsia"/>
                <w:szCs w:val="21"/>
                <w:lang w:val="zh-CN"/>
              </w:rPr>
              <w:t>未提供的不得分</w:t>
            </w:r>
          </w:p>
        </w:tc>
        <w:tc>
          <w:tcPr>
            <w:tcW w:w="708" w:type="dxa"/>
            <w:tcBorders>
              <w:tl2br w:val="nil"/>
              <w:tr2bl w:val="nil"/>
            </w:tcBorders>
            <w:vAlign w:val="center"/>
          </w:tcPr>
          <w:p w14:paraId="2059ABC0">
            <w:pPr>
              <w:adjustRightInd/>
              <w:spacing w:line="360" w:lineRule="auto"/>
              <w:jc w:val="center"/>
              <w:outlineLvl w:val="0"/>
              <w:rPr>
                <w:rFonts w:ascii="宋体" w:hAnsi="宋体" w:cs="仿宋"/>
                <w:kern w:val="0"/>
                <w:szCs w:val="21"/>
              </w:rPr>
            </w:pPr>
          </w:p>
        </w:tc>
      </w:tr>
      <w:tr w14:paraId="135A91D3">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443" w:hRule="atLeast"/>
        </w:trPr>
        <w:tc>
          <w:tcPr>
            <w:tcW w:w="657" w:type="dxa"/>
            <w:tcBorders>
              <w:tl2br w:val="nil"/>
              <w:tr2bl w:val="nil"/>
            </w:tcBorders>
            <w:vAlign w:val="center"/>
          </w:tcPr>
          <w:p w14:paraId="19380CFC">
            <w:pPr>
              <w:widowControl/>
              <w:adjustRightInd/>
              <w:spacing w:line="360" w:lineRule="auto"/>
              <w:jc w:val="center"/>
              <w:rPr>
                <w:rFonts w:ascii="宋体" w:hAnsi="宋体" w:cs="仿宋"/>
                <w:kern w:val="0"/>
                <w:szCs w:val="21"/>
              </w:rPr>
            </w:pPr>
            <w:r>
              <w:rPr>
                <w:rFonts w:hint="eastAsia" w:ascii="宋体" w:hAnsi="宋体" w:cs="仿宋"/>
                <w:kern w:val="0"/>
                <w:szCs w:val="21"/>
              </w:rPr>
              <w:t>11</w:t>
            </w:r>
          </w:p>
        </w:tc>
        <w:tc>
          <w:tcPr>
            <w:tcW w:w="1134" w:type="dxa"/>
            <w:tcBorders>
              <w:tl2br w:val="nil"/>
              <w:tr2bl w:val="nil"/>
            </w:tcBorders>
            <w:vAlign w:val="center"/>
          </w:tcPr>
          <w:p w14:paraId="5B7FE982">
            <w:pPr>
              <w:jc w:val="center"/>
              <w:outlineLvl w:val="0"/>
              <w:rPr>
                <w:rFonts w:ascii="宋体" w:hAnsi="宋体" w:cs="仿宋"/>
                <w:b/>
                <w:bCs/>
                <w:kern w:val="0"/>
                <w:szCs w:val="21"/>
              </w:rPr>
            </w:pPr>
            <w:r>
              <w:rPr>
                <w:rFonts w:hint="eastAsia" w:ascii="宋体" w:hAnsi="宋体" w:cs="仿宋"/>
                <w:b/>
                <w:bCs/>
                <w:kern w:val="0"/>
                <w:szCs w:val="21"/>
              </w:rPr>
              <w:t>审核质量保证措施</w:t>
            </w:r>
          </w:p>
        </w:tc>
        <w:tc>
          <w:tcPr>
            <w:tcW w:w="850" w:type="dxa"/>
            <w:tcBorders>
              <w:tl2br w:val="nil"/>
              <w:tr2bl w:val="nil"/>
            </w:tcBorders>
            <w:vAlign w:val="center"/>
          </w:tcPr>
          <w:p w14:paraId="7615E3FF">
            <w:pPr>
              <w:adjustRightInd/>
              <w:jc w:val="center"/>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6分</w:t>
            </w:r>
          </w:p>
        </w:tc>
        <w:tc>
          <w:tcPr>
            <w:tcW w:w="6521" w:type="dxa"/>
            <w:tcBorders>
              <w:tl2br w:val="nil"/>
              <w:tr2bl w:val="nil"/>
            </w:tcBorders>
            <w:vAlign w:val="center"/>
          </w:tcPr>
          <w:p w14:paraId="66FF2B24">
            <w:pPr>
              <w:adjustRightInd/>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审核质量保障制度，审核质量管理制度是否齐全，审核质量保证措施是否切实可行；</w:t>
            </w:r>
          </w:p>
          <w:p w14:paraId="61272B3A">
            <w:pPr>
              <w:adjustRightInd/>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管理制度齐全、</w:t>
            </w:r>
            <w:r>
              <w:rPr>
                <w:rFonts w:hint="eastAsia" w:asciiTheme="minorEastAsia" w:hAnsiTheme="minorEastAsia" w:eastAsiaTheme="minorEastAsia"/>
                <w:color w:val="000000"/>
                <w:szCs w:val="21"/>
              </w:rPr>
              <w:t>措施</w:t>
            </w:r>
            <w:r>
              <w:rPr>
                <w:rFonts w:hint="eastAsia" w:cs="仿宋" w:asciiTheme="minorEastAsia" w:hAnsiTheme="minorEastAsia" w:eastAsiaTheme="minorEastAsia"/>
                <w:kern w:val="0"/>
                <w:szCs w:val="21"/>
              </w:rPr>
              <w:t>可行性强的，</w:t>
            </w:r>
            <w:r>
              <w:rPr>
                <w:rFonts w:hint="eastAsia" w:asciiTheme="minorEastAsia" w:hAnsiTheme="minorEastAsia" w:eastAsiaTheme="minorEastAsia"/>
                <w:szCs w:val="21"/>
              </w:rPr>
              <w:t>得6分</w:t>
            </w:r>
            <w:r>
              <w:rPr>
                <w:rFonts w:hint="eastAsia" w:cs="仿宋" w:asciiTheme="minorEastAsia" w:hAnsiTheme="minorEastAsia" w:eastAsiaTheme="minorEastAsia"/>
                <w:kern w:val="0"/>
                <w:szCs w:val="21"/>
              </w:rPr>
              <w:t>，</w:t>
            </w:r>
          </w:p>
          <w:p w14:paraId="32990F98">
            <w:pPr>
              <w:adjustRightInd/>
              <w:outlineLvl w:val="0"/>
              <w:rPr>
                <w:rFonts w:asciiTheme="minorEastAsia" w:hAnsiTheme="minorEastAsia" w:eastAsiaTheme="minorEastAsia"/>
                <w:szCs w:val="21"/>
                <w:lang w:val="zh-CN"/>
              </w:rPr>
            </w:pPr>
            <w:r>
              <w:rPr>
                <w:rFonts w:hint="eastAsia" w:cs="仿宋" w:asciiTheme="minorEastAsia" w:hAnsiTheme="minorEastAsia" w:eastAsiaTheme="minorEastAsia"/>
                <w:kern w:val="0"/>
                <w:szCs w:val="21"/>
              </w:rPr>
              <w:t>管理制度较全、</w:t>
            </w:r>
            <w:r>
              <w:rPr>
                <w:rFonts w:hint="eastAsia" w:asciiTheme="minorEastAsia" w:hAnsiTheme="minorEastAsia" w:eastAsiaTheme="minorEastAsia"/>
                <w:color w:val="000000"/>
                <w:szCs w:val="21"/>
              </w:rPr>
              <w:t>措施</w:t>
            </w:r>
            <w:r>
              <w:rPr>
                <w:rFonts w:hint="eastAsia" w:cs="仿宋" w:asciiTheme="minorEastAsia" w:hAnsiTheme="minorEastAsia" w:eastAsiaTheme="minorEastAsia"/>
                <w:kern w:val="0"/>
                <w:szCs w:val="21"/>
              </w:rPr>
              <w:t>基本可行的，得</w:t>
            </w:r>
            <w:r>
              <w:rPr>
                <w:rFonts w:hint="eastAsia" w:asciiTheme="minorEastAsia" w:hAnsiTheme="minorEastAsia" w:eastAsiaTheme="minorEastAsia"/>
                <w:szCs w:val="21"/>
              </w:rPr>
              <w:t>4</w:t>
            </w:r>
            <w:r>
              <w:rPr>
                <w:rFonts w:hint="eastAsia" w:asciiTheme="minorEastAsia" w:hAnsiTheme="minorEastAsia" w:eastAsiaTheme="minorEastAsia"/>
                <w:szCs w:val="21"/>
                <w:lang w:val="zh-CN"/>
              </w:rPr>
              <w:t>分</w:t>
            </w:r>
          </w:p>
          <w:p w14:paraId="48105921">
            <w:pPr>
              <w:adjustRightInd/>
              <w:outlineLvl w:val="0"/>
              <w:rPr>
                <w:rFonts w:asciiTheme="minorEastAsia" w:hAnsiTheme="minorEastAsia" w:eastAsiaTheme="minorEastAsia"/>
                <w:szCs w:val="21"/>
                <w:lang w:val="zh-CN"/>
              </w:rPr>
            </w:pPr>
            <w:r>
              <w:rPr>
                <w:rFonts w:hint="eastAsia" w:cs="仿宋" w:asciiTheme="minorEastAsia" w:hAnsiTheme="minorEastAsia" w:eastAsiaTheme="minorEastAsia"/>
                <w:kern w:val="0"/>
                <w:szCs w:val="21"/>
              </w:rPr>
              <w:t>管理制度、</w:t>
            </w:r>
            <w:r>
              <w:rPr>
                <w:rFonts w:hint="eastAsia" w:asciiTheme="minorEastAsia" w:hAnsiTheme="minorEastAsia" w:eastAsiaTheme="minorEastAsia"/>
                <w:color w:val="000000"/>
                <w:szCs w:val="21"/>
              </w:rPr>
              <w:t>措施</w:t>
            </w:r>
            <w:r>
              <w:rPr>
                <w:rFonts w:hint="eastAsia" w:cs="仿宋" w:asciiTheme="minorEastAsia" w:hAnsiTheme="minorEastAsia" w:eastAsiaTheme="minorEastAsia"/>
                <w:kern w:val="0"/>
                <w:szCs w:val="21"/>
              </w:rPr>
              <w:t>简单的，得</w:t>
            </w:r>
            <w:r>
              <w:rPr>
                <w:rFonts w:hint="eastAsia" w:asciiTheme="minorEastAsia" w:hAnsiTheme="minorEastAsia" w:eastAsiaTheme="minorEastAsia"/>
                <w:szCs w:val="21"/>
              </w:rPr>
              <w:t>2</w:t>
            </w:r>
            <w:r>
              <w:rPr>
                <w:rFonts w:hint="eastAsia" w:asciiTheme="minorEastAsia" w:hAnsiTheme="minorEastAsia" w:eastAsiaTheme="minorEastAsia"/>
                <w:szCs w:val="21"/>
                <w:lang w:val="zh-CN"/>
              </w:rPr>
              <w:t>分</w:t>
            </w:r>
          </w:p>
          <w:p w14:paraId="0B0F12A6">
            <w:pPr>
              <w:autoSpaceDE w:val="0"/>
              <w:autoSpaceDN w:val="0"/>
              <w:rPr>
                <w:rFonts w:asciiTheme="minorEastAsia" w:hAnsiTheme="minorEastAsia" w:eastAsiaTheme="minorEastAsia"/>
                <w:szCs w:val="21"/>
                <w:lang w:val="zh-CN"/>
              </w:rPr>
            </w:pPr>
            <w:r>
              <w:rPr>
                <w:rFonts w:hint="eastAsia" w:asciiTheme="minorEastAsia" w:hAnsiTheme="minorEastAsia" w:eastAsiaTheme="minorEastAsia"/>
                <w:szCs w:val="21"/>
                <w:lang w:val="zh-CN"/>
              </w:rPr>
              <w:t>未提供的不得分</w:t>
            </w:r>
          </w:p>
        </w:tc>
        <w:tc>
          <w:tcPr>
            <w:tcW w:w="708" w:type="dxa"/>
            <w:tcBorders>
              <w:tl2br w:val="nil"/>
              <w:tr2bl w:val="nil"/>
            </w:tcBorders>
            <w:vAlign w:val="center"/>
          </w:tcPr>
          <w:p w14:paraId="05F9F81A">
            <w:pPr>
              <w:adjustRightInd/>
              <w:spacing w:line="360" w:lineRule="auto"/>
              <w:jc w:val="center"/>
              <w:outlineLvl w:val="0"/>
              <w:rPr>
                <w:rFonts w:ascii="宋体" w:hAnsi="宋体" w:cs="仿宋"/>
                <w:kern w:val="0"/>
                <w:szCs w:val="21"/>
              </w:rPr>
            </w:pPr>
          </w:p>
        </w:tc>
      </w:tr>
      <w:tr w14:paraId="43F95006">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5" w:hRule="atLeast"/>
        </w:trPr>
        <w:tc>
          <w:tcPr>
            <w:tcW w:w="657" w:type="dxa"/>
            <w:tcBorders>
              <w:tl2br w:val="nil"/>
              <w:tr2bl w:val="nil"/>
            </w:tcBorders>
            <w:vAlign w:val="center"/>
          </w:tcPr>
          <w:p w14:paraId="21C5C567">
            <w:pPr>
              <w:widowControl/>
              <w:adjustRightInd/>
              <w:spacing w:line="360" w:lineRule="auto"/>
              <w:jc w:val="center"/>
              <w:rPr>
                <w:rFonts w:ascii="宋体" w:hAnsi="宋体" w:cs="仿宋"/>
                <w:kern w:val="0"/>
                <w:szCs w:val="21"/>
              </w:rPr>
            </w:pPr>
            <w:r>
              <w:rPr>
                <w:rFonts w:hint="eastAsia" w:ascii="宋体" w:hAnsi="宋体" w:cs="仿宋"/>
                <w:kern w:val="0"/>
                <w:szCs w:val="21"/>
              </w:rPr>
              <w:t>12</w:t>
            </w:r>
          </w:p>
        </w:tc>
        <w:tc>
          <w:tcPr>
            <w:tcW w:w="1134" w:type="dxa"/>
            <w:tcBorders>
              <w:tl2br w:val="nil"/>
              <w:tr2bl w:val="nil"/>
            </w:tcBorders>
            <w:vAlign w:val="center"/>
          </w:tcPr>
          <w:p w14:paraId="4D8DE69F">
            <w:pPr>
              <w:jc w:val="center"/>
              <w:outlineLvl w:val="0"/>
              <w:rPr>
                <w:rFonts w:ascii="宋体" w:hAnsi="宋体" w:cs="仿宋"/>
                <w:b/>
                <w:bCs/>
                <w:kern w:val="0"/>
                <w:szCs w:val="21"/>
              </w:rPr>
            </w:pPr>
            <w:r>
              <w:rPr>
                <w:rFonts w:hint="eastAsia" w:ascii="宋体" w:hAnsi="宋体" w:cs="仿宋"/>
                <w:b/>
                <w:bCs/>
                <w:kern w:val="0"/>
                <w:szCs w:val="21"/>
              </w:rPr>
              <w:t>审核进度保证措施</w:t>
            </w:r>
          </w:p>
        </w:tc>
        <w:tc>
          <w:tcPr>
            <w:tcW w:w="850" w:type="dxa"/>
            <w:tcBorders>
              <w:tl2br w:val="nil"/>
              <w:tr2bl w:val="nil"/>
            </w:tcBorders>
            <w:vAlign w:val="center"/>
          </w:tcPr>
          <w:p w14:paraId="20CEC668">
            <w:pPr>
              <w:adjustRightInd/>
              <w:jc w:val="center"/>
              <w:outlineLvl w:val="0"/>
              <w:rPr>
                <w:rFonts w:cs="宋体" w:asciiTheme="minorEastAsia" w:hAnsiTheme="minorEastAsia" w:eastAsiaTheme="minorEastAsia"/>
                <w:szCs w:val="21"/>
              </w:rPr>
            </w:pPr>
            <w:r>
              <w:rPr>
                <w:rFonts w:hint="eastAsia" w:cs="宋体" w:asciiTheme="minorEastAsia" w:hAnsiTheme="minorEastAsia" w:eastAsiaTheme="minorEastAsia"/>
                <w:szCs w:val="21"/>
              </w:rPr>
              <w:t>6分</w:t>
            </w:r>
          </w:p>
        </w:tc>
        <w:tc>
          <w:tcPr>
            <w:tcW w:w="6521" w:type="dxa"/>
            <w:tcBorders>
              <w:tl2br w:val="nil"/>
              <w:tr2bl w:val="nil"/>
            </w:tcBorders>
            <w:vAlign w:val="center"/>
          </w:tcPr>
          <w:p w14:paraId="14A2F07C">
            <w:pPr>
              <w:adjustRightInd/>
              <w:outlineLvl w:val="0"/>
              <w:rPr>
                <w:rFonts w:cs="宋体" w:asciiTheme="minorEastAsia" w:hAnsiTheme="minorEastAsia" w:eastAsiaTheme="minorEastAsia"/>
                <w:szCs w:val="21"/>
              </w:rPr>
            </w:pPr>
            <w:r>
              <w:rPr>
                <w:rFonts w:hint="eastAsia" w:cs="宋体" w:asciiTheme="minorEastAsia" w:hAnsiTheme="minorEastAsia" w:eastAsiaTheme="minorEastAsia"/>
                <w:szCs w:val="21"/>
              </w:rPr>
              <w:t>审核进度保证制度，审核进度控制机制完整、合理，对审核进度滞后的项目或者紧急项目进行综合分析并提供切实有效的解决措施与方案</w:t>
            </w:r>
          </w:p>
          <w:p w14:paraId="515C3287">
            <w:pPr>
              <w:adjustRightInd/>
              <w:outlineLvl w:val="0"/>
              <w:rPr>
                <w:rFonts w:cs="宋体" w:asciiTheme="minorEastAsia" w:hAnsiTheme="minorEastAsia" w:eastAsiaTheme="minorEastAsia"/>
                <w:szCs w:val="21"/>
              </w:rPr>
            </w:pPr>
            <w:r>
              <w:rPr>
                <w:rFonts w:hint="eastAsia" w:cs="宋体" w:asciiTheme="minorEastAsia" w:hAnsiTheme="minorEastAsia" w:eastAsiaTheme="minorEastAsia"/>
                <w:szCs w:val="21"/>
              </w:rPr>
              <w:t>审核进度控制机制完整、合理的，解决措施与方案完善、可操作性强的，得6分</w:t>
            </w:r>
          </w:p>
          <w:p w14:paraId="3B7A0483">
            <w:pPr>
              <w:adjustRightInd/>
              <w:outlineLvl w:val="0"/>
              <w:rPr>
                <w:rFonts w:cs="宋体" w:asciiTheme="minorEastAsia" w:hAnsiTheme="minorEastAsia" w:eastAsiaTheme="minorEastAsia"/>
                <w:szCs w:val="21"/>
              </w:rPr>
            </w:pPr>
            <w:r>
              <w:rPr>
                <w:rFonts w:hint="eastAsia" w:cs="宋体" w:asciiTheme="minorEastAsia" w:hAnsiTheme="minorEastAsia" w:eastAsiaTheme="minorEastAsia"/>
                <w:szCs w:val="21"/>
              </w:rPr>
              <w:t>审核进度控制机制基本合理的，解决措施与方案较为完善的，得4分；</w:t>
            </w:r>
          </w:p>
          <w:p w14:paraId="3856E910">
            <w:pPr>
              <w:adjustRightInd/>
              <w:outlineLvl w:val="0"/>
              <w:rPr>
                <w:rFonts w:cs="宋体" w:asciiTheme="minorEastAsia" w:hAnsiTheme="minorEastAsia" w:eastAsiaTheme="minorEastAsia"/>
                <w:szCs w:val="21"/>
              </w:rPr>
            </w:pPr>
            <w:r>
              <w:rPr>
                <w:rFonts w:hint="eastAsia" w:cs="宋体" w:asciiTheme="minorEastAsia" w:hAnsiTheme="minorEastAsia" w:eastAsiaTheme="minorEastAsia"/>
                <w:szCs w:val="21"/>
              </w:rPr>
              <w:t>审核进度控制机制、解决措施简单的，得2分</w:t>
            </w:r>
          </w:p>
          <w:p w14:paraId="218BAC23">
            <w:pPr>
              <w:autoSpaceDE w:val="0"/>
              <w:autoSpaceDN w:val="0"/>
              <w:rPr>
                <w:rFonts w:asciiTheme="minorEastAsia" w:hAnsiTheme="minorEastAsia" w:eastAsiaTheme="minorEastAsia"/>
                <w:szCs w:val="21"/>
                <w:lang w:val="zh-CN"/>
              </w:rPr>
            </w:pPr>
            <w:r>
              <w:rPr>
                <w:rFonts w:hint="eastAsia" w:asciiTheme="minorEastAsia" w:hAnsiTheme="minorEastAsia" w:eastAsiaTheme="minorEastAsia"/>
                <w:szCs w:val="21"/>
                <w:lang w:val="zh-CN"/>
              </w:rPr>
              <w:t>未</w:t>
            </w:r>
            <w:r>
              <w:rPr>
                <w:rFonts w:hint="eastAsia" w:cs="宋体" w:asciiTheme="minorEastAsia" w:hAnsiTheme="minorEastAsia" w:eastAsiaTheme="minorEastAsia"/>
                <w:szCs w:val="21"/>
                <w:lang w:val="zh-CN"/>
              </w:rPr>
              <w:t>提供的不得分</w:t>
            </w:r>
          </w:p>
        </w:tc>
        <w:tc>
          <w:tcPr>
            <w:tcW w:w="708" w:type="dxa"/>
            <w:tcBorders>
              <w:tl2br w:val="nil"/>
              <w:tr2bl w:val="nil"/>
            </w:tcBorders>
            <w:vAlign w:val="center"/>
          </w:tcPr>
          <w:p w14:paraId="0B5653DF">
            <w:pPr>
              <w:adjustRightInd/>
              <w:spacing w:line="360" w:lineRule="auto"/>
              <w:jc w:val="center"/>
              <w:outlineLvl w:val="0"/>
              <w:rPr>
                <w:rFonts w:ascii="宋体" w:hAnsi="宋体" w:cs="仿宋"/>
                <w:kern w:val="0"/>
                <w:szCs w:val="21"/>
              </w:rPr>
            </w:pPr>
          </w:p>
        </w:tc>
      </w:tr>
      <w:tr w14:paraId="74E52929">
        <w:tblPrEx>
          <w:tblBorders>
            <w:top w:val="single" w:color="auto" w:sz="8" w:space="0"/>
            <w:left w:val="single" w:color="auto" w:sz="8" w:space="0"/>
            <w:bottom w:val="single" w:color="auto" w:sz="4"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51" w:hRule="atLeast"/>
        </w:trPr>
        <w:tc>
          <w:tcPr>
            <w:tcW w:w="657" w:type="dxa"/>
            <w:tcBorders>
              <w:tl2br w:val="nil"/>
              <w:tr2bl w:val="nil"/>
            </w:tcBorders>
            <w:vAlign w:val="center"/>
          </w:tcPr>
          <w:p w14:paraId="138E9219">
            <w:pPr>
              <w:widowControl/>
              <w:adjustRightInd/>
              <w:spacing w:line="360" w:lineRule="auto"/>
              <w:jc w:val="center"/>
              <w:rPr>
                <w:rFonts w:ascii="宋体" w:hAnsi="宋体" w:cs="仿宋"/>
                <w:kern w:val="0"/>
                <w:szCs w:val="21"/>
              </w:rPr>
            </w:pPr>
            <w:r>
              <w:rPr>
                <w:rFonts w:hint="eastAsia" w:ascii="宋体" w:hAnsi="宋体" w:cs="仿宋"/>
                <w:kern w:val="0"/>
                <w:szCs w:val="21"/>
              </w:rPr>
              <w:t>13</w:t>
            </w:r>
          </w:p>
        </w:tc>
        <w:tc>
          <w:tcPr>
            <w:tcW w:w="1134" w:type="dxa"/>
            <w:tcBorders>
              <w:tl2br w:val="nil"/>
              <w:tr2bl w:val="nil"/>
            </w:tcBorders>
            <w:vAlign w:val="center"/>
          </w:tcPr>
          <w:p w14:paraId="35E7F291">
            <w:pPr>
              <w:widowControl/>
              <w:jc w:val="center"/>
              <w:textAlignment w:val="center"/>
              <w:rPr>
                <w:rFonts w:ascii="宋体" w:hAnsi="宋体" w:cs="宋体"/>
                <w:b/>
                <w:bCs/>
                <w:kern w:val="0"/>
                <w:szCs w:val="21"/>
              </w:rPr>
            </w:pPr>
            <w:r>
              <w:rPr>
                <w:rFonts w:hint="eastAsia" w:ascii="宋体" w:hAnsi="宋体" w:cs="宋体"/>
                <w:b/>
                <w:bCs/>
                <w:kern w:val="0"/>
                <w:szCs w:val="21"/>
              </w:rPr>
              <w:t>应急方案</w:t>
            </w:r>
          </w:p>
        </w:tc>
        <w:tc>
          <w:tcPr>
            <w:tcW w:w="850" w:type="dxa"/>
            <w:tcBorders>
              <w:tl2br w:val="nil"/>
              <w:tr2bl w:val="nil"/>
            </w:tcBorders>
            <w:vAlign w:val="center"/>
          </w:tcPr>
          <w:p w14:paraId="315587FB">
            <w:pPr>
              <w:jc w:val="center"/>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4分</w:t>
            </w:r>
          </w:p>
        </w:tc>
        <w:tc>
          <w:tcPr>
            <w:tcW w:w="6521" w:type="dxa"/>
            <w:tcBorders>
              <w:tl2br w:val="nil"/>
              <w:tr2bl w:val="nil"/>
            </w:tcBorders>
            <w:vAlign w:val="center"/>
          </w:tcPr>
          <w:p w14:paraId="422E83B2">
            <w:pPr>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投标人对于紧急审价项目、紧急审价问题等情况制定的应急方案合理性：</w:t>
            </w:r>
          </w:p>
          <w:p w14:paraId="103A9E69">
            <w:pPr>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应急方案完整全面的，得4分；</w:t>
            </w:r>
          </w:p>
          <w:p w14:paraId="24368ED9">
            <w:pPr>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应急方案基本完整的，得2分；</w:t>
            </w:r>
          </w:p>
          <w:p w14:paraId="1234A85C">
            <w:pPr>
              <w:outlineLvl w:val="0"/>
              <w:rPr>
                <w:rFonts w:cs="仿宋" w:asciiTheme="minorEastAsia" w:hAnsiTheme="minorEastAsia" w:eastAsiaTheme="minorEastAsia"/>
                <w:kern w:val="0"/>
                <w:szCs w:val="21"/>
              </w:rPr>
            </w:pPr>
            <w:r>
              <w:rPr>
                <w:rFonts w:hint="eastAsia" w:cs="仿宋" w:asciiTheme="minorEastAsia" w:hAnsiTheme="minorEastAsia" w:eastAsiaTheme="minorEastAsia"/>
                <w:kern w:val="0"/>
                <w:szCs w:val="21"/>
              </w:rPr>
              <w:t>未提供此项不得分。</w:t>
            </w:r>
          </w:p>
        </w:tc>
        <w:tc>
          <w:tcPr>
            <w:tcW w:w="708" w:type="dxa"/>
            <w:tcBorders>
              <w:tl2br w:val="nil"/>
              <w:tr2bl w:val="nil"/>
            </w:tcBorders>
            <w:vAlign w:val="center"/>
          </w:tcPr>
          <w:p w14:paraId="0AB0F510">
            <w:pPr>
              <w:spacing w:line="360" w:lineRule="auto"/>
              <w:jc w:val="center"/>
              <w:outlineLvl w:val="0"/>
              <w:rPr>
                <w:rFonts w:ascii="宋体" w:hAnsi="宋体" w:cs="仿宋"/>
                <w:kern w:val="0"/>
                <w:szCs w:val="21"/>
              </w:rPr>
            </w:pPr>
          </w:p>
        </w:tc>
      </w:tr>
    </w:tbl>
    <w:p w14:paraId="50E83E1F">
      <w:pPr>
        <w:spacing w:line="360" w:lineRule="auto"/>
        <w:ind w:firstLine="420" w:firstLineChars="200"/>
        <w:rPr>
          <w:rFonts w:ascii="宋体" w:hAnsi="宋体" w:cs="仿宋"/>
          <w:szCs w:val="21"/>
        </w:rPr>
      </w:pPr>
    </w:p>
    <w:p w14:paraId="49B6C193">
      <w:pPr>
        <w:spacing w:line="360" w:lineRule="auto"/>
        <w:ind w:firstLine="422" w:firstLineChars="200"/>
        <w:rPr>
          <w:rFonts w:ascii="宋体" w:hAnsi="宋体" w:cs="仿宋"/>
          <w:b/>
          <w:bCs/>
          <w:szCs w:val="21"/>
        </w:rPr>
      </w:pPr>
      <w:r>
        <w:rPr>
          <w:rFonts w:hint="eastAsia" w:ascii="宋体" w:hAnsi="宋体" w:cs="仿宋"/>
          <w:b/>
          <w:bCs/>
          <w:szCs w:val="21"/>
        </w:rPr>
        <w:t>（评分涉及证书、证明需在有效期限内，计算得分时，按其算术平均值保留小数点后2位；</w:t>
      </w:r>
      <w:r>
        <w:rPr>
          <w:rFonts w:hint="eastAsia" w:ascii="宋体" w:hAnsi="宋体" w:cs="仿宋"/>
          <w:b/>
          <w:bCs/>
          <w:kern w:val="0"/>
          <w:szCs w:val="21"/>
        </w:rPr>
        <w:t>）</w:t>
      </w:r>
    </w:p>
    <w:p w14:paraId="755B61E5">
      <w:pPr>
        <w:pStyle w:val="38"/>
        <w:spacing w:line="360" w:lineRule="auto"/>
        <w:ind w:left="0" w:leftChars="0" w:firstLine="480"/>
      </w:pPr>
      <w:r>
        <w:rPr>
          <w:rFonts w:hint="eastAsia" w:cs="仿宋"/>
          <w:sz w:val="24"/>
        </w:rPr>
        <w:br w:type="page"/>
      </w:r>
    </w:p>
    <w:p w14:paraId="305D4519">
      <w:pPr>
        <w:widowControl/>
        <w:numPr>
          <w:ilvl w:val="0"/>
          <w:numId w:val="3"/>
        </w:numPr>
        <w:adjustRightInd/>
        <w:jc w:val="center"/>
        <w:rPr>
          <w:rFonts w:ascii="宋体" w:hAnsi="宋体" w:cs="宋体"/>
          <w:b/>
          <w:sz w:val="32"/>
          <w:szCs w:val="32"/>
        </w:rPr>
      </w:pPr>
      <w:bookmarkStart w:id="400" w:name="_Toc86217003"/>
      <w:r>
        <w:rPr>
          <w:rFonts w:hint="eastAsia" w:ascii="宋体" w:hAnsi="宋体" w:cs="宋体"/>
          <w:b/>
          <w:sz w:val="32"/>
          <w:szCs w:val="32"/>
        </w:rPr>
        <w:t>拟签订的框架协议文本和采购合同文本</w:t>
      </w:r>
    </w:p>
    <w:p w14:paraId="630A4243">
      <w:pPr>
        <w:spacing w:line="440" w:lineRule="exact"/>
        <w:rPr>
          <w:rFonts w:asciiTheme="minorEastAsia" w:hAnsiTheme="minorEastAsia" w:eastAsiaTheme="minorEastAsia"/>
          <w:szCs w:val="21"/>
        </w:rPr>
      </w:pPr>
    </w:p>
    <w:p w14:paraId="49CD204F">
      <w:pPr>
        <w:jc w:val="center"/>
        <w:rPr>
          <w:rFonts w:asciiTheme="minorEastAsia" w:hAnsiTheme="minorEastAsia" w:eastAsiaTheme="minorEastAsia"/>
          <w:b/>
          <w:bCs/>
          <w:sz w:val="24"/>
        </w:rPr>
      </w:pPr>
      <w:r>
        <w:rPr>
          <w:rFonts w:hint="eastAsia" w:ascii="宋体" w:hAnsi="宋体"/>
          <w:b/>
          <w:bCs/>
          <w:sz w:val="24"/>
        </w:rPr>
        <w:t>岱山县财政局2025-2027年政府投资项目工程造价咨询服务</w:t>
      </w:r>
      <w:r>
        <w:rPr>
          <w:rFonts w:hint="eastAsia" w:asciiTheme="minorEastAsia" w:hAnsiTheme="minorEastAsia" w:eastAsiaTheme="minorEastAsia"/>
          <w:b/>
          <w:bCs/>
          <w:sz w:val="24"/>
        </w:rPr>
        <w:t>框架协议</w:t>
      </w:r>
    </w:p>
    <w:p w14:paraId="56B47760">
      <w:pPr>
        <w:adjustRightInd/>
        <w:spacing w:line="312" w:lineRule="auto"/>
        <w:rPr>
          <w:rFonts w:ascii="宋体" w:hAnsi="宋体"/>
          <w:szCs w:val="21"/>
        </w:rPr>
      </w:pPr>
    </w:p>
    <w:p w14:paraId="155C12A5">
      <w:pPr>
        <w:adjustRightInd/>
        <w:spacing w:line="312" w:lineRule="auto"/>
        <w:rPr>
          <w:rFonts w:ascii="宋体" w:hAnsi="宋体"/>
          <w:szCs w:val="21"/>
        </w:rPr>
      </w:pPr>
      <w:r>
        <w:rPr>
          <w:rFonts w:ascii="宋体" w:hAnsi="宋体"/>
          <w:szCs w:val="21"/>
        </w:rPr>
        <w:t>甲方（征集人）：</w:t>
      </w:r>
      <w:r>
        <w:rPr>
          <w:rFonts w:hint="eastAsia" w:ascii="宋体" w:hAnsi="宋体"/>
          <w:szCs w:val="21"/>
        </w:rPr>
        <w:t>岱山县财政局（岱山县政府投资项目审价中心）</w:t>
      </w:r>
    </w:p>
    <w:p w14:paraId="441A2030">
      <w:pPr>
        <w:adjustRightInd/>
        <w:spacing w:line="312" w:lineRule="auto"/>
        <w:rPr>
          <w:rFonts w:ascii="宋体" w:hAnsi="宋体"/>
          <w:szCs w:val="21"/>
        </w:rPr>
      </w:pPr>
      <w:r>
        <w:rPr>
          <w:rFonts w:ascii="宋体" w:hAnsi="宋体"/>
          <w:szCs w:val="21"/>
        </w:rPr>
        <w:t>乙方（入围供应商）：</w:t>
      </w:r>
    </w:p>
    <w:p w14:paraId="0EC94DE4">
      <w:pPr>
        <w:adjustRightInd/>
        <w:spacing w:line="312" w:lineRule="auto"/>
        <w:ind w:firstLine="420" w:firstLineChars="200"/>
        <w:rPr>
          <w:rFonts w:ascii="宋体" w:hAnsi="宋体"/>
          <w:szCs w:val="21"/>
        </w:rPr>
      </w:pPr>
      <w:r>
        <w:rPr>
          <w:rFonts w:hint="eastAsia" w:ascii="宋体" w:hAnsi="宋体"/>
          <w:szCs w:val="21"/>
        </w:rPr>
        <w:t xml:space="preserve">  根据《中华人民共和国政府采购法》、《政府采购框架协议采购方式管理暂行办法》等相关规定，</w:t>
      </w:r>
      <w:r>
        <w:rPr>
          <w:rFonts w:ascii="宋体" w:hAnsi="宋体"/>
          <w:szCs w:val="21"/>
        </w:rPr>
        <w:t>经过公开征集，甲方确定乙方为</w:t>
      </w:r>
      <w:bookmarkStart w:id="401" w:name="_Hlk185593117"/>
      <w:r>
        <w:rPr>
          <w:rFonts w:hint="eastAsia" w:ascii="宋体" w:hAnsi="宋体"/>
          <w:szCs w:val="21"/>
        </w:rPr>
        <w:t>岱山县财政局2025-2027年政府投资项目工程造价咨询服务采购项目</w:t>
      </w:r>
      <w:r>
        <w:rPr>
          <w:rFonts w:ascii="宋体" w:hAnsi="宋体"/>
          <w:szCs w:val="21"/>
        </w:rPr>
        <w:t>（项目编号：</w:t>
      </w:r>
      <w:r>
        <w:rPr>
          <w:rFonts w:hint="eastAsia" w:ascii="宋体" w:hAnsi="宋体"/>
          <w:szCs w:val="21"/>
        </w:rPr>
        <w:t>SZGXZS2024279</w:t>
      </w:r>
      <w:r>
        <w:rPr>
          <w:rFonts w:ascii="宋体" w:hAnsi="宋体"/>
          <w:szCs w:val="21"/>
        </w:rPr>
        <w:t>）</w:t>
      </w:r>
      <w:bookmarkEnd w:id="401"/>
      <w:r>
        <w:rPr>
          <w:rFonts w:ascii="宋体" w:hAnsi="宋体"/>
          <w:szCs w:val="21"/>
        </w:rPr>
        <w:t xml:space="preserve">的入围供应商，为明确双方权利义务，经协商一致，签订本封闭式框架协议书。 </w:t>
      </w:r>
    </w:p>
    <w:p w14:paraId="763B3565">
      <w:pPr>
        <w:adjustRightInd/>
        <w:spacing w:line="312" w:lineRule="auto"/>
        <w:rPr>
          <w:rFonts w:ascii="宋体" w:hAnsi="宋体"/>
          <w:szCs w:val="21"/>
        </w:rPr>
      </w:pPr>
      <w:r>
        <w:rPr>
          <w:rFonts w:ascii="宋体" w:hAnsi="宋体"/>
          <w:szCs w:val="21"/>
        </w:rPr>
        <w:t xml:space="preserve">一、下列文件均为本协议的组成部分 </w:t>
      </w:r>
    </w:p>
    <w:p w14:paraId="3D5CF1EE">
      <w:pPr>
        <w:adjustRightInd/>
        <w:spacing w:line="312" w:lineRule="auto"/>
        <w:ind w:firstLine="630" w:firstLineChars="300"/>
        <w:rPr>
          <w:rFonts w:ascii="宋体" w:hAnsi="宋体"/>
          <w:szCs w:val="21"/>
        </w:rPr>
      </w:pPr>
      <w:r>
        <w:rPr>
          <w:rFonts w:ascii="宋体" w:hAnsi="宋体"/>
          <w:szCs w:val="21"/>
        </w:rPr>
        <w:t xml:space="preserve">1.本协议书； </w:t>
      </w:r>
    </w:p>
    <w:p w14:paraId="63553265">
      <w:pPr>
        <w:adjustRightInd/>
        <w:spacing w:line="312" w:lineRule="auto"/>
        <w:ind w:firstLine="630" w:firstLineChars="300"/>
        <w:rPr>
          <w:rFonts w:ascii="宋体" w:hAnsi="宋体"/>
          <w:szCs w:val="21"/>
        </w:rPr>
      </w:pPr>
      <w:r>
        <w:rPr>
          <w:rFonts w:ascii="宋体" w:hAnsi="宋体"/>
          <w:szCs w:val="21"/>
        </w:rPr>
        <w:t xml:space="preserve">2.入围通知书； </w:t>
      </w:r>
    </w:p>
    <w:p w14:paraId="4992A2A6">
      <w:pPr>
        <w:adjustRightInd/>
        <w:spacing w:line="312" w:lineRule="auto"/>
        <w:ind w:firstLine="630" w:firstLineChars="300"/>
        <w:rPr>
          <w:rFonts w:ascii="宋体" w:hAnsi="宋体"/>
          <w:szCs w:val="21"/>
        </w:rPr>
      </w:pPr>
      <w:r>
        <w:rPr>
          <w:rFonts w:ascii="宋体" w:hAnsi="宋体"/>
          <w:szCs w:val="21"/>
        </w:rPr>
        <w:t xml:space="preserve">3.入围供应商响应文件； </w:t>
      </w:r>
    </w:p>
    <w:p w14:paraId="45579DA0">
      <w:pPr>
        <w:adjustRightInd/>
        <w:spacing w:line="312" w:lineRule="auto"/>
        <w:ind w:firstLine="630" w:firstLineChars="300"/>
        <w:rPr>
          <w:rFonts w:ascii="宋体" w:hAnsi="宋体"/>
          <w:szCs w:val="21"/>
        </w:rPr>
      </w:pPr>
      <w:r>
        <w:rPr>
          <w:rFonts w:ascii="宋体" w:hAnsi="宋体"/>
          <w:szCs w:val="21"/>
        </w:rPr>
        <w:t xml:space="preserve">4.补充文件（若有）； </w:t>
      </w:r>
    </w:p>
    <w:p w14:paraId="5D81546D">
      <w:pPr>
        <w:adjustRightInd/>
        <w:spacing w:line="312" w:lineRule="auto"/>
        <w:ind w:firstLine="630" w:firstLineChars="300"/>
        <w:rPr>
          <w:rFonts w:ascii="宋体" w:hAnsi="宋体"/>
          <w:szCs w:val="21"/>
        </w:rPr>
      </w:pPr>
      <w:r>
        <w:rPr>
          <w:rFonts w:ascii="宋体" w:hAnsi="宋体"/>
          <w:szCs w:val="21"/>
        </w:rPr>
        <w:t xml:space="preserve">5.征集文件。 </w:t>
      </w:r>
    </w:p>
    <w:p w14:paraId="3516B0BD">
      <w:pPr>
        <w:adjustRightInd/>
        <w:spacing w:line="312" w:lineRule="auto"/>
        <w:rPr>
          <w:rFonts w:ascii="宋体" w:hAnsi="宋体"/>
          <w:szCs w:val="21"/>
        </w:rPr>
      </w:pPr>
      <w:r>
        <w:rPr>
          <w:rFonts w:ascii="宋体" w:hAnsi="宋体"/>
          <w:szCs w:val="21"/>
        </w:rPr>
        <w:t xml:space="preserve">二、采购需求 </w:t>
      </w:r>
    </w:p>
    <w:p w14:paraId="23D5AAAC">
      <w:pPr>
        <w:adjustRightInd/>
        <w:spacing w:line="312" w:lineRule="auto"/>
        <w:ind w:firstLine="420" w:firstLineChars="200"/>
        <w:rPr>
          <w:rFonts w:ascii="宋体" w:hAnsi="宋体"/>
          <w:szCs w:val="21"/>
        </w:rPr>
      </w:pPr>
      <w:r>
        <w:rPr>
          <w:rFonts w:ascii="宋体" w:hAnsi="宋体"/>
          <w:szCs w:val="21"/>
        </w:rPr>
        <w:t xml:space="preserve">按《第二章 采购需求》执行。 </w:t>
      </w:r>
    </w:p>
    <w:p w14:paraId="702206F0">
      <w:pPr>
        <w:adjustRightInd/>
        <w:spacing w:line="312" w:lineRule="auto"/>
        <w:rPr>
          <w:rFonts w:ascii="宋体" w:hAnsi="宋体"/>
          <w:szCs w:val="21"/>
        </w:rPr>
      </w:pPr>
      <w:r>
        <w:rPr>
          <w:rFonts w:ascii="宋体" w:hAnsi="宋体"/>
          <w:szCs w:val="21"/>
        </w:rPr>
        <w:t xml:space="preserve">三、价格 </w:t>
      </w:r>
    </w:p>
    <w:p w14:paraId="1D6DAE98">
      <w:pPr>
        <w:adjustRightInd/>
        <w:spacing w:line="312" w:lineRule="auto"/>
        <w:ind w:firstLine="420" w:firstLineChars="200"/>
        <w:rPr>
          <w:rFonts w:ascii="宋体" w:hAnsi="宋体"/>
          <w:szCs w:val="21"/>
        </w:rPr>
      </w:pPr>
      <w:r>
        <w:rPr>
          <w:rFonts w:hint="eastAsia" w:ascii="宋体" w:hAnsi="宋体"/>
          <w:szCs w:val="21"/>
        </w:rPr>
        <w:t>审核费用的计算以浙价服〔2009〕84号文件规定为基础（注：每件咨询服务合同按上表计算不足2000元的，按2000元收费，概算审核的收费基数不包括土地使用费）。</w:t>
      </w:r>
    </w:p>
    <w:p w14:paraId="6712648E">
      <w:pPr>
        <w:adjustRightInd/>
        <w:spacing w:line="312" w:lineRule="auto"/>
        <w:ind w:firstLine="420" w:firstLineChars="200"/>
        <w:rPr>
          <w:rFonts w:ascii="宋体" w:hAnsi="宋体"/>
          <w:szCs w:val="21"/>
        </w:rPr>
      </w:pPr>
      <w:r>
        <w:rPr>
          <w:rFonts w:hint="eastAsia" w:ascii="宋体" w:hAnsi="宋体"/>
          <w:szCs w:val="21"/>
        </w:rPr>
        <w:t>1.送审核金额1亿元以下的：</w:t>
      </w:r>
    </w:p>
    <w:p w14:paraId="55F32E4C">
      <w:pPr>
        <w:adjustRightInd/>
        <w:spacing w:line="312" w:lineRule="auto"/>
        <w:ind w:firstLine="420" w:firstLineChars="200"/>
        <w:rPr>
          <w:rFonts w:ascii="宋体" w:hAnsi="宋体"/>
          <w:szCs w:val="21"/>
        </w:rPr>
      </w:pPr>
      <w:r>
        <w:rPr>
          <w:rFonts w:hint="eastAsia" w:ascii="宋体" w:hAnsi="宋体"/>
          <w:szCs w:val="21"/>
        </w:rPr>
        <w:t>概算和预算（招标控制价）审核费：按浙价服〔2009〕84号文件概算和预算审核规定收费标准的21%执行。</w:t>
      </w:r>
    </w:p>
    <w:p w14:paraId="48D62A34">
      <w:pPr>
        <w:adjustRightInd/>
        <w:spacing w:line="312" w:lineRule="auto"/>
        <w:ind w:firstLine="420" w:firstLineChars="200"/>
        <w:rPr>
          <w:rFonts w:ascii="宋体" w:hAnsi="宋体"/>
          <w:szCs w:val="21"/>
        </w:rPr>
      </w:pPr>
      <w:r>
        <w:rPr>
          <w:rFonts w:hint="eastAsia" w:ascii="宋体" w:hAnsi="宋体"/>
          <w:szCs w:val="21"/>
        </w:rPr>
        <w:t>2.送审金额1亿元及以上的：</w:t>
      </w:r>
    </w:p>
    <w:p w14:paraId="13ABCEE8">
      <w:pPr>
        <w:adjustRightInd/>
        <w:spacing w:line="312" w:lineRule="auto"/>
        <w:ind w:firstLine="420" w:firstLineChars="200"/>
        <w:rPr>
          <w:rFonts w:ascii="宋体" w:hAnsi="宋体"/>
          <w:szCs w:val="21"/>
        </w:rPr>
      </w:pPr>
      <w:r>
        <w:rPr>
          <w:rFonts w:hint="eastAsia" w:ascii="宋体" w:hAnsi="宋体"/>
          <w:szCs w:val="21"/>
        </w:rPr>
        <w:t>在以按浙价服〔2009〕84号文件概算和预算审核规定收费标准的21%为最高限价的基础上，以二次竞价的方式另行确定</w:t>
      </w:r>
    </w:p>
    <w:p w14:paraId="2555E3E3">
      <w:pPr>
        <w:adjustRightInd/>
        <w:spacing w:line="312" w:lineRule="auto"/>
        <w:rPr>
          <w:rFonts w:ascii="宋体" w:hAnsi="宋体"/>
          <w:szCs w:val="21"/>
        </w:rPr>
      </w:pPr>
      <w:r>
        <w:rPr>
          <w:rFonts w:ascii="宋体" w:hAnsi="宋体"/>
          <w:szCs w:val="21"/>
        </w:rPr>
        <w:t xml:space="preserve">四、确定第二阶段成交供应商的方式 </w:t>
      </w:r>
    </w:p>
    <w:p w14:paraId="774E392F">
      <w:pPr>
        <w:adjustRightInd/>
        <w:spacing w:line="312" w:lineRule="auto"/>
        <w:ind w:firstLine="420" w:firstLineChars="200"/>
        <w:rPr>
          <w:rFonts w:ascii="宋体" w:hAnsi="宋体"/>
          <w:szCs w:val="21"/>
        </w:rPr>
      </w:pPr>
      <w:r>
        <w:rPr>
          <w:rFonts w:hint="eastAsia" w:ascii="宋体" w:hAnsi="宋体"/>
          <w:szCs w:val="21"/>
        </w:rPr>
        <w:t>第二阶段成交供应商确定：送审金额在1亿元以下的采用顺序轮候方式，1亿元以上（含1亿元）的在入围供应商中采用二次竞价方式。</w:t>
      </w:r>
    </w:p>
    <w:p w14:paraId="14C586CC">
      <w:pPr>
        <w:adjustRightInd/>
        <w:spacing w:line="312" w:lineRule="auto"/>
        <w:rPr>
          <w:rFonts w:ascii="宋体" w:hAnsi="宋体"/>
          <w:szCs w:val="21"/>
        </w:rPr>
      </w:pPr>
      <w:r>
        <w:rPr>
          <w:rFonts w:ascii="宋体" w:hAnsi="宋体"/>
          <w:szCs w:val="21"/>
        </w:rPr>
        <w:t xml:space="preserve">五、适用框架协议的采购人或者服务对象范围，以及履行合同的地域范围 </w:t>
      </w:r>
    </w:p>
    <w:p w14:paraId="6D5B887C">
      <w:pPr>
        <w:adjustRightInd/>
        <w:spacing w:line="312" w:lineRule="auto"/>
        <w:ind w:firstLine="420" w:firstLineChars="200"/>
        <w:rPr>
          <w:rFonts w:ascii="宋体" w:hAnsi="宋体"/>
          <w:szCs w:val="21"/>
        </w:rPr>
      </w:pPr>
      <w:r>
        <w:rPr>
          <w:rFonts w:ascii="宋体" w:hAnsi="宋体"/>
          <w:szCs w:val="21"/>
        </w:rPr>
        <w:t>1.采购人：</w:t>
      </w:r>
      <w:r>
        <w:rPr>
          <w:rFonts w:hint="eastAsia" w:ascii="宋体" w:hAnsi="宋体"/>
          <w:szCs w:val="21"/>
        </w:rPr>
        <w:t xml:space="preserve">岱山县财政局（岱山县政府投资项目审价中心） </w:t>
      </w:r>
    </w:p>
    <w:p w14:paraId="36370FDC">
      <w:pPr>
        <w:adjustRightInd/>
        <w:spacing w:line="312" w:lineRule="auto"/>
        <w:ind w:firstLine="420" w:firstLineChars="200"/>
        <w:rPr>
          <w:rFonts w:ascii="宋体" w:hAnsi="宋体"/>
          <w:szCs w:val="21"/>
        </w:rPr>
      </w:pPr>
      <w:r>
        <w:rPr>
          <w:rFonts w:ascii="宋体" w:hAnsi="宋体"/>
          <w:szCs w:val="21"/>
        </w:rPr>
        <w:t>2.履行合同的地域范围：</w:t>
      </w:r>
      <w:r>
        <w:rPr>
          <w:rFonts w:hint="eastAsia" w:ascii="宋体" w:hAnsi="宋体"/>
          <w:szCs w:val="21"/>
        </w:rPr>
        <w:t xml:space="preserve"> 岱山县</w:t>
      </w:r>
    </w:p>
    <w:p w14:paraId="5FF53E3E">
      <w:pPr>
        <w:adjustRightInd/>
        <w:spacing w:line="312" w:lineRule="auto"/>
        <w:rPr>
          <w:rFonts w:ascii="宋体" w:hAnsi="宋体"/>
          <w:szCs w:val="21"/>
        </w:rPr>
      </w:pPr>
      <w:r>
        <w:rPr>
          <w:rFonts w:ascii="宋体" w:hAnsi="宋体"/>
          <w:szCs w:val="21"/>
        </w:rPr>
        <w:t xml:space="preserve">六、资金支付方式、时间和条件 </w:t>
      </w:r>
    </w:p>
    <w:p w14:paraId="5570FD6E">
      <w:pPr>
        <w:adjustRightInd/>
        <w:spacing w:line="312" w:lineRule="auto"/>
        <w:ind w:firstLine="420" w:firstLineChars="200"/>
        <w:rPr>
          <w:rFonts w:ascii="宋体" w:hAnsi="宋体"/>
          <w:szCs w:val="21"/>
        </w:rPr>
      </w:pPr>
      <w:r>
        <w:rPr>
          <w:rFonts w:ascii="宋体" w:hAnsi="宋体"/>
          <w:szCs w:val="21"/>
        </w:rPr>
        <w:t xml:space="preserve">1.采购合同中甲乙双方之间所发生的一切费用以人民币进行结算。 </w:t>
      </w:r>
    </w:p>
    <w:p w14:paraId="14857AE8">
      <w:pPr>
        <w:adjustRightInd/>
        <w:spacing w:line="312" w:lineRule="auto"/>
        <w:ind w:firstLine="420" w:firstLineChars="200"/>
        <w:rPr>
          <w:rFonts w:ascii="宋体" w:hAnsi="宋体"/>
          <w:szCs w:val="21"/>
        </w:rPr>
      </w:pPr>
      <w:r>
        <w:rPr>
          <w:rFonts w:ascii="宋体" w:hAnsi="宋体"/>
          <w:szCs w:val="21"/>
        </w:rPr>
        <w:t>2.支付方式：</w:t>
      </w:r>
    </w:p>
    <w:p w14:paraId="71DD7CA2">
      <w:pPr>
        <w:adjustRightInd/>
        <w:spacing w:line="312" w:lineRule="auto"/>
        <w:ind w:firstLine="420" w:firstLineChars="200"/>
        <w:rPr>
          <w:rFonts w:ascii="宋体" w:hAnsi="宋体"/>
          <w:szCs w:val="21"/>
        </w:rPr>
      </w:pPr>
      <w:r>
        <w:rPr>
          <w:rFonts w:ascii="宋体" w:hAnsi="宋体"/>
          <w:szCs w:val="21"/>
        </w:rPr>
        <w:t>3.发票类型：</w:t>
      </w:r>
    </w:p>
    <w:p w14:paraId="0987B890">
      <w:pPr>
        <w:adjustRightInd/>
        <w:spacing w:line="312" w:lineRule="auto"/>
        <w:ind w:firstLine="420" w:firstLineChars="200"/>
        <w:rPr>
          <w:rFonts w:ascii="宋体" w:hAnsi="宋体"/>
          <w:szCs w:val="21"/>
        </w:rPr>
      </w:pPr>
      <w:r>
        <w:rPr>
          <w:rFonts w:ascii="宋体" w:hAnsi="宋体"/>
          <w:szCs w:val="21"/>
        </w:rPr>
        <w:t>4.采购人应付合同款至以下乙方指定的银行账户：</w:t>
      </w:r>
    </w:p>
    <w:p w14:paraId="12B7EE09">
      <w:pPr>
        <w:adjustRightInd/>
        <w:spacing w:line="312" w:lineRule="auto"/>
        <w:ind w:firstLine="420" w:firstLineChars="200"/>
        <w:rPr>
          <w:rFonts w:ascii="宋体" w:hAnsi="宋体"/>
          <w:szCs w:val="21"/>
        </w:rPr>
      </w:pPr>
      <w:r>
        <w:rPr>
          <w:rFonts w:ascii="宋体" w:hAnsi="宋体"/>
          <w:szCs w:val="21"/>
        </w:rPr>
        <w:t>开户名称：</w:t>
      </w:r>
    </w:p>
    <w:p w14:paraId="29F09D4C">
      <w:pPr>
        <w:adjustRightInd/>
        <w:spacing w:line="312" w:lineRule="auto"/>
        <w:ind w:firstLine="420" w:firstLineChars="200"/>
        <w:rPr>
          <w:rFonts w:ascii="宋体" w:hAnsi="宋体"/>
          <w:szCs w:val="21"/>
        </w:rPr>
      </w:pPr>
      <w:r>
        <w:rPr>
          <w:rFonts w:ascii="宋体" w:hAnsi="宋体"/>
          <w:szCs w:val="21"/>
        </w:rPr>
        <w:t>开户银行：</w:t>
      </w:r>
    </w:p>
    <w:p w14:paraId="72E20D4F">
      <w:pPr>
        <w:adjustRightInd/>
        <w:spacing w:line="312" w:lineRule="auto"/>
        <w:ind w:firstLine="420" w:firstLineChars="200"/>
        <w:rPr>
          <w:rFonts w:ascii="宋体" w:hAnsi="宋体"/>
          <w:szCs w:val="21"/>
        </w:rPr>
      </w:pPr>
      <w:r>
        <w:rPr>
          <w:rFonts w:ascii="宋体" w:hAnsi="宋体"/>
          <w:szCs w:val="21"/>
        </w:rPr>
        <w:t>账 号：</w:t>
      </w:r>
    </w:p>
    <w:p w14:paraId="66B02AD2">
      <w:pPr>
        <w:adjustRightInd/>
        <w:spacing w:line="312" w:lineRule="auto"/>
        <w:rPr>
          <w:rFonts w:ascii="宋体" w:hAnsi="宋体"/>
          <w:color w:val="auto"/>
          <w:szCs w:val="21"/>
        </w:rPr>
      </w:pPr>
      <w:r>
        <w:rPr>
          <w:rFonts w:ascii="宋体" w:hAnsi="宋体"/>
          <w:szCs w:val="21"/>
        </w:rPr>
        <w:t>七、封</w:t>
      </w:r>
      <w:r>
        <w:rPr>
          <w:rFonts w:ascii="宋体" w:hAnsi="宋体"/>
          <w:color w:val="auto"/>
          <w:szCs w:val="21"/>
        </w:rPr>
        <w:t xml:space="preserve">闭式框架协议有效期 </w:t>
      </w:r>
    </w:p>
    <w:p w14:paraId="0D39EA1C">
      <w:pPr>
        <w:adjustRightInd/>
        <w:spacing w:line="312" w:lineRule="auto"/>
        <w:ind w:firstLine="420" w:firstLineChars="200"/>
        <w:rPr>
          <w:rFonts w:ascii="宋体" w:hAnsi="宋体"/>
          <w:color w:val="auto"/>
          <w:szCs w:val="21"/>
        </w:rPr>
      </w:pPr>
      <w:r>
        <w:rPr>
          <w:rFonts w:ascii="宋体" w:hAnsi="宋体"/>
          <w:color w:val="auto"/>
          <w:szCs w:val="21"/>
        </w:rPr>
        <w:t>1.有效期：</w:t>
      </w:r>
      <w:r>
        <w:rPr>
          <w:rFonts w:hint="eastAsia" w:ascii="宋体" w:hAnsi="宋体"/>
          <w:color w:val="auto"/>
          <w:szCs w:val="21"/>
        </w:rPr>
        <w:t>合计两年，协议一年一签；甲方根据乙方上一年度的考核情况、资金审批情况决定是否续签。</w:t>
      </w:r>
    </w:p>
    <w:p w14:paraId="08B063CF">
      <w:pPr>
        <w:adjustRightInd/>
        <w:spacing w:line="312" w:lineRule="auto"/>
        <w:ind w:firstLine="420" w:firstLineChars="200"/>
        <w:rPr>
          <w:rFonts w:ascii="宋体" w:hAnsi="宋体"/>
          <w:szCs w:val="21"/>
        </w:rPr>
      </w:pPr>
      <w:r>
        <w:rPr>
          <w:rFonts w:ascii="宋体" w:hAnsi="宋体"/>
          <w:szCs w:val="21"/>
        </w:rPr>
        <w:t>2.在协议有效期内，乙方无正当理由，不得主动放弃入围资格或者退出框架协议。</w:t>
      </w:r>
    </w:p>
    <w:p w14:paraId="19DDCB96">
      <w:pPr>
        <w:tabs>
          <w:tab w:val="left" w:pos="840"/>
        </w:tabs>
        <w:adjustRightInd/>
        <w:spacing w:line="312" w:lineRule="auto"/>
        <w:rPr>
          <w:rFonts w:ascii="宋体" w:hAnsi="宋体" w:cs="仿宋"/>
          <w:snapToGrid w:val="0"/>
          <w:kern w:val="0"/>
          <w:szCs w:val="21"/>
        </w:rPr>
      </w:pPr>
      <w:r>
        <w:rPr>
          <w:rFonts w:hint="eastAsia" w:ascii="宋体" w:hAnsi="宋体" w:cs="仿宋"/>
          <w:snapToGrid w:val="0"/>
          <w:kern w:val="0"/>
          <w:szCs w:val="21"/>
        </w:rPr>
        <w:t xml:space="preserve">八、甲方的权利和义务 </w:t>
      </w:r>
    </w:p>
    <w:p w14:paraId="1482EC6D">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 xml:space="preserve">1.负责选定第二阶段成交供应商。 </w:t>
      </w:r>
    </w:p>
    <w:p w14:paraId="28856517">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 xml:space="preserve">2.负责对乙方进行考核。根据项目审核情况对乙方进行考核，按考核排名、项目特征、专业需求择优选择项目安排，并对考核较差单位进行清退。 </w:t>
      </w:r>
    </w:p>
    <w:p w14:paraId="50FF5AEB">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 xml:space="preserve">3.负责对乙方及其派出人员完成的审核事项及工作结果进行审核验收评价。 </w:t>
      </w:r>
    </w:p>
    <w:p w14:paraId="2E232A80">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4.有权要求乙方派出投标书所列人员，并要求乙方及其派出人员协助配合审核阶段相关工作。</w:t>
      </w:r>
    </w:p>
    <w:p w14:paraId="716FB1FD">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5.若乙方未按要求派出投标书中项目负责人及项目组成员或未经甲方同意更换人员，甲方有权在业务分配中进行合理调整，取消乙方的业务安排资格。</w:t>
      </w:r>
    </w:p>
    <w:p w14:paraId="5E6E99F6">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6.根据乙方的有关要求，协调处理项目实施中的相关事宜。</w:t>
      </w:r>
    </w:p>
    <w:p w14:paraId="6190A5C8">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7.其他应该由甲方履行的义务和承担的责任。</w:t>
      </w:r>
    </w:p>
    <w:p w14:paraId="74F3CBC7">
      <w:pPr>
        <w:tabs>
          <w:tab w:val="left" w:pos="840"/>
        </w:tabs>
        <w:spacing w:line="312" w:lineRule="auto"/>
        <w:rPr>
          <w:rFonts w:ascii="宋体" w:hAnsi="宋体" w:cs="仿宋"/>
          <w:snapToGrid w:val="0"/>
          <w:kern w:val="0"/>
          <w:szCs w:val="21"/>
        </w:rPr>
      </w:pPr>
      <w:r>
        <w:rPr>
          <w:rFonts w:hint="eastAsia" w:ascii="宋体" w:hAnsi="宋体" w:cs="仿宋"/>
          <w:snapToGrid w:val="0"/>
          <w:kern w:val="0"/>
          <w:szCs w:val="21"/>
        </w:rPr>
        <w:t>九、乙方的权利和义务</w:t>
      </w:r>
    </w:p>
    <w:p w14:paraId="11179B61">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1.乙方可以要求甲方提供与委托内容有关的资料。</w:t>
      </w:r>
    </w:p>
    <w:p w14:paraId="302FA2A4">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2.乙方可以要求甲方对有关问题作出解释和补充有关资料。</w:t>
      </w:r>
    </w:p>
    <w:p w14:paraId="609AFAB8">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3.乙方在审核服务过程中应遵守审核纪律、规范审核行为，严格按照行业规范要求开展工作。</w:t>
      </w:r>
    </w:p>
    <w:p w14:paraId="1E42C800">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4.乙方应严格按照甲方的有关规定和要求实施审核服务，接受甲方的监督，并按期完成服务任务，并确保结果真实、合法和准确</w:t>
      </w:r>
    </w:p>
    <w:p w14:paraId="1C5DB129">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5.在合同履行期间，乙方应按甲方要求开展工作，在工作中遵循公平、公正、公开、合法、独立的原则，认真、细致、周到的进行服务。</w:t>
      </w:r>
    </w:p>
    <w:p w14:paraId="534F563C">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6.审核相关资料移交给乙方后，乙方有义务对所有资料进行妥善保管，确保审核结束后完整移交送审资料。乙方及其派出人员不得使用甲方委托事项的资料和结果，用于与委托事项无关的目的。</w:t>
      </w:r>
    </w:p>
    <w:p w14:paraId="57A0D99A">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7.乙方无正当理由，不得主动放弃入围资格或者退出框架协议。</w:t>
      </w:r>
    </w:p>
    <w:p w14:paraId="498ABB48">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8.乙方有义务在本单位中选派投标书中所列的项目组成员（必须要有项目负责人带队）参与服务工作，在本协议履行期间不得自行更换服务人员。</w:t>
      </w:r>
    </w:p>
    <w:p w14:paraId="1D60E038">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9.乙方对其出具的成果报告真实性、合法性负责。</w:t>
      </w:r>
    </w:p>
    <w:p w14:paraId="57F134A2">
      <w:pPr>
        <w:tabs>
          <w:tab w:val="left" w:pos="840"/>
        </w:tabs>
        <w:spacing w:line="312" w:lineRule="auto"/>
        <w:rPr>
          <w:rFonts w:ascii="宋体" w:hAnsi="宋体" w:cs="仿宋"/>
          <w:snapToGrid w:val="0"/>
          <w:kern w:val="0"/>
          <w:szCs w:val="21"/>
        </w:rPr>
      </w:pPr>
      <w:r>
        <w:rPr>
          <w:rFonts w:hint="eastAsia" w:ascii="宋体" w:hAnsi="宋体" w:cs="仿宋"/>
          <w:snapToGrid w:val="0"/>
          <w:kern w:val="0"/>
          <w:szCs w:val="21"/>
        </w:rPr>
        <w:t xml:space="preserve">十、入围供应商的清退和补充规则 </w:t>
      </w:r>
    </w:p>
    <w:p w14:paraId="5DF7BFCA">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1. 清退规则：在下列情形下甲方有权清退乙方，而不需要承担任何责任：</w:t>
      </w:r>
    </w:p>
    <w:p w14:paraId="64CF36D9">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1）乙方实质性违反本协议约定的；</w:t>
      </w:r>
    </w:p>
    <w:p w14:paraId="3D90D44B">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 xml:space="preserve">2）乙方有违反合同约定或其职责、义务的行为，在甲方指定期限内未予以纠正或补救的； </w:t>
      </w:r>
    </w:p>
    <w:p w14:paraId="49874BA4">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3）乙方资质吊销或注销的；</w:t>
      </w:r>
    </w:p>
    <w:p w14:paraId="29D0B107">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4）乙方未严格执行保密制度，泄漏委托方的秘密或与第三方串通损害甲方利益的；由此造成的经济损失，入围方应予赔偿；存在违法违规行为的，由相关部门进行处理；</w:t>
      </w:r>
    </w:p>
    <w:p w14:paraId="76ED84A8">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5）甲方针对项目服务时限、质量有权提出要求并进行考核，由于乙方原因，项目服务时限超出委托时限或质量不合格导致考核结果不合格的；</w:t>
      </w:r>
    </w:p>
    <w:p w14:paraId="4CF53892">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6）乙方与项目相关单位或个人私下交易，接受财物、吃请等违纪行为经查实的；存在违法违规行为的，由相关部门进行处理；</w:t>
      </w:r>
    </w:p>
    <w:p w14:paraId="6D854EE6">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7）乙方在审核过程中将审核资料丢失的；由此造成的经济损失，乙方应予赔偿；存在违法违规行为的，由相关部门进行处理；</w:t>
      </w:r>
    </w:p>
    <w:p w14:paraId="75805A70">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8）在乙方违约情形下，甲方有权对本项目合同进行必要的变更。 因乙方违约导致合同解除的，乙方应按本项目正常计算酬金的 20%支付违约金。</w:t>
      </w:r>
    </w:p>
    <w:p w14:paraId="67DD19E4">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9）乙方提供服务时，需按委托人要求时限完成，无正当理由，未按时完成的将解除合同。</w:t>
      </w:r>
    </w:p>
    <w:p w14:paraId="13C4559D">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10）执行纠错机制，即因审计结果存在较大争议，相关单位提出投诉，并确认乙方为责任方的，甲方有权终止合同。</w:t>
      </w:r>
    </w:p>
    <w:p w14:paraId="10031BDA">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11）确定乙方后，甲方有权对乙方提供的人员名单、注册证明、执业资格、人事关系、业绩材料等相关资料到相关部门进行核实，如投标文件存在虚假情况，则取消入围资格，存在违法违规行为的，由相关部门进行处理；</w:t>
      </w:r>
    </w:p>
    <w:p w14:paraId="0F868C9F">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12）如遇到政策变化或者其他不可抗力因素，双方协商解除。</w:t>
      </w:r>
    </w:p>
    <w:p w14:paraId="1C12D04A">
      <w:pPr>
        <w:tabs>
          <w:tab w:val="left" w:pos="840"/>
        </w:tabs>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2. 补充规则：</w:t>
      </w:r>
      <w:r>
        <w:rPr>
          <w:rFonts w:hint="eastAsia" w:ascii="宋体" w:hAnsi="宋体" w:cs="仿宋"/>
          <w:b/>
          <w:bCs/>
          <w:snapToGrid w:val="0"/>
          <w:kern w:val="0"/>
          <w:szCs w:val="21"/>
        </w:rPr>
        <w:t>在框架协议有效期内，不再补充征集供应商。</w:t>
      </w:r>
    </w:p>
    <w:p w14:paraId="3F7387F8">
      <w:pPr>
        <w:adjustRightInd/>
        <w:spacing w:line="312" w:lineRule="auto"/>
        <w:rPr>
          <w:rFonts w:ascii="宋体" w:hAnsi="宋体" w:cs="仿宋"/>
          <w:snapToGrid w:val="0"/>
          <w:kern w:val="0"/>
          <w:szCs w:val="21"/>
        </w:rPr>
      </w:pPr>
      <w:r>
        <w:rPr>
          <w:rFonts w:hint="eastAsia" w:ascii="宋体" w:hAnsi="宋体" w:cs="仿宋"/>
          <w:snapToGrid w:val="0"/>
          <w:kern w:val="0"/>
          <w:szCs w:val="21"/>
        </w:rPr>
        <w:t>十一、争议解决方式</w:t>
      </w:r>
    </w:p>
    <w:p w14:paraId="2FD70917">
      <w:pPr>
        <w:adjustRightInd/>
        <w:spacing w:line="312" w:lineRule="auto"/>
        <w:ind w:firstLine="420" w:firstLineChars="200"/>
        <w:rPr>
          <w:rFonts w:ascii="宋体" w:hAnsi="宋体" w:cs="仿宋"/>
          <w:snapToGrid w:val="0"/>
          <w:kern w:val="0"/>
          <w:szCs w:val="21"/>
        </w:rPr>
      </w:pPr>
      <w:r>
        <w:rPr>
          <w:rFonts w:hint="eastAsia" w:ascii="宋体" w:hAnsi="宋体" w:cs="仿宋"/>
          <w:snapToGrid w:val="0"/>
          <w:kern w:val="0"/>
          <w:szCs w:val="21"/>
        </w:rPr>
        <w:t>协议履行过程中发生的任何争议，双方当事人均可通过和解或者调解解决；不愿和解、调解或者和解、调解不成的，可以选择下列方式解决：</w:t>
      </w:r>
    </w:p>
    <w:p w14:paraId="3B397432">
      <w:pPr>
        <w:adjustRightInd/>
        <w:spacing w:line="312" w:lineRule="auto"/>
        <w:ind w:firstLine="420" w:firstLineChars="200"/>
        <w:rPr>
          <w:rFonts w:ascii="宋体" w:hAnsi="宋体"/>
          <w:szCs w:val="21"/>
        </w:rPr>
      </w:pPr>
      <w:r>
        <w:rPr>
          <w:rFonts w:hint="eastAsia" w:ascii="宋体" w:hAnsi="宋体" w:cs="仿宋"/>
          <w:snapToGrid w:val="0"/>
          <w:kern w:val="0"/>
          <w:szCs w:val="21"/>
        </w:rPr>
        <w:t>将争议提交征集人所在地仲裁委员会依申请仲裁时其现行有效的仲裁规则裁决；</w:t>
      </w:r>
    </w:p>
    <w:p w14:paraId="01CDE012">
      <w:pPr>
        <w:adjustRightInd/>
        <w:spacing w:line="312" w:lineRule="auto"/>
        <w:rPr>
          <w:rFonts w:ascii="宋体" w:hAnsi="宋体" w:cs="宋体"/>
          <w:kern w:val="0"/>
          <w:szCs w:val="21"/>
        </w:rPr>
      </w:pPr>
      <w:r>
        <w:rPr>
          <w:rFonts w:hint="eastAsia" w:ascii="宋体" w:hAnsi="宋体" w:cs="宋体"/>
          <w:kern w:val="0"/>
          <w:szCs w:val="21"/>
        </w:rPr>
        <w:t>十二、本合同未尽事宜，由甲、乙双方协商解决。</w:t>
      </w:r>
    </w:p>
    <w:p w14:paraId="7FD47B26">
      <w:pPr>
        <w:adjustRightInd/>
        <w:spacing w:line="312" w:lineRule="auto"/>
        <w:rPr>
          <w:rFonts w:ascii="宋体" w:hAnsi="宋体" w:cs="宋体"/>
          <w:kern w:val="0"/>
          <w:szCs w:val="21"/>
        </w:rPr>
      </w:pPr>
      <w:r>
        <w:rPr>
          <w:rFonts w:hint="eastAsia" w:ascii="宋体" w:hAnsi="宋体" w:cs="宋体"/>
          <w:kern w:val="0"/>
          <w:szCs w:val="21"/>
        </w:rPr>
        <w:t>十三、本合同壹式叁份，甲、乙双方及代理机构各执壹份，具有同等的法律效力。</w:t>
      </w:r>
    </w:p>
    <w:p w14:paraId="1E3E2DBD">
      <w:pPr>
        <w:adjustRightInd/>
        <w:spacing w:line="312" w:lineRule="auto"/>
        <w:ind w:firstLine="420" w:firstLineChars="200"/>
        <w:rPr>
          <w:rFonts w:ascii="宋体" w:hAnsi="宋体" w:cs="宋体"/>
          <w:kern w:val="0"/>
          <w:szCs w:val="21"/>
        </w:rPr>
      </w:pPr>
    </w:p>
    <w:p w14:paraId="5A3CD3B9">
      <w:pPr>
        <w:adjustRightInd/>
        <w:spacing w:line="312" w:lineRule="auto"/>
        <w:ind w:firstLine="420" w:firstLineChars="200"/>
        <w:rPr>
          <w:rFonts w:ascii="宋体" w:hAnsi="宋体" w:cs="宋体"/>
          <w:kern w:val="0"/>
          <w:szCs w:val="21"/>
        </w:rPr>
      </w:pPr>
      <w:r>
        <w:rPr>
          <w:rFonts w:hint="eastAsia" w:ascii="宋体" w:hAnsi="宋体" w:cs="宋体"/>
          <w:kern w:val="0"/>
          <w:szCs w:val="21"/>
        </w:rPr>
        <w:t>甲方：                           乙方：</w:t>
      </w:r>
    </w:p>
    <w:p w14:paraId="2469EA56">
      <w:pPr>
        <w:adjustRightInd/>
        <w:spacing w:line="312" w:lineRule="auto"/>
        <w:ind w:firstLine="420" w:firstLineChars="200"/>
        <w:rPr>
          <w:rFonts w:ascii="宋体" w:hAnsi="宋体" w:cs="宋体"/>
          <w:kern w:val="0"/>
          <w:szCs w:val="21"/>
        </w:rPr>
      </w:pPr>
      <w:r>
        <w:rPr>
          <w:rFonts w:hint="eastAsia" w:ascii="宋体" w:hAnsi="宋体" w:cs="宋体"/>
          <w:kern w:val="0"/>
          <w:szCs w:val="21"/>
        </w:rPr>
        <w:t>地址：                           地址：</w:t>
      </w:r>
    </w:p>
    <w:p w14:paraId="0EDDA97C">
      <w:pPr>
        <w:adjustRightInd/>
        <w:spacing w:line="312" w:lineRule="auto"/>
        <w:ind w:firstLine="420" w:firstLineChars="200"/>
        <w:rPr>
          <w:rFonts w:ascii="宋体" w:hAnsi="宋体" w:cs="宋体"/>
          <w:kern w:val="0"/>
          <w:szCs w:val="21"/>
        </w:rPr>
      </w:pPr>
      <w:r>
        <w:rPr>
          <w:rFonts w:hint="eastAsia" w:ascii="宋体" w:hAnsi="宋体" w:cs="宋体"/>
          <w:kern w:val="0"/>
          <w:szCs w:val="21"/>
        </w:rPr>
        <w:t>法人代表：                       法人代表：</w:t>
      </w:r>
    </w:p>
    <w:p w14:paraId="5D4EF4AF">
      <w:pPr>
        <w:adjustRightInd/>
        <w:spacing w:line="312" w:lineRule="auto"/>
        <w:ind w:firstLine="420" w:firstLineChars="200"/>
        <w:rPr>
          <w:rFonts w:ascii="宋体" w:hAnsi="宋体" w:cs="宋体"/>
          <w:kern w:val="0"/>
          <w:szCs w:val="21"/>
        </w:rPr>
      </w:pPr>
      <w:r>
        <w:rPr>
          <w:rFonts w:hint="eastAsia" w:ascii="宋体" w:hAnsi="宋体" w:cs="宋体"/>
          <w:kern w:val="0"/>
          <w:szCs w:val="21"/>
        </w:rPr>
        <w:t>电话：                           电话：</w:t>
      </w:r>
    </w:p>
    <w:p w14:paraId="21118C13">
      <w:pPr>
        <w:adjustRightInd/>
        <w:spacing w:line="312" w:lineRule="auto"/>
        <w:ind w:firstLine="420" w:firstLineChars="200"/>
        <w:rPr>
          <w:rFonts w:ascii="宋体" w:hAnsi="宋体" w:cs="宋体"/>
          <w:kern w:val="0"/>
          <w:szCs w:val="21"/>
        </w:rPr>
      </w:pPr>
      <w:r>
        <w:rPr>
          <w:rFonts w:hint="eastAsia" w:ascii="宋体" w:hAnsi="宋体" w:cs="宋体"/>
          <w:kern w:val="0"/>
          <w:szCs w:val="21"/>
        </w:rPr>
        <w:t>电传：                           电传：</w:t>
      </w:r>
    </w:p>
    <w:p w14:paraId="63B8AD5B">
      <w:pPr>
        <w:adjustRightInd/>
        <w:spacing w:line="312" w:lineRule="auto"/>
        <w:ind w:firstLine="420" w:firstLineChars="200"/>
        <w:rPr>
          <w:rFonts w:ascii="宋体" w:hAnsi="宋体" w:cs="宋体"/>
          <w:kern w:val="0"/>
          <w:szCs w:val="21"/>
        </w:rPr>
      </w:pPr>
      <w:r>
        <w:rPr>
          <w:rFonts w:hint="eastAsia" w:ascii="宋体" w:hAnsi="宋体" w:cs="宋体"/>
          <w:kern w:val="0"/>
          <w:szCs w:val="21"/>
        </w:rPr>
        <w:t>邮政编码：                       邮政编码：</w:t>
      </w:r>
    </w:p>
    <w:p w14:paraId="5DF64170">
      <w:pPr>
        <w:adjustRightInd/>
        <w:spacing w:line="312" w:lineRule="auto"/>
        <w:ind w:firstLine="420" w:firstLineChars="200"/>
        <w:rPr>
          <w:rFonts w:ascii="宋体" w:hAnsi="宋体" w:cs="宋体"/>
          <w:kern w:val="0"/>
          <w:szCs w:val="21"/>
        </w:rPr>
      </w:pPr>
      <w:r>
        <w:rPr>
          <w:rFonts w:hint="eastAsia" w:ascii="宋体" w:hAnsi="宋体" w:cs="宋体"/>
          <w:kern w:val="0"/>
          <w:szCs w:val="21"/>
        </w:rPr>
        <w:t>开户银行：                       开户银行：</w:t>
      </w:r>
    </w:p>
    <w:p w14:paraId="5B60A310">
      <w:pPr>
        <w:adjustRightInd/>
        <w:spacing w:line="312" w:lineRule="auto"/>
        <w:ind w:firstLine="420" w:firstLineChars="200"/>
        <w:rPr>
          <w:rFonts w:ascii="宋体" w:hAnsi="宋体" w:cs="宋体"/>
          <w:kern w:val="0"/>
          <w:szCs w:val="21"/>
        </w:rPr>
      </w:pPr>
      <w:r>
        <w:rPr>
          <w:rFonts w:hint="eastAsia" w:ascii="宋体" w:hAnsi="宋体" w:cs="宋体"/>
          <w:kern w:val="0"/>
          <w:szCs w:val="21"/>
        </w:rPr>
        <w:t>账号：                           账号：</w:t>
      </w:r>
    </w:p>
    <w:p w14:paraId="0BC10EE4">
      <w:pPr>
        <w:adjustRightInd/>
        <w:spacing w:line="312" w:lineRule="auto"/>
        <w:ind w:firstLine="420" w:firstLineChars="200"/>
        <w:rPr>
          <w:rFonts w:ascii="宋体" w:hAnsi="宋体"/>
          <w:szCs w:val="21"/>
        </w:rPr>
      </w:pPr>
      <w:r>
        <w:rPr>
          <w:rFonts w:hint="eastAsia" w:ascii="宋体" w:hAnsi="宋体" w:cs="宋体"/>
          <w:kern w:val="0"/>
          <w:szCs w:val="21"/>
        </w:rPr>
        <w:t>日期：                           日期：</w:t>
      </w:r>
    </w:p>
    <w:p w14:paraId="035CF5BF">
      <w:pPr>
        <w:spacing w:line="360" w:lineRule="auto"/>
        <w:rPr>
          <w:rFonts w:ascii="仿宋_GB2312" w:hAnsi="宋体" w:eastAsia="仿宋_GB2312"/>
          <w:sz w:val="24"/>
        </w:rPr>
      </w:pPr>
    </w:p>
    <w:p w14:paraId="43316BFB">
      <w:pPr>
        <w:spacing w:line="360" w:lineRule="auto"/>
        <w:rPr>
          <w:rFonts w:ascii="仿宋_GB2312" w:hAnsi="宋体" w:eastAsia="仿宋_GB2312"/>
          <w:sz w:val="24"/>
        </w:rPr>
      </w:pPr>
    </w:p>
    <w:p w14:paraId="4864A5A1">
      <w:pPr>
        <w:spacing w:line="360" w:lineRule="auto"/>
        <w:rPr>
          <w:rFonts w:ascii="仿宋_GB2312" w:hAnsi="宋体" w:eastAsia="仿宋_GB2312"/>
          <w:sz w:val="24"/>
        </w:rPr>
      </w:pPr>
    </w:p>
    <w:p w14:paraId="62B80D5D">
      <w:pPr>
        <w:spacing w:line="360" w:lineRule="auto"/>
        <w:rPr>
          <w:rFonts w:ascii="仿宋_GB2312" w:hAnsi="宋体" w:eastAsia="仿宋_GB2312"/>
          <w:sz w:val="24"/>
        </w:rPr>
      </w:pPr>
    </w:p>
    <w:p w14:paraId="554320B6">
      <w:pPr>
        <w:spacing w:line="360" w:lineRule="auto"/>
        <w:rPr>
          <w:rFonts w:ascii="仿宋_GB2312" w:hAnsi="宋体" w:eastAsia="仿宋_GB2312"/>
          <w:sz w:val="24"/>
        </w:rPr>
      </w:pPr>
    </w:p>
    <w:p w14:paraId="12116F32">
      <w:pPr>
        <w:adjustRightInd/>
        <w:spacing w:line="560" w:lineRule="exact"/>
        <w:jc w:val="center"/>
        <w:rPr>
          <w:rFonts w:ascii="宋体" w:hAnsi="宋体" w:cs="仿宋"/>
          <w:b/>
          <w:spacing w:val="40"/>
          <w:sz w:val="36"/>
          <w:szCs w:val="36"/>
        </w:rPr>
      </w:pPr>
    </w:p>
    <w:p w14:paraId="59917E92">
      <w:pPr>
        <w:adjustRightInd/>
        <w:spacing w:line="560" w:lineRule="exact"/>
        <w:jc w:val="center"/>
        <w:rPr>
          <w:rFonts w:ascii="宋体" w:hAnsi="宋体" w:cs="仿宋"/>
        </w:rPr>
      </w:pPr>
      <w:r>
        <w:rPr>
          <w:rFonts w:hint="eastAsia" w:ascii="宋体" w:hAnsi="宋体" w:cs="仿宋"/>
          <w:b/>
          <w:spacing w:val="40"/>
          <w:sz w:val="36"/>
          <w:szCs w:val="36"/>
        </w:rPr>
        <w:t>审核服务委托合同</w:t>
      </w:r>
    </w:p>
    <w:p w14:paraId="3FEC9307">
      <w:pPr>
        <w:snapToGrid w:val="0"/>
        <w:spacing w:line="360" w:lineRule="auto"/>
        <w:rPr>
          <w:rFonts w:ascii="宋体" w:hAnsi="宋体" w:cs="宋体"/>
          <w:b/>
          <w:color w:val="000000"/>
          <w:sz w:val="30"/>
          <w:szCs w:val="30"/>
        </w:rPr>
      </w:pPr>
    </w:p>
    <w:p w14:paraId="712BF9FA">
      <w:pPr>
        <w:jc w:val="center"/>
        <w:rPr>
          <w:rFonts w:ascii="宋体" w:hAnsi="宋体" w:cs="宋体"/>
          <w:b/>
          <w:bCs/>
          <w:color w:val="000000"/>
          <w:szCs w:val="21"/>
        </w:rPr>
      </w:pPr>
      <w:r>
        <w:rPr>
          <w:rFonts w:hint="eastAsia" w:ascii="宋体" w:hAnsi="宋体" w:cs="宋体"/>
          <w:b/>
          <w:bCs/>
          <w:color w:val="000000"/>
          <w:szCs w:val="21"/>
        </w:rPr>
        <w:t>第一部分  工程造价咨询协议书</w:t>
      </w:r>
    </w:p>
    <w:p w14:paraId="62B46DBE">
      <w:pPr>
        <w:spacing w:line="500" w:lineRule="exact"/>
        <w:rPr>
          <w:rFonts w:ascii="宋体" w:hAnsi="宋体" w:cs="Arial Unicode MS"/>
          <w:b/>
          <w:bCs/>
          <w:color w:val="000000"/>
          <w:szCs w:val="21"/>
        </w:rPr>
      </w:pPr>
      <w:r>
        <w:rPr>
          <w:rFonts w:hint="eastAsia" w:ascii="宋体" w:hAnsi="宋体" w:cs="Arial Unicode MS"/>
          <w:color w:val="000000"/>
          <w:szCs w:val="21"/>
        </w:rPr>
        <w:t>甲方：岱山</w:t>
      </w:r>
      <w:r>
        <w:rPr>
          <w:rFonts w:hAnsi="宋体" w:cs="宋体"/>
          <w:color w:val="000000"/>
          <w:szCs w:val="21"/>
        </w:rPr>
        <w:t>县财政局</w:t>
      </w:r>
      <w:r>
        <w:rPr>
          <w:rFonts w:hint="eastAsia" w:hAnsi="宋体" w:cs="宋体"/>
          <w:color w:val="000000"/>
          <w:szCs w:val="21"/>
        </w:rPr>
        <w:t>（岱山县政府投资项目审价中心）（</w:t>
      </w:r>
      <w:r>
        <w:rPr>
          <w:rFonts w:hint="eastAsia" w:ascii="宋体" w:hAnsi="宋体" w:cs="Arial Unicode MS"/>
          <w:color w:val="000000"/>
          <w:szCs w:val="21"/>
        </w:rPr>
        <w:t>以下简称委托人）</w:t>
      </w:r>
    </w:p>
    <w:p w14:paraId="4190A45D">
      <w:pPr>
        <w:spacing w:line="500" w:lineRule="exact"/>
        <w:jc w:val="left"/>
        <w:rPr>
          <w:rFonts w:ascii="宋体" w:hAnsi="宋体" w:cs="Arial Unicode MS"/>
          <w:color w:val="000000"/>
          <w:szCs w:val="21"/>
        </w:rPr>
      </w:pPr>
      <w:r>
        <w:rPr>
          <w:rFonts w:hint="eastAsia" w:ascii="宋体" w:hAnsi="宋体" w:cs="Arial Unicode MS"/>
          <w:color w:val="000000"/>
          <w:szCs w:val="21"/>
        </w:rPr>
        <w:t>乙方：（以下简称咨询人）</w:t>
      </w:r>
    </w:p>
    <w:p w14:paraId="4C869477">
      <w:pPr>
        <w:spacing w:line="380" w:lineRule="exact"/>
        <w:ind w:firstLine="420" w:firstLineChars="200"/>
        <w:rPr>
          <w:rFonts w:ascii="宋体" w:hAnsi="宋体"/>
          <w:color w:val="000000"/>
        </w:rPr>
      </w:pPr>
      <w:r>
        <w:rPr>
          <w:rFonts w:hint="eastAsia" w:ascii="宋体" w:hAnsi="宋体"/>
          <w:color w:val="000000"/>
        </w:rPr>
        <w:t>双方根据深圳市国信招标有限公司关于</w:t>
      </w:r>
      <w:r>
        <w:rPr>
          <w:rFonts w:hint="eastAsia" w:ascii="宋体" w:hAnsi="宋体"/>
          <w:color w:val="000000"/>
          <w:u w:val="single"/>
        </w:rPr>
        <w:t>（项目名称）</w:t>
      </w:r>
      <w:r>
        <w:rPr>
          <w:rFonts w:hint="eastAsia" w:ascii="宋体" w:hAnsi="宋体"/>
          <w:color w:val="000000"/>
        </w:rPr>
        <w:t>的结果，</w:t>
      </w:r>
      <w:r>
        <w:rPr>
          <w:rFonts w:hint="eastAsia" w:ascii="宋体" w:hAnsi="宋体" w:cs="Arial Unicode MS"/>
          <w:color w:val="000000"/>
          <w:szCs w:val="21"/>
        </w:rPr>
        <w:t>经过双方协商一致，签订本合同。</w:t>
      </w:r>
    </w:p>
    <w:p w14:paraId="3290EE82">
      <w:pPr>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一、委托人委托咨询人为</w:t>
      </w:r>
    </w:p>
    <w:p w14:paraId="6A19847E">
      <w:pPr>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工程概算审核、预算（招标控制价)审核提供工程造价咨询服务。</w:t>
      </w:r>
    </w:p>
    <w:p w14:paraId="15EFFA86">
      <w:pPr>
        <w:tabs>
          <w:tab w:val="left" w:pos="1440"/>
          <w:tab w:val="left" w:pos="1980"/>
          <w:tab w:val="left" w:pos="2160"/>
          <w:tab w:val="left" w:pos="2340"/>
          <w:tab w:val="left" w:pos="4500"/>
          <w:tab w:val="left" w:pos="4680"/>
          <w:tab w:val="left" w:pos="6660"/>
        </w:tabs>
        <w:spacing w:line="500" w:lineRule="exact"/>
        <w:ind w:firstLine="388" w:firstLineChars="185"/>
        <w:rPr>
          <w:rFonts w:ascii="宋体" w:hAnsi="宋体" w:cs="Arial Unicode MS"/>
          <w:color w:val="000000"/>
          <w:szCs w:val="21"/>
        </w:rPr>
      </w:pPr>
      <w:r>
        <w:rPr>
          <w:rFonts w:hint="eastAsia" w:ascii="宋体" w:hAnsi="宋体" w:cs="Arial Unicode MS"/>
          <w:color w:val="000000"/>
          <w:szCs w:val="21"/>
        </w:rPr>
        <w:t>本合同的措词和用语与所属工程造价咨询合同条件及有关附件同义。</w:t>
      </w:r>
    </w:p>
    <w:p w14:paraId="71BAC14F">
      <w:pPr>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二、下列文件均为本合同的组成部分：</w:t>
      </w:r>
    </w:p>
    <w:p w14:paraId="0571DDA4">
      <w:pPr>
        <w:tabs>
          <w:tab w:val="left" w:pos="1440"/>
          <w:tab w:val="left" w:pos="1980"/>
          <w:tab w:val="left" w:pos="2160"/>
          <w:tab w:val="left" w:pos="2340"/>
          <w:tab w:val="left" w:pos="4500"/>
          <w:tab w:val="left" w:pos="4680"/>
          <w:tab w:val="left" w:pos="6660"/>
        </w:tabs>
        <w:spacing w:line="460" w:lineRule="exact"/>
        <w:ind w:firstLine="388" w:firstLineChars="185"/>
        <w:rPr>
          <w:rFonts w:ascii="宋体" w:hAnsi="宋体" w:cs="Arial Unicode MS"/>
          <w:szCs w:val="21"/>
        </w:rPr>
      </w:pPr>
      <w:r>
        <w:rPr>
          <w:rFonts w:hint="eastAsia" w:ascii="宋体" w:hAnsi="宋体" w:cs="Arial Unicode MS"/>
          <w:szCs w:val="21"/>
        </w:rPr>
        <w:t>1.入围通知书；</w:t>
      </w:r>
    </w:p>
    <w:p w14:paraId="03E1BAAE">
      <w:pPr>
        <w:tabs>
          <w:tab w:val="left" w:pos="1440"/>
          <w:tab w:val="left" w:pos="1980"/>
          <w:tab w:val="left" w:pos="2160"/>
          <w:tab w:val="left" w:pos="2340"/>
          <w:tab w:val="left" w:pos="4500"/>
          <w:tab w:val="left" w:pos="4680"/>
          <w:tab w:val="left" w:pos="6660"/>
        </w:tabs>
        <w:spacing w:line="460" w:lineRule="exact"/>
        <w:ind w:firstLine="388" w:firstLineChars="185"/>
        <w:rPr>
          <w:rFonts w:ascii="宋体" w:hAnsi="宋体" w:cs="Arial Unicode MS"/>
          <w:szCs w:val="21"/>
        </w:rPr>
      </w:pPr>
      <w:r>
        <w:rPr>
          <w:rFonts w:hint="eastAsia" w:ascii="宋体" w:hAnsi="宋体" w:cs="Arial Unicode MS"/>
          <w:szCs w:val="21"/>
        </w:rPr>
        <w:t>2.工程造价咨询合同标准条款；</w:t>
      </w:r>
    </w:p>
    <w:p w14:paraId="40E4995D">
      <w:pPr>
        <w:tabs>
          <w:tab w:val="left" w:pos="1440"/>
          <w:tab w:val="left" w:pos="1980"/>
          <w:tab w:val="left" w:pos="2160"/>
          <w:tab w:val="left" w:pos="2340"/>
          <w:tab w:val="left" w:pos="4500"/>
          <w:tab w:val="left" w:pos="4680"/>
          <w:tab w:val="left" w:pos="6660"/>
        </w:tabs>
        <w:spacing w:line="460" w:lineRule="exact"/>
        <w:ind w:firstLine="388" w:firstLineChars="185"/>
        <w:rPr>
          <w:rFonts w:ascii="宋体" w:hAnsi="宋体" w:cs="Arial Unicode MS"/>
          <w:szCs w:val="21"/>
        </w:rPr>
      </w:pPr>
      <w:r>
        <w:rPr>
          <w:rFonts w:hint="eastAsia" w:ascii="宋体" w:hAnsi="宋体" w:cs="Arial Unicode MS"/>
          <w:szCs w:val="21"/>
        </w:rPr>
        <w:t>3.工程造价咨询合同专用条款；</w:t>
      </w:r>
    </w:p>
    <w:p w14:paraId="40062401">
      <w:pPr>
        <w:tabs>
          <w:tab w:val="left" w:pos="1440"/>
          <w:tab w:val="left" w:pos="1980"/>
          <w:tab w:val="left" w:pos="2160"/>
          <w:tab w:val="left" w:pos="2340"/>
          <w:tab w:val="left" w:pos="4500"/>
          <w:tab w:val="left" w:pos="4680"/>
          <w:tab w:val="left" w:pos="6660"/>
        </w:tabs>
        <w:spacing w:line="460" w:lineRule="exact"/>
        <w:ind w:firstLine="388" w:firstLineChars="185"/>
        <w:rPr>
          <w:rFonts w:ascii="宋体" w:hAnsi="宋体" w:cs="Arial Unicode MS"/>
          <w:szCs w:val="21"/>
        </w:rPr>
      </w:pPr>
      <w:r>
        <w:rPr>
          <w:rFonts w:hint="eastAsia" w:ascii="宋体" w:hAnsi="宋体" w:cs="Arial Unicode MS"/>
          <w:szCs w:val="21"/>
        </w:rPr>
        <w:t>4.投标文件；</w:t>
      </w:r>
    </w:p>
    <w:p w14:paraId="27E4F5AB">
      <w:pPr>
        <w:tabs>
          <w:tab w:val="left" w:pos="1440"/>
          <w:tab w:val="left" w:pos="1980"/>
          <w:tab w:val="left" w:pos="2160"/>
          <w:tab w:val="left" w:pos="2340"/>
          <w:tab w:val="left" w:pos="4500"/>
          <w:tab w:val="left" w:pos="4680"/>
          <w:tab w:val="left" w:pos="6660"/>
        </w:tabs>
        <w:spacing w:line="460" w:lineRule="exact"/>
        <w:ind w:firstLine="388" w:firstLineChars="185"/>
        <w:rPr>
          <w:rFonts w:ascii="宋体" w:hAnsi="宋体" w:cs="Arial Unicode MS"/>
          <w:szCs w:val="21"/>
        </w:rPr>
      </w:pPr>
      <w:r>
        <w:rPr>
          <w:rFonts w:hint="eastAsia" w:ascii="宋体" w:hAnsi="宋体" w:cs="Arial Unicode MS"/>
          <w:szCs w:val="21"/>
        </w:rPr>
        <w:t>5.其他合同文件。</w:t>
      </w:r>
    </w:p>
    <w:p w14:paraId="3D81E30C">
      <w:pPr>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三、咨询人同意按照本合同的规定，承担本合同专用条件中议定范围内的工程造价咨询业务。</w:t>
      </w:r>
    </w:p>
    <w:p w14:paraId="310673C7">
      <w:pPr>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四、委托人同意按照本合同规定的期限、方式、币种、额度向咨询人支付酬金。</w:t>
      </w:r>
    </w:p>
    <w:p w14:paraId="485C3F84">
      <w:pPr>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五、本合同的工程造价咨询业务自年月日开始实施，至年月日终结。</w:t>
      </w:r>
    </w:p>
    <w:p w14:paraId="17696D9B">
      <w:pPr>
        <w:spacing w:line="380" w:lineRule="exact"/>
        <w:ind w:firstLine="420" w:firstLineChars="200"/>
        <w:rPr>
          <w:rFonts w:ascii="宋体" w:hAnsi="宋体"/>
          <w:color w:val="000000"/>
        </w:rPr>
      </w:pPr>
      <w:r>
        <w:rPr>
          <w:rFonts w:hint="eastAsia" w:ascii="宋体" w:hAnsi="宋体" w:cs="Arial Unicode MS"/>
          <w:color w:val="000000"/>
          <w:szCs w:val="21"/>
        </w:rPr>
        <w:t>六、</w:t>
      </w:r>
      <w:r>
        <w:rPr>
          <w:rFonts w:hint="eastAsia" w:ascii="宋体" w:hAnsi="宋体" w:cs="Arial Unicode MS"/>
          <w:color w:val="000000"/>
          <w:szCs w:val="21"/>
          <w:u w:val="single"/>
        </w:rPr>
        <w:t>本合同一式</w:t>
      </w:r>
      <w:r>
        <w:rPr>
          <w:rFonts w:hint="eastAsia" w:ascii="宋体" w:hAnsi="宋体" w:cs="Arial Unicode MS"/>
          <w:color w:val="000000"/>
          <w:szCs w:val="21"/>
          <w:u w:val="single"/>
          <w:lang w:val="en-US" w:eastAsia="zh-CN"/>
        </w:rPr>
        <w:t>肆</w:t>
      </w:r>
      <w:r>
        <w:rPr>
          <w:rFonts w:hint="eastAsia" w:ascii="宋体" w:hAnsi="宋体" w:cs="Arial Unicode MS"/>
          <w:color w:val="000000"/>
          <w:szCs w:val="21"/>
          <w:u w:val="single"/>
        </w:rPr>
        <w:t>份，具有同等法律效力，甲乙双方各执</w:t>
      </w:r>
      <w:r>
        <w:rPr>
          <w:rFonts w:hint="eastAsia" w:ascii="宋体" w:hAnsi="宋体" w:cs="Arial Unicode MS"/>
          <w:color w:val="000000"/>
          <w:szCs w:val="21"/>
          <w:u w:val="single"/>
          <w:lang w:val="en-US" w:eastAsia="zh-CN"/>
        </w:rPr>
        <w:t>贰</w:t>
      </w:r>
      <w:r>
        <w:rPr>
          <w:rFonts w:hint="eastAsia" w:ascii="宋体" w:hAnsi="宋体" w:cs="Arial Unicode MS"/>
          <w:color w:val="000000"/>
          <w:szCs w:val="21"/>
          <w:u w:val="single"/>
        </w:rPr>
        <w:t>份.</w:t>
      </w:r>
    </w:p>
    <w:p w14:paraId="4931FA69">
      <w:pPr>
        <w:spacing w:line="500" w:lineRule="exact"/>
        <w:ind w:left="6510" w:leftChars="200" w:hanging="6090" w:hangingChars="2900"/>
        <w:rPr>
          <w:rFonts w:ascii="宋体" w:hAnsi="宋体"/>
          <w:color w:val="000000"/>
        </w:rPr>
      </w:pPr>
      <w:r>
        <w:rPr>
          <w:rFonts w:hint="eastAsia" w:ascii="宋体" w:hAnsi="宋体" w:cs="Arial Unicode MS"/>
          <w:color w:val="000000"/>
          <w:szCs w:val="21"/>
        </w:rPr>
        <w:t>委   托   人：（盖章）          咨</w:t>
      </w:r>
      <w:r>
        <w:rPr>
          <w:rFonts w:hint="eastAsia" w:ascii="宋体" w:hAnsi="宋体" w:cs="Arial Unicode MS"/>
          <w:color w:val="000000"/>
          <w:szCs w:val="21"/>
          <w:lang w:val="en-US" w:eastAsia="zh-CN"/>
        </w:rPr>
        <w:t xml:space="preserve">   </w:t>
      </w:r>
      <w:r>
        <w:rPr>
          <w:rFonts w:hint="eastAsia" w:ascii="宋体" w:hAnsi="宋体" w:cs="Arial Unicode MS"/>
          <w:color w:val="000000"/>
          <w:szCs w:val="21"/>
        </w:rPr>
        <w:t xml:space="preserve">询   人：（盖章）   </w:t>
      </w:r>
    </w:p>
    <w:p w14:paraId="3A5F9C7E">
      <w:pPr>
        <w:tabs>
          <w:tab w:val="left" w:pos="1980"/>
          <w:tab w:val="left" w:pos="2160"/>
          <w:tab w:val="left" w:pos="4500"/>
          <w:tab w:val="left" w:pos="4680"/>
          <w:tab w:val="left" w:pos="6660"/>
        </w:tabs>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 xml:space="preserve">法定代表人： （签字）          </w:t>
      </w:r>
      <w:r>
        <w:rPr>
          <w:rFonts w:hint="eastAsia" w:ascii="宋体" w:hAnsi="宋体" w:cs="Arial Unicode MS"/>
          <w:color w:val="000000"/>
          <w:szCs w:val="21"/>
          <w:lang w:val="en-US" w:eastAsia="zh-CN"/>
        </w:rPr>
        <w:t xml:space="preserve"> </w:t>
      </w:r>
      <w:r>
        <w:rPr>
          <w:rFonts w:hint="eastAsia" w:ascii="宋体" w:hAnsi="宋体" w:cs="Arial Unicode MS"/>
          <w:color w:val="000000"/>
          <w:szCs w:val="21"/>
        </w:rPr>
        <w:t>法定代表人： （签字）</w:t>
      </w:r>
      <w:bookmarkStart w:id="419" w:name="_GoBack"/>
      <w:bookmarkEnd w:id="419"/>
    </w:p>
    <w:p w14:paraId="18DC0903">
      <w:pPr>
        <w:tabs>
          <w:tab w:val="left" w:pos="1440"/>
          <w:tab w:val="left" w:pos="1980"/>
          <w:tab w:val="left" w:pos="2160"/>
          <w:tab w:val="left" w:pos="4500"/>
          <w:tab w:val="left" w:pos="4680"/>
          <w:tab w:val="left" w:pos="6660"/>
        </w:tabs>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开户银行：                      开户银行：</w:t>
      </w:r>
    </w:p>
    <w:p w14:paraId="7B6EEC45">
      <w:pPr>
        <w:tabs>
          <w:tab w:val="left" w:pos="1440"/>
          <w:tab w:val="left" w:pos="1980"/>
          <w:tab w:val="left" w:pos="2160"/>
          <w:tab w:val="left" w:pos="4500"/>
          <w:tab w:val="left" w:pos="4680"/>
          <w:tab w:val="left" w:pos="6660"/>
        </w:tabs>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帐    号：                      帐    号：</w:t>
      </w:r>
    </w:p>
    <w:p w14:paraId="326BAECE">
      <w:pPr>
        <w:tabs>
          <w:tab w:val="left" w:pos="1440"/>
          <w:tab w:val="left" w:pos="1980"/>
          <w:tab w:val="left" w:pos="2160"/>
          <w:tab w:val="left" w:pos="4500"/>
          <w:tab w:val="left" w:pos="4680"/>
          <w:tab w:val="left" w:pos="6660"/>
        </w:tabs>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电    话：                      电    话：</w:t>
      </w:r>
    </w:p>
    <w:p w14:paraId="285E52F9">
      <w:pPr>
        <w:tabs>
          <w:tab w:val="left" w:pos="1440"/>
          <w:tab w:val="left" w:pos="1980"/>
          <w:tab w:val="left" w:pos="2160"/>
          <w:tab w:val="left" w:pos="4500"/>
          <w:tab w:val="left" w:pos="4680"/>
          <w:tab w:val="left" w:pos="6660"/>
        </w:tabs>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传    真：                      传    真：</w:t>
      </w:r>
    </w:p>
    <w:p w14:paraId="2C1DD0CB">
      <w:pPr>
        <w:tabs>
          <w:tab w:val="left" w:pos="1440"/>
          <w:tab w:val="left" w:pos="1980"/>
          <w:tab w:val="left" w:pos="2160"/>
          <w:tab w:val="left" w:pos="4500"/>
          <w:tab w:val="left" w:pos="4680"/>
          <w:tab w:val="left" w:pos="6660"/>
        </w:tabs>
        <w:spacing w:line="500" w:lineRule="exact"/>
        <w:ind w:firstLine="420" w:firstLineChars="200"/>
        <w:rPr>
          <w:rFonts w:ascii="宋体" w:hAnsi="宋体" w:cs="Arial Unicode MS"/>
          <w:color w:val="000000"/>
          <w:szCs w:val="21"/>
        </w:rPr>
      </w:pPr>
      <w:r>
        <w:rPr>
          <w:rFonts w:hint="eastAsia" w:ascii="宋体" w:hAnsi="宋体" w:cs="Arial Unicode MS"/>
          <w:color w:val="000000"/>
          <w:szCs w:val="21"/>
        </w:rPr>
        <w:t>年  月  日                      年  月  日</w:t>
      </w:r>
    </w:p>
    <w:p w14:paraId="5A6898FB">
      <w:pPr>
        <w:tabs>
          <w:tab w:val="left" w:pos="1440"/>
          <w:tab w:val="left" w:pos="1980"/>
          <w:tab w:val="left" w:pos="2160"/>
          <w:tab w:val="left" w:pos="4500"/>
          <w:tab w:val="left" w:pos="4680"/>
          <w:tab w:val="left" w:pos="6660"/>
        </w:tabs>
        <w:spacing w:line="500" w:lineRule="exact"/>
        <w:ind w:firstLine="211" w:firstLineChars="100"/>
        <w:jc w:val="center"/>
        <w:rPr>
          <w:rFonts w:ascii="宋体" w:hAnsi="宋体" w:cs="Arial Unicode MS"/>
          <w:b/>
          <w:bCs/>
          <w:color w:val="000000"/>
          <w:szCs w:val="21"/>
        </w:rPr>
      </w:pPr>
    </w:p>
    <w:p w14:paraId="611DE826">
      <w:pPr>
        <w:tabs>
          <w:tab w:val="left" w:pos="1440"/>
          <w:tab w:val="left" w:pos="1980"/>
          <w:tab w:val="left" w:pos="2160"/>
          <w:tab w:val="left" w:pos="4500"/>
          <w:tab w:val="left" w:pos="4680"/>
          <w:tab w:val="left" w:pos="6660"/>
        </w:tabs>
        <w:spacing w:line="500" w:lineRule="exact"/>
        <w:ind w:firstLine="211" w:firstLineChars="100"/>
        <w:jc w:val="center"/>
        <w:rPr>
          <w:rFonts w:ascii="宋体" w:hAnsi="宋体" w:cs="Arial Unicode MS"/>
          <w:b/>
          <w:bCs/>
          <w:color w:val="000000"/>
          <w:szCs w:val="21"/>
        </w:rPr>
      </w:pPr>
    </w:p>
    <w:p w14:paraId="5EEBFACB">
      <w:pPr>
        <w:tabs>
          <w:tab w:val="left" w:pos="1440"/>
          <w:tab w:val="left" w:pos="1980"/>
          <w:tab w:val="left" w:pos="2160"/>
          <w:tab w:val="left" w:pos="4500"/>
          <w:tab w:val="left" w:pos="4680"/>
          <w:tab w:val="left" w:pos="6660"/>
        </w:tabs>
        <w:spacing w:line="312" w:lineRule="auto"/>
        <w:ind w:firstLine="211" w:firstLineChars="100"/>
        <w:jc w:val="center"/>
        <w:rPr>
          <w:rFonts w:ascii="宋体" w:hAnsi="宋体" w:cs="Arial Unicode MS"/>
          <w:b/>
          <w:bCs/>
          <w:color w:val="000000"/>
          <w:szCs w:val="21"/>
        </w:rPr>
      </w:pPr>
    </w:p>
    <w:p w14:paraId="79BB197B">
      <w:pPr>
        <w:tabs>
          <w:tab w:val="left" w:pos="1440"/>
          <w:tab w:val="left" w:pos="1980"/>
          <w:tab w:val="left" w:pos="2160"/>
          <w:tab w:val="left" w:pos="4500"/>
          <w:tab w:val="left" w:pos="4680"/>
          <w:tab w:val="left" w:pos="6660"/>
        </w:tabs>
        <w:spacing w:line="312" w:lineRule="auto"/>
        <w:ind w:firstLine="211" w:firstLineChars="100"/>
        <w:jc w:val="center"/>
        <w:rPr>
          <w:rFonts w:ascii="宋体" w:hAnsi="宋体" w:cs="Arial Unicode MS"/>
          <w:b/>
          <w:bCs/>
          <w:color w:val="000000"/>
          <w:szCs w:val="21"/>
        </w:rPr>
      </w:pPr>
      <w:r>
        <w:rPr>
          <w:rFonts w:hint="eastAsia" w:ascii="宋体" w:hAnsi="宋体" w:cs="Arial Unicode MS"/>
          <w:b/>
          <w:bCs/>
          <w:color w:val="000000"/>
          <w:szCs w:val="21"/>
        </w:rPr>
        <w:t>第二部分   工程造价咨询合同标准条件</w:t>
      </w:r>
    </w:p>
    <w:p w14:paraId="79D4AF58">
      <w:pPr>
        <w:tabs>
          <w:tab w:val="left" w:pos="1440"/>
          <w:tab w:val="left" w:pos="1980"/>
          <w:tab w:val="left" w:pos="2160"/>
          <w:tab w:val="left" w:pos="4500"/>
          <w:tab w:val="left" w:pos="4680"/>
          <w:tab w:val="left" w:pos="6660"/>
        </w:tabs>
        <w:spacing w:line="312" w:lineRule="auto"/>
        <w:ind w:firstLine="211" w:firstLineChars="100"/>
        <w:jc w:val="center"/>
        <w:rPr>
          <w:rFonts w:ascii="宋体" w:hAnsi="宋体" w:cs="Arial Unicode MS"/>
          <w:b/>
          <w:bCs/>
          <w:color w:val="000000"/>
          <w:szCs w:val="21"/>
        </w:rPr>
      </w:pPr>
      <w:r>
        <w:rPr>
          <w:rFonts w:hint="eastAsia" w:ascii="宋体" w:hAnsi="宋体" w:cs="Arial Unicode MS"/>
          <w:b/>
          <w:bCs/>
          <w:color w:val="000000"/>
          <w:szCs w:val="21"/>
        </w:rPr>
        <w:t>词语定义、适用语言和法律、法规</w:t>
      </w:r>
    </w:p>
    <w:p w14:paraId="07E4E45C">
      <w:pPr>
        <w:tabs>
          <w:tab w:val="left" w:pos="1980"/>
          <w:tab w:val="left" w:pos="2160"/>
          <w:tab w:val="left" w:pos="4500"/>
          <w:tab w:val="left" w:pos="4680"/>
          <w:tab w:val="left" w:pos="6660"/>
        </w:tabs>
        <w:spacing w:line="312" w:lineRule="auto"/>
        <w:ind w:firstLine="392" w:firstLineChars="186"/>
        <w:rPr>
          <w:rFonts w:ascii="宋体" w:hAnsi="宋体" w:cs="Arial Unicode MS"/>
          <w:color w:val="000000"/>
          <w:szCs w:val="21"/>
        </w:rPr>
      </w:pPr>
      <w:r>
        <w:rPr>
          <w:rFonts w:hint="eastAsia" w:ascii="宋体" w:hAnsi="宋体" w:cs="Arial Unicode MS"/>
          <w:b/>
          <w:bCs/>
          <w:color w:val="000000"/>
          <w:szCs w:val="21"/>
        </w:rPr>
        <w:t>第一条</w:t>
      </w:r>
      <w:r>
        <w:rPr>
          <w:rFonts w:hint="eastAsia" w:ascii="宋体" w:hAnsi="宋体" w:cs="Arial Unicode MS"/>
          <w:color w:val="000000"/>
          <w:szCs w:val="21"/>
        </w:rPr>
        <w:t xml:space="preserve">   下列名词和用语，除上下文另有规定外具有如下含义。</w:t>
      </w:r>
    </w:p>
    <w:p w14:paraId="366DF096">
      <w:pPr>
        <w:tabs>
          <w:tab w:val="left" w:pos="1440"/>
          <w:tab w:val="left" w:pos="1980"/>
          <w:tab w:val="left" w:pos="2160"/>
          <w:tab w:val="left" w:pos="4500"/>
          <w:tab w:val="left" w:pos="4680"/>
          <w:tab w:val="left" w:pos="6660"/>
        </w:tabs>
        <w:spacing w:line="312" w:lineRule="auto"/>
        <w:ind w:firstLine="525" w:firstLineChars="250"/>
        <w:rPr>
          <w:rFonts w:ascii="宋体" w:hAnsi="宋体" w:cs="Arial Unicode MS"/>
          <w:color w:val="000000"/>
          <w:szCs w:val="21"/>
        </w:rPr>
      </w:pPr>
      <w:r>
        <w:rPr>
          <w:rFonts w:hint="eastAsia" w:ascii="宋体" w:hAnsi="宋体" w:cs="Arial Unicode MS"/>
          <w:color w:val="000000"/>
          <w:szCs w:val="21"/>
        </w:rPr>
        <w:t>1．“委托人”是指委托建设工程造价咨询业务和聘用工程造价咨询单位的一方。</w:t>
      </w:r>
    </w:p>
    <w:p w14:paraId="67561ABA">
      <w:pPr>
        <w:tabs>
          <w:tab w:val="left" w:pos="1440"/>
          <w:tab w:val="left" w:pos="1980"/>
          <w:tab w:val="left" w:pos="2160"/>
          <w:tab w:val="left" w:pos="4500"/>
          <w:tab w:val="left" w:pos="4680"/>
          <w:tab w:val="left" w:pos="6660"/>
        </w:tabs>
        <w:spacing w:line="312" w:lineRule="auto"/>
        <w:ind w:left="1" w:firstLine="525" w:firstLineChars="250"/>
        <w:rPr>
          <w:rFonts w:ascii="宋体" w:hAnsi="宋体" w:cs="Arial Unicode MS"/>
          <w:color w:val="000000"/>
          <w:szCs w:val="21"/>
        </w:rPr>
      </w:pPr>
      <w:r>
        <w:rPr>
          <w:rFonts w:hint="eastAsia" w:ascii="宋体" w:hAnsi="宋体" w:cs="Arial Unicode MS"/>
          <w:color w:val="000000"/>
          <w:szCs w:val="21"/>
        </w:rPr>
        <w:t>2．“咨询人”是指承担建设工程造价咨询业务和工程造价咨询责任的一方，以及其合法继承人。</w:t>
      </w:r>
    </w:p>
    <w:p w14:paraId="1A115AD0">
      <w:pPr>
        <w:tabs>
          <w:tab w:val="left" w:pos="1440"/>
          <w:tab w:val="left" w:pos="1980"/>
          <w:tab w:val="left" w:pos="2160"/>
          <w:tab w:val="left" w:pos="4500"/>
          <w:tab w:val="left" w:pos="4680"/>
          <w:tab w:val="left" w:pos="6660"/>
        </w:tabs>
        <w:spacing w:line="312" w:lineRule="auto"/>
        <w:ind w:firstLine="525" w:firstLineChars="250"/>
        <w:rPr>
          <w:rFonts w:ascii="宋体" w:hAnsi="宋体" w:cs="Arial Unicode MS"/>
          <w:color w:val="000000"/>
          <w:szCs w:val="21"/>
        </w:rPr>
      </w:pPr>
      <w:r>
        <w:rPr>
          <w:rFonts w:hint="eastAsia" w:ascii="宋体" w:hAnsi="宋体" w:cs="Arial Unicode MS"/>
          <w:color w:val="000000"/>
          <w:szCs w:val="21"/>
        </w:rPr>
        <w:t>3．“第三人”是指除委托人、咨询人以外与本咨询业务有关的当事人。</w:t>
      </w:r>
    </w:p>
    <w:p w14:paraId="2D983AFF">
      <w:pPr>
        <w:tabs>
          <w:tab w:val="left" w:pos="1440"/>
          <w:tab w:val="left" w:pos="1980"/>
          <w:tab w:val="left" w:pos="2160"/>
          <w:tab w:val="left" w:pos="4500"/>
          <w:tab w:val="left" w:pos="4680"/>
          <w:tab w:val="left" w:pos="6660"/>
        </w:tabs>
        <w:spacing w:line="312" w:lineRule="auto"/>
        <w:ind w:firstLine="525" w:firstLineChars="250"/>
        <w:rPr>
          <w:rFonts w:ascii="宋体" w:hAnsi="宋体" w:cs="Arial Unicode MS"/>
          <w:color w:val="000000"/>
          <w:szCs w:val="21"/>
        </w:rPr>
      </w:pPr>
      <w:r>
        <w:rPr>
          <w:rFonts w:hint="eastAsia" w:ascii="宋体" w:hAnsi="宋体" w:cs="Arial Unicode MS"/>
          <w:color w:val="000000"/>
          <w:szCs w:val="21"/>
        </w:rPr>
        <w:t>4．“日”是指任何一天零时至第二天零时的时间段。</w:t>
      </w:r>
    </w:p>
    <w:p w14:paraId="702DFCC0">
      <w:pPr>
        <w:tabs>
          <w:tab w:val="left" w:pos="1440"/>
          <w:tab w:val="left" w:pos="1980"/>
          <w:tab w:val="left" w:pos="2160"/>
          <w:tab w:val="left" w:pos="4500"/>
          <w:tab w:val="left" w:pos="4680"/>
          <w:tab w:val="left" w:pos="6660"/>
        </w:tabs>
        <w:spacing w:line="312" w:lineRule="auto"/>
        <w:ind w:left="-105" w:leftChars="-50" w:firstLine="392" w:firstLineChars="186"/>
        <w:rPr>
          <w:rFonts w:ascii="宋体" w:hAnsi="宋体" w:cs="Arial Unicode MS"/>
          <w:color w:val="000000"/>
          <w:szCs w:val="21"/>
        </w:rPr>
      </w:pPr>
      <w:r>
        <w:rPr>
          <w:rFonts w:hint="eastAsia" w:ascii="宋体" w:hAnsi="宋体" w:cs="Arial Unicode MS"/>
          <w:b/>
          <w:bCs/>
          <w:color w:val="000000"/>
          <w:szCs w:val="21"/>
        </w:rPr>
        <w:t xml:space="preserve">第二条    </w:t>
      </w:r>
      <w:r>
        <w:rPr>
          <w:rFonts w:hint="eastAsia" w:ascii="宋体" w:hAnsi="宋体" w:cs="Arial Unicode MS"/>
          <w:color w:val="000000"/>
          <w:szCs w:val="21"/>
        </w:rPr>
        <w:t>工程造价咨询合同适用的是中国的法律、法规，以及专用条件中议定的部门规章、工程造价有关计价办法和规定或项目所在地的地方法规、地方规章。</w:t>
      </w:r>
    </w:p>
    <w:p w14:paraId="0623141A">
      <w:pPr>
        <w:tabs>
          <w:tab w:val="left" w:pos="1440"/>
          <w:tab w:val="left" w:pos="1980"/>
          <w:tab w:val="left" w:pos="2160"/>
          <w:tab w:val="left" w:pos="4500"/>
          <w:tab w:val="left" w:pos="4680"/>
          <w:tab w:val="left" w:pos="6660"/>
        </w:tabs>
        <w:spacing w:line="312" w:lineRule="auto"/>
        <w:ind w:firstLine="310" w:firstLineChars="147"/>
        <w:rPr>
          <w:rFonts w:ascii="宋体" w:hAnsi="宋体" w:cs="Arial Unicode MS"/>
          <w:color w:val="000000"/>
          <w:szCs w:val="21"/>
        </w:rPr>
      </w:pPr>
      <w:r>
        <w:rPr>
          <w:rFonts w:hint="eastAsia" w:ascii="宋体" w:hAnsi="宋体" w:cs="Arial Unicode MS"/>
          <w:b/>
          <w:bCs/>
          <w:color w:val="000000"/>
          <w:szCs w:val="21"/>
        </w:rPr>
        <w:t xml:space="preserve">第三条   </w:t>
      </w:r>
      <w:r>
        <w:rPr>
          <w:rFonts w:hint="eastAsia" w:ascii="宋体" w:hAnsi="宋体" w:cs="Arial Unicode MS"/>
          <w:color w:val="000000"/>
          <w:szCs w:val="21"/>
        </w:rPr>
        <w:t>工程造价咨询合同的书写、解释和说明，以汉语为主导语言。当不同语言文本发生不同解释时，以汉语合同文本为准。</w:t>
      </w:r>
    </w:p>
    <w:p w14:paraId="28B6972E">
      <w:pPr>
        <w:tabs>
          <w:tab w:val="left" w:pos="3230"/>
        </w:tabs>
        <w:spacing w:line="312" w:lineRule="auto"/>
        <w:jc w:val="center"/>
        <w:rPr>
          <w:rFonts w:ascii="宋体" w:hAnsi="宋体" w:cs="Arial Unicode MS"/>
          <w:b/>
          <w:bCs/>
          <w:color w:val="000000"/>
          <w:szCs w:val="21"/>
        </w:rPr>
      </w:pPr>
      <w:r>
        <w:rPr>
          <w:rFonts w:hint="eastAsia" w:ascii="宋体" w:hAnsi="宋体" w:cs="Arial Unicode MS"/>
          <w:b/>
          <w:bCs/>
          <w:color w:val="000000"/>
          <w:szCs w:val="21"/>
        </w:rPr>
        <w:t>咨询人的义务</w:t>
      </w:r>
    </w:p>
    <w:p w14:paraId="7801847B">
      <w:pPr>
        <w:tabs>
          <w:tab w:val="left" w:pos="1440"/>
          <w:tab w:val="left" w:pos="1980"/>
          <w:tab w:val="left" w:pos="2160"/>
          <w:tab w:val="left" w:pos="4500"/>
          <w:tab w:val="left" w:pos="4680"/>
          <w:tab w:val="left" w:pos="6660"/>
        </w:tabs>
        <w:spacing w:line="312" w:lineRule="auto"/>
        <w:ind w:firstLine="314" w:firstLineChars="149"/>
        <w:rPr>
          <w:rFonts w:ascii="宋体" w:hAnsi="宋体" w:cs="Arial Unicode MS"/>
          <w:color w:val="000000"/>
          <w:szCs w:val="21"/>
        </w:rPr>
      </w:pPr>
      <w:r>
        <w:rPr>
          <w:rFonts w:hint="eastAsia" w:ascii="宋体" w:hAnsi="宋体" w:cs="Arial Unicode MS"/>
          <w:b/>
          <w:bCs/>
          <w:color w:val="000000"/>
          <w:szCs w:val="21"/>
        </w:rPr>
        <w:t xml:space="preserve">第四条 </w:t>
      </w:r>
      <w:r>
        <w:rPr>
          <w:rFonts w:hint="eastAsia" w:ascii="宋体" w:hAnsi="宋体" w:cs="Arial Unicode MS"/>
          <w:color w:val="000000"/>
          <w:szCs w:val="21"/>
        </w:rPr>
        <w:t xml:space="preserve">  向委托人提供与工程造价咨询业务有关的资料，包括工程造价咨询的资质证书及承担本合同业务的专业人员名单、咨询工程计划等，并按合同专用条件中约定的范围实施咨询业务。</w:t>
      </w:r>
    </w:p>
    <w:p w14:paraId="1DD28601">
      <w:pPr>
        <w:tabs>
          <w:tab w:val="left" w:pos="1440"/>
          <w:tab w:val="left" w:pos="1980"/>
          <w:tab w:val="left" w:pos="2160"/>
          <w:tab w:val="left" w:pos="4500"/>
          <w:tab w:val="left" w:pos="4680"/>
          <w:tab w:val="left" w:pos="6660"/>
        </w:tabs>
        <w:spacing w:line="312" w:lineRule="auto"/>
        <w:ind w:firstLine="310" w:firstLineChars="147"/>
        <w:rPr>
          <w:rFonts w:ascii="宋体" w:hAnsi="宋体" w:cs="Arial Unicode MS"/>
          <w:color w:val="000000"/>
          <w:szCs w:val="21"/>
        </w:rPr>
      </w:pPr>
      <w:r>
        <w:rPr>
          <w:rFonts w:hint="eastAsia" w:ascii="宋体" w:hAnsi="宋体" w:cs="Arial Unicode MS"/>
          <w:b/>
          <w:bCs/>
          <w:color w:val="000000"/>
          <w:szCs w:val="21"/>
        </w:rPr>
        <w:t xml:space="preserve">第五条   </w:t>
      </w:r>
      <w:r>
        <w:rPr>
          <w:rFonts w:hint="eastAsia" w:ascii="宋体" w:hAnsi="宋体" w:cs="Arial Unicode MS"/>
          <w:color w:val="000000"/>
          <w:szCs w:val="21"/>
        </w:rPr>
        <w:t>咨询人在履行本合同期间，向委托人提供的服务包括正常服务、附加服务。</w:t>
      </w:r>
    </w:p>
    <w:p w14:paraId="20A12112">
      <w:pPr>
        <w:tabs>
          <w:tab w:val="left" w:pos="1440"/>
          <w:tab w:val="left" w:pos="1980"/>
          <w:tab w:val="left" w:pos="2160"/>
          <w:tab w:val="left" w:pos="4500"/>
          <w:tab w:val="left" w:pos="4680"/>
          <w:tab w:val="left" w:pos="6660"/>
        </w:tabs>
        <w:spacing w:line="312" w:lineRule="auto"/>
        <w:ind w:firstLine="420" w:firstLineChars="200"/>
        <w:rPr>
          <w:rFonts w:ascii="宋体" w:hAnsi="宋体" w:cs="Arial Unicode MS"/>
          <w:color w:val="000000"/>
          <w:szCs w:val="21"/>
        </w:rPr>
      </w:pPr>
      <w:r>
        <w:rPr>
          <w:rFonts w:hint="eastAsia" w:ascii="宋体" w:hAnsi="宋体" w:cs="Arial Unicode MS"/>
          <w:color w:val="000000"/>
          <w:szCs w:val="21"/>
        </w:rPr>
        <w:t>1、“正常服务”是指双方在专用条件中约定的工程造价咨询工作；</w:t>
      </w:r>
    </w:p>
    <w:p w14:paraId="6E830E82">
      <w:pPr>
        <w:tabs>
          <w:tab w:val="left" w:pos="1440"/>
          <w:tab w:val="left" w:pos="1980"/>
          <w:tab w:val="left" w:pos="2160"/>
          <w:tab w:val="left" w:pos="4500"/>
          <w:tab w:val="left" w:pos="4680"/>
          <w:tab w:val="left" w:pos="6660"/>
        </w:tabs>
        <w:spacing w:line="312" w:lineRule="auto"/>
        <w:ind w:firstLine="525" w:firstLineChars="250"/>
        <w:rPr>
          <w:rFonts w:ascii="宋体" w:hAnsi="宋体" w:cs="Arial Unicode MS"/>
          <w:color w:val="000000"/>
          <w:szCs w:val="21"/>
        </w:rPr>
      </w:pPr>
      <w:r>
        <w:rPr>
          <w:rFonts w:hint="eastAsia" w:ascii="宋体" w:hAnsi="宋体" w:cs="Arial Unicode MS"/>
          <w:color w:val="000000"/>
          <w:szCs w:val="21"/>
        </w:rPr>
        <w:t>2、“附加服务”是指在“正常服务”以外，经双方书面协议确定的附加服务；</w:t>
      </w:r>
    </w:p>
    <w:p w14:paraId="680F06F4">
      <w:pPr>
        <w:tabs>
          <w:tab w:val="left" w:pos="1440"/>
          <w:tab w:val="left" w:pos="1980"/>
          <w:tab w:val="left" w:pos="2160"/>
          <w:tab w:val="left" w:pos="4500"/>
          <w:tab w:val="left" w:pos="4680"/>
          <w:tab w:val="left" w:pos="6660"/>
        </w:tabs>
        <w:spacing w:line="312" w:lineRule="auto"/>
        <w:ind w:firstLine="422" w:firstLineChars="200"/>
        <w:rPr>
          <w:rFonts w:ascii="宋体" w:hAnsi="宋体" w:cs="Arial Unicode MS"/>
          <w:color w:val="000000"/>
          <w:szCs w:val="21"/>
        </w:rPr>
      </w:pPr>
      <w:r>
        <w:rPr>
          <w:rFonts w:hint="eastAsia" w:ascii="宋体" w:hAnsi="宋体" w:cs="Arial Unicode MS"/>
          <w:b/>
          <w:bCs/>
          <w:color w:val="000000"/>
          <w:szCs w:val="21"/>
        </w:rPr>
        <w:t xml:space="preserve">第六条   </w:t>
      </w:r>
      <w:r>
        <w:rPr>
          <w:rFonts w:hint="eastAsia" w:ascii="宋体" w:hAnsi="宋体" w:cs="Arial Unicode MS"/>
          <w:color w:val="000000"/>
          <w:szCs w:val="21"/>
        </w:rPr>
        <w:t>在履行合同期间或合同规定期限内，不得泄露与本合同规定业务活动有关的保密资料。</w:t>
      </w:r>
    </w:p>
    <w:p w14:paraId="227F87FC">
      <w:pPr>
        <w:tabs>
          <w:tab w:val="left" w:pos="1440"/>
          <w:tab w:val="left" w:pos="1980"/>
          <w:tab w:val="left" w:pos="2160"/>
          <w:tab w:val="left" w:pos="4500"/>
          <w:tab w:val="left" w:pos="4680"/>
          <w:tab w:val="left" w:pos="6660"/>
        </w:tabs>
        <w:spacing w:line="312" w:lineRule="auto"/>
        <w:ind w:left="281" w:leftChars="134"/>
        <w:jc w:val="center"/>
        <w:rPr>
          <w:rFonts w:ascii="宋体" w:hAnsi="宋体" w:cs="Arial Unicode MS"/>
          <w:b/>
          <w:bCs/>
          <w:color w:val="000000"/>
          <w:szCs w:val="21"/>
        </w:rPr>
      </w:pPr>
      <w:r>
        <w:rPr>
          <w:rFonts w:hint="eastAsia" w:ascii="宋体" w:hAnsi="宋体" w:cs="Arial Unicode MS"/>
          <w:b/>
          <w:bCs/>
          <w:color w:val="000000"/>
          <w:szCs w:val="21"/>
        </w:rPr>
        <w:t>委托人的义务</w:t>
      </w:r>
    </w:p>
    <w:p w14:paraId="3A63D3BE">
      <w:pPr>
        <w:tabs>
          <w:tab w:val="left" w:pos="1440"/>
          <w:tab w:val="left" w:pos="1980"/>
          <w:tab w:val="left" w:pos="216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第七条   </w:t>
      </w:r>
      <w:r>
        <w:rPr>
          <w:rFonts w:hint="eastAsia" w:ascii="宋体" w:hAnsi="宋体" w:cs="Arial Unicode MS"/>
          <w:color w:val="000000"/>
          <w:szCs w:val="21"/>
        </w:rPr>
        <w:t>委托人应负责与本工程造价咨询业务有关的第三人的协调，为咨询人工作提供外部条件。</w:t>
      </w:r>
    </w:p>
    <w:p w14:paraId="2E4732C0">
      <w:pPr>
        <w:tabs>
          <w:tab w:val="left" w:pos="1440"/>
          <w:tab w:val="left" w:pos="1980"/>
          <w:tab w:val="left" w:pos="216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第八条   </w:t>
      </w:r>
      <w:r>
        <w:rPr>
          <w:rFonts w:hint="eastAsia" w:ascii="宋体" w:hAnsi="宋体" w:cs="Arial Unicode MS"/>
          <w:color w:val="000000"/>
          <w:szCs w:val="21"/>
        </w:rPr>
        <w:t>委托人应当在约定的时间内，免费向咨询人提供与本项目咨询业务有关的资料。</w:t>
      </w:r>
    </w:p>
    <w:p w14:paraId="021C3B30">
      <w:pPr>
        <w:tabs>
          <w:tab w:val="left" w:pos="1440"/>
          <w:tab w:val="left" w:pos="1980"/>
          <w:tab w:val="left" w:pos="2160"/>
          <w:tab w:val="left" w:pos="4500"/>
          <w:tab w:val="left" w:pos="4680"/>
          <w:tab w:val="left" w:pos="6660"/>
        </w:tabs>
        <w:spacing w:line="312" w:lineRule="auto"/>
        <w:ind w:firstLine="411" w:firstLineChars="195"/>
        <w:rPr>
          <w:rFonts w:ascii="宋体" w:hAnsi="宋体" w:cs="Arial Unicode MS"/>
          <w:color w:val="000000"/>
          <w:szCs w:val="21"/>
        </w:rPr>
      </w:pPr>
      <w:r>
        <w:rPr>
          <w:rFonts w:hint="eastAsia" w:ascii="宋体" w:hAnsi="宋体" w:cs="Arial Unicode MS"/>
          <w:b/>
          <w:bCs/>
          <w:color w:val="000000"/>
          <w:szCs w:val="21"/>
        </w:rPr>
        <w:t xml:space="preserve">第九条 </w:t>
      </w:r>
      <w:r>
        <w:rPr>
          <w:rFonts w:hint="eastAsia" w:ascii="宋体" w:hAnsi="宋体" w:cs="Arial Unicode MS"/>
          <w:color w:val="000000"/>
          <w:szCs w:val="21"/>
        </w:rPr>
        <w:t xml:space="preserve">  委托人应当在约定的时间内就咨询人书面提交并要求做出答复的事宜做出书面答复。咨询人要求第三人提供有关资料时，委托人应负责转达及资料转送。</w:t>
      </w:r>
    </w:p>
    <w:p w14:paraId="1962A794">
      <w:pPr>
        <w:tabs>
          <w:tab w:val="left" w:pos="1440"/>
          <w:tab w:val="left" w:pos="1980"/>
          <w:tab w:val="left" w:pos="2160"/>
          <w:tab w:val="left" w:pos="4500"/>
          <w:tab w:val="left" w:pos="4680"/>
          <w:tab w:val="left" w:pos="6660"/>
        </w:tabs>
        <w:spacing w:line="312" w:lineRule="auto"/>
        <w:ind w:firstLine="411" w:firstLineChars="195"/>
        <w:rPr>
          <w:rFonts w:ascii="宋体" w:hAnsi="宋体" w:cs="Arial Unicode MS"/>
          <w:color w:val="000000"/>
          <w:szCs w:val="21"/>
        </w:rPr>
      </w:pPr>
      <w:r>
        <w:rPr>
          <w:rFonts w:hint="eastAsia" w:ascii="宋体" w:hAnsi="宋体" w:cs="Arial Unicode MS"/>
          <w:b/>
          <w:bCs/>
          <w:color w:val="000000"/>
          <w:szCs w:val="21"/>
        </w:rPr>
        <w:t xml:space="preserve">第十条   </w:t>
      </w:r>
      <w:r>
        <w:rPr>
          <w:rFonts w:hint="eastAsia" w:ascii="宋体" w:hAnsi="宋体" w:cs="Arial Unicode MS"/>
          <w:color w:val="000000"/>
          <w:szCs w:val="21"/>
        </w:rPr>
        <w:t>委托人应当授权胜任本咨询业务的代表，负责与咨询人联系。</w:t>
      </w:r>
    </w:p>
    <w:p w14:paraId="1B339BDA">
      <w:pPr>
        <w:tabs>
          <w:tab w:val="left" w:pos="1440"/>
          <w:tab w:val="left" w:pos="1980"/>
          <w:tab w:val="left" w:pos="2160"/>
          <w:tab w:val="left" w:pos="4500"/>
          <w:tab w:val="left" w:pos="4680"/>
          <w:tab w:val="left" w:pos="6660"/>
        </w:tabs>
        <w:spacing w:line="312" w:lineRule="auto"/>
        <w:jc w:val="center"/>
        <w:rPr>
          <w:rFonts w:ascii="宋体" w:hAnsi="宋体" w:cs="Arial Unicode MS"/>
          <w:color w:val="000000"/>
          <w:szCs w:val="21"/>
        </w:rPr>
      </w:pPr>
      <w:r>
        <w:rPr>
          <w:rFonts w:hint="eastAsia" w:ascii="宋体" w:hAnsi="宋体" w:cs="Arial Unicode MS"/>
          <w:b/>
          <w:bCs/>
          <w:color w:val="000000"/>
          <w:szCs w:val="21"/>
        </w:rPr>
        <w:t>咨询人的权利</w:t>
      </w:r>
    </w:p>
    <w:p w14:paraId="35EC10BF">
      <w:pPr>
        <w:tabs>
          <w:tab w:val="left" w:pos="1440"/>
          <w:tab w:val="left" w:pos="1980"/>
          <w:tab w:val="left" w:pos="216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第十一条 </w:t>
      </w:r>
      <w:r>
        <w:rPr>
          <w:rFonts w:hint="eastAsia" w:ascii="宋体" w:hAnsi="宋体" w:cs="Arial Unicode MS"/>
          <w:color w:val="000000"/>
          <w:szCs w:val="21"/>
        </w:rPr>
        <w:t xml:space="preserve">  委托人在委托的工程造价咨询业务范围内，授予咨询人以下权利：</w:t>
      </w:r>
    </w:p>
    <w:p w14:paraId="43181450">
      <w:pPr>
        <w:tabs>
          <w:tab w:val="left" w:pos="1440"/>
          <w:tab w:val="left" w:pos="1980"/>
          <w:tab w:val="left" w:pos="2160"/>
          <w:tab w:val="left" w:pos="4500"/>
          <w:tab w:val="left" w:pos="4680"/>
          <w:tab w:val="left" w:pos="6660"/>
        </w:tabs>
        <w:spacing w:line="312" w:lineRule="auto"/>
        <w:ind w:firstLine="420" w:firstLineChars="200"/>
        <w:rPr>
          <w:rFonts w:ascii="宋体" w:hAnsi="宋体" w:cs="Arial Unicode MS"/>
          <w:color w:val="000000"/>
          <w:szCs w:val="21"/>
        </w:rPr>
      </w:pPr>
      <w:r>
        <w:rPr>
          <w:rFonts w:hint="eastAsia" w:ascii="宋体" w:hAnsi="宋体" w:cs="Arial Unicode MS"/>
          <w:color w:val="000000"/>
          <w:szCs w:val="21"/>
        </w:rPr>
        <w:t>1.咨询人在咨询过程中，如委托人提供的资料不明确时可向委托人提出书面报告。</w:t>
      </w:r>
    </w:p>
    <w:p w14:paraId="1EBD4E13">
      <w:pPr>
        <w:tabs>
          <w:tab w:val="left" w:pos="1440"/>
          <w:tab w:val="left" w:pos="1980"/>
          <w:tab w:val="left" w:pos="2160"/>
          <w:tab w:val="left" w:pos="4500"/>
          <w:tab w:val="left" w:pos="4680"/>
          <w:tab w:val="left" w:pos="6660"/>
        </w:tabs>
        <w:spacing w:line="312" w:lineRule="auto"/>
        <w:ind w:firstLine="420" w:firstLineChars="200"/>
        <w:rPr>
          <w:rFonts w:ascii="宋体" w:hAnsi="宋体" w:cs="Arial Unicode MS"/>
          <w:color w:val="000000"/>
          <w:szCs w:val="21"/>
        </w:rPr>
      </w:pPr>
      <w:r>
        <w:rPr>
          <w:rFonts w:hint="eastAsia" w:ascii="宋体" w:hAnsi="宋体" w:cs="Arial Unicode MS"/>
          <w:color w:val="000000"/>
          <w:szCs w:val="21"/>
        </w:rPr>
        <w:t>2.咨询人在咨询过程中，有权对第三人提出与本咨询业务有关的问题进行核对或查问。</w:t>
      </w:r>
    </w:p>
    <w:p w14:paraId="04D2027A">
      <w:pPr>
        <w:tabs>
          <w:tab w:val="left" w:pos="1440"/>
          <w:tab w:val="left" w:pos="1980"/>
          <w:tab w:val="left" w:pos="2160"/>
          <w:tab w:val="left" w:pos="4500"/>
          <w:tab w:val="left" w:pos="4680"/>
          <w:tab w:val="left" w:pos="6660"/>
        </w:tabs>
        <w:spacing w:line="312" w:lineRule="auto"/>
        <w:ind w:firstLine="420" w:firstLineChars="200"/>
        <w:rPr>
          <w:rFonts w:ascii="宋体" w:hAnsi="宋体" w:cs="Arial Unicode MS"/>
          <w:color w:val="000000"/>
          <w:szCs w:val="21"/>
        </w:rPr>
      </w:pPr>
      <w:r>
        <w:rPr>
          <w:rFonts w:hint="eastAsia" w:ascii="宋体" w:hAnsi="宋体" w:cs="Arial Unicode MS"/>
          <w:color w:val="000000"/>
          <w:szCs w:val="21"/>
        </w:rPr>
        <w:t>3.咨询人在咨询过程中，有到工程现场勘察的权利。</w:t>
      </w:r>
    </w:p>
    <w:p w14:paraId="0D493EED">
      <w:pPr>
        <w:tabs>
          <w:tab w:val="left" w:pos="1440"/>
          <w:tab w:val="left" w:pos="1980"/>
          <w:tab w:val="left" w:pos="2160"/>
          <w:tab w:val="left" w:pos="4500"/>
          <w:tab w:val="left" w:pos="4680"/>
          <w:tab w:val="left" w:pos="6660"/>
        </w:tabs>
        <w:spacing w:line="312" w:lineRule="auto"/>
        <w:jc w:val="center"/>
        <w:rPr>
          <w:rFonts w:ascii="宋体" w:hAnsi="宋体" w:cs="Arial Unicode MS"/>
          <w:b/>
          <w:bCs/>
          <w:color w:val="000000"/>
          <w:szCs w:val="21"/>
        </w:rPr>
      </w:pPr>
      <w:r>
        <w:rPr>
          <w:rFonts w:hint="eastAsia" w:ascii="宋体" w:hAnsi="宋体" w:cs="Arial Unicode MS"/>
          <w:b/>
          <w:bCs/>
          <w:color w:val="000000"/>
          <w:szCs w:val="21"/>
        </w:rPr>
        <w:t>委托人的权利</w:t>
      </w:r>
    </w:p>
    <w:p w14:paraId="5F6CB4BE">
      <w:pPr>
        <w:tabs>
          <w:tab w:val="left" w:pos="1440"/>
          <w:tab w:val="left" w:pos="1980"/>
          <w:tab w:val="left" w:pos="2160"/>
          <w:tab w:val="left" w:pos="4500"/>
          <w:tab w:val="left" w:pos="4680"/>
          <w:tab w:val="left" w:pos="6660"/>
        </w:tabs>
        <w:spacing w:line="312" w:lineRule="auto"/>
        <w:ind w:firstLine="413" w:firstLineChars="196"/>
        <w:rPr>
          <w:rFonts w:ascii="宋体" w:hAnsi="宋体" w:cs="Arial Unicode MS"/>
          <w:b/>
          <w:bCs/>
          <w:color w:val="000000"/>
          <w:szCs w:val="21"/>
        </w:rPr>
      </w:pPr>
      <w:r>
        <w:rPr>
          <w:rFonts w:hint="eastAsia" w:ascii="宋体" w:hAnsi="宋体" w:cs="Arial Unicode MS"/>
          <w:b/>
          <w:bCs/>
          <w:color w:val="000000"/>
          <w:szCs w:val="21"/>
        </w:rPr>
        <w:t xml:space="preserve">第十二条   </w:t>
      </w:r>
      <w:r>
        <w:rPr>
          <w:rFonts w:hint="eastAsia" w:ascii="宋体" w:hAnsi="宋体" w:cs="Arial Unicode MS"/>
          <w:color w:val="000000"/>
          <w:szCs w:val="21"/>
        </w:rPr>
        <w:t>委托人有下列权利：</w:t>
      </w:r>
    </w:p>
    <w:p w14:paraId="5E803272">
      <w:pPr>
        <w:tabs>
          <w:tab w:val="left" w:pos="1440"/>
          <w:tab w:val="left" w:pos="1980"/>
          <w:tab w:val="left" w:pos="2160"/>
          <w:tab w:val="left" w:pos="4500"/>
          <w:tab w:val="left" w:pos="4680"/>
          <w:tab w:val="left" w:pos="6660"/>
        </w:tabs>
        <w:spacing w:line="312" w:lineRule="auto"/>
        <w:ind w:firstLine="525" w:firstLineChars="250"/>
        <w:rPr>
          <w:rFonts w:ascii="宋体" w:hAnsi="宋体" w:cs="Arial Unicode MS"/>
          <w:b/>
          <w:bCs/>
          <w:color w:val="000000"/>
          <w:szCs w:val="21"/>
        </w:rPr>
      </w:pPr>
      <w:r>
        <w:rPr>
          <w:rFonts w:hint="eastAsia" w:ascii="宋体" w:hAnsi="宋体" w:cs="Arial Unicode MS"/>
          <w:color w:val="000000"/>
          <w:szCs w:val="21"/>
        </w:rPr>
        <w:t>1.委托人有权向咨询人询问工作进展情况及相关的内容。</w:t>
      </w:r>
    </w:p>
    <w:p w14:paraId="27351820">
      <w:pPr>
        <w:tabs>
          <w:tab w:val="left" w:pos="1440"/>
          <w:tab w:val="left" w:pos="1980"/>
          <w:tab w:val="left" w:pos="2160"/>
          <w:tab w:val="left" w:pos="4500"/>
          <w:tab w:val="left" w:pos="4680"/>
          <w:tab w:val="left" w:pos="6660"/>
        </w:tabs>
        <w:spacing w:line="312" w:lineRule="auto"/>
        <w:ind w:firstLine="525" w:firstLineChars="250"/>
        <w:rPr>
          <w:rFonts w:ascii="宋体" w:hAnsi="宋体" w:cs="Arial Unicode MS"/>
          <w:color w:val="000000"/>
          <w:szCs w:val="21"/>
        </w:rPr>
      </w:pPr>
      <w:r>
        <w:rPr>
          <w:rFonts w:hint="eastAsia" w:ascii="宋体" w:hAnsi="宋体" w:cs="Arial Unicode MS"/>
          <w:color w:val="000000"/>
          <w:szCs w:val="21"/>
        </w:rPr>
        <w:t>2.委托人有权阐述对具体问题的意见和建议。</w:t>
      </w:r>
    </w:p>
    <w:p w14:paraId="7CC4BE82">
      <w:pPr>
        <w:tabs>
          <w:tab w:val="left" w:pos="1440"/>
          <w:tab w:val="left" w:pos="1980"/>
          <w:tab w:val="left" w:pos="2160"/>
          <w:tab w:val="left" w:pos="4500"/>
          <w:tab w:val="left" w:pos="4680"/>
          <w:tab w:val="left" w:pos="6660"/>
        </w:tabs>
        <w:spacing w:line="312" w:lineRule="auto"/>
        <w:ind w:firstLine="525" w:firstLineChars="250"/>
        <w:rPr>
          <w:rFonts w:ascii="宋体" w:hAnsi="宋体" w:cs="Arial Unicode MS"/>
          <w:color w:val="000000"/>
          <w:szCs w:val="21"/>
        </w:rPr>
      </w:pPr>
      <w:r>
        <w:rPr>
          <w:rFonts w:hint="eastAsia" w:ascii="宋体" w:hAnsi="宋体" w:cs="Arial Unicode MS"/>
          <w:color w:val="000000"/>
          <w:szCs w:val="21"/>
        </w:rPr>
        <w:t>3.当委托人认定咨询专业人员不按咨询合同履行其职责，或与第三人串通给委托人造成经济损失的，委托人有权要求更换咨询专业人员，直至终止合同并要求咨询人员承担相应的法律责任。</w:t>
      </w:r>
    </w:p>
    <w:p w14:paraId="69E51413">
      <w:pPr>
        <w:spacing w:line="312" w:lineRule="auto"/>
        <w:ind w:left="-105" w:firstLine="422" w:firstLineChars="200"/>
        <w:jc w:val="center"/>
        <w:rPr>
          <w:rFonts w:ascii="宋体" w:hAnsi="宋体"/>
          <w:b/>
          <w:bCs/>
          <w:color w:val="000000"/>
          <w:szCs w:val="21"/>
        </w:rPr>
      </w:pPr>
      <w:r>
        <w:rPr>
          <w:rFonts w:hint="eastAsia" w:ascii="宋体" w:hAnsi="宋体"/>
          <w:b/>
          <w:bCs/>
          <w:color w:val="000000"/>
          <w:szCs w:val="21"/>
        </w:rPr>
        <w:t>咨询人的责任</w:t>
      </w:r>
    </w:p>
    <w:p w14:paraId="4005766D">
      <w:pPr>
        <w:spacing w:line="312" w:lineRule="auto"/>
        <w:ind w:firstLine="413" w:firstLineChars="196"/>
        <w:rPr>
          <w:rFonts w:ascii="宋体" w:hAnsi="宋体"/>
          <w:color w:val="000000"/>
          <w:szCs w:val="21"/>
        </w:rPr>
      </w:pPr>
      <w:r>
        <w:rPr>
          <w:rFonts w:hint="eastAsia" w:ascii="宋体" w:hAnsi="宋体"/>
          <w:b/>
          <w:bCs/>
          <w:color w:val="000000"/>
          <w:szCs w:val="21"/>
        </w:rPr>
        <w:t xml:space="preserve">第十三条   </w:t>
      </w:r>
      <w:r>
        <w:rPr>
          <w:rFonts w:hint="eastAsia" w:ascii="宋体" w:hAnsi="宋体"/>
          <w:color w:val="000000"/>
          <w:szCs w:val="21"/>
        </w:rPr>
        <w:t>咨询人的责任期即工程造价咨询委托书中约定的日期。如因非咨询人的责任造成进度的推迟或延误而超过约定的日期，双方应进一步约定相应延长责任期。</w:t>
      </w:r>
    </w:p>
    <w:p w14:paraId="54C82F14">
      <w:pPr>
        <w:tabs>
          <w:tab w:val="left" w:pos="105"/>
        </w:tabs>
        <w:spacing w:line="312" w:lineRule="auto"/>
        <w:ind w:firstLine="413" w:firstLineChars="196"/>
        <w:rPr>
          <w:rFonts w:ascii="宋体" w:hAnsi="宋体"/>
          <w:color w:val="000000"/>
          <w:szCs w:val="21"/>
        </w:rPr>
      </w:pPr>
      <w:r>
        <w:rPr>
          <w:rFonts w:hint="eastAsia" w:ascii="宋体" w:hAnsi="宋体"/>
          <w:b/>
          <w:bCs/>
          <w:color w:val="000000"/>
          <w:szCs w:val="21"/>
        </w:rPr>
        <w:t xml:space="preserve">第十四条   </w:t>
      </w:r>
      <w:r>
        <w:rPr>
          <w:rFonts w:hint="eastAsia" w:ascii="宋体" w:hAnsi="宋体"/>
          <w:color w:val="000000"/>
          <w:szCs w:val="21"/>
        </w:rPr>
        <w:t>咨询人责任期内，应当履行工程造价咨询合同中约定的义务，因咨询人的单方过失造成的经济损失，应当向委托人进行赔偿。累计赔偿总额不应超过工程造价咨询酬金总额（除去税金）。</w:t>
      </w:r>
    </w:p>
    <w:p w14:paraId="7DEDC903">
      <w:pPr>
        <w:tabs>
          <w:tab w:val="left" w:pos="0"/>
        </w:tabs>
        <w:spacing w:line="312" w:lineRule="auto"/>
        <w:ind w:left="105" w:leftChars="50" w:firstLine="308" w:firstLineChars="147"/>
        <w:rPr>
          <w:rFonts w:ascii="宋体" w:hAnsi="宋体"/>
          <w:color w:val="000000"/>
          <w:szCs w:val="21"/>
        </w:rPr>
      </w:pPr>
      <w:r>
        <w:rPr>
          <w:rFonts w:hint="eastAsia" w:ascii="宋体" w:hAnsi="宋体"/>
          <w:color w:val="000000"/>
          <w:szCs w:val="21"/>
        </w:rPr>
        <w:t>第十五条   咨询人对委托人或第三人所提出的问题不能及时核对或答复，导致合同不能全部或部分履行，咨询人应承担责任；情节严重的，委托人有权中止合同。</w:t>
      </w:r>
    </w:p>
    <w:p w14:paraId="2435E6D7">
      <w:pPr>
        <w:spacing w:line="312" w:lineRule="auto"/>
        <w:ind w:firstLine="413" w:firstLineChars="196"/>
        <w:rPr>
          <w:rFonts w:ascii="宋体" w:hAnsi="宋体"/>
          <w:color w:val="000000"/>
          <w:szCs w:val="21"/>
        </w:rPr>
      </w:pPr>
      <w:r>
        <w:rPr>
          <w:rFonts w:hint="eastAsia" w:ascii="宋体" w:hAnsi="宋体"/>
          <w:b/>
          <w:bCs/>
          <w:color w:val="000000"/>
          <w:szCs w:val="21"/>
        </w:rPr>
        <w:t xml:space="preserve">第十六条   </w:t>
      </w:r>
      <w:r>
        <w:rPr>
          <w:rFonts w:hint="eastAsia" w:ascii="宋体" w:hAnsi="宋体"/>
          <w:color w:val="000000"/>
          <w:szCs w:val="21"/>
        </w:rPr>
        <w:t>咨询人向委托人提出赔偿要求不能成立时，则应补偿由于该赔偿或其他要求所导致委托人的各种费用的支出。</w:t>
      </w:r>
    </w:p>
    <w:p w14:paraId="0EC58EF0">
      <w:pPr>
        <w:tabs>
          <w:tab w:val="left" w:pos="1440"/>
          <w:tab w:val="left" w:pos="1980"/>
          <w:tab w:val="left" w:pos="2160"/>
          <w:tab w:val="left" w:pos="4500"/>
          <w:tab w:val="left" w:pos="4680"/>
          <w:tab w:val="left" w:pos="6660"/>
        </w:tabs>
        <w:spacing w:line="312" w:lineRule="auto"/>
        <w:jc w:val="center"/>
        <w:rPr>
          <w:rFonts w:ascii="宋体" w:hAnsi="宋体" w:cs="Arial Unicode MS"/>
          <w:b/>
          <w:bCs/>
          <w:color w:val="000000"/>
          <w:szCs w:val="21"/>
        </w:rPr>
      </w:pPr>
      <w:r>
        <w:rPr>
          <w:rFonts w:hint="eastAsia" w:ascii="宋体" w:hAnsi="宋体" w:cs="Arial Unicode MS"/>
          <w:b/>
          <w:bCs/>
          <w:color w:val="000000"/>
          <w:szCs w:val="21"/>
        </w:rPr>
        <w:t>委托人的责任</w:t>
      </w:r>
    </w:p>
    <w:p w14:paraId="1D22CD7D">
      <w:pPr>
        <w:tabs>
          <w:tab w:val="left" w:pos="180"/>
          <w:tab w:val="left" w:pos="360"/>
          <w:tab w:val="left" w:pos="540"/>
          <w:tab w:val="left" w:pos="1440"/>
          <w:tab w:val="left" w:pos="1980"/>
          <w:tab w:val="left" w:pos="2160"/>
          <w:tab w:val="left" w:pos="4500"/>
          <w:tab w:val="left" w:pos="4680"/>
          <w:tab w:val="left" w:pos="6660"/>
        </w:tabs>
        <w:spacing w:line="312" w:lineRule="auto"/>
        <w:rPr>
          <w:rFonts w:ascii="宋体" w:hAnsi="宋体" w:cs="Arial Unicode MS"/>
          <w:color w:val="000000"/>
          <w:szCs w:val="21"/>
        </w:rPr>
      </w:pPr>
      <w:r>
        <w:rPr>
          <w:rFonts w:hint="eastAsia" w:ascii="宋体" w:hAnsi="宋体" w:cs="Arial Unicode MS"/>
          <w:b/>
          <w:bCs/>
          <w:color w:val="000000"/>
          <w:szCs w:val="21"/>
        </w:rPr>
        <w:t xml:space="preserve">    第十七条   </w:t>
      </w:r>
      <w:r>
        <w:rPr>
          <w:rFonts w:hint="eastAsia" w:ascii="宋体" w:hAnsi="宋体" w:cs="Arial Unicode MS"/>
          <w:color w:val="000000"/>
          <w:szCs w:val="21"/>
        </w:rPr>
        <w:t>委托人应当履行工程造价咨询合同约定的义务，如有违反则应当承担违约责任，赔偿给咨询人造成的损失。</w:t>
      </w:r>
    </w:p>
    <w:p w14:paraId="284C0344">
      <w:pPr>
        <w:tabs>
          <w:tab w:val="left" w:pos="180"/>
          <w:tab w:val="left" w:pos="360"/>
          <w:tab w:val="left" w:pos="540"/>
          <w:tab w:val="left" w:pos="1440"/>
          <w:tab w:val="left" w:pos="1980"/>
          <w:tab w:val="left" w:pos="2160"/>
          <w:tab w:val="left" w:pos="4500"/>
          <w:tab w:val="left" w:pos="4680"/>
          <w:tab w:val="left" w:pos="6660"/>
        </w:tabs>
        <w:spacing w:line="312" w:lineRule="auto"/>
        <w:rPr>
          <w:rFonts w:ascii="宋体" w:hAnsi="宋体" w:cs="Arial Unicode MS"/>
          <w:color w:val="000000"/>
          <w:szCs w:val="21"/>
        </w:rPr>
      </w:pPr>
      <w:r>
        <w:rPr>
          <w:rFonts w:hint="eastAsia" w:ascii="宋体" w:hAnsi="宋体" w:cs="Arial Unicode MS"/>
          <w:b/>
          <w:bCs/>
          <w:color w:val="000000"/>
          <w:szCs w:val="21"/>
        </w:rPr>
        <w:t xml:space="preserve">第十八条 </w:t>
      </w:r>
      <w:r>
        <w:rPr>
          <w:rFonts w:hint="eastAsia" w:ascii="宋体" w:hAnsi="宋体" w:cs="Arial Unicode MS"/>
          <w:color w:val="000000"/>
          <w:szCs w:val="21"/>
        </w:rPr>
        <w:t xml:space="preserve">  委托人如果向咨询人提出赔偿或其他要求不能成立时，则应补偿由于该赔偿或其他要求所导致咨询人的各种费用的支出。</w:t>
      </w:r>
    </w:p>
    <w:p w14:paraId="708ABEB4">
      <w:pPr>
        <w:tabs>
          <w:tab w:val="left" w:pos="180"/>
          <w:tab w:val="left" w:pos="360"/>
          <w:tab w:val="left" w:pos="540"/>
          <w:tab w:val="left" w:pos="1440"/>
          <w:tab w:val="left" w:pos="1980"/>
          <w:tab w:val="left" w:pos="2160"/>
          <w:tab w:val="left" w:pos="4500"/>
          <w:tab w:val="left" w:pos="4680"/>
          <w:tab w:val="left" w:pos="6660"/>
        </w:tabs>
        <w:spacing w:line="312" w:lineRule="auto"/>
        <w:jc w:val="center"/>
        <w:rPr>
          <w:rFonts w:ascii="宋体" w:hAnsi="宋体" w:cs="Arial Unicode MS"/>
          <w:b/>
          <w:bCs/>
          <w:color w:val="000000"/>
          <w:szCs w:val="21"/>
        </w:rPr>
      </w:pPr>
      <w:r>
        <w:rPr>
          <w:rFonts w:hint="eastAsia" w:ascii="宋体" w:hAnsi="宋体" w:cs="Arial Unicode MS"/>
          <w:b/>
          <w:bCs/>
          <w:color w:val="000000"/>
          <w:szCs w:val="21"/>
        </w:rPr>
        <w:t>合同生效，变更与终止</w:t>
      </w:r>
    </w:p>
    <w:p w14:paraId="60F32955">
      <w:pPr>
        <w:tabs>
          <w:tab w:val="left" w:pos="180"/>
          <w:tab w:val="left" w:pos="360"/>
          <w:tab w:val="left" w:pos="540"/>
          <w:tab w:val="left" w:pos="1440"/>
          <w:tab w:val="left" w:pos="1980"/>
          <w:tab w:val="left" w:pos="2160"/>
          <w:tab w:val="left" w:pos="4500"/>
          <w:tab w:val="left" w:pos="4680"/>
          <w:tab w:val="left" w:pos="6660"/>
        </w:tabs>
        <w:spacing w:line="312" w:lineRule="auto"/>
        <w:rPr>
          <w:rFonts w:ascii="宋体" w:hAnsi="宋体" w:cs="Arial Unicode MS"/>
          <w:color w:val="000000"/>
          <w:szCs w:val="21"/>
        </w:rPr>
      </w:pPr>
      <w:r>
        <w:rPr>
          <w:rFonts w:hint="eastAsia" w:ascii="宋体" w:hAnsi="宋体" w:cs="Arial Unicode MS"/>
          <w:b/>
          <w:bCs/>
          <w:color w:val="000000"/>
          <w:szCs w:val="21"/>
        </w:rPr>
        <w:t xml:space="preserve">    第十九条   </w:t>
      </w:r>
      <w:r>
        <w:rPr>
          <w:rFonts w:hint="eastAsia" w:ascii="宋体" w:hAnsi="宋体" w:cs="Arial Unicode MS"/>
          <w:color w:val="000000"/>
          <w:szCs w:val="21"/>
        </w:rPr>
        <w:t>本合同自双方签字盖章之日起生效。</w:t>
      </w:r>
    </w:p>
    <w:p w14:paraId="46A1BD60">
      <w:pPr>
        <w:tabs>
          <w:tab w:val="left" w:pos="180"/>
          <w:tab w:val="left" w:pos="360"/>
          <w:tab w:val="left" w:pos="540"/>
          <w:tab w:val="left" w:pos="1440"/>
          <w:tab w:val="left" w:pos="1980"/>
          <w:tab w:val="left" w:pos="2160"/>
          <w:tab w:val="left" w:pos="4500"/>
          <w:tab w:val="left" w:pos="4680"/>
          <w:tab w:val="left" w:pos="6660"/>
        </w:tabs>
        <w:spacing w:line="312" w:lineRule="auto"/>
        <w:ind w:firstLine="555"/>
        <w:rPr>
          <w:rFonts w:ascii="宋体" w:hAnsi="宋体" w:cs="Arial Unicode MS"/>
          <w:color w:val="000000"/>
          <w:szCs w:val="21"/>
        </w:rPr>
      </w:pPr>
      <w:r>
        <w:rPr>
          <w:rFonts w:hint="eastAsia" w:ascii="宋体" w:hAnsi="宋体" w:cs="Arial Unicode MS"/>
          <w:b/>
          <w:bCs/>
          <w:color w:val="000000"/>
          <w:szCs w:val="21"/>
        </w:rPr>
        <w:t xml:space="preserve">第二十条   </w:t>
      </w:r>
      <w:r>
        <w:rPr>
          <w:rFonts w:hint="eastAsia" w:ascii="宋体" w:hAnsi="宋体" w:cs="Arial Unicode MS"/>
          <w:color w:val="000000"/>
          <w:szCs w:val="21"/>
        </w:rPr>
        <w:t>由于委托人或第三人的原因使咨询人工作受到阻碍或延误以致增加了工作持续时间，则咨询人应当将此情况与可能产生的影响及时书面通知委托人，完成工程造价咨询工作的时间应当相应延长。</w:t>
      </w:r>
    </w:p>
    <w:p w14:paraId="30D5F899">
      <w:pPr>
        <w:tabs>
          <w:tab w:val="left" w:pos="180"/>
          <w:tab w:val="left" w:pos="360"/>
          <w:tab w:val="left" w:pos="540"/>
          <w:tab w:val="left" w:pos="1440"/>
          <w:tab w:val="left" w:pos="1980"/>
          <w:tab w:val="left" w:pos="2160"/>
          <w:tab w:val="left" w:pos="4500"/>
          <w:tab w:val="left" w:pos="4680"/>
          <w:tab w:val="left" w:pos="6660"/>
        </w:tabs>
        <w:spacing w:line="312" w:lineRule="auto"/>
        <w:rPr>
          <w:rFonts w:ascii="宋体" w:hAnsi="宋体" w:cs="Arial Unicode MS"/>
          <w:color w:val="000000"/>
          <w:szCs w:val="21"/>
        </w:rPr>
      </w:pPr>
      <w:r>
        <w:rPr>
          <w:rFonts w:hint="eastAsia" w:ascii="宋体" w:hAnsi="宋体" w:cs="Arial Unicode MS"/>
          <w:b/>
          <w:bCs/>
          <w:color w:val="000000"/>
          <w:szCs w:val="21"/>
        </w:rPr>
        <w:t xml:space="preserve">第二十一条   </w:t>
      </w:r>
      <w:r>
        <w:rPr>
          <w:rFonts w:hint="eastAsia" w:ascii="宋体" w:hAnsi="宋体" w:cs="Arial Unicode MS"/>
          <w:color w:val="000000"/>
          <w:szCs w:val="21"/>
        </w:rPr>
        <w:t>当事人一方要求变更或解除合同时，则应当在14日前通知对方；因变更或解除合同使一方遭受损失的，应由责任方负责赔偿。</w:t>
      </w:r>
    </w:p>
    <w:p w14:paraId="6B763AD5">
      <w:pPr>
        <w:tabs>
          <w:tab w:val="left" w:pos="180"/>
          <w:tab w:val="left" w:pos="360"/>
          <w:tab w:val="left" w:pos="540"/>
          <w:tab w:val="left" w:pos="1440"/>
          <w:tab w:val="left" w:pos="1980"/>
          <w:tab w:val="left" w:pos="2160"/>
          <w:tab w:val="left" w:pos="4500"/>
          <w:tab w:val="left" w:pos="4680"/>
          <w:tab w:val="left" w:pos="6660"/>
        </w:tabs>
        <w:spacing w:line="312" w:lineRule="auto"/>
        <w:rPr>
          <w:rFonts w:ascii="宋体" w:hAnsi="宋体" w:cs="Arial Unicode MS"/>
          <w:color w:val="000000"/>
          <w:szCs w:val="21"/>
        </w:rPr>
      </w:pPr>
      <w:r>
        <w:rPr>
          <w:rFonts w:hint="eastAsia" w:ascii="宋体" w:hAnsi="宋体" w:cs="Arial Unicode MS"/>
          <w:b/>
          <w:bCs/>
          <w:color w:val="000000"/>
          <w:szCs w:val="21"/>
        </w:rPr>
        <w:t xml:space="preserve">第二十二条   </w:t>
      </w:r>
      <w:r>
        <w:rPr>
          <w:rFonts w:hint="eastAsia" w:ascii="宋体" w:hAnsi="宋体" w:cs="Arial Unicode MS"/>
          <w:color w:val="000000"/>
          <w:szCs w:val="21"/>
        </w:rPr>
        <w:t>咨询人由于非自身原因暂停或终止执行工程咨询业务，有权得到额外的时间。</w:t>
      </w:r>
    </w:p>
    <w:p w14:paraId="71EF74B7">
      <w:pPr>
        <w:tabs>
          <w:tab w:val="left" w:pos="180"/>
          <w:tab w:val="left" w:pos="360"/>
          <w:tab w:val="left" w:pos="540"/>
          <w:tab w:val="left" w:pos="1440"/>
          <w:tab w:val="left" w:pos="1980"/>
          <w:tab w:val="left" w:pos="2160"/>
          <w:tab w:val="left" w:pos="4500"/>
          <w:tab w:val="left" w:pos="4680"/>
          <w:tab w:val="left" w:pos="6660"/>
        </w:tabs>
        <w:spacing w:line="312" w:lineRule="auto"/>
        <w:ind w:firstLine="411" w:firstLineChars="195"/>
        <w:rPr>
          <w:rFonts w:ascii="宋体" w:hAnsi="宋体" w:cs="Arial Unicode MS"/>
          <w:color w:val="000000"/>
          <w:szCs w:val="21"/>
        </w:rPr>
      </w:pPr>
      <w:r>
        <w:rPr>
          <w:rFonts w:hint="eastAsia" w:ascii="宋体" w:hAnsi="宋体" w:cs="Arial Unicode MS"/>
          <w:b/>
          <w:bCs/>
          <w:color w:val="000000"/>
          <w:szCs w:val="21"/>
        </w:rPr>
        <w:t xml:space="preserve">第二十三条   </w:t>
      </w:r>
      <w:r>
        <w:rPr>
          <w:rFonts w:hint="eastAsia" w:ascii="宋体" w:hAnsi="宋体" w:cs="Arial Unicode MS"/>
          <w:color w:val="000000"/>
          <w:szCs w:val="21"/>
        </w:rPr>
        <w:t>变更或解除合同的通知或协议应当采取书面形式，新的协议未达成之前，原合同仍然有效。</w:t>
      </w:r>
    </w:p>
    <w:p w14:paraId="7C4FB012">
      <w:pPr>
        <w:tabs>
          <w:tab w:val="left" w:pos="180"/>
          <w:tab w:val="left" w:pos="360"/>
          <w:tab w:val="left" w:pos="540"/>
          <w:tab w:val="left" w:pos="1440"/>
          <w:tab w:val="left" w:pos="1980"/>
          <w:tab w:val="left" w:pos="2160"/>
          <w:tab w:val="left" w:pos="4500"/>
          <w:tab w:val="left" w:pos="4680"/>
          <w:tab w:val="left" w:pos="6660"/>
        </w:tabs>
        <w:spacing w:line="312" w:lineRule="auto"/>
        <w:ind w:firstLine="209" w:firstLineChars="99"/>
        <w:jc w:val="center"/>
        <w:rPr>
          <w:rFonts w:ascii="宋体" w:hAnsi="宋体" w:cs="Arial Unicode MS"/>
          <w:b/>
          <w:bCs/>
          <w:color w:val="000000"/>
          <w:szCs w:val="21"/>
        </w:rPr>
      </w:pPr>
      <w:r>
        <w:rPr>
          <w:rFonts w:hint="eastAsia" w:ascii="宋体" w:hAnsi="宋体" w:cs="Arial Unicode MS"/>
          <w:b/>
          <w:bCs/>
          <w:color w:val="000000"/>
          <w:szCs w:val="21"/>
        </w:rPr>
        <w:t>咨询业务的酬金</w:t>
      </w:r>
    </w:p>
    <w:p w14:paraId="75CA9E1F">
      <w:pPr>
        <w:tabs>
          <w:tab w:val="left" w:pos="180"/>
          <w:tab w:val="left" w:pos="360"/>
          <w:tab w:val="left" w:pos="540"/>
          <w:tab w:val="left" w:pos="1440"/>
          <w:tab w:val="left" w:pos="1980"/>
          <w:tab w:val="left" w:pos="216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第二十四条   </w:t>
      </w:r>
      <w:r>
        <w:rPr>
          <w:rFonts w:hint="eastAsia" w:ascii="宋体" w:hAnsi="宋体" w:cs="Arial Unicode MS"/>
          <w:color w:val="000000"/>
          <w:szCs w:val="21"/>
        </w:rPr>
        <w:t>正常的工程造价咨询业务和附加工作的酬金，按照工程造价咨询合同专用条件约定的方法计取，并按约定的时间和数额支付。</w:t>
      </w:r>
    </w:p>
    <w:p w14:paraId="6645DB0B">
      <w:pPr>
        <w:tabs>
          <w:tab w:val="left" w:pos="180"/>
          <w:tab w:val="left" w:pos="360"/>
          <w:tab w:val="left" w:pos="540"/>
          <w:tab w:val="left" w:pos="1440"/>
          <w:tab w:val="left" w:pos="1980"/>
          <w:tab w:val="left" w:pos="216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第二十五条   </w:t>
      </w:r>
      <w:r>
        <w:rPr>
          <w:rFonts w:hint="eastAsia" w:ascii="宋体" w:hAnsi="宋体" w:cs="Arial Unicode MS"/>
          <w:color w:val="000000"/>
          <w:szCs w:val="21"/>
        </w:rPr>
        <w:t>如果委托人在规定的支付期限内未支付工程造价咨询酬金，自规定支付之日起，应当向咨询人补偿应支付酬金的利息。利息额按规定支付期限最后一日银行活期贷款利率乘以拖欠酬金时间计算。</w:t>
      </w:r>
    </w:p>
    <w:p w14:paraId="1CB809F0">
      <w:pPr>
        <w:tabs>
          <w:tab w:val="left" w:pos="180"/>
          <w:tab w:val="left" w:pos="360"/>
          <w:tab w:val="left" w:pos="540"/>
          <w:tab w:val="left" w:pos="1440"/>
          <w:tab w:val="left" w:pos="1980"/>
          <w:tab w:val="left" w:pos="4500"/>
          <w:tab w:val="left" w:pos="4680"/>
          <w:tab w:val="left" w:pos="6660"/>
        </w:tabs>
        <w:spacing w:line="312" w:lineRule="auto"/>
        <w:ind w:firstLine="415" w:firstLineChars="197"/>
        <w:rPr>
          <w:rFonts w:ascii="宋体" w:hAnsi="宋体" w:cs="Arial Unicode MS"/>
          <w:color w:val="000000"/>
          <w:szCs w:val="21"/>
        </w:rPr>
      </w:pPr>
      <w:r>
        <w:rPr>
          <w:rFonts w:hint="eastAsia" w:ascii="宋体" w:hAnsi="宋体" w:cs="Arial Unicode MS"/>
          <w:b/>
          <w:bCs/>
          <w:color w:val="000000"/>
          <w:szCs w:val="21"/>
        </w:rPr>
        <w:t xml:space="preserve">第二十六条   </w:t>
      </w:r>
      <w:r>
        <w:rPr>
          <w:rFonts w:hint="eastAsia" w:ascii="宋体" w:hAnsi="宋体" w:cs="Arial Unicode MS"/>
          <w:color w:val="000000"/>
          <w:szCs w:val="21"/>
        </w:rPr>
        <w:t>如果委托人对咨询人提交的支付通知书中酬金或部分酬金项目提出异议，应当在收到支付通知书5个工作日内向咨询人发出异议的通知，但委托人不得拖延其无异议酬金项目的支付。</w:t>
      </w:r>
    </w:p>
    <w:p w14:paraId="267854A8">
      <w:pPr>
        <w:tabs>
          <w:tab w:val="left" w:pos="180"/>
          <w:tab w:val="left" w:pos="360"/>
          <w:tab w:val="left" w:pos="540"/>
          <w:tab w:val="left" w:pos="1440"/>
          <w:tab w:val="left" w:pos="1980"/>
          <w:tab w:val="left" w:pos="4500"/>
          <w:tab w:val="left" w:pos="4680"/>
          <w:tab w:val="left" w:pos="6660"/>
        </w:tabs>
        <w:spacing w:line="312" w:lineRule="auto"/>
        <w:ind w:firstLine="415" w:firstLineChars="197"/>
        <w:rPr>
          <w:rFonts w:ascii="宋体" w:hAnsi="宋体" w:cs="Arial Unicode MS"/>
          <w:color w:val="000000"/>
          <w:szCs w:val="21"/>
        </w:rPr>
      </w:pPr>
      <w:r>
        <w:rPr>
          <w:rFonts w:hint="eastAsia" w:ascii="宋体" w:hAnsi="宋体" w:cs="Arial Unicode MS"/>
          <w:b/>
          <w:bCs/>
          <w:color w:val="000000"/>
          <w:szCs w:val="21"/>
        </w:rPr>
        <w:t xml:space="preserve">第二十七条   </w:t>
      </w:r>
      <w:r>
        <w:rPr>
          <w:rFonts w:hint="eastAsia" w:ascii="宋体" w:hAnsi="宋体" w:cs="Arial Unicode MS"/>
          <w:color w:val="000000"/>
          <w:szCs w:val="21"/>
        </w:rPr>
        <w:t>支付工程造价咨询酬金所采取的货币币种、汇率由合同专用条件约定。</w:t>
      </w:r>
    </w:p>
    <w:p w14:paraId="0DB8B5ED">
      <w:pPr>
        <w:tabs>
          <w:tab w:val="left" w:pos="1440"/>
          <w:tab w:val="left" w:pos="1980"/>
          <w:tab w:val="left" w:pos="2160"/>
          <w:tab w:val="left" w:pos="4500"/>
          <w:tab w:val="left" w:pos="4680"/>
          <w:tab w:val="left" w:pos="6660"/>
        </w:tabs>
        <w:spacing w:line="312" w:lineRule="auto"/>
        <w:jc w:val="center"/>
        <w:rPr>
          <w:rFonts w:ascii="宋体" w:hAnsi="宋体" w:cs="Arial Unicode MS"/>
          <w:b/>
          <w:bCs/>
          <w:color w:val="000000"/>
          <w:szCs w:val="21"/>
        </w:rPr>
      </w:pPr>
      <w:r>
        <w:rPr>
          <w:rFonts w:hint="eastAsia" w:ascii="宋体" w:hAnsi="宋体" w:cs="Arial Unicode MS"/>
          <w:b/>
          <w:bCs/>
          <w:color w:val="000000"/>
          <w:szCs w:val="21"/>
        </w:rPr>
        <w:t>其    他</w:t>
      </w:r>
    </w:p>
    <w:p w14:paraId="48840923">
      <w:pPr>
        <w:tabs>
          <w:tab w:val="left" w:pos="1440"/>
          <w:tab w:val="left" w:pos="1980"/>
          <w:tab w:val="left" w:pos="2160"/>
          <w:tab w:val="left" w:pos="4500"/>
          <w:tab w:val="left" w:pos="4680"/>
          <w:tab w:val="left" w:pos="6660"/>
        </w:tabs>
        <w:spacing w:line="312" w:lineRule="auto"/>
        <w:ind w:firstLine="310" w:firstLineChars="147"/>
        <w:rPr>
          <w:rFonts w:ascii="宋体" w:hAnsi="宋体" w:cs="Arial Unicode MS"/>
          <w:color w:val="000000"/>
          <w:szCs w:val="21"/>
        </w:rPr>
      </w:pPr>
      <w:r>
        <w:rPr>
          <w:rFonts w:hint="eastAsia" w:ascii="宋体" w:hAnsi="宋体" w:cs="Arial Unicode MS"/>
          <w:b/>
          <w:bCs/>
          <w:color w:val="000000"/>
          <w:szCs w:val="21"/>
        </w:rPr>
        <w:t xml:space="preserve"> 第二十八条   </w:t>
      </w:r>
      <w:r>
        <w:rPr>
          <w:rFonts w:hint="eastAsia" w:ascii="宋体" w:hAnsi="宋体" w:cs="Arial Unicode MS"/>
          <w:color w:val="000000"/>
          <w:szCs w:val="21"/>
        </w:rPr>
        <w:t>因工程造价咨询业务的需要，咨询人在合同约定外的外出考察，经委托人同意，其所需要费用由委托人负责。</w:t>
      </w:r>
    </w:p>
    <w:p w14:paraId="12537E17">
      <w:pPr>
        <w:tabs>
          <w:tab w:val="left" w:pos="1440"/>
          <w:tab w:val="left" w:pos="1980"/>
          <w:tab w:val="left" w:pos="216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第二十九条   </w:t>
      </w:r>
      <w:r>
        <w:rPr>
          <w:rFonts w:hint="eastAsia" w:ascii="宋体" w:hAnsi="宋体" w:cs="Arial Unicode MS"/>
          <w:color w:val="000000"/>
          <w:szCs w:val="21"/>
        </w:rPr>
        <w:t>咨询人如需外聘专家协助，在委托的工程造价咨询业务范围内其费用由咨询人承担；在委托的工程造价咨询业务范围以外经委托人认可其费用由委托人承担。</w:t>
      </w:r>
    </w:p>
    <w:p w14:paraId="2B3CB684">
      <w:pPr>
        <w:tabs>
          <w:tab w:val="left" w:pos="1440"/>
          <w:tab w:val="left" w:pos="1980"/>
          <w:tab w:val="left" w:pos="2160"/>
          <w:tab w:val="left" w:pos="234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第三十条  </w:t>
      </w:r>
      <w:r>
        <w:rPr>
          <w:rFonts w:hint="eastAsia" w:ascii="宋体" w:hAnsi="宋体" w:cs="Arial Unicode MS"/>
          <w:color w:val="000000"/>
          <w:szCs w:val="21"/>
        </w:rPr>
        <w:t>未经对方的书面同意，各方均不得转让合同约定的权利和义务。</w:t>
      </w:r>
    </w:p>
    <w:p w14:paraId="1F518E39">
      <w:pPr>
        <w:tabs>
          <w:tab w:val="left" w:pos="1440"/>
          <w:tab w:val="left" w:pos="1980"/>
          <w:tab w:val="left" w:pos="2160"/>
          <w:tab w:val="left" w:pos="234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第三十一条   </w:t>
      </w:r>
      <w:r>
        <w:rPr>
          <w:rFonts w:hint="eastAsia" w:ascii="宋体" w:hAnsi="宋体" w:cs="Arial Unicode MS"/>
          <w:color w:val="000000"/>
          <w:szCs w:val="21"/>
        </w:rPr>
        <w:t>除委托人书面同意外，咨询人及咨询专业人员不应接受工程造价咨询合同约定以外的与工程造价咨询项目有关的任何报酬。</w:t>
      </w:r>
    </w:p>
    <w:p w14:paraId="7C8DF20A">
      <w:pPr>
        <w:spacing w:line="312" w:lineRule="auto"/>
        <w:ind w:firstLine="399" w:firstLineChars="190"/>
        <w:textAlignment w:val="baseline"/>
        <w:rPr>
          <w:rFonts w:ascii="宋体" w:hAnsi="宋体"/>
          <w:color w:val="000000"/>
          <w:kern w:val="0"/>
          <w:szCs w:val="21"/>
        </w:rPr>
      </w:pPr>
      <w:r>
        <w:rPr>
          <w:rFonts w:hint="eastAsia" w:ascii="宋体" w:hAnsi="宋体"/>
          <w:color w:val="000000"/>
          <w:kern w:val="0"/>
          <w:szCs w:val="21"/>
        </w:rPr>
        <w:t>咨询人不得参与可能与合同规定的与委托人利益相冲突的任何活动。</w:t>
      </w:r>
    </w:p>
    <w:p w14:paraId="47C66CFC">
      <w:pPr>
        <w:tabs>
          <w:tab w:val="left" w:pos="1440"/>
          <w:tab w:val="left" w:pos="1980"/>
          <w:tab w:val="left" w:pos="2160"/>
          <w:tab w:val="left" w:pos="2340"/>
          <w:tab w:val="left" w:pos="4500"/>
          <w:tab w:val="left" w:pos="4680"/>
          <w:tab w:val="left" w:pos="6660"/>
        </w:tabs>
        <w:spacing w:line="312" w:lineRule="auto"/>
        <w:ind w:left="286" w:leftChars="136" w:firstLine="211" w:firstLineChars="100"/>
        <w:jc w:val="center"/>
        <w:rPr>
          <w:rFonts w:ascii="宋体" w:hAnsi="宋体" w:cs="Arial Unicode MS"/>
          <w:b/>
          <w:bCs/>
          <w:color w:val="000000"/>
          <w:szCs w:val="21"/>
        </w:rPr>
      </w:pPr>
      <w:r>
        <w:rPr>
          <w:rFonts w:hint="eastAsia" w:ascii="宋体" w:hAnsi="宋体" w:cs="Arial Unicode MS"/>
          <w:b/>
          <w:bCs/>
          <w:color w:val="000000"/>
          <w:szCs w:val="21"/>
        </w:rPr>
        <w:t>合同争议的解决</w:t>
      </w:r>
    </w:p>
    <w:p w14:paraId="3F509925">
      <w:pPr>
        <w:tabs>
          <w:tab w:val="left" w:pos="1440"/>
          <w:tab w:val="left" w:pos="1980"/>
          <w:tab w:val="left" w:pos="2160"/>
          <w:tab w:val="left" w:pos="234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第三十二条   </w:t>
      </w:r>
      <w:r>
        <w:rPr>
          <w:rFonts w:hint="eastAsia" w:ascii="宋体" w:hAnsi="宋体" w:cs="Arial Unicode MS"/>
          <w:color w:val="000000"/>
          <w:szCs w:val="21"/>
        </w:rPr>
        <w:t>因违约或终止合同而引起的损失的赔偿，委托人与咨询人之间应当协商解决，如未能达成一致，可提交有关主管部门调解；协商或调解不成的，根据双方约定向甲方所在地提交仲裁机关仲裁，或向甲方所在地人民法院提起诉讼。</w:t>
      </w:r>
    </w:p>
    <w:p w14:paraId="4E58358A">
      <w:pPr>
        <w:tabs>
          <w:tab w:val="left" w:pos="1440"/>
          <w:tab w:val="left" w:pos="1980"/>
          <w:tab w:val="left" w:pos="2160"/>
          <w:tab w:val="left" w:pos="2340"/>
          <w:tab w:val="left" w:pos="4500"/>
          <w:tab w:val="left" w:pos="4680"/>
          <w:tab w:val="left" w:pos="6660"/>
        </w:tabs>
        <w:spacing w:line="312" w:lineRule="auto"/>
        <w:ind w:left="286" w:leftChars="136" w:firstLine="211" w:firstLineChars="100"/>
        <w:jc w:val="center"/>
        <w:rPr>
          <w:rFonts w:ascii="宋体" w:hAnsi="宋体" w:cs="Arial Unicode MS"/>
          <w:b/>
          <w:bCs/>
          <w:color w:val="000000"/>
          <w:szCs w:val="21"/>
        </w:rPr>
      </w:pPr>
    </w:p>
    <w:p w14:paraId="62564DFD">
      <w:pPr>
        <w:tabs>
          <w:tab w:val="left" w:pos="1440"/>
          <w:tab w:val="left" w:pos="1980"/>
          <w:tab w:val="left" w:pos="2160"/>
          <w:tab w:val="left" w:pos="2340"/>
          <w:tab w:val="left" w:pos="4500"/>
          <w:tab w:val="left" w:pos="4680"/>
          <w:tab w:val="left" w:pos="6660"/>
        </w:tabs>
        <w:spacing w:line="312" w:lineRule="auto"/>
        <w:ind w:left="286" w:leftChars="136" w:firstLine="211" w:firstLineChars="100"/>
        <w:jc w:val="center"/>
        <w:rPr>
          <w:rFonts w:ascii="宋体" w:hAnsi="宋体" w:cs="Arial Unicode MS"/>
          <w:b/>
          <w:bCs/>
          <w:color w:val="000000"/>
          <w:szCs w:val="21"/>
        </w:rPr>
      </w:pPr>
      <w:r>
        <w:rPr>
          <w:rFonts w:hint="eastAsia" w:ascii="宋体" w:hAnsi="宋体" w:cs="Arial Unicode MS"/>
          <w:b/>
          <w:bCs/>
          <w:color w:val="000000"/>
          <w:szCs w:val="21"/>
        </w:rPr>
        <w:t>第三部分   工程造价咨询合同专用条件</w:t>
      </w:r>
    </w:p>
    <w:p w14:paraId="29E94A69">
      <w:pPr>
        <w:tabs>
          <w:tab w:val="left" w:pos="1440"/>
          <w:tab w:val="left" w:pos="1980"/>
          <w:tab w:val="left" w:pos="2160"/>
          <w:tab w:val="left" w:pos="2340"/>
          <w:tab w:val="left" w:pos="4500"/>
          <w:tab w:val="left" w:pos="4680"/>
          <w:tab w:val="left" w:pos="6660"/>
        </w:tabs>
        <w:spacing w:line="312" w:lineRule="auto"/>
        <w:ind w:firstLine="413" w:firstLineChars="196"/>
        <w:rPr>
          <w:rFonts w:ascii="宋体" w:hAnsi="宋体" w:cs="Arial Unicode MS"/>
          <w:b/>
          <w:bCs/>
          <w:color w:val="000000"/>
          <w:szCs w:val="21"/>
        </w:rPr>
      </w:pPr>
      <w:r>
        <w:rPr>
          <w:rFonts w:hint="eastAsia" w:ascii="宋体" w:hAnsi="宋体" w:cs="Arial Unicode MS"/>
          <w:b/>
          <w:bCs/>
          <w:color w:val="000000"/>
          <w:szCs w:val="21"/>
        </w:rPr>
        <w:t xml:space="preserve">第一条   </w:t>
      </w:r>
      <w:r>
        <w:rPr>
          <w:rFonts w:hint="eastAsia" w:ascii="宋体" w:hAnsi="宋体" w:cs="Arial Unicode MS"/>
          <w:color w:val="000000"/>
          <w:szCs w:val="21"/>
        </w:rPr>
        <w:t>本合同适用的法律、法规及工程造价计价办法和规定：</w:t>
      </w:r>
    </w:p>
    <w:p w14:paraId="5F1091F4">
      <w:pPr>
        <w:tabs>
          <w:tab w:val="left" w:pos="1440"/>
          <w:tab w:val="left" w:pos="1980"/>
          <w:tab w:val="left" w:pos="2160"/>
          <w:tab w:val="left" w:pos="2340"/>
          <w:tab w:val="left" w:pos="4500"/>
          <w:tab w:val="left" w:pos="4680"/>
          <w:tab w:val="left" w:pos="6660"/>
        </w:tabs>
        <w:spacing w:line="312" w:lineRule="auto"/>
        <w:ind w:firstLine="420" w:firstLineChars="200"/>
        <w:rPr>
          <w:rFonts w:ascii="宋体" w:hAnsi="宋体" w:cs="Arial Unicode MS"/>
          <w:color w:val="000000"/>
          <w:szCs w:val="21"/>
          <w:u w:val="single"/>
        </w:rPr>
      </w:pPr>
      <w:r>
        <w:rPr>
          <w:rFonts w:hint="eastAsia" w:ascii="宋体" w:hAnsi="宋体" w:cs="Arial Unicode MS"/>
          <w:color w:val="000000"/>
          <w:szCs w:val="21"/>
          <w:u w:val="single"/>
        </w:rPr>
        <w:t>国家、浙江省现行有关工程计价的法律、法规、规范、定额及舟山市有关计价规定。</w:t>
      </w:r>
    </w:p>
    <w:p w14:paraId="4595ACA7">
      <w:pPr>
        <w:tabs>
          <w:tab w:val="left" w:pos="1440"/>
          <w:tab w:val="left" w:pos="1980"/>
          <w:tab w:val="left" w:pos="2160"/>
          <w:tab w:val="left" w:pos="2340"/>
          <w:tab w:val="left" w:pos="4500"/>
          <w:tab w:val="left" w:pos="4680"/>
          <w:tab w:val="left" w:pos="6660"/>
        </w:tabs>
        <w:spacing w:line="312" w:lineRule="auto"/>
        <w:ind w:firstLine="413" w:firstLineChars="196"/>
        <w:rPr>
          <w:rFonts w:ascii="宋体" w:hAnsi="宋体" w:cs="Arial Unicode MS"/>
          <w:color w:val="000000"/>
          <w:szCs w:val="21"/>
          <w:u w:val="single"/>
        </w:rPr>
      </w:pPr>
      <w:r>
        <w:rPr>
          <w:rFonts w:hint="eastAsia" w:ascii="宋体" w:hAnsi="宋体" w:cs="Arial Unicode MS"/>
          <w:b/>
          <w:color w:val="000000"/>
          <w:szCs w:val="21"/>
        </w:rPr>
        <w:t>第二条</w:t>
      </w:r>
      <w:r>
        <w:rPr>
          <w:rFonts w:hint="eastAsia" w:ascii="宋体" w:hAnsi="宋体" w:cs="Arial Unicode MS"/>
          <w:color w:val="000000"/>
          <w:szCs w:val="21"/>
        </w:rPr>
        <w:t xml:space="preserve">   工程造价咨询业务范围：</w:t>
      </w:r>
    </w:p>
    <w:p w14:paraId="4D90DB4A">
      <w:pPr>
        <w:tabs>
          <w:tab w:val="left" w:pos="1440"/>
          <w:tab w:val="left" w:pos="1980"/>
          <w:tab w:val="left" w:pos="2160"/>
          <w:tab w:val="left" w:pos="2340"/>
          <w:tab w:val="left" w:pos="4500"/>
          <w:tab w:val="left" w:pos="4680"/>
          <w:tab w:val="left" w:pos="6660"/>
        </w:tabs>
        <w:spacing w:line="312" w:lineRule="auto"/>
        <w:ind w:firstLine="210" w:firstLineChars="100"/>
        <w:rPr>
          <w:rFonts w:ascii="宋体" w:hAnsi="宋体" w:cs="Arial Unicode MS"/>
          <w:color w:val="000000"/>
          <w:szCs w:val="21"/>
          <w:u w:val="single"/>
        </w:rPr>
      </w:pPr>
      <w:r>
        <w:rPr>
          <w:rFonts w:hint="eastAsia" w:ascii="宋体" w:hAnsi="宋体" w:cs="Arial Unicode MS"/>
          <w:color w:val="000000"/>
          <w:szCs w:val="21"/>
        </w:rPr>
        <w:t>“工程造价咨询业务”是指以下服务类别的咨询业务：</w:t>
      </w:r>
    </w:p>
    <w:p w14:paraId="4ADEDC04">
      <w:pPr>
        <w:tabs>
          <w:tab w:val="left" w:pos="1440"/>
          <w:tab w:val="left" w:pos="1980"/>
          <w:tab w:val="left" w:pos="2160"/>
          <w:tab w:val="left" w:pos="2340"/>
          <w:tab w:val="left" w:pos="4500"/>
          <w:tab w:val="left" w:pos="4680"/>
          <w:tab w:val="left" w:pos="6660"/>
        </w:tabs>
        <w:spacing w:line="312" w:lineRule="auto"/>
        <w:ind w:firstLine="420" w:firstLineChars="200"/>
        <w:rPr>
          <w:rFonts w:ascii="宋体" w:hAnsi="宋体" w:cs="Arial Unicode MS"/>
          <w:color w:val="000000"/>
          <w:szCs w:val="21"/>
        </w:rPr>
      </w:pPr>
      <w:r>
        <w:rPr>
          <w:rFonts w:hint="eastAsia" w:ascii="宋体" w:hAnsi="宋体" w:cs="Arial Unicode MS"/>
          <w:color w:val="000000"/>
          <w:szCs w:val="21"/>
        </w:rPr>
        <w:t>政府投资项目概算、预算（招标控制价）审核。</w:t>
      </w:r>
    </w:p>
    <w:p w14:paraId="649FEC8A">
      <w:pPr>
        <w:spacing w:line="312" w:lineRule="auto"/>
        <w:ind w:firstLine="413" w:firstLineChars="196"/>
        <w:rPr>
          <w:rFonts w:ascii="宋体" w:hAnsi="宋体" w:cs="Arial Unicode MS"/>
          <w:color w:val="000000"/>
          <w:szCs w:val="21"/>
        </w:rPr>
      </w:pPr>
      <w:r>
        <w:rPr>
          <w:rFonts w:hint="eastAsia" w:ascii="宋体" w:hAnsi="宋体" w:cs="Arial Unicode MS"/>
          <w:b/>
          <w:color w:val="000000"/>
          <w:szCs w:val="21"/>
        </w:rPr>
        <w:t xml:space="preserve">第三条 </w:t>
      </w:r>
      <w:r>
        <w:rPr>
          <w:rFonts w:hint="eastAsia" w:ascii="宋体" w:hAnsi="宋体" w:cs="Arial Unicode MS"/>
          <w:color w:val="000000"/>
          <w:szCs w:val="21"/>
        </w:rPr>
        <w:t xml:space="preserve">  无特殊情况，咨询人不得拒绝委托人委托的造价审核业务。</w:t>
      </w:r>
    </w:p>
    <w:p w14:paraId="5B767B75">
      <w:pPr>
        <w:spacing w:line="312" w:lineRule="auto"/>
        <w:ind w:firstLine="420" w:firstLineChars="200"/>
        <w:rPr>
          <w:rFonts w:ascii="宋体" w:hAnsi="宋体" w:cs="Arial Unicode MS"/>
          <w:color w:val="000000"/>
          <w:szCs w:val="21"/>
          <w:u w:val="single"/>
        </w:rPr>
      </w:pPr>
      <w:r>
        <w:rPr>
          <w:rFonts w:hint="eastAsia" w:ascii="宋体" w:hAnsi="宋体" w:cs="Arial Unicode MS"/>
          <w:color w:val="000000"/>
          <w:szCs w:val="21"/>
        </w:rPr>
        <w:t>咨询人在接受委托业务时已为该项目的相关造价编制单位、代建单位、全过程造价咨询单位或其关联方的，以及属于法律法规规定的其他应回避情况的，咨询人应主动回避。</w:t>
      </w:r>
      <w:r>
        <w:rPr>
          <w:rFonts w:hint="eastAsia" w:ascii="宋体" w:hAnsi="宋体" w:cs="Arial Unicode MS"/>
          <w:b/>
          <w:color w:val="000000"/>
          <w:szCs w:val="21"/>
        </w:rPr>
        <w:t>咨询人有应回避而未回避情况的，委托人自发现之日起一年内暂停委托审核业务。</w:t>
      </w:r>
    </w:p>
    <w:p w14:paraId="605BDEF8">
      <w:pPr>
        <w:snapToGrid w:val="0"/>
        <w:spacing w:line="312" w:lineRule="auto"/>
        <w:rPr>
          <w:rFonts w:ascii="宋体" w:hAnsi="宋体" w:cs="Arial Unicode MS"/>
          <w:color w:val="000000"/>
          <w:szCs w:val="21"/>
        </w:rPr>
      </w:pPr>
      <w:r>
        <w:rPr>
          <w:rFonts w:hint="eastAsia" w:ascii="宋体" w:hAnsi="宋体" w:cs="Arial Unicode MS"/>
          <w:b/>
          <w:color w:val="000000"/>
          <w:szCs w:val="21"/>
        </w:rPr>
        <w:t xml:space="preserve">   咨询人不得无故拒绝委托人按排序分配的审核业务，未经委托人同意而拒绝审核业务的，视为放弃当年内所有审核业务。</w:t>
      </w:r>
    </w:p>
    <w:p w14:paraId="6B9D764D">
      <w:pPr>
        <w:spacing w:line="312" w:lineRule="auto"/>
        <w:ind w:firstLine="422" w:firstLineChars="200"/>
        <w:rPr>
          <w:rFonts w:ascii="宋体" w:hAnsi="宋体"/>
          <w:b/>
          <w:color w:val="000000"/>
          <w:szCs w:val="21"/>
        </w:rPr>
      </w:pPr>
      <w:r>
        <w:rPr>
          <w:rFonts w:hint="eastAsia" w:ascii="宋体" w:hAnsi="宋体" w:cs="Arial Unicode MS"/>
          <w:b/>
          <w:bCs/>
          <w:color w:val="000000"/>
          <w:szCs w:val="21"/>
        </w:rPr>
        <w:t xml:space="preserve">第四条  </w:t>
      </w:r>
      <w:r>
        <w:rPr>
          <w:rFonts w:hint="eastAsia" w:ascii="宋体" w:hAnsi="宋体" w:cs="Arial Unicode MS"/>
          <w:b/>
          <w:color w:val="000000"/>
          <w:szCs w:val="21"/>
        </w:rPr>
        <w:t>本合同期内，咨询人应在</w:t>
      </w:r>
      <w:r>
        <w:rPr>
          <w:rFonts w:hint="eastAsia" w:ascii="宋体" w:hAnsi="宋体"/>
          <w:b/>
          <w:color w:val="000000"/>
          <w:szCs w:val="21"/>
        </w:rPr>
        <w:t>每季度末将经社保部门盖章确认的造价审核</w:t>
      </w:r>
      <w:r>
        <w:rPr>
          <w:rFonts w:hint="eastAsia" w:ascii="宋体" w:hAnsi="宋体"/>
          <w:b/>
          <w:bCs/>
          <w:color w:val="000000"/>
          <w:szCs w:val="21"/>
        </w:rPr>
        <w:t>专业人员</w:t>
      </w:r>
      <w:r>
        <w:rPr>
          <w:rFonts w:hint="eastAsia" w:ascii="宋体" w:hAnsi="宋体"/>
          <w:b/>
          <w:color w:val="000000"/>
          <w:szCs w:val="21"/>
        </w:rPr>
        <w:t>个人养老保险交纳清单报送</w:t>
      </w:r>
      <w:r>
        <w:rPr>
          <w:rFonts w:hint="eastAsia" w:ascii="宋体" w:hAnsi="宋体" w:cs="宋体"/>
          <w:b/>
          <w:color w:val="000000"/>
          <w:szCs w:val="21"/>
        </w:rPr>
        <w:t>岱山</w:t>
      </w:r>
      <w:r>
        <w:rPr>
          <w:rFonts w:ascii="宋体" w:hAnsi="宋体" w:cs="宋体"/>
          <w:b/>
          <w:color w:val="000000"/>
          <w:szCs w:val="21"/>
        </w:rPr>
        <w:t>县财政局</w:t>
      </w:r>
      <w:r>
        <w:rPr>
          <w:rFonts w:hint="eastAsia" w:ascii="宋体" w:hAnsi="宋体" w:cs="宋体"/>
          <w:b/>
          <w:color w:val="000000"/>
          <w:szCs w:val="21"/>
        </w:rPr>
        <w:t>（岱山县政府投资项目审价中心）</w:t>
      </w:r>
      <w:r>
        <w:rPr>
          <w:rFonts w:hint="eastAsia" w:ascii="宋体" w:hAnsi="宋体"/>
          <w:b/>
          <w:color w:val="000000"/>
          <w:szCs w:val="21"/>
        </w:rPr>
        <w:t>。岱山</w:t>
      </w:r>
      <w:r>
        <w:rPr>
          <w:rFonts w:ascii="宋体" w:hAnsi="宋体" w:cs="宋体"/>
          <w:b/>
          <w:color w:val="000000"/>
          <w:szCs w:val="21"/>
        </w:rPr>
        <w:t>县财政局</w:t>
      </w:r>
      <w:r>
        <w:rPr>
          <w:rFonts w:hint="eastAsia" w:ascii="宋体" w:hAnsi="宋体" w:cs="宋体"/>
          <w:b/>
          <w:color w:val="000000"/>
          <w:szCs w:val="21"/>
        </w:rPr>
        <w:t>（岱山县政府投资项目审价中心）</w:t>
      </w:r>
      <w:r>
        <w:rPr>
          <w:rFonts w:hint="eastAsia" w:ascii="宋体" w:hAnsi="宋体"/>
          <w:b/>
          <w:color w:val="000000"/>
          <w:szCs w:val="21"/>
        </w:rPr>
        <w:t>可随机查验咨询人的工作人员等实际情况是否与投标文件相符。如与投标文件不符，委托人有权停止委托审核业务。</w:t>
      </w:r>
    </w:p>
    <w:p w14:paraId="5A8C5CAD">
      <w:pPr>
        <w:spacing w:line="312" w:lineRule="auto"/>
        <w:ind w:firstLine="422" w:firstLineChars="200"/>
        <w:rPr>
          <w:rFonts w:ascii="宋体" w:hAnsi="宋体"/>
          <w:b/>
          <w:color w:val="000000"/>
          <w:szCs w:val="21"/>
        </w:rPr>
      </w:pPr>
      <w:r>
        <w:rPr>
          <w:rFonts w:hint="eastAsia" w:ascii="宋体" w:hAnsi="宋体" w:cs="Arial Unicode MS"/>
          <w:b/>
          <w:color w:val="000000"/>
          <w:szCs w:val="21"/>
        </w:rPr>
        <w:t>项目审核人员必须与投标时提供的人员配备相一致，</w:t>
      </w:r>
      <w:r>
        <w:rPr>
          <w:rFonts w:hint="eastAsia" w:ascii="宋体" w:hAnsi="宋体"/>
          <w:b/>
          <w:color w:val="000000"/>
          <w:szCs w:val="21"/>
        </w:rPr>
        <w:t>如出现工程造价人员离职的情况，咨询人须在其离职后半个月内进行补充，人员要求不得低于投标配备情况，且需经委托人批准同意，否则按不符合投标文件要求，停止委托审核业务。</w:t>
      </w:r>
    </w:p>
    <w:p w14:paraId="1B7871BA">
      <w:pPr>
        <w:spacing w:line="312" w:lineRule="auto"/>
        <w:ind w:firstLine="422" w:firstLineChars="200"/>
        <w:rPr>
          <w:rFonts w:ascii="宋体" w:hAnsi="宋体"/>
          <w:color w:val="000000"/>
          <w:szCs w:val="21"/>
        </w:rPr>
      </w:pPr>
      <w:r>
        <w:rPr>
          <w:rFonts w:hint="eastAsia" w:ascii="宋体" w:hAnsi="宋体"/>
          <w:b/>
          <w:color w:val="000000"/>
          <w:szCs w:val="21"/>
        </w:rPr>
        <w:t xml:space="preserve">第五条   </w:t>
      </w:r>
      <w:r>
        <w:rPr>
          <w:rFonts w:hint="eastAsia" w:ascii="宋体" w:hAnsi="宋体"/>
          <w:szCs w:val="21"/>
        </w:rPr>
        <w:t>咨询人接受委托任务后，需在岱山本地开展审核工作直至审核报告提交，自行承担差旅费和住宿费等。委托人可随时抽查咨询人项目审核人员的到位情况，不能按规定到位的，委托人有权单方面停止委托审核业务。</w:t>
      </w:r>
    </w:p>
    <w:p w14:paraId="3394F218">
      <w:pPr>
        <w:spacing w:line="312" w:lineRule="auto"/>
        <w:ind w:firstLine="422" w:firstLineChars="200"/>
        <w:rPr>
          <w:rFonts w:ascii="宋体" w:hAnsi="宋体"/>
          <w:color w:val="000000"/>
          <w:szCs w:val="21"/>
        </w:rPr>
      </w:pPr>
      <w:r>
        <w:rPr>
          <w:rFonts w:hint="eastAsia" w:ascii="宋体" w:hAnsi="宋体"/>
          <w:b/>
          <w:color w:val="000000"/>
          <w:szCs w:val="21"/>
        </w:rPr>
        <w:t>第六条</w:t>
      </w:r>
      <w:r>
        <w:rPr>
          <w:rFonts w:hint="eastAsia" w:ascii="宋体" w:hAnsi="宋体"/>
          <w:color w:val="000000"/>
          <w:szCs w:val="21"/>
        </w:rPr>
        <w:t xml:space="preserve">   若委托人有需要，咨询人须按采购人要求随时提供审核项目各类数据的测算统计工作。</w:t>
      </w:r>
    </w:p>
    <w:p w14:paraId="7EDE5835">
      <w:pPr>
        <w:spacing w:line="312" w:lineRule="auto"/>
        <w:ind w:firstLine="420" w:firstLineChars="200"/>
        <w:rPr>
          <w:rFonts w:ascii="宋体" w:hAnsi="宋体"/>
          <w:color w:val="000000"/>
          <w:szCs w:val="21"/>
        </w:rPr>
      </w:pPr>
      <w:r>
        <w:rPr>
          <w:rFonts w:hint="eastAsia" w:ascii="宋体" w:hAnsi="宋体"/>
          <w:color w:val="000000"/>
          <w:szCs w:val="21"/>
        </w:rPr>
        <w:t>在项目审核过程中，咨询人应积极配合采购人工作。遇采购人因工作需要要求咨询人项目审核人员到现场进行工作沟通配合的，项目审核人员须在</w:t>
      </w:r>
      <w:r>
        <w:rPr>
          <w:rFonts w:hint="eastAsia" w:ascii="宋体" w:hAnsi="宋体"/>
          <w:szCs w:val="21"/>
        </w:rPr>
        <w:t>投标的服务响应时间内</w:t>
      </w:r>
      <w:r>
        <w:rPr>
          <w:rFonts w:hint="eastAsia" w:ascii="宋体" w:hAnsi="宋体"/>
          <w:color w:val="000000"/>
          <w:szCs w:val="21"/>
        </w:rPr>
        <w:t>到达采购人约定的地点。</w:t>
      </w:r>
    </w:p>
    <w:p w14:paraId="0C4DA244">
      <w:pPr>
        <w:spacing w:line="312" w:lineRule="auto"/>
        <w:ind w:firstLine="409" w:firstLineChars="195"/>
        <w:rPr>
          <w:rFonts w:ascii="宋体" w:hAnsi="宋体" w:cs="宋体"/>
          <w:color w:val="000000"/>
          <w:szCs w:val="21"/>
        </w:rPr>
      </w:pPr>
      <w:r>
        <w:rPr>
          <w:rFonts w:hint="eastAsia" w:ascii="宋体" w:hAnsi="宋体"/>
          <w:vanish/>
          <w:color w:val="000000"/>
          <w:szCs w:val="21"/>
        </w:rPr>
        <w:cr/>
      </w:r>
      <w:r>
        <w:rPr>
          <w:rFonts w:hint="eastAsia" w:ascii="宋体" w:hAnsi="宋体"/>
          <w:vanish/>
          <w:color w:val="000000"/>
          <w:szCs w:val="21"/>
        </w:rPr>
        <w:t xml:space="preserve">核周 </w:t>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vanish/>
          <w:color w:val="000000"/>
          <w:szCs w:val="21"/>
        </w:rPr>
        <w:pgNum/>
      </w:r>
      <w:r>
        <w:rPr>
          <w:rFonts w:hint="eastAsia" w:ascii="宋体" w:hAnsi="宋体"/>
          <w:color w:val="000000"/>
          <w:szCs w:val="21"/>
        </w:rPr>
        <w:t>若咨询人配合达不到以上约定的，委托人有权单方面停止委托审核业务。</w:t>
      </w:r>
    </w:p>
    <w:p w14:paraId="6D1E5DD2">
      <w:pPr>
        <w:snapToGrid w:val="0"/>
        <w:spacing w:line="312" w:lineRule="auto"/>
        <w:ind w:firstLine="422" w:firstLineChars="200"/>
        <w:rPr>
          <w:rFonts w:ascii="宋体" w:hAnsi="宋体" w:cs="Arial Unicode MS"/>
          <w:color w:val="000000"/>
          <w:szCs w:val="21"/>
        </w:rPr>
      </w:pPr>
      <w:r>
        <w:rPr>
          <w:rFonts w:hint="eastAsia" w:ascii="宋体" w:hAnsi="宋体" w:cs="Arial Unicode MS"/>
          <w:b/>
          <w:color w:val="000000"/>
          <w:szCs w:val="21"/>
        </w:rPr>
        <w:t xml:space="preserve">第七条 </w:t>
      </w:r>
      <w:r>
        <w:rPr>
          <w:rFonts w:hint="eastAsia" w:ascii="宋体" w:hAnsi="宋体" w:cs="Arial Unicode MS"/>
          <w:color w:val="000000"/>
          <w:szCs w:val="21"/>
        </w:rPr>
        <w:t xml:space="preserve">  咨询人在审核所需的相关资料，由委托人负责提供。未经委托人同意，咨询人不得私自接受建设、施工单位提供的资料。对建设单位的不当行为，咨询人应建议建设单位纠正，并向委托人报告。咨询人应独立、客观、公正地开展工作，严格遵守国家及省、市的有关法律、法规及执业规范要求，并对审核报告的真实性、完整性、准确性负责。咨询人应确保项目审核工作质量，按约定时间完成审核工作。项目审核完成后，由咨询人向委托人提交项目要求的审核报告份数。</w:t>
      </w:r>
    </w:p>
    <w:p w14:paraId="75676117">
      <w:pPr>
        <w:snapToGrid w:val="0"/>
        <w:spacing w:line="312" w:lineRule="auto"/>
        <w:ind w:firstLine="525" w:firstLineChars="250"/>
        <w:rPr>
          <w:rFonts w:ascii="宋体" w:hAnsi="宋体" w:cs="Arial Unicode MS"/>
          <w:b/>
          <w:color w:val="000000"/>
          <w:szCs w:val="21"/>
        </w:rPr>
      </w:pPr>
      <w:r>
        <w:rPr>
          <w:rFonts w:hint="eastAsia" w:ascii="宋体" w:hAnsi="宋体" w:cs="Arial Unicode MS"/>
          <w:color w:val="000000"/>
          <w:szCs w:val="21"/>
        </w:rPr>
        <w:t>咨询人出具的审核报告只能提供给委托人，不得自行提供给其他单位或个人。</w:t>
      </w:r>
      <w:r>
        <w:rPr>
          <w:rFonts w:hint="eastAsia" w:ascii="宋体" w:hAnsi="宋体" w:cs="Arial Unicode MS"/>
          <w:b/>
          <w:color w:val="000000"/>
          <w:szCs w:val="21"/>
        </w:rPr>
        <w:t>咨询人擅自对外提供审核报告的，委托人自发现之日起一年内暂停委托审核业务；咨询人提供虚假审核报告的，咨询人自发现之日起合同期内暂停委托审核业务。</w:t>
      </w:r>
    </w:p>
    <w:p w14:paraId="5C4221D7">
      <w:pPr>
        <w:snapToGrid w:val="0"/>
        <w:spacing w:line="312" w:lineRule="auto"/>
        <w:ind w:firstLine="422" w:firstLineChars="200"/>
        <w:rPr>
          <w:rFonts w:ascii="宋体" w:hAnsi="宋体" w:cs="Arial Unicode MS"/>
          <w:color w:val="000000"/>
          <w:szCs w:val="21"/>
        </w:rPr>
      </w:pPr>
      <w:r>
        <w:rPr>
          <w:rFonts w:hint="eastAsia" w:ascii="宋体" w:hAnsi="宋体" w:cs="Arial Unicode MS"/>
          <w:b/>
          <w:color w:val="000000"/>
          <w:szCs w:val="21"/>
        </w:rPr>
        <w:t>第八条</w:t>
      </w:r>
      <w:r>
        <w:rPr>
          <w:rFonts w:hint="eastAsia" w:ascii="宋体" w:hAnsi="宋体" w:cs="Arial Unicode MS"/>
          <w:color w:val="000000"/>
          <w:szCs w:val="21"/>
        </w:rPr>
        <w:t xml:space="preserve">   咨询人应安排投标文件中的审核组成员实施项目审核，在接到委托人委托书后，应在3个工作日内完整填报并递交回执单。回执单中审核组各专业成员必须实际到位。</w:t>
      </w:r>
    </w:p>
    <w:p w14:paraId="446BA232">
      <w:pPr>
        <w:tabs>
          <w:tab w:val="left" w:pos="1440"/>
          <w:tab w:val="left" w:pos="1980"/>
          <w:tab w:val="left" w:pos="2160"/>
          <w:tab w:val="left" w:pos="234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第九条   </w:t>
      </w:r>
      <w:r>
        <w:rPr>
          <w:rFonts w:hint="eastAsia" w:ascii="宋体" w:hAnsi="宋体" w:cs="Arial Unicode MS"/>
          <w:color w:val="000000"/>
          <w:szCs w:val="21"/>
        </w:rPr>
        <w:t>咨询人在其责任期内如果失职，同意按以下办法承担因单方责任而造成的经济损失。</w:t>
      </w:r>
    </w:p>
    <w:p w14:paraId="138F8725">
      <w:pPr>
        <w:tabs>
          <w:tab w:val="left" w:pos="1440"/>
          <w:tab w:val="left" w:pos="1980"/>
          <w:tab w:val="left" w:pos="2160"/>
          <w:tab w:val="left" w:pos="2340"/>
          <w:tab w:val="left" w:pos="4500"/>
          <w:tab w:val="left" w:pos="4680"/>
          <w:tab w:val="left" w:pos="6660"/>
        </w:tabs>
        <w:spacing w:line="312" w:lineRule="auto"/>
        <w:ind w:left="567" w:leftChars="270" w:firstLine="210" w:firstLineChars="100"/>
        <w:rPr>
          <w:rFonts w:ascii="宋体" w:hAnsi="宋体" w:cs="Arial Unicode MS"/>
          <w:color w:val="000000"/>
          <w:szCs w:val="21"/>
          <w:u w:val="single"/>
        </w:rPr>
      </w:pPr>
      <w:r>
        <w:rPr>
          <w:rFonts w:hint="eastAsia" w:ascii="宋体" w:hAnsi="宋体" w:cs="Arial Unicode MS"/>
          <w:color w:val="000000"/>
          <w:szCs w:val="21"/>
          <w:u w:val="single"/>
        </w:rPr>
        <w:t>赔偿金为按合同约定计算的委托业务费与直接经济损失的较小值。</w:t>
      </w:r>
    </w:p>
    <w:p w14:paraId="7C1404C6">
      <w:pPr>
        <w:snapToGrid w:val="0"/>
        <w:spacing w:line="312" w:lineRule="auto"/>
        <w:ind w:firstLine="422" w:firstLineChars="200"/>
        <w:rPr>
          <w:rFonts w:ascii="宋体" w:hAnsi="宋体" w:cs="Arial Unicode MS"/>
          <w:color w:val="000000"/>
          <w:szCs w:val="21"/>
        </w:rPr>
      </w:pPr>
      <w:r>
        <w:rPr>
          <w:rFonts w:hint="eastAsia" w:ascii="宋体" w:hAnsi="宋体" w:cs="Arial Unicode MS"/>
          <w:b/>
          <w:color w:val="000000"/>
          <w:szCs w:val="21"/>
        </w:rPr>
        <w:t>第十条</w:t>
      </w:r>
      <w:r>
        <w:rPr>
          <w:rFonts w:hint="eastAsia" w:ascii="宋体" w:hAnsi="宋体" w:cs="Arial Unicode MS"/>
          <w:color w:val="000000"/>
          <w:szCs w:val="21"/>
        </w:rPr>
        <w:t xml:space="preserve">   岱山</w:t>
      </w:r>
      <w:r>
        <w:rPr>
          <w:rFonts w:ascii="宋体" w:hAnsi="宋体" w:cs="宋体"/>
          <w:color w:val="000000"/>
          <w:szCs w:val="21"/>
        </w:rPr>
        <w:t>县财政局</w:t>
      </w:r>
      <w:r>
        <w:rPr>
          <w:rFonts w:hint="eastAsia" w:ascii="宋体" w:hAnsi="宋体" w:cs="宋体"/>
          <w:color w:val="000000"/>
          <w:szCs w:val="21"/>
        </w:rPr>
        <w:t>（岱山县政府投资项目审价中心）暂</w:t>
      </w:r>
      <w:r>
        <w:rPr>
          <w:rFonts w:hint="eastAsia" w:ascii="宋体" w:hAnsi="宋体" w:cs="Arial Unicode MS"/>
          <w:color w:val="000000"/>
          <w:szCs w:val="21"/>
        </w:rPr>
        <w:t>按《政府投资项目造价审核中介机构质量管理操作规程》（</w:t>
      </w:r>
      <w:bookmarkStart w:id="402" w:name="OLE_LINK1"/>
      <w:r>
        <w:rPr>
          <w:rFonts w:hint="eastAsia" w:ascii="宋体" w:hAnsi="宋体" w:cs="Arial Unicode MS"/>
          <w:color w:val="000000"/>
          <w:szCs w:val="21"/>
          <w:lang w:val="en-US" w:eastAsia="zh-CN"/>
        </w:rPr>
        <w:t>另行制定</w:t>
      </w:r>
      <w:bookmarkEnd w:id="402"/>
      <w:r>
        <w:rPr>
          <w:rFonts w:hint="eastAsia" w:ascii="宋体" w:hAnsi="宋体" w:cs="Arial Unicode MS"/>
          <w:color w:val="000000"/>
          <w:szCs w:val="21"/>
        </w:rPr>
        <w:t>）对咨询人进行考核管理。今后本县如有调整，从其新规定执行。</w:t>
      </w:r>
    </w:p>
    <w:p w14:paraId="55C29344">
      <w:pPr>
        <w:snapToGrid w:val="0"/>
        <w:spacing w:line="312" w:lineRule="auto"/>
        <w:ind w:firstLine="422" w:firstLineChars="200"/>
        <w:rPr>
          <w:rFonts w:ascii="宋体" w:hAnsi="宋体"/>
          <w:b/>
          <w:color w:val="000000"/>
          <w:szCs w:val="21"/>
        </w:rPr>
      </w:pPr>
      <w:r>
        <w:rPr>
          <w:rFonts w:hint="eastAsia" w:ascii="宋体" w:hAnsi="宋体" w:cs="Arial Unicode MS"/>
          <w:b/>
          <w:color w:val="000000"/>
          <w:szCs w:val="21"/>
        </w:rPr>
        <w:t>第十一条</w:t>
      </w:r>
      <w:r>
        <w:rPr>
          <w:rFonts w:hint="eastAsia" w:ascii="宋体" w:hAnsi="宋体"/>
          <w:b/>
          <w:color w:val="000000"/>
          <w:szCs w:val="21"/>
        </w:rPr>
        <w:t>合同期内，中介机构被岱山县财政局</w:t>
      </w:r>
      <w:r>
        <w:rPr>
          <w:rFonts w:hint="eastAsia" w:ascii="宋体" w:hAnsi="宋体" w:cs="宋体"/>
          <w:b/>
          <w:color w:val="000000"/>
          <w:szCs w:val="21"/>
        </w:rPr>
        <w:t>（岱山县政府投资项目审价中心）</w:t>
      </w:r>
      <w:r>
        <w:rPr>
          <w:rFonts w:hint="eastAsia" w:ascii="宋体" w:hAnsi="宋体"/>
          <w:b/>
          <w:color w:val="000000"/>
          <w:szCs w:val="21"/>
        </w:rPr>
        <w:t>考核达到暂停委托处理标准的，进行相应暂停处理。但当中介机构考核暂停累计达2次时，将停止剩余合同期内的所有业务委托，已委托的业务必须保质保量并按时完成。</w:t>
      </w:r>
    </w:p>
    <w:p w14:paraId="7B702506">
      <w:pPr>
        <w:spacing w:line="312" w:lineRule="auto"/>
        <w:ind w:firstLine="420" w:firstLineChars="200"/>
        <w:rPr>
          <w:rFonts w:ascii="宋体" w:hAnsi="宋体"/>
          <w:szCs w:val="21"/>
        </w:rPr>
      </w:pPr>
      <w:r>
        <w:rPr>
          <w:rFonts w:hint="eastAsia" w:ascii="宋体" w:hAnsi="宋体" w:cs="Arial Unicode MS"/>
          <w:szCs w:val="21"/>
        </w:rPr>
        <w:t>第十二条  双方同意，第二阶段成交供应商确定：送审1亿元以下的项目采用顺序轮候，送审1亿元以上的（含）项目采用二次竞价 。</w:t>
      </w:r>
    </w:p>
    <w:p w14:paraId="4C2EEEA8">
      <w:pPr>
        <w:snapToGrid w:val="0"/>
        <w:spacing w:line="312" w:lineRule="auto"/>
        <w:ind w:firstLine="422" w:firstLineChars="200"/>
        <w:rPr>
          <w:rFonts w:ascii="宋体" w:hAnsi="宋体" w:cs="Arial Unicode MS"/>
          <w:color w:val="000000"/>
          <w:szCs w:val="21"/>
        </w:rPr>
      </w:pPr>
      <w:r>
        <w:rPr>
          <w:rFonts w:hint="eastAsia" w:ascii="宋体" w:hAnsi="宋体" w:cs="Arial Unicode MS"/>
          <w:b/>
          <w:color w:val="000000"/>
          <w:szCs w:val="21"/>
        </w:rPr>
        <w:t xml:space="preserve">第十三条    </w:t>
      </w:r>
      <w:r>
        <w:rPr>
          <w:rFonts w:hint="eastAsia" w:ascii="宋体" w:hAnsi="宋体" w:cs="Arial Unicode MS"/>
          <w:color w:val="000000"/>
          <w:szCs w:val="21"/>
        </w:rPr>
        <w:t>双方同意岱山县财政局（岱山县政府投资项目审价中心）暂按《政府投资项目造价审核中介机构质量管理操作规程》（</w:t>
      </w:r>
      <w:r>
        <w:rPr>
          <w:rFonts w:hint="eastAsia" w:ascii="宋体" w:hAnsi="宋体" w:cs="Arial Unicode MS"/>
          <w:color w:val="000000"/>
          <w:szCs w:val="21"/>
          <w:lang w:val="en-US" w:eastAsia="zh-CN"/>
        </w:rPr>
        <w:t>另行制定</w:t>
      </w:r>
      <w:r>
        <w:rPr>
          <w:rFonts w:hint="eastAsia" w:ascii="宋体" w:hAnsi="宋体" w:cs="Arial Unicode MS"/>
          <w:color w:val="000000"/>
          <w:szCs w:val="21"/>
        </w:rPr>
        <w:t>）的计算方法、支付时间与金额，支付咨询人的正常服务酬金。今后本县如有调整，从其新规定执行。</w:t>
      </w:r>
    </w:p>
    <w:p w14:paraId="462B0591">
      <w:pPr>
        <w:spacing w:line="312" w:lineRule="auto"/>
        <w:ind w:firstLine="422" w:firstLineChars="200"/>
        <w:rPr>
          <w:rFonts w:ascii="宋体" w:hAnsi="宋体" w:cs="Arial Unicode MS"/>
          <w:color w:val="000000"/>
          <w:szCs w:val="21"/>
        </w:rPr>
      </w:pPr>
      <w:r>
        <w:rPr>
          <w:rFonts w:hint="eastAsia" w:ascii="宋体" w:hAnsi="宋体"/>
          <w:b/>
          <w:szCs w:val="21"/>
        </w:rPr>
        <w:t>13.1</w:t>
      </w:r>
      <w:r>
        <w:rPr>
          <w:rFonts w:hint="eastAsia" w:ascii="宋体" w:hAnsi="宋体" w:cs="Arial Unicode MS"/>
          <w:color w:val="000000"/>
          <w:szCs w:val="21"/>
        </w:rPr>
        <w:t>咨询人承诺审核费按%收取。</w:t>
      </w:r>
    </w:p>
    <w:p w14:paraId="6BAC28E0">
      <w:pPr>
        <w:spacing w:after="120" w:line="312" w:lineRule="auto"/>
        <w:ind w:firstLine="422" w:firstLineChars="200"/>
        <w:rPr>
          <w:rFonts w:ascii="宋体" w:hAnsi="宋体"/>
          <w:color w:val="000000"/>
          <w:szCs w:val="21"/>
          <w:lang w:val="zh-CN"/>
        </w:rPr>
      </w:pPr>
      <w:r>
        <w:rPr>
          <w:rFonts w:hint="eastAsia" w:ascii="宋体" w:hAnsi="宋体"/>
          <w:b/>
          <w:color w:val="000000"/>
          <w:szCs w:val="21"/>
          <w:lang w:val="zh-CN"/>
        </w:rPr>
        <w:t>13.2</w:t>
      </w:r>
      <w:r>
        <w:rPr>
          <w:rFonts w:hint="eastAsia" w:ascii="宋体" w:hAnsi="宋体"/>
          <w:color w:val="000000"/>
          <w:szCs w:val="21"/>
          <w:lang w:val="zh-CN"/>
        </w:rPr>
        <w:t xml:space="preserve"> 本合同的政府投资项目概算投标审核误差率为%，预算（招标控制价）投标审核误差率为%，</w:t>
      </w:r>
      <w:r>
        <w:rPr>
          <w:rFonts w:hint="eastAsia" w:ascii="宋体" w:hAnsi="宋体"/>
          <w:color w:val="000000"/>
          <w:szCs w:val="21"/>
        </w:rPr>
        <w:t>审核应符合国家现行有关规定，审核结果误差率不得投标值，除客观原因外，误差率超过投标值的，扣10%的审核费；误差率超过±5%的，扣30%的审核费；误差率超过±10%的，扣100%的审核费。</w:t>
      </w:r>
    </w:p>
    <w:p w14:paraId="72423322">
      <w:pPr>
        <w:spacing w:line="312" w:lineRule="auto"/>
        <w:rPr>
          <w:rFonts w:ascii="宋体" w:hAnsi="宋体"/>
          <w:bCs/>
          <w:szCs w:val="21"/>
        </w:rPr>
      </w:pPr>
      <w:r>
        <w:rPr>
          <w:rFonts w:hint="eastAsia" w:ascii="宋体" w:hAnsi="宋体"/>
          <w:bCs/>
          <w:szCs w:val="21"/>
        </w:rPr>
        <w:t xml:space="preserve">  13.3 委托人支付咨询人服务酬金时，咨询人须提供税务部门开具的增值税发票。否则，委托人可单方面解除合同。</w:t>
      </w:r>
    </w:p>
    <w:p w14:paraId="75EAFC54">
      <w:pPr>
        <w:spacing w:after="120" w:line="312" w:lineRule="auto"/>
        <w:ind w:firstLine="420" w:firstLineChars="200"/>
        <w:rPr>
          <w:rFonts w:ascii="宋体" w:hAnsi="宋体" w:cs="Arial Unicode MS"/>
          <w:bCs/>
          <w:szCs w:val="21"/>
          <w:lang w:val="zh-CN"/>
        </w:rPr>
      </w:pPr>
      <w:r>
        <w:rPr>
          <w:rFonts w:hint="eastAsia" w:ascii="宋体" w:hAnsi="宋体" w:cs="Arial Unicode MS"/>
          <w:bCs/>
          <w:szCs w:val="21"/>
          <w:lang w:val="zh-CN"/>
        </w:rPr>
        <w:t>13.4 服务酬金分为基本费，基本费由县财政局（岱山县政府投资项目审价中心）支付，采用二次竞价方式采购的由建设单位支付，计入项目建设成本。支付咨询人服务酬金时，咨询人须提供税务部门开具的增值税发票。否则，委托人可单方面解除合同。</w:t>
      </w:r>
    </w:p>
    <w:p w14:paraId="72F68D84">
      <w:pPr>
        <w:spacing w:line="312" w:lineRule="auto"/>
        <w:ind w:firstLine="420" w:firstLineChars="200"/>
        <w:rPr>
          <w:rFonts w:ascii="宋体" w:hAnsi="宋体"/>
          <w:szCs w:val="21"/>
        </w:rPr>
      </w:pPr>
      <w:r>
        <w:rPr>
          <w:rFonts w:hint="eastAsia" w:ascii="宋体" w:hAnsi="宋体" w:cs="Arial Unicode MS"/>
          <w:bCs/>
          <w:szCs w:val="21"/>
        </w:rPr>
        <w:t>13.5</w:t>
      </w:r>
      <w:r>
        <w:rPr>
          <w:rFonts w:hint="eastAsia" w:ascii="宋体" w:hAnsi="宋体" w:cs="宋体"/>
          <w:kern w:val="0"/>
          <w:szCs w:val="21"/>
        </w:rPr>
        <w:t>正常服务酬金每年度结算一次。咨询人应于每年度末向委托人报送上一年度完成项目的服务酬金支付通知书及计算表，经委托人审核确认一致，并收到咨询人的增值税发票后30日内以转账形式支付。</w:t>
      </w:r>
    </w:p>
    <w:p w14:paraId="079B9579">
      <w:pPr>
        <w:spacing w:after="120" w:line="312" w:lineRule="auto"/>
        <w:ind w:firstLine="420" w:firstLineChars="200"/>
        <w:rPr>
          <w:rFonts w:ascii="宋体" w:hAnsi="宋体" w:cs="Arial Unicode MS"/>
          <w:bCs/>
          <w:szCs w:val="21"/>
          <w:lang w:val="zh-CN"/>
        </w:rPr>
      </w:pPr>
      <w:r>
        <w:rPr>
          <w:rFonts w:hint="eastAsia" w:ascii="宋体" w:hAnsi="宋体" w:cs="Arial Unicode MS"/>
          <w:bCs/>
          <w:szCs w:val="21"/>
          <w:lang w:val="zh-CN"/>
        </w:rPr>
        <w:t>附加服务酬金的金额与支付时间由双方另行协商，签订协议。</w:t>
      </w:r>
    </w:p>
    <w:p w14:paraId="4BAE5737">
      <w:pPr>
        <w:spacing w:after="120" w:line="312" w:lineRule="auto"/>
        <w:ind w:left="101" w:leftChars="48" w:firstLine="207" w:firstLineChars="98"/>
        <w:rPr>
          <w:rFonts w:ascii="宋体" w:hAnsi="宋体" w:cs="Arial Unicode MS"/>
          <w:color w:val="000000"/>
          <w:szCs w:val="21"/>
          <w:lang w:val="zh-CN"/>
        </w:rPr>
      </w:pPr>
      <w:r>
        <w:rPr>
          <w:rFonts w:hint="eastAsia" w:ascii="宋体" w:hAnsi="宋体" w:cs="Arial Unicode MS"/>
          <w:b/>
          <w:bCs/>
          <w:color w:val="000000"/>
          <w:szCs w:val="21"/>
          <w:lang w:val="zh-CN"/>
        </w:rPr>
        <w:t xml:space="preserve">第十四条   </w:t>
      </w:r>
      <w:r>
        <w:rPr>
          <w:rFonts w:hint="eastAsia" w:ascii="宋体" w:hAnsi="宋体" w:cs="Arial Unicode MS"/>
          <w:color w:val="000000"/>
          <w:szCs w:val="21"/>
          <w:lang w:val="zh-CN"/>
        </w:rPr>
        <w:t>双方同意用</w:t>
      </w:r>
      <w:r>
        <w:rPr>
          <w:rFonts w:hint="eastAsia" w:ascii="宋体" w:hAnsi="宋体" w:cs="Arial Unicode MS"/>
          <w:color w:val="000000"/>
          <w:szCs w:val="21"/>
          <w:u w:val="single"/>
          <w:lang w:val="zh-CN"/>
        </w:rPr>
        <w:t xml:space="preserve"> 人民币</w:t>
      </w:r>
      <w:r>
        <w:rPr>
          <w:rFonts w:hint="eastAsia" w:ascii="宋体" w:hAnsi="宋体" w:cs="Arial Unicode MS"/>
          <w:color w:val="000000"/>
          <w:szCs w:val="21"/>
          <w:lang w:val="zh-CN"/>
        </w:rPr>
        <w:t>支付酬金。</w:t>
      </w:r>
    </w:p>
    <w:p w14:paraId="6BDB2007">
      <w:pPr>
        <w:tabs>
          <w:tab w:val="left" w:pos="1440"/>
          <w:tab w:val="left" w:pos="1980"/>
          <w:tab w:val="left" w:pos="2160"/>
          <w:tab w:val="left" w:pos="2340"/>
          <w:tab w:val="left" w:pos="4500"/>
          <w:tab w:val="left" w:pos="4680"/>
          <w:tab w:val="left" w:pos="6660"/>
        </w:tabs>
        <w:spacing w:line="312" w:lineRule="auto"/>
        <w:ind w:firstLine="422" w:firstLineChars="200"/>
        <w:rPr>
          <w:rFonts w:ascii="宋体" w:hAnsi="宋体" w:cs="Arial Unicode MS"/>
          <w:bCs/>
          <w:color w:val="000000"/>
          <w:szCs w:val="21"/>
        </w:rPr>
      </w:pPr>
      <w:r>
        <w:rPr>
          <w:rFonts w:hint="eastAsia" w:ascii="宋体" w:hAnsi="宋体" w:cs="Arial Unicode MS"/>
          <w:b/>
          <w:bCs/>
          <w:color w:val="000000"/>
          <w:szCs w:val="21"/>
        </w:rPr>
        <w:t xml:space="preserve">第十五条   </w:t>
      </w:r>
      <w:r>
        <w:rPr>
          <w:rFonts w:hint="eastAsia" w:ascii="宋体" w:hAnsi="宋体" w:cs="Arial Unicode MS"/>
          <w:bCs/>
          <w:color w:val="000000"/>
          <w:szCs w:val="21"/>
        </w:rPr>
        <w:t>本合同所约定的价格标准固定不变。合同履行期间，未经双方书面认可，任何一方一般不得以任何理由单方调整。</w:t>
      </w:r>
    </w:p>
    <w:p w14:paraId="2C15928C">
      <w:pPr>
        <w:tabs>
          <w:tab w:val="left" w:pos="1440"/>
          <w:tab w:val="left" w:pos="1980"/>
          <w:tab w:val="left" w:pos="2160"/>
          <w:tab w:val="left" w:pos="2340"/>
          <w:tab w:val="left" w:pos="4500"/>
          <w:tab w:val="left" w:pos="4680"/>
          <w:tab w:val="left" w:pos="6660"/>
        </w:tabs>
        <w:spacing w:line="312" w:lineRule="auto"/>
        <w:ind w:firstLine="413" w:firstLineChars="196"/>
        <w:rPr>
          <w:rFonts w:ascii="宋体" w:hAnsi="宋体" w:cs="Arial Unicode MS"/>
          <w:color w:val="000000"/>
          <w:szCs w:val="21"/>
        </w:rPr>
      </w:pPr>
      <w:r>
        <w:rPr>
          <w:rFonts w:hint="eastAsia" w:ascii="宋体" w:hAnsi="宋体" w:cs="Arial Unicode MS"/>
          <w:b/>
          <w:bCs/>
          <w:color w:val="000000"/>
          <w:szCs w:val="21"/>
        </w:rPr>
        <w:t xml:space="preserve">第十六条   </w:t>
      </w:r>
      <w:r>
        <w:rPr>
          <w:rFonts w:hint="eastAsia" w:ascii="宋体" w:hAnsi="宋体" w:cs="Arial Unicode MS"/>
          <w:color w:val="000000"/>
          <w:szCs w:val="21"/>
        </w:rPr>
        <w:t>工程造价咨询合同在履行过程中发生争议，委托人与咨询人应及时协商解决；如未能达成一致，可提交有关主管部门调解；协商或调解不成的，按下列第（一）种方式解决：</w:t>
      </w:r>
    </w:p>
    <w:p w14:paraId="794902F7">
      <w:pPr>
        <w:tabs>
          <w:tab w:val="left" w:pos="1440"/>
          <w:tab w:val="left" w:pos="1980"/>
          <w:tab w:val="left" w:pos="2160"/>
          <w:tab w:val="left" w:pos="2340"/>
          <w:tab w:val="left" w:pos="4500"/>
          <w:tab w:val="left" w:pos="4680"/>
          <w:tab w:val="left" w:pos="6660"/>
        </w:tabs>
        <w:spacing w:line="312" w:lineRule="auto"/>
        <w:ind w:firstLine="420" w:firstLineChars="200"/>
        <w:rPr>
          <w:rFonts w:ascii="宋体" w:hAnsi="宋体" w:cs="Arial Unicode MS"/>
          <w:color w:val="000000"/>
          <w:szCs w:val="21"/>
        </w:rPr>
      </w:pPr>
      <w:r>
        <w:rPr>
          <w:rFonts w:hint="eastAsia" w:ascii="宋体" w:hAnsi="宋体" w:cs="Arial Unicode MS"/>
          <w:color w:val="000000"/>
          <w:szCs w:val="21"/>
        </w:rPr>
        <w:t>（一） 提交舟山市仲裁委员会仲裁；</w:t>
      </w:r>
    </w:p>
    <w:p w14:paraId="3069C57A">
      <w:pPr>
        <w:spacing w:line="312" w:lineRule="auto"/>
        <w:ind w:firstLine="420" w:firstLineChars="200"/>
        <w:rPr>
          <w:rFonts w:ascii="宋体" w:hAnsi="宋体" w:cs="Arial Unicode MS"/>
          <w:color w:val="000000"/>
          <w:szCs w:val="21"/>
        </w:rPr>
      </w:pPr>
      <w:r>
        <w:rPr>
          <w:rFonts w:hint="eastAsia" w:ascii="宋体" w:hAnsi="宋体" w:cs="Arial Unicode MS"/>
          <w:color w:val="000000"/>
          <w:szCs w:val="21"/>
        </w:rPr>
        <w:t>（二） 依法向人民法院起诉。</w:t>
      </w:r>
    </w:p>
    <w:p w14:paraId="0F5E620E">
      <w:pPr>
        <w:autoSpaceDE w:val="0"/>
        <w:autoSpaceDN w:val="0"/>
        <w:spacing w:line="312" w:lineRule="auto"/>
        <w:ind w:firstLine="420"/>
        <w:rPr>
          <w:rFonts w:ascii="宋体" w:hAnsi="宋体" w:cs="Arial Unicode MS"/>
          <w:color w:val="000000"/>
          <w:szCs w:val="21"/>
          <w:lang w:val="zh-CN"/>
        </w:rPr>
      </w:pPr>
    </w:p>
    <w:p w14:paraId="4338D788">
      <w:pPr>
        <w:spacing w:line="312" w:lineRule="auto"/>
        <w:ind w:left="2100" w:leftChars="1000"/>
        <w:rPr>
          <w:rFonts w:ascii="宋体" w:hAnsi="宋体" w:cs="Arial Unicode MS"/>
          <w:color w:val="000000"/>
          <w:szCs w:val="21"/>
        </w:rPr>
      </w:pPr>
    </w:p>
    <w:p w14:paraId="7A933C76">
      <w:pPr>
        <w:spacing w:line="312" w:lineRule="auto"/>
        <w:rPr>
          <w:rFonts w:ascii="宋体" w:hAnsi="宋体" w:cs="Arial Unicode MS"/>
          <w:color w:val="000000"/>
          <w:szCs w:val="21"/>
        </w:rPr>
      </w:pPr>
    </w:p>
    <w:p w14:paraId="189F5227">
      <w:pPr>
        <w:autoSpaceDE w:val="0"/>
        <w:autoSpaceDN w:val="0"/>
        <w:spacing w:line="312" w:lineRule="auto"/>
        <w:ind w:firstLine="420"/>
        <w:rPr>
          <w:rFonts w:ascii="宋体" w:hAnsi="宋体"/>
          <w:szCs w:val="21"/>
          <w:lang w:val="zh-CN"/>
        </w:rPr>
      </w:pPr>
    </w:p>
    <w:p w14:paraId="7FC371C5">
      <w:pPr>
        <w:spacing w:line="312" w:lineRule="auto"/>
        <w:rPr>
          <w:rFonts w:ascii="宋体" w:hAnsi="宋体" w:cs="仿宋"/>
          <w:snapToGrid w:val="0"/>
          <w:kern w:val="0"/>
          <w:szCs w:val="21"/>
        </w:rPr>
      </w:pPr>
    </w:p>
    <w:p w14:paraId="0B405884">
      <w:pPr>
        <w:spacing w:line="312" w:lineRule="auto"/>
        <w:rPr>
          <w:rFonts w:ascii="宋体" w:hAnsi="宋体" w:cs="仿宋"/>
          <w:snapToGrid w:val="0"/>
          <w:kern w:val="0"/>
          <w:szCs w:val="21"/>
        </w:rPr>
      </w:pPr>
    </w:p>
    <w:p w14:paraId="00347E68">
      <w:pPr>
        <w:spacing w:line="480" w:lineRule="auto"/>
        <w:rPr>
          <w:rFonts w:ascii="宋体" w:hAnsi="宋体" w:cs="仿宋"/>
          <w:snapToGrid w:val="0"/>
          <w:kern w:val="0"/>
          <w:szCs w:val="21"/>
        </w:rPr>
      </w:pPr>
      <w:r>
        <w:rPr>
          <w:rFonts w:hint="eastAsia" w:ascii="宋体" w:hAnsi="宋体" w:cs="仿宋"/>
          <w:snapToGrid w:val="0"/>
          <w:kern w:val="0"/>
          <w:szCs w:val="21"/>
        </w:rPr>
        <w:t>甲方：</w:t>
      </w:r>
      <w:r>
        <w:rPr>
          <w:rFonts w:hint="eastAsia" w:ascii="宋体" w:hAnsi="宋体" w:cs="仿宋"/>
          <w:snapToGrid w:val="0"/>
          <w:kern w:val="0"/>
          <w:szCs w:val="21"/>
          <w:u w:val="single"/>
        </w:rPr>
        <w:t>岱山县财政局（岱山县政府投资项目审价中心）</w:t>
      </w:r>
      <w:r>
        <w:rPr>
          <w:rFonts w:hint="eastAsia" w:ascii="宋体" w:hAnsi="宋体" w:cs="仿宋"/>
          <w:snapToGrid w:val="0"/>
          <w:kern w:val="0"/>
          <w:szCs w:val="21"/>
        </w:rPr>
        <w:t xml:space="preserve">    乙方：   </w:t>
      </w:r>
    </w:p>
    <w:p w14:paraId="571A8FB1">
      <w:pPr>
        <w:spacing w:line="480" w:lineRule="auto"/>
        <w:rPr>
          <w:rFonts w:ascii="宋体" w:hAnsi="宋体" w:cs="仿宋"/>
          <w:snapToGrid w:val="0"/>
          <w:kern w:val="0"/>
          <w:szCs w:val="21"/>
        </w:rPr>
      </w:pPr>
      <w:r>
        <w:rPr>
          <w:rFonts w:hint="eastAsia" w:ascii="宋体" w:hAnsi="宋体" w:cs="仿宋"/>
          <w:snapToGrid w:val="0"/>
          <w:kern w:val="0"/>
          <w:szCs w:val="21"/>
        </w:rPr>
        <w:t xml:space="preserve">委托代理人：（签字）                         </w:t>
      </w:r>
      <w:r>
        <w:rPr>
          <w:rFonts w:hint="eastAsia" w:ascii="宋体" w:hAnsi="宋体" w:cs="仿宋"/>
          <w:snapToGrid w:val="0"/>
          <w:kern w:val="0"/>
          <w:szCs w:val="21"/>
          <w:lang w:val="en-US" w:eastAsia="zh-CN"/>
        </w:rPr>
        <w:t xml:space="preserve">      </w:t>
      </w:r>
      <w:r>
        <w:rPr>
          <w:rFonts w:hint="eastAsia" w:ascii="宋体" w:hAnsi="宋体" w:cs="仿宋"/>
          <w:snapToGrid w:val="0"/>
          <w:kern w:val="0"/>
          <w:szCs w:val="21"/>
        </w:rPr>
        <w:t xml:space="preserve"> 委托代理人：（签字）</w:t>
      </w:r>
    </w:p>
    <w:p w14:paraId="6A00CD37">
      <w:pPr>
        <w:spacing w:line="480" w:lineRule="auto"/>
        <w:rPr>
          <w:rFonts w:ascii="宋体" w:hAnsi="宋体" w:cs="仿宋"/>
          <w:snapToGrid w:val="0"/>
          <w:kern w:val="0"/>
          <w:szCs w:val="21"/>
        </w:rPr>
      </w:pPr>
      <w:r>
        <w:rPr>
          <w:rFonts w:hint="eastAsia" w:ascii="宋体" w:hAnsi="宋体" w:cs="仿宋"/>
          <w:snapToGrid w:val="0"/>
          <w:kern w:val="0"/>
          <w:szCs w:val="21"/>
        </w:rPr>
        <w:t xml:space="preserve">年   月  日                                </w:t>
      </w:r>
      <w:r>
        <w:rPr>
          <w:rFonts w:hint="eastAsia" w:ascii="宋体" w:hAnsi="宋体" w:cs="仿宋"/>
          <w:snapToGrid w:val="0"/>
          <w:kern w:val="0"/>
          <w:szCs w:val="21"/>
          <w:lang w:val="en-US" w:eastAsia="zh-CN"/>
        </w:rPr>
        <w:t xml:space="preserve">       </w:t>
      </w:r>
      <w:r>
        <w:rPr>
          <w:rFonts w:hint="eastAsia" w:ascii="宋体" w:hAnsi="宋体" w:cs="仿宋"/>
          <w:snapToGrid w:val="0"/>
          <w:kern w:val="0"/>
          <w:szCs w:val="21"/>
        </w:rPr>
        <w:t xml:space="preserve"> </w:t>
      </w:r>
      <w:r>
        <w:rPr>
          <w:rFonts w:hint="eastAsia" w:ascii="宋体" w:hAnsi="宋体" w:cs="仿宋"/>
          <w:snapToGrid w:val="0"/>
          <w:kern w:val="0"/>
          <w:szCs w:val="21"/>
          <w:lang w:val="en-US" w:eastAsia="zh-CN"/>
        </w:rPr>
        <w:t xml:space="preserve"> </w:t>
      </w:r>
      <w:r>
        <w:rPr>
          <w:rFonts w:hint="eastAsia" w:ascii="宋体" w:hAnsi="宋体" w:cs="仿宋"/>
          <w:snapToGrid w:val="0"/>
          <w:kern w:val="0"/>
          <w:szCs w:val="21"/>
        </w:rPr>
        <w:t>年   月   日</w:t>
      </w:r>
    </w:p>
    <w:p w14:paraId="0DA5EC91">
      <w:pPr>
        <w:tabs>
          <w:tab w:val="left" w:pos="840"/>
        </w:tabs>
        <w:spacing w:line="360" w:lineRule="auto"/>
        <w:rPr>
          <w:rFonts w:ascii="宋体" w:hAnsi="宋体" w:cs="仿宋"/>
          <w:snapToGrid w:val="0"/>
          <w:kern w:val="0"/>
          <w:sz w:val="24"/>
        </w:rPr>
      </w:pPr>
    </w:p>
    <w:p w14:paraId="0CE5D458">
      <w:pPr>
        <w:tabs>
          <w:tab w:val="left" w:pos="840"/>
        </w:tabs>
        <w:spacing w:line="360" w:lineRule="auto"/>
        <w:ind w:firstLine="480" w:firstLineChars="200"/>
        <w:rPr>
          <w:rFonts w:ascii="宋体" w:hAnsi="宋体" w:cs="仿宋"/>
          <w:snapToGrid w:val="0"/>
          <w:kern w:val="0"/>
          <w:sz w:val="24"/>
        </w:rPr>
      </w:pPr>
    </w:p>
    <w:p w14:paraId="064DA888">
      <w:pPr>
        <w:rPr>
          <w:rFonts w:ascii="宋体" w:hAnsi="宋体" w:cs="仿宋"/>
        </w:rPr>
      </w:pPr>
    </w:p>
    <w:p w14:paraId="469766D1">
      <w:pPr>
        <w:rPr>
          <w:rFonts w:ascii="宋体" w:hAnsi="宋体" w:cs="仿宋"/>
        </w:rPr>
      </w:pPr>
    </w:p>
    <w:p w14:paraId="286DB4C8">
      <w:pPr>
        <w:snapToGrid w:val="0"/>
        <w:spacing w:line="360" w:lineRule="auto"/>
        <w:ind w:firstLine="480" w:firstLineChars="200"/>
        <w:rPr>
          <w:rFonts w:ascii="宋体" w:hAnsi="宋体" w:cs="仿宋"/>
          <w:sz w:val="24"/>
        </w:rPr>
      </w:pPr>
    </w:p>
    <w:p w14:paraId="22100BFB">
      <w:pPr>
        <w:pStyle w:val="215"/>
      </w:pPr>
      <w:r>
        <w:rPr>
          <w:rFonts w:hint="eastAsia" w:ascii="Times New Roman" w:hAnsi="Times New Roman" w:cs="仿宋"/>
          <w:szCs w:val="24"/>
        </w:rPr>
        <w:br w:type="page"/>
      </w:r>
    </w:p>
    <w:p w14:paraId="224CF8DD">
      <w:pPr>
        <w:tabs>
          <w:tab w:val="left" w:pos="3228"/>
        </w:tabs>
        <w:adjustRightInd/>
        <w:rPr>
          <w:rFonts w:ascii="等线" w:hAnsi="等线"/>
          <w:szCs w:val="22"/>
        </w:rPr>
      </w:pPr>
      <w:r>
        <w:rPr>
          <w:rFonts w:ascii="宋体" w:hAnsi="宋体"/>
          <w:szCs w:val="21"/>
        </w:rPr>
        <w:t>信贷政策</w:t>
      </w:r>
    </w:p>
    <w:p w14:paraId="6DEC92A1">
      <w:pPr>
        <w:adjustRightInd/>
        <w:spacing w:line="260" w:lineRule="exact"/>
        <w:rPr>
          <w:rFonts w:ascii="宋体" w:hAnsi="宋体"/>
          <w:szCs w:val="21"/>
        </w:rPr>
      </w:pPr>
      <w:r>
        <w:rPr>
          <w:rFonts w:ascii="宋体" w:hAnsi="宋体"/>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2848FE6A">
      <w:pPr>
        <w:adjustRightInd/>
        <w:spacing w:line="240" w:lineRule="exact"/>
        <w:contextualSpacing/>
        <w:rPr>
          <w:rFonts w:ascii="宋体" w:hAnsi="宋体"/>
          <w:sz w:val="24"/>
          <w:szCs w:val="20"/>
        </w:rPr>
      </w:pPr>
    </w:p>
    <w:tbl>
      <w:tblPr>
        <w:tblStyle w:val="39"/>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441BA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75B67B50">
            <w:pPr>
              <w:adjustRightInd/>
              <w:spacing w:line="240" w:lineRule="exact"/>
              <w:contextualSpacing/>
              <w:rPr>
                <w:rFonts w:ascii="宋体" w:hAnsi="宋体"/>
                <w:szCs w:val="21"/>
              </w:rPr>
            </w:pPr>
            <w:r>
              <w:rPr>
                <w:rFonts w:hint="eastAsia" w:ascii="宋体" w:hAnsi="宋体"/>
                <w:szCs w:val="21"/>
              </w:rPr>
              <w:t>舟山市政府采购信用融资合作银行</w:t>
            </w:r>
          </w:p>
        </w:tc>
      </w:tr>
      <w:tr w14:paraId="75FDF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7F237916">
            <w:pPr>
              <w:adjustRightInd/>
              <w:spacing w:line="240" w:lineRule="exact"/>
              <w:contextualSpacing/>
              <w:jc w:val="center"/>
              <w:rPr>
                <w:rFonts w:ascii="宋体" w:hAnsi="宋体"/>
                <w:szCs w:val="21"/>
              </w:rPr>
            </w:pPr>
            <w:r>
              <w:rPr>
                <w:rFonts w:hint="eastAsia" w:ascii="宋体" w:hAnsi="宋体"/>
                <w:szCs w:val="21"/>
              </w:rPr>
              <w:t>银行名称</w:t>
            </w:r>
          </w:p>
        </w:tc>
        <w:tc>
          <w:tcPr>
            <w:tcW w:w="3975" w:type="dxa"/>
            <w:vAlign w:val="center"/>
          </w:tcPr>
          <w:p w14:paraId="499A4608">
            <w:pPr>
              <w:adjustRightInd/>
              <w:spacing w:line="240" w:lineRule="exact"/>
              <w:contextualSpacing/>
              <w:jc w:val="center"/>
              <w:rPr>
                <w:rFonts w:ascii="宋体" w:hAnsi="宋体"/>
                <w:szCs w:val="21"/>
              </w:rPr>
            </w:pPr>
            <w:r>
              <w:rPr>
                <w:rFonts w:hint="eastAsia" w:ascii="宋体" w:hAnsi="宋体"/>
                <w:szCs w:val="21"/>
              </w:rPr>
              <w:t>各银行介绍的产品特点</w:t>
            </w:r>
          </w:p>
        </w:tc>
        <w:tc>
          <w:tcPr>
            <w:tcW w:w="2220" w:type="dxa"/>
            <w:vAlign w:val="center"/>
          </w:tcPr>
          <w:p w14:paraId="08A13491">
            <w:pPr>
              <w:adjustRightInd/>
              <w:spacing w:line="240" w:lineRule="exact"/>
              <w:contextualSpacing/>
              <w:jc w:val="center"/>
              <w:rPr>
                <w:rFonts w:ascii="宋体" w:hAnsi="宋体"/>
                <w:szCs w:val="21"/>
              </w:rPr>
            </w:pPr>
            <w:r>
              <w:rPr>
                <w:rFonts w:hint="eastAsia" w:ascii="宋体" w:hAnsi="宋体"/>
                <w:szCs w:val="21"/>
              </w:rPr>
              <w:t>经办人</w:t>
            </w:r>
          </w:p>
        </w:tc>
        <w:tc>
          <w:tcPr>
            <w:tcW w:w="1908" w:type="dxa"/>
            <w:vAlign w:val="center"/>
          </w:tcPr>
          <w:p w14:paraId="465C6004">
            <w:pPr>
              <w:adjustRightInd/>
              <w:spacing w:line="240" w:lineRule="exact"/>
              <w:contextualSpacing/>
              <w:jc w:val="center"/>
              <w:rPr>
                <w:rFonts w:ascii="宋体" w:hAnsi="宋体"/>
                <w:szCs w:val="21"/>
              </w:rPr>
            </w:pPr>
            <w:r>
              <w:rPr>
                <w:rFonts w:hint="eastAsia" w:ascii="宋体" w:hAnsi="宋体"/>
                <w:szCs w:val="21"/>
              </w:rPr>
              <w:t>联系方式</w:t>
            </w:r>
          </w:p>
        </w:tc>
      </w:tr>
      <w:tr w14:paraId="5708B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5755C696">
            <w:pPr>
              <w:adjustRightInd/>
              <w:spacing w:line="240" w:lineRule="exact"/>
              <w:contextualSpacing/>
              <w:rPr>
                <w:rFonts w:ascii="宋体" w:hAnsi="宋体"/>
                <w:szCs w:val="21"/>
              </w:rPr>
            </w:pPr>
            <w:r>
              <w:rPr>
                <w:rFonts w:hint="eastAsia" w:ascii="宋体" w:hAnsi="宋体"/>
                <w:szCs w:val="21"/>
              </w:rPr>
              <w:t>中国工商银行股份有限公司舟山分行</w:t>
            </w:r>
          </w:p>
        </w:tc>
        <w:tc>
          <w:tcPr>
            <w:tcW w:w="3975" w:type="dxa"/>
          </w:tcPr>
          <w:p w14:paraId="1C8C56B1">
            <w:pPr>
              <w:numPr>
                <w:ilvl w:val="0"/>
                <w:numId w:val="4"/>
              </w:numPr>
              <w:adjustRightInd/>
              <w:spacing w:line="240" w:lineRule="exact"/>
              <w:contextualSpacing/>
              <w:rPr>
                <w:rFonts w:ascii="宋体" w:hAnsi="宋体" w:cs="仿宋_GB2312"/>
                <w:szCs w:val="21"/>
              </w:rPr>
            </w:pPr>
            <w:r>
              <w:rPr>
                <w:rFonts w:hint="eastAsia" w:ascii="宋体" w:hAnsi="宋体" w:cs="仿宋_GB2312"/>
                <w:szCs w:val="21"/>
              </w:rPr>
              <w:t>融资额度高，融资金额最高可至订单金额70%，线上申请，随借随还。2.融资利率低，最低可至当期LPR利率。</w:t>
            </w:r>
          </w:p>
          <w:p w14:paraId="451BEAE3">
            <w:pPr>
              <w:adjustRightInd/>
              <w:spacing w:line="240" w:lineRule="exact"/>
              <w:contextualSpacing/>
              <w:rPr>
                <w:rFonts w:ascii="宋体" w:hAnsi="宋体"/>
                <w:szCs w:val="21"/>
              </w:rPr>
            </w:pPr>
            <w:r>
              <w:rPr>
                <w:rFonts w:hint="eastAsia" w:ascii="宋体" w:hAnsi="宋体" w:cs="仿宋_GB2312"/>
                <w:szCs w:val="21"/>
              </w:rPr>
              <w:t>3.担保方式灵活，以政府采购合同进行融资，无需另外抵押。</w:t>
            </w:r>
          </w:p>
        </w:tc>
        <w:tc>
          <w:tcPr>
            <w:tcW w:w="2220" w:type="dxa"/>
            <w:vAlign w:val="center"/>
          </w:tcPr>
          <w:p w14:paraId="2CD35946">
            <w:pPr>
              <w:adjustRightInd/>
              <w:spacing w:line="240" w:lineRule="exact"/>
              <w:contextualSpacing/>
              <w:jc w:val="center"/>
              <w:rPr>
                <w:rFonts w:ascii="宋体" w:hAnsi="宋体"/>
                <w:szCs w:val="21"/>
              </w:rPr>
            </w:pPr>
            <w:r>
              <w:rPr>
                <w:rFonts w:hint="eastAsia" w:ascii="宋体" w:hAnsi="宋体"/>
                <w:szCs w:val="21"/>
              </w:rPr>
              <w:t>柳超颖</w:t>
            </w:r>
          </w:p>
        </w:tc>
        <w:tc>
          <w:tcPr>
            <w:tcW w:w="1908" w:type="dxa"/>
            <w:vAlign w:val="center"/>
          </w:tcPr>
          <w:p w14:paraId="416A782E">
            <w:pPr>
              <w:adjustRightInd/>
              <w:spacing w:line="240" w:lineRule="exact"/>
              <w:contextualSpacing/>
              <w:rPr>
                <w:rFonts w:ascii="宋体" w:hAnsi="宋体"/>
                <w:szCs w:val="21"/>
              </w:rPr>
            </w:pPr>
            <w:r>
              <w:rPr>
                <w:rFonts w:hint="eastAsia" w:ascii="宋体" w:hAnsi="宋体"/>
                <w:szCs w:val="21"/>
              </w:rPr>
              <w:t>0580-2166242, 15858076468</w:t>
            </w:r>
          </w:p>
        </w:tc>
      </w:tr>
      <w:tr w14:paraId="2BB47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6199CC23">
            <w:pPr>
              <w:adjustRightInd/>
              <w:spacing w:line="240" w:lineRule="exact"/>
              <w:contextualSpacing/>
              <w:rPr>
                <w:rFonts w:ascii="宋体" w:hAnsi="宋体"/>
                <w:szCs w:val="21"/>
              </w:rPr>
            </w:pPr>
            <w:r>
              <w:rPr>
                <w:rFonts w:hint="eastAsia" w:ascii="宋体" w:hAnsi="宋体"/>
                <w:szCs w:val="21"/>
              </w:rPr>
              <w:t>中国建设银行股份有限公司舟山分行</w:t>
            </w:r>
          </w:p>
        </w:tc>
        <w:tc>
          <w:tcPr>
            <w:tcW w:w="3975" w:type="dxa"/>
          </w:tcPr>
          <w:p w14:paraId="39AF4E7E">
            <w:pPr>
              <w:numPr>
                <w:ilvl w:val="0"/>
                <w:numId w:val="5"/>
              </w:numPr>
              <w:adjustRightInd/>
              <w:spacing w:line="240" w:lineRule="exact"/>
              <w:contextualSpacing/>
              <w:rPr>
                <w:rFonts w:ascii="宋体" w:hAnsi="宋体"/>
                <w:szCs w:val="21"/>
              </w:rPr>
            </w:pPr>
            <w:r>
              <w:rPr>
                <w:rFonts w:hint="eastAsia" w:ascii="宋体" w:hAnsi="宋体"/>
                <w:szCs w:val="21"/>
              </w:rPr>
              <w:t>快速便捷：全流程线上操作，通过浙江省政府采购网数据审核信用额度，建行供应链平台快速放款。</w:t>
            </w:r>
          </w:p>
          <w:p w14:paraId="02896476">
            <w:pPr>
              <w:numPr>
                <w:ilvl w:val="0"/>
                <w:numId w:val="5"/>
              </w:numPr>
              <w:adjustRightInd/>
              <w:spacing w:line="240" w:lineRule="exact"/>
              <w:contextualSpacing/>
              <w:rPr>
                <w:rFonts w:ascii="宋体" w:hAnsi="宋体"/>
                <w:szCs w:val="21"/>
              </w:rPr>
            </w:pPr>
            <w:r>
              <w:rPr>
                <w:rFonts w:hint="eastAsia" w:ascii="宋体" w:hAnsi="宋体"/>
                <w:szCs w:val="21"/>
              </w:rPr>
              <w:t>申请额度高：单笔融资额度最高可达政府采购合同金额的90%，单户额度最高可达3000万。</w:t>
            </w:r>
          </w:p>
          <w:p w14:paraId="4C9E60F5">
            <w:pPr>
              <w:numPr>
                <w:ilvl w:val="0"/>
                <w:numId w:val="5"/>
              </w:numPr>
              <w:adjustRightInd/>
              <w:spacing w:line="240" w:lineRule="exact"/>
              <w:contextualSpacing/>
              <w:rPr>
                <w:rFonts w:ascii="宋体" w:hAnsi="宋体"/>
                <w:szCs w:val="21"/>
              </w:rPr>
            </w:pPr>
            <w:r>
              <w:rPr>
                <w:rFonts w:hint="eastAsia" w:ascii="宋体" w:hAnsi="宋体"/>
                <w:szCs w:val="21"/>
              </w:rPr>
              <w:t>无需额外抵押：以浙江省政府采购网备案公示的政府采购合同进行融资，无需额外抵押担保。</w:t>
            </w:r>
          </w:p>
          <w:p w14:paraId="3514F4B6">
            <w:pPr>
              <w:numPr>
                <w:ilvl w:val="0"/>
                <w:numId w:val="5"/>
              </w:numPr>
              <w:adjustRightInd/>
              <w:spacing w:line="240" w:lineRule="exact"/>
              <w:contextualSpacing/>
              <w:rPr>
                <w:rFonts w:ascii="宋体" w:hAnsi="宋体"/>
                <w:szCs w:val="21"/>
              </w:rPr>
            </w:pPr>
            <w:r>
              <w:rPr>
                <w:rFonts w:hint="eastAsia" w:ascii="宋体" w:hAnsi="宋体"/>
                <w:szCs w:val="21"/>
              </w:rPr>
              <w:t>利率优惠：给予流动资金贷款最优惠利率。</w:t>
            </w:r>
          </w:p>
        </w:tc>
        <w:tc>
          <w:tcPr>
            <w:tcW w:w="2220" w:type="dxa"/>
            <w:vAlign w:val="center"/>
          </w:tcPr>
          <w:p w14:paraId="0DAE0EAB">
            <w:pPr>
              <w:adjustRightInd/>
              <w:spacing w:line="240" w:lineRule="exact"/>
              <w:contextualSpacing/>
              <w:jc w:val="center"/>
              <w:rPr>
                <w:rFonts w:ascii="宋体" w:hAnsi="宋体"/>
                <w:szCs w:val="21"/>
              </w:rPr>
            </w:pPr>
            <w:r>
              <w:rPr>
                <w:rFonts w:hint="eastAsia" w:ascii="宋体" w:hAnsi="宋体"/>
                <w:szCs w:val="21"/>
              </w:rPr>
              <w:t>普陀片区：蔡妮妮</w:t>
            </w:r>
          </w:p>
          <w:p w14:paraId="3A5ADAA4">
            <w:pPr>
              <w:adjustRightInd/>
              <w:spacing w:line="240" w:lineRule="exact"/>
              <w:contextualSpacing/>
              <w:jc w:val="center"/>
              <w:rPr>
                <w:rFonts w:ascii="宋体" w:hAnsi="宋体"/>
                <w:szCs w:val="21"/>
              </w:rPr>
            </w:pPr>
            <w:r>
              <w:rPr>
                <w:rFonts w:hint="eastAsia" w:ascii="宋体" w:hAnsi="宋体"/>
                <w:szCs w:val="21"/>
              </w:rPr>
              <w:t>定海片区：杨莹</w:t>
            </w:r>
          </w:p>
          <w:p w14:paraId="6700F623">
            <w:pPr>
              <w:adjustRightInd/>
              <w:spacing w:line="240" w:lineRule="exact"/>
              <w:contextualSpacing/>
              <w:jc w:val="center"/>
              <w:rPr>
                <w:rFonts w:ascii="宋体" w:hAnsi="宋体"/>
                <w:szCs w:val="21"/>
              </w:rPr>
            </w:pPr>
            <w:r>
              <w:rPr>
                <w:rFonts w:hint="eastAsia" w:ascii="宋体" w:hAnsi="宋体"/>
                <w:szCs w:val="21"/>
              </w:rPr>
              <w:t>自贸区片区：方晓</w:t>
            </w:r>
          </w:p>
        </w:tc>
        <w:tc>
          <w:tcPr>
            <w:tcW w:w="1908" w:type="dxa"/>
            <w:vAlign w:val="center"/>
          </w:tcPr>
          <w:p w14:paraId="0C540232">
            <w:pPr>
              <w:adjustRightInd/>
              <w:spacing w:line="240" w:lineRule="exact"/>
              <w:contextualSpacing/>
              <w:rPr>
                <w:rFonts w:ascii="宋体" w:hAnsi="宋体"/>
                <w:szCs w:val="21"/>
              </w:rPr>
            </w:pPr>
            <w:r>
              <w:rPr>
                <w:rFonts w:hint="eastAsia" w:ascii="宋体" w:hAnsi="宋体"/>
                <w:szCs w:val="21"/>
              </w:rPr>
              <w:t>普陀片区：13957201791</w:t>
            </w:r>
          </w:p>
          <w:p w14:paraId="7B10E74F">
            <w:pPr>
              <w:adjustRightInd/>
              <w:spacing w:line="240" w:lineRule="exact"/>
              <w:contextualSpacing/>
              <w:rPr>
                <w:rFonts w:ascii="宋体" w:hAnsi="宋体"/>
                <w:szCs w:val="21"/>
              </w:rPr>
            </w:pPr>
            <w:r>
              <w:rPr>
                <w:rFonts w:hint="eastAsia" w:ascii="宋体" w:hAnsi="宋体"/>
                <w:szCs w:val="21"/>
              </w:rPr>
              <w:t>定海片区：13655803997</w:t>
            </w:r>
          </w:p>
          <w:p w14:paraId="689BB98E">
            <w:pPr>
              <w:adjustRightInd/>
              <w:spacing w:line="240" w:lineRule="exact"/>
              <w:contextualSpacing/>
              <w:rPr>
                <w:rFonts w:ascii="宋体" w:hAnsi="宋体"/>
                <w:szCs w:val="21"/>
              </w:rPr>
            </w:pPr>
            <w:r>
              <w:rPr>
                <w:rFonts w:hint="eastAsia" w:ascii="宋体" w:hAnsi="宋体"/>
                <w:szCs w:val="21"/>
              </w:rPr>
              <w:t>自贸区片区：13587086324</w:t>
            </w:r>
          </w:p>
        </w:tc>
      </w:tr>
      <w:tr w14:paraId="6F1B8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B213343">
            <w:pPr>
              <w:adjustRightInd/>
              <w:spacing w:line="240" w:lineRule="exact"/>
              <w:contextualSpacing/>
              <w:rPr>
                <w:rFonts w:ascii="宋体" w:hAnsi="宋体"/>
                <w:szCs w:val="21"/>
              </w:rPr>
            </w:pPr>
            <w:r>
              <w:rPr>
                <w:rFonts w:hint="eastAsia" w:ascii="宋体" w:hAnsi="宋体"/>
                <w:szCs w:val="21"/>
              </w:rPr>
              <w:t>杭州银行股份有限公司舟山市分行</w:t>
            </w:r>
          </w:p>
        </w:tc>
        <w:tc>
          <w:tcPr>
            <w:tcW w:w="3975" w:type="dxa"/>
          </w:tcPr>
          <w:p w14:paraId="20F6826A">
            <w:pPr>
              <w:adjustRightInd/>
              <w:spacing w:line="240" w:lineRule="exact"/>
              <w:contextualSpacing/>
              <w:rPr>
                <w:rFonts w:ascii="宋体" w:hAnsi="宋体"/>
                <w:szCs w:val="21"/>
              </w:rPr>
            </w:pPr>
            <w:r>
              <w:rPr>
                <w:rFonts w:hint="eastAsia" w:ascii="宋体" w:hAnsi="宋体"/>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389DE865">
            <w:pPr>
              <w:adjustRightInd/>
              <w:spacing w:line="240" w:lineRule="exact"/>
              <w:contextualSpacing/>
              <w:jc w:val="center"/>
              <w:rPr>
                <w:rFonts w:ascii="宋体" w:hAnsi="宋体"/>
                <w:szCs w:val="21"/>
              </w:rPr>
            </w:pPr>
            <w:r>
              <w:rPr>
                <w:rFonts w:hint="eastAsia" w:ascii="宋体" w:hAnsi="宋体"/>
                <w:szCs w:val="21"/>
              </w:rPr>
              <w:t>方经理</w:t>
            </w:r>
          </w:p>
        </w:tc>
        <w:tc>
          <w:tcPr>
            <w:tcW w:w="1908" w:type="dxa"/>
            <w:vAlign w:val="center"/>
          </w:tcPr>
          <w:p w14:paraId="371D0C78">
            <w:pPr>
              <w:adjustRightInd/>
              <w:spacing w:line="240" w:lineRule="exact"/>
              <w:contextualSpacing/>
              <w:rPr>
                <w:rFonts w:ascii="宋体" w:hAnsi="宋体"/>
                <w:szCs w:val="21"/>
              </w:rPr>
            </w:pPr>
            <w:r>
              <w:rPr>
                <w:rFonts w:hint="eastAsia" w:ascii="宋体" w:hAnsi="宋体"/>
                <w:szCs w:val="21"/>
              </w:rPr>
              <w:t>0580-2185201，18205800451</w:t>
            </w:r>
          </w:p>
        </w:tc>
      </w:tr>
      <w:tr w14:paraId="66118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1F83B78">
            <w:pPr>
              <w:adjustRightInd/>
              <w:spacing w:line="240" w:lineRule="exact"/>
              <w:contextualSpacing/>
              <w:rPr>
                <w:rFonts w:ascii="宋体" w:hAnsi="宋体"/>
                <w:szCs w:val="21"/>
              </w:rPr>
            </w:pPr>
            <w:r>
              <w:rPr>
                <w:rFonts w:hint="eastAsia" w:ascii="宋体" w:hAnsi="宋体"/>
                <w:szCs w:val="21"/>
              </w:rPr>
              <w:t>招商银行股份有限公司浙江自贸试验区舟山分行</w:t>
            </w:r>
          </w:p>
        </w:tc>
        <w:tc>
          <w:tcPr>
            <w:tcW w:w="3975" w:type="dxa"/>
          </w:tcPr>
          <w:p w14:paraId="182BB1B5">
            <w:pPr>
              <w:adjustRightInd/>
              <w:spacing w:line="240" w:lineRule="exact"/>
              <w:rPr>
                <w:rFonts w:ascii="宋体" w:hAnsi="宋体"/>
                <w:szCs w:val="21"/>
              </w:rPr>
            </w:pPr>
            <w:r>
              <w:rPr>
                <w:rFonts w:hint="eastAsia" w:ascii="宋体" w:hAnsi="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49CBD78">
            <w:pPr>
              <w:adjustRightInd/>
              <w:spacing w:line="240" w:lineRule="exact"/>
              <w:contextualSpacing/>
              <w:jc w:val="center"/>
              <w:rPr>
                <w:rFonts w:ascii="宋体" w:hAnsi="宋体"/>
                <w:szCs w:val="21"/>
              </w:rPr>
            </w:pPr>
            <w:r>
              <w:rPr>
                <w:rFonts w:hint="eastAsia" w:ascii="宋体" w:hAnsi="宋体"/>
                <w:szCs w:val="21"/>
              </w:rPr>
              <w:t>李玲</w:t>
            </w:r>
          </w:p>
        </w:tc>
        <w:tc>
          <w:tcPr>
            <w:tcW w:w="1908" w:type="dxa"/>
            <w:vAlign w:val="center"/>
          </w:tcPr>
          <w:p w14:paraId="58545C02">
            <w:pPr>
              <w:adjustRightInd/>
              <w:spacing w:line="240" w:lineRule="exact"/>
              <w:contextualSpacing/>
              <w:rPr>
                <w:rFonts w:ascii="宋体" w:hAnsi="宋体"/>
                <w:szCs w:val="21"/>
              </w:rPr>
            </w:pPr>
            <w:r>
              <w:rPr>
                <w:rFonts w:hint="eastAsia" w:ascii="宋体" w:hAnsi="宋体"/>
                <w:szCs w:val="21"/>
              </w:rPr>
              <w:t>0580-2061710，13957227971</w:t>
            </w:r>
          </w:p>
        </w:tc>
      </w:tr>
      <w:tr w14:paraId="16E7D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6C5FEA33">
            <w:pPr>
              <w:adjustRightInd/>
              <w:spacing w:line="240" w:lineRule="exact"/>
              <w:contextualSpacing/>
              <w:rPr>
                <w:rFonts w:ascii="宋体" w:hAnsi="宋体"/>
                <w:szCs w:val="21"/>
              </w:rPr>
            </w:pPr>
            <w:r>
              <w:rPr>
                <w:rFonts w:hint="eastAsia" w:ascii="宋体" w:hAnsi="宋体"/>
                <w:szCs w:val="21"/>
              </w:rPr>
              <w:t>温州银行股份有限公司舟山市分行</w:t>
            </w:r>
          </w:p>
        </w:tc>
        <w:tc>
          <w:tcPr>
            <w:tcW w:w="3975" w:type="dxa"/>
          </w:tcPr>
          <w:p w14:paraId="550F82B0">
            <w:pPr>
              <w:numPr>
                <w:ilvl w:val="0"/>
                <w:numId w:val="6"/>
              </w:numPr>
              <w:adjustRightInd/>
              <w:spacing w:line="240" w:lineRule="exact"/>
              <w:contextualSpacing/>
              <w:rPr>
                <w:rFonts w:ascii="宋体" w:hAnsi="宋体"/>
                <w:szCs w:val="21"/>
              </w:rPr>
            </w:pPr>
            <w:r>
              <w:rPr>
                <w:rFonts w:hint="eastAsia" w:ascii="宋体" w:hAnsi="宋体"/>
                <w:szCs w:val="21"/>
              </w:rPr>
              <w:t>单户授信敞口最高不超过1000万元，且最高额度核定一般不超过借款人（含实际控制人控制的其他经营实体）最近13个月合计有效中标合同金额的70%。</w:t>
            </w:r>
          </w:p>
          <w:p w14:paraId="07935021">
            <w:pPr>
              <w:numPr>
                <w:ilvl w:val="0"/>
                <w:numId w:val="6"/>
              </w:numPr>
              <w:adjustRightInd/>
              <w:spacing w:line="240" w:lineRule="exact"/>
              <w:contextualSpacing/>
              <w:rPr>
                <w:rFonts w:ascii="宋体" w:hAnsi="宋体"/>
                <w:szCs w:val="21"/>
              </w:rPr>
            </w:pPr>
            <w:r>
              <w:rPr>
                <w:rFonts w:hint="eastAsia" w:ascii="宋体" w:hAnsi="宋体"/>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7AB3DA1">
            <w:pPr>
              <w:numPr>
                <w:ilvl w:val="0"/>
                <w:numId w:val="6"/>
              </w:numPr>
              <w:adjustRightInd/>
              <w:spacing w:line="240" w:lineRule="exact"/>
              <w:contextualSpacing/>
              <w:rPr>
                <w:rFonts w:ascii="宋体" w:hAnsi="宋体"/>
                <w:szCs w:val="21"/>
              </w:rPr>
            </w:pPr>
            <w:r>
              <w:rPr>
                <w:rFonts w:hint="eastAsia" w:ascii="宋体" w:hAnsi="宋体"/>
                <w:szCs w:val="21"/>
              </w:rPr>
              <w:t>借款人中标采购人自行采购项目并向我行发起授信申请的，单笔业务授信敞口不超500万元，且不超过借款人中标通知书承载的中标金额或本次申请授信提供的采购合同的80%。</w:t>
            </w:r>
          </w:p>
          <w:p w14:paraId="352D58D5">
            <w:pPr>
              <w:numPr>
                <w:ilvl w:val="0"/>
                <w:numId w:val="6"/>
              </w:numPr>
              <w:adjustRightInd/>
              <w:spacing w:line="240" w:lineRule="exact"/>
              <w:contextualSpacing/>
              <w:rPr>
                <w:rFonts w:ascii="宋体" w:hAnsi="宋体"/>
                <w:szCs w:val="21"/>
              </w:rPr>
            </w:pPr>
            <w:r>
              <w:rPr>
                <w:rFonts w:hint="eastAsia" w:ascii="宋体" w:hAnsi="宋体"/>
                <w:szCs w:val="21"/>
              </w:rPr>
              <w:t>符合我行采购人资质的，且负债率不超75%，配合应收账款质押登记确认的，并可出具确认函，单笔借款额度可按不超过采购合同的90%办理。</w:t>
            </w:r>
          </w:p>
        </w:tc>
        <w:tc>
          <w:tcPr>
            <w:tcW w:w="2220" w:type="dxa"/>
            <w:vAlign w:val="center"/>
          </w:tcPr>
          <w:p w14:paraId="28F868D0">
            <w:pPr>
              <w:adjustRightInd/>
              <w:spacing w:line="240" w:lineRule="exact"/>
              <w:contextualSpacing/>
              <w:jc w:val="center"/>
              <w:rPr>
                <w:rFonts w:ascii="宋体" w:hAnsi="宋体"/>
                <w:szCs w:val="21"/>
              </w:rPr>
            </w:pPr>
            <w:r>
              <w:rPr>
                <w:rFonts w:hint="eastAsia" w:ascii="宋体" w:hAnsi="宋体"/>
                <w:szCs w:val="21"/>
              </w:rPr>
              <w:t>郑贤栋</w:t>
            </w:r>
          </w:p>
        </w:tc>
        <w:tc>
          <w:tcPr>
            <w:tcW w:w="1908" w:type="dxa"/>
            <w:vAlign w:val="center"/>
          </w:tcPr>
          <w:p w14:paraId="4432E55C">
            <w:pPr>
              <w:adjustRightInd/>
              <w:spacing w:line="240" w:lineRule="exact"/>
              <w:contextualSpacing/>
              <w:rPr>
                <w:rFonts w:ascii="宋体" w:hAnsi="宋体"/>
                <w:szCs w:val="21"/>
              </w:rPr>
            </w:pPr>
            <w:r>
              <w:rPr>
                <w:rFonts w:hint="eastAsia" w:ascii="宋体" w:hAnsi="宋体"/>
                <w:szCs w:val="21"/>
              </w:rPr>
              <w:t>058—8866086</w:t>
            </w:r>
          </w:p>
        </w:tc>
      </w:tr>
      <w:tr w14:paraId="6ED23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EC089E2">
            <w:pPr>
              <w:adjustRightInd/>
              <w:spacing w:line="240" w:lineRule="exact"/>
              <w:contextualSpacing/>
              <w:rPr>
                <w:rFonts w:ascii="宋体" w:hAnsi="宋体"/>
                <w:szCs w:val="21"/>
              </w:rPr>
            </w:pPr>
            <w:r>
              <w:rPr>
                <w:rFonts w:hint="eastAsia" w:ascii="宋体" w:hAnsi="宋体"/>
                <w:szCs w:val="21"/>
              </w:rPr>
              <w:t>交通银行股份有限公司舟山分行</w:t>
            </w:r>
          </w:p>
        </w:tc>
        <w:tc>
          <w:tcPr>
            <w:tcW w:w="3975" w:type="dxa"/>
          </w:tcPr>
          <w:p w14:paraId="43C30287">
            <w:pPr>
              <w:adjustRightInd/>
              <w:spacing w:line="240" w:lineRule="exact"/>
              <w:contextualSpacing/>
              <w:rPr>
                <w:rFonts w:ascii="宋体" w:hAnsi="宋体"/>
                <w:szCs w:val="21"/>
              </w:rPr>
            </w:pPr>
            <w:r>
              <w:rPr>
                <w:rFonts w:hint="eastAsia" w:ascii="宋体" w:hAnsi="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szCs w:val="21"/>
              </w:rPr>
              <w:t>PR</w:t>
            </w:r>
            <w:r>
              <w:rPr>
                <w:rFonts w:ascii="宋体" w:hAnsi="宋体"/>
                <w:szCs w:val="21"/>
              </w:rPr>
              <w:t>。</w:t>
            </w:r>
          </w:p>
        </w:tc>
        <w:tc>
          <w:tcPr>
            <w:tcW w:w="2220" w:type="dxa"/>
            <w:vAlign w:val="center"/>
          </w:tcPr>
          <w:p w14:paraId="635C733B">
            <w:pPr>
              <w:adjustRightInd/>
              <w:spacing w:line="240" w:lineRule="exact"/>
              <w:contextualSpacing/>
              <w:jc w:val="center"/>
              <w:rPr>
                <w:rFonts w:ascii="宋体" w:hAnsi="宋体"/>
                <w:szCs w:val="21"/>
              </w:rPr>
            </w:pPr>
            <w:r>
              <w:rPr>
                <w:rFonts w:hint="eastAsia" w:ascii="宋体" w:hAnsi="宋体"/>
                <w:szCs w:val="21"/>
              </w:rPr>
              <w:t>赵争艳</w:t>
            </w:r>
          </w:p>
        </w:tc>
        <w:tc>
          <w:tcPr>
            <w:tcW w:w="1908" w:type="dxa"/>
            <w:vAlign w:val="center"/>
          </w:tcPr>
          <w:p w14:paraId="415092B0">
            <w:pPr>
              <w:adjustRightInd/>
              <w:spacing w:line="240" w:lineRule="exact"/>
              <w:contextualSpacing/>
              <w:rPr>
                <w:rFonts w:ascii="宋体" w:hAnsi="宋体"/>
                <w:szCs w:val="21"/>
              </w:rPr>
            </w:pPr>
            <w:r>
              <w:rPr>
                <w:rFonts w:hint="eastAsia" w:ascii="宋体" w:hAnsi="宋体"/>
                <w:szCs w:val="21"/>
              </w:rPr>
              <w:t>0580-2260728</w:t>
            </w:r>
          </w:p>
          <w:p w14:paraId="7A9F9D63">
            <w:pPr>
              <w:adjustRightInd/>
              <w:spacing w:line="240" w:lineRule="exact"/>
              <w:contextualSpacing/>
              <w:rPr>
                <w:rFonts w:ascii="宋体" w:hAnsi="宋体"/>
                <w:szCs w:val="21"/>
              </w:rPr>
            </w:pPr>
            <w:r>
              <w:rPr>
                <w:rFonts w:hint="eastAsia" w:ascii="宋体" w:hAnsi="宋体"/>
                <w:szCs w:val="21"/>
              </w:rPr>
              <w:t>13758007280</w:t>
            </w:r>
          </w:p>
        </w:tc>
      </w:tr>
      <w:tr w14:paraId="214B8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7A36A5F">
            <w:pPr>
              <w:adjustRightInd/>
              <w:spacing w:line="240" w:lineRule="exact"/>
              <w:contextualSpacing/>
              <w:rPr>
                <w:rFonts w:ascii="宋体" w:hAnsi="宋体"/>
                <w:szCs w:val="21"/>
              </w:rPr>
            </w:pPr>
            <w:r>
              <w:rPr>
                <w:rFonts w:hint="eastAsia" w:ascii="宋体" w:hAnsi="宋体"/>
                <w:szCs w:val="21"/>
              </w:rPr>
              <w:t>中信银行股份有限公司舟山分行</w:t>
            </w:r>
          </w:p>
        </w:tc>
        <w:tc>
          <w:tcPr>
            <w:tcW w:w="3975" w:type="dxa"/>
          </w:tcPr>
          <w:p w14:paraId="66608EA5">
            <w:pPr>
              <w:adjustRightInd/>
              <w:spacing w:line="240" w:lineRule="exact"/>
              <w:contextualSpacing/>
              <w:rPr>
                <w:rFonts w:ascii="宋体" w:hAnsi="宋体"/>
                <w:szCs w:val="21"/>
              </w:rPr>
            </w:pPr>
            <w:r>
              <w:rPr>
                <w:rFonts w:hint="eastAsia" w:ascii="宋体" w:hAnsi="宋体"/>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70D4DDCA">
            <w:pPr>
              <w:adjustRightInd/>
              <w:spacing w:line="240" w:lineRule="exact"/>
              <w:contextualSpacing/>
              <w:jc w:val="center"/>
              <w:rPr>
                <w:rFonts w:ascii="宋体" w:hAnsi="宋体"/>
                <w:szCs w:val="21"/>
              </w:rPr>
            </w:pPr>
            <w:r>
              <w:rPr>
                <w:rFonts w:ascii="宋体" w:hAnsi="宋体"/>
                <w:szCs w:val="21"/>
              </w:rPr>
              <w:t>黄丽</w:t>
            </w:r>
          </w:p>
        </w:tc>
        <w:tc>
          <w:tcPr>
            <w:tcW w:w="1908" w:type="dxa"/>
            <w:vAlign w:val="center"/>
          </w:tcPr>
          <w:p w14:paraId="6498E5F6">
            <w:pPr>
              <w:adjustRightInd/>
              <w:spacing w:line="240" w:lineRule="exact"/>
              <w:contextualSpacing/>
              <w:rPr>
                <w:rFonts w:ascii="宋体" w:hAnsi="宋体"/>
                <w:szCs w:val="21"/>
              </w:rPr>
            </w:pPr>
            <w:r>
              <w:rPr>
                <w:rFonts w:ascii="宋体" w:hAnsi="宋体"/>
                <w:szCs w:val="21"/>
              </w:rPr>
              <w:t>13905808032</w:t>
            </w:r>
          </w:p>
        </w:tc>
      </w:tr>
      <w:tr w14:paraId="3A53D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D6E6B08">
            <w:pPr>
              <w:adjustRightInd/>
              <w:spacing w:line="240" w:lineRule="exact"/>
              <w:contextualSpacing/>
              <w:rPr>
                <w:rFonts w:ascii="宋体" w:hAnsi="宋体"/>
                <w:szCs w:val="21"/>
              </w:rPr>
            </w:pPr>
            <w:r>
              <w:rPr>
                <w:rFonts w:hint="eastAsia" w:ascii="宋体" w:hAnsi="宋体"/>
                <w:szCs w:val="21"/>
              </w:rPr>
              <w:t>泰隆银行舟山市分行</w:t>
            </w:r>
          </w:p>
        </w:tc>
        <w:tc>
          <w:tcPr>
            <w:tcW w:w="3975" w:type="dxa"/>
          </w:tcPr>
          <w:p w14:paraId="7440FE43">
            <w:pPr>
              <w:adjustRightInd/>
              <w:spacing w:line="240" w:lineRule="exact"/>
              <w:contextualSpacing/>
              <w:rPr>
                <w:rFonts w:ascii="宋体" w:hAnsi="宋体"/>
                <w:szCs w:val="21"/>
              </w:rPr>
            </w:pPr>
            <w:r>
              <w:rPr>
                <w:rFonts w:hint="eastAsia" w:ascii="宋体" w:hAnsi="宋体"/>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85A8BAD">
            <w:pPr>
              <w:adjustRightInd/>
              <w:spacing w:line="240" w:lineRule="exact"/>
              <w:contextualSpacing/>
              <w:jc w:val="center"/>
              <w:rPr>
                <w:rFonts w:ascii="宋体" w:hAnsi="宋体"/>
                <w:szCs w:val="21"/>
              </w:rPr>
            </w:pPr>
            <w:r>
              <w:rPr>
                <w:rFonts w:hint="eastAsia" w:ascii="宋体" w:hAnsi="宋体"/>
                <w:szCs w:val="21"/>
              </w:rPr>
              <w:t>胡亢宇</w:t>
            </w:r>
          </w:p>
        </w:tc>
        <w:tc>
          <w:tcPr>
            <w:tcW w:w="1908" w:type="dxa"/>
            <w:vAlign w:val="center"/>
          </w:tcPr>
          <w:p w14:paraId="2C095DD1">
            <w:pPr>
              <w:adjustRightInd/>
              <w:spacing w:line="240" w:lineRule="exact"/>
              <w:contextualSpacing/>
              <w:rPr>
                <w:rFonts w:ascii="宋体" w:hAnsi="宋体"/>
                <w:szCs w:val="21"/>
              </w:rPr>
            </w:pPr>
            <w:r>
              <w:rPr>
                <w:rFonts w:hint="eastAsia" w:ascii="宋体" w:hAnsi="宋体"/>
                <w:szCs w:val="21"/>
              </w:rPr>
              <w:t>17605868703</w:t>
            </w:r>
          </w:p>
        </w:tc>
      </w:tr>
      <w:tr w14:paraId="49328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833DAEB">
            <w:pPr>
              <w:adjustRightInd/>
              <w:spacing w:line="240" w:lineRule="exact"/>
              <w:contextualSpacing/>
              <w:rPr>
                <w:rFonts w:ascii="宋体" w:hAnsi="宋体"/>
                <w:szCs w:val="21"/>
              </w:rPr>
            </w:pPr>
            <w:r>
              <w:rPr>
                <w:rFonts w:hint="eastAsia" w:ascii="宋体" w:hAnsi="宋体"/>
                <w:szCs w:val="21"/>
              </w:rPr>
              <w:t>中国农业银行股份有限公司舟山分行</w:t>
            </w:r>
          </w:p>
        </w:tc>
        <w:tc>
          <w:tcPr>
            <w:tcW w:w="3975" w:type="dxa"/>
          </w:tcPr>
          <w:p w14:paraId="1C9C94BB">
            <w:pPr>
              <w:adjustRightInd/>
              <w:spacing w:line="240" w:lineRule="exact"/>
              <w:contextualSpacing/>
              <w:rPr>
                <w:rFonts w:ascii="宋体" w:hAnsi="宋体"/>
                <w:szCs w:val="21"/>
              </w:rPr>
            </w:pPr>
            <w:r>
              <w:rPr>
                <w:rFonts w:hint="eastAsia" w:ascii="宋体" w:hAnsi="宋体"/>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5BE67AF0">
            <w:pPr>
              <w:adjustRightInd/>
              <w:spacing w:line="240" w:lineRule="exact"/>
              <w:contextualSpacing/>
              <w:jc w:val="center"/>
              <w:rPr>
                <w:rFonts w:ascii="宋体" w:hAnsi="宋体"/>
                <w:szCs w:val="21"/>
              </w:rPr>
            </w:pPr>
            <w:r>
              <w:rPr>
                <w:rFonts w:hint="eastAsia" w:ascii="宋体" w:hAnsi="宋体"/>
                <w:szCs w:val="21"/>
              </w:rPr>
              <w:t>苏华瞻</w:t>
            </w:r>
          </w:p>
        </w:tc>
        <w:tc>
          <w:tcPr>
            <w:tcW w:w="1908" w:type="dxa"/>
            <w:vAlign w:val="center"/>
          </w:tcPr>
          <w:p w14:paraId="609C96AA">
            <w:pPr>
              <w:adjustRightInd/>
              <w:spacing w:line="240" w:lineRule="exact"/>
              <w:contextualSpacing/>
              <w:jc w:val="center"/>
              <w:rPr>
                <w:rFonts w:ascii="宋体" w:hAnsi="宋体"/>
                <w:szCs w:val="21"/>
              </w:rPr>
            </w:pPr>
            <w:r>
              <w:rPr>
                <w:rFonts w:hint="eastAsia" w:ascii="宋体" w:hAnsi="宋体"/>
                <w:szCs w:val="21"/>
              </w:rPr>
              <w:t>13967228926</w:t>
            </w:r>
          </w:p>
        </w:tc>
      </w:tr>
      <w:tr w14:paraId="3CBC0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43817849">
            <w:pPr>
              <w:adjustRightInd/>
              <w:spacing w:line="240" w:lineRule="exact"/>
              <w:contextualSpacing/>
              <w:rPr>
                <w:rFonts w:ascii="宋体" w:hAnsi="宋体"/>
                <w:szCs w:val="21"/>
              </w:rPr>
            </w:pPr>
            <w:r>
              <w:rPr>
                <w:rFonts w:hint="eastAsia" w:ascii="宋体" w:hAnsi="宋体"/>
                <w:szCs w:val="21"/>
              </w:rPr>
              <w:t>中国邮政储蓄银行股份有限公司舟山市分行</w:t>
            </w:r>
          </w:p>
        </w:tc>
        <w:tc>
          <w:tcPr>
            <w:tcW w:w="3975" w:type="dxa"/>
          </w:tcPr>
          <w:p w14:paraId="2AE445F9">
            <w:pPr>
              <w:tabs>
                <w:tab w:val="left" w:pos="0"/>
              </w:tabs>
              <w:adjustRightInd/>
              <w:spacing w:line="240" w:lineRule="exact"/>
              <w:rPr>
                <w:rFonts w:ascii="宋体" w:hAnsi="宋体"/>
                <w:szCs w:val="21"/>
              </w:rPr>
            </w:pPr>
            <w:r>
              <w:rPr>
                <w:rFonts w:hint="eastAsia" w:ascii="宋体" w:hAnsi="宋体"/>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25E0615D">
            <w:pPr>
              <w:adjustRightInd/>
              <w:spacing w:line="240" w:lineRule="exact"/>
              <w:contextualSpacing/>
              <w:jc w:val="center"/>
              <w:rPr>
                <w:rFonts w:ascii="宋体" w:hAnsi="宋体"/>
                <w:szCs w:val="21"/>
              </w:rPr>
            </w:pPr>
            <w:r>
              <w:rPr>
                <w:rFonts w:hint="eastAsia" w:ascii="宋体" w:hAnsi="宋体"/>
                <w:szCs w:val="21"/>
              </w:rPr>
              <w:t>蒋志燕</w:t>
            </w:r>
          </w:p>
        </w:tc>
        <w:tc>
          <w:tcPr>
            <w:tcW w:w="1908" w:type="dxa"/>
            <w:vAlign w:val="center"/>
          </w:tcPr>
          <w:p w14:paraId="6C69304A">
            <w:pPr>
              <w:adjustRightInd/>
              <w:spacing w:line="240" w:lineRule="exact"/>
              <w:contextualSpacing/>
              <w:rPr>
                <w:rFonts w:ascii="宋体" w:hAnsi="宋体"/>
                <w:szCs w:val="21"/>
              </w:rPr>
            </w:pPr>
            <w:r>
              <w:rPr>
                <w:rFonts w:hint="eastAsia" w:ascii="宋体" w:hAnsi="宋体"/>
                <w:szCs w:val="21"/>
              </w:rPr>
              <w:t>13732527321</w:t>
            </w:r>
          </w:p>
        </w:tc>
      </w:tr>
    </w:tbl>
    <w:p w14:paraId="46FFBC1D">
      <w:pPr>
        <w:adjustRightInd/>
        <w:spacing w:line="260" w:lineRule="exact"/>
        <w:ind w:firstLine="555"/>
        <w:rPr>
          <w:rFonts w:ascii="宋体" w:hAnsi="宋体"/>
          <w:szCs w:val="21"/>
        </w:rPr>
      </w:pPr>
      <w:r>
        <w:rPr>
          <w:rFonts w:ascii="宋体" w:hAnsi="宋体"/>
          <w:szCs w:val="21"/>
        </w:rPr>
        <w:t>2.一般步骤</w:t>
      </w:r>
    </w:p>
    <w:p w14:paraId="4EDFB383">
      <w:pPr>
        <w:adjustRightInd/>
        <w:spacing w:line="260" w:lineRule="exact"/>
        <w:ind w:firstLine="555"/>
        <w:rPr>
          <w:rFonts w:ascii="宋体" w:hAnsi="宋体"/>
          <w:szCs w:val="21"/>
        </w:rPr>
      </w:pPr>
      <w:r>
        <w:rPr>
          <w:rFonts w:ascii="宋体" w:hAnsi="宋体"/>
          <w:szCs w:val="21"/>
        </w:rPr>
        <w:t>（1）供应商先与银行对接，办理融资前期手续；</w:t>
      </w:r>
    </w:p>
    <w:p w14:paraId="724AEA86">
      <w:pPr>
        <w:adjustRightInd/>
        <w:spacing w:line="260" w:lineRule="exact"/>
        <w:ind w:firstLine="555"/>
        <w:rPr>
          <w:rFonts w:ascii="宋体" w:hAnsi="宋体"/>
          <w:szCs w:val="21"/>
        </w:rPr>
      </w:pPr>
      <w:r>
        <w:rPr>
          <w:rFonts w:ascii="宋体" w:hAnsi="宋体"/>
          <w:szCs w:val="21"/>
        </w:rPr>
        <w:t>（2）供应商中标后，凭中标通知书等材料，向相关合作银行发出融资申请；</w:t>
      </w:r>
    </w:p>
    <w:p w14:paraId="3C2C7D8C">
      <w:pPr>
        <w:adjustRightInd/>
        <w:spacing w:line="260" w:lineRule="exact"/>
        <w:ind w:firstLine="555"/>
        <w:rPr>
          <w:rFonts w:ascii="宋体" w:hAnsi="宋体"/>
          <w:szCs w:val="21"/>
        </w:rPr>
      </w:pPr>
      <w:r>
        <w:rPr>
          <w:rFonts w:ascii="宋体" w:hAnsi="宋体"/>
          <w:szCs w:val="21"/>
        </w:rPr>
        <w:t>（3）银行、供应商线</w:t>
      </w:r>
      <w:r>
        <w:rPr>
          <w:rFonts w:hint="eastAsia" w:ascii="宋体" w:hAnsi="宋体"/>
          <w:szCs w:val="21"/>
        </w:rPr>
        <w:t>上</w:t>
      </w:r>
      <w:r>
        <w:rPr>
          <w:rFonts w:ascii="宋体" w:hAnsi="宋体"/>
          <w:szCs w:val="21"/>
        </w:rPr>
        <w:t>办理审批、放贷事宜。</w:t>
      </w:r>
    </w:p>
    <w:p w14:paraId="0BFCAE12">
      <w:pPr>
        <w:adjustRightInd/>
        <w:spacing w:line="260" w:lineRule="exact"/>
        <w:ind w:firstLine="555"/>
        <w:rPr>
          <w:rFonts w:ascii="宋体" w:hAnsi="宋体"/>
          <w:szCs w:val="21"/>
        </w:rPr>
      </w:pPr>
      <w:r>
        <w:rPr>
          <w:rFonts w:ascii="宋体" w:hAnsi="宋体"/>
          <w:szCs w:val="21"/>
        </w:rPr>
        <w:t>3.注意事项</w:t>
      </w:r>
    </w:p>
    <w:p w14:paraId="2731FE7B">
      <w:pPr>
        <w:adjustRightInd/>
        <w:spacing w:line="260" w:lineRule="exact"/>
        <w:ind w:firstLine="555"/>
        <w:rPr>
          <w:rFonts w:ascii="宋体" w:hAnsi="宋体"/>
          <w:szCs w:val="21"/>
        </w:rPr>
      </w:pPr>
      <w:r>
        <w:rPr>
          <w:rFonts w:ascii="宋体" w:hAnsi="宋体"/>
          <w:szCs w:val="21"/>
        </w:rPr>
        <w:t>（1）</w:t>
      </w:r>
      <w:r>
        <w:rPr>
          <w:rFonts w:hint="eastAsia" w:ascii="宋体" w:hAnsi="宋体"/>
          <w:szCs w:val="21"/>
        </w:rPr>
        <w:t>中标人</w:t>
      </w:r>
      <w:r>
        <w:rPr>
          <w:rFonts w:ascii="宋体" w:hAnsi="宋体"/>
          <w:szCs w:val="21"/>
        </w:rPr>
        <w:t>需确保政府采购合同的收款账户与融资银行开户账户一致。</w:t>
      </w:r>
    </w:p>
    <w:p w14:paraId="778F3002">
      <w:pPr>
        <w:adjustRightInd/>
        <w:spacing w:line="260" w:lineRule="exact"/>
        <w:ind w:firstLine="555"/>
        <w:rPr>
          <w:rFonts w:ascii="宋体" w:hAnsi="宋体"/>
          <w:szCs w:val="21"/>
        </w:rPr>
      </w:pPr>
      <w:r>
        <w:rPr>
          <w:rFonts w:ascii="宋体" w:hAnsi="宋体"/>
          <w:szCs w:val="21"/>
        </w:rPr>
        <w:t>（2）用于政府采购信用融资的政府采购合同，应当包含如下条款：“第条：政府采购合同贷款</w:t>
      </w:r>
    </w:p>
    <w:p w14:paraId="12C44F69">
      <w:pPr>
        <w:adjustRightInd/>
        <w:spacing w:line="260" w:lineRule="exact"/>
        <w:ind w:firstLine="555"/>
        <w:rPr>
          <w:rFonts w:ascii="宋体" w:hAnsi="宋体"/>
          <w:szCs w:val="21"/>
        </w:rPr>
      </w:pPr>
      <w:r>
        <w:rPr>
          <w:rFonts w:ascii="宋体" w:hAnsi="宋体"/>
          <w:szCs w:val="21"/>
        </w:rPr>
        <w:t>本合同同时用于乙方向银行（金融机构）申请政府采购信用贷款。</w:t>
      </w:r>
    </w:p>
    <w:p w14:paraId="3BCDA777">
      <w:pPr>
        <w:adjustRightInd/>
        <w:spacing w:line="260" w:lineRule="exact"/>
        <w:ind w:firstLine="555"/>
        <w:rPr>
          <w:rFonts w:ascii="宋体" w:hAnsi="宋体"/>
          <w:szCs w:val="21"/>
        </w:rPr>
      </w:pPr>
      <w:r>
        <w:rPr>
          <w:rFonts w:ascii="宋体" w:hAnsi="宋体"/>
          <w:szCs w:val="21"/>
        </w:rPr>
        <w:t>本合同一经签订，原则上不得更改乙方收款账户信息。确须更改的，乙方应取得原合同收款账户开户银行书面同意，否则修改后的合同不予备案，采购资金不予支付。”</w:t>
      </w:r>
    </w:p>
    <w:p w14:paraId="3CFF22CA">
      <w:pPr>
        <w:pStyle w:val="215"/>
        <w:ind w:firstLine="0" w:firstLineChars="0"/>
      </w:pPr>
    </w:p>
    <w:p w14:paraId="41BA39BC">
      <w:pPr>
        <w:pStyle w:val="142"/>
        <w:ind w:firstLine="0" w:firstLineChars="0"/>
        <w:rPr>
          <w:rFonts w:ascii="仿宋" w:hAnsi="仿宋" w:eastAsia="仿宋"/>
        </w:rPr>
      </w:pPr>
    </w:p>
    <w:p w14:paraId="031687FF">
      <w:pPr>
        <w:widowControl/>
        <w:adjustRightInd/>
        <w:rPr>
          <w:rFonts w:ascii="仿宋_GB2312" w:hAnsi="宋体" w:eastAsia="仿宋_GB2312" w:cs="宋体"/>
          <w:b/>
          <w:color w:val="000000" w:themeColor="text1"/>
          <w:sz w:val="36"/>
          <w:szCs w:val="20"/>
        </w:rPr>
      </w:pPr>
      <w:bookmarkStart w:id="403" w:name="第六部分"/>
    </w:p>
    <w:p w14:paraId="01984351">
      <w:pPr>
        <w:widowControl/>
        <w:adjustRightInd/>
        <w:jc w:val="center"/>
        <w:rPr>
          <w:rFonts w:ascii="宋体" w:hAnsi="宋体" w:cs="宋体"/>
          <w:b/>
          <w:color w:val="000000" w:themeColor="text1"/>
          <w:sz w:val="32"/>
          <w:szCs w:val="32"/>
        </w:rPr>
      </w:pPr>
    </w:p>
    <w:p w14:paraId="3BF2657E">
      <w:pPr>
        <w:widowControl/>
        <w:adjustRightInd/>
        <w:jc w:val="center"/>
        <w:rPr>
          <w:rFonts w:ascii="宋体" w:hAnsi="宋体" w:cs="宋体"/>
          <w:b/>
          <w:color w:val="000000" w:themeColor="text1"/>
          <w:sz w:val="32"/>
          <w:szCs w:val="32"/>
        </w:rPr>
      </w:pPr>
      <w:r>
        <w:rPr>
          <w:rFonts w:hint="eastAsia" w:ascii="宋体" w:hAnsi="宋体" w:cs="宋体"/>
          <w:b/>
          <w:color w:val="000000" w:themeColor="text1"/>
          <w:sz w:val="32"/>
          <w:szCs w:val="32"/>
        </w:rPr>
        <w:t xml:space="preserve">第六部分 </w:t>
      </w:r>
      <w:bookmarkEnd w:id="400"/>
      <w:bookmarkEnd w:id="403"/>
      <w:r>
        <w:rPr>
          <w:rFonts w:hint="eastAsia" w:ascii="宋体" w:hAnsi="宋体" w:cs="宋体"/>
          <w:b/>
          <w:color w:val="000000" w:themeColor="text1"/>
          <w:sz w:val="32"/>
          <w:szCs w:val="32"/>
        </w:rPr>
        <w:t>响应文件编制格式及规范要求</w:t>
      </w:r>
    </w:p>
    <w:p w14:paraId="62F3770D">
      <w:pPr>
        <w:spacing w:line="360" w:lineRule="auto"/>
        <w:jc w:val="center"/>
        <w:outlineLvl w:val="0"/>
        <w:rPr>
          <w:rFonts w:ascii="宋体" w:hAnsi="宋体" w:cs="宋体"/>
          <w:b/>
          <w:bCs/>
          <w:color w:val="000000" w:themeColor="text1"/>
          <w:sz w:val="24"/>
        </w:rPr>
      </w:pPr>
    </w:p>
    <w:p w14:paraId="6469D787">
      <w:pPr>
        <w:spacing w:line="360" w:lineRule="auto"/>
        <w:jc w:val="center"/>
        <w:outlineLvl w:val="0"/>
        <w:rPr>
          <w:rFonts w:ascii="宋体" w:hAnsi="宋体"/>
          <w:color w:val="000000" w:themeColor="text1"/>
        </w:rPr>
      </w:pPr>
      <w:r>
        <w:rPr>
          <w:rFonts w:hint="eastAsia" w:ascii="宋体" w:hAnsi="宋体" w:cs="宋体"/>
          <w:b/>
          <w:color w:val="000000" w:themeColor="text1"/>
          <w:kern w:val="0"/>
          <w:sz w:val="48"/>
          <w:szCs w:val="48"/>
        </w:rPr>
        <w:t>响应文件</w:t>
      </w:r>
    </w:p>
    <w:p w14:paraId="1C70CF60">
      <w:pPr>
        <w:spacing w:line="360" w:lineRule="auto"/>
        <w:jc w:val="center"/>
        <w:outlineLvl w:val="0"/>
        <w:rPr>
          <w:rFonts w:ascii="宋体" w:hAnsi="宋体" w:cs="宋体"/>
          <w:b/>
          <w:color w:val="000000" w:themeColor="text1"/>
          <w:kern w:val="0"/>
          <w:sz w:val="36"/>
          <w:szCs w:val="36"/>
        </w:rPr>
      </w:pPr>
      <w:r>
        <w:rPr>
          <w:rFonts w:hint="eastAsia" w:ascii="宋体" w:hAnsi="宋体" w:cs="宋体"/>
          <w:b/>
          <w:color w:val="000000" w:themeColor="text1"/>
          <w:kern w:val="0"/>
          <w:sz w:val="36"/>
          <w:szCs w:val="36"/>
        </w:rPr>
        <w:t>目录</w:t>
      </w:r>
    </w:p>
    <w:p w14:paraId="0A983516">
      <w:pPr>
        <w:snapToGrid w:val="0"/>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一、</w:t>
      </w:r>
      <w:r>
        <w:rPr>
          <w:rFonts w:hint="eastAsia" w:cs="宋体" w:asciiTheme="minorEastAsia" w:hAnsiTheme="minorEastAsia" w:eastAsiaTheme="minorEastAsia"/>
          <w:b/>
          <w:color w:val="000000" w:themeColor="text1"/>
          <w:szCs w:val="21"/>
        </w:rPr>
        <w:t>资格响应文件：</w:t>
      </w:r>
    </w:p>
    <w:p w14:paraId="25728557">
      <w:pPr>
        <w:snapToGrid w:val="0"/>
        <w:spacing w:line="360" w:lineRule="auto"/>
        <w:ind w:firstLine="1470" w:firstLineChars="7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1.符合参加政府采购活动应当具备的一般条件的承诺函</w:t>
      </w:r>
    </w:p>
    <w:p w14:paraId="0F5F15B6">
      <w:pPr>
        <w:snapToGrid w:val="0"/>
        <w:spacing w:line="360" w:lineRule="auto"/>
        <w:ind w:firstLine="1470" w:firstLineChars="7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2.有效的营业执照电子文档</w:t>
      </w:r>
    </w:p>
    <w:p w14:paraId="02EB6F0C">
      <w:pPr>
        <w:snapToGrid w:val="0"/>
        <w:spacing w:line="360" w:lineRule="auto"/>
        <w:ind w:firstLine="1470" w:firstLineChars="700"/>
        <w:jc w:val="left"/>
        <w:rPr>
          <w:rFonts w:cs="宋体" w:asciiTheme="minorEastAsia" w:hAnsiTheme="minorEastAsia" w:eastAsiaTheme="minorEastAsia"/>
          <w:szCs w:val="21"/>
        </w:rPr>
      </w:pPr>
      <w:r>
        <w:rPr>
          <w:rFonts w:hint="eastAsia" w:cs="宋体" w:asciiTheme="minorEastAsia" w:hAnsiTheme="minorEastAsia" w:eastAsiaTheme="minorEastAsia"/>
          <w:color w:val="000000" w:themeColor="text1"/>
          <w:szCs w:val="21"/>
        </w:rPr>
        <w:t>3.法定代表人身份证</w:t>
      </w:r>
      <w:r>
        <w:rPr>
          <w:rFonts w:hint="eastAsia" w:cs="宋体" w:asciiTheme="minorEastAsia" w:hAnsiTheme="minorEastAsia" w:eastAsiaTheme="minorEastAsia"/>
          <w:szCs w:val="21"/>
        </w:rPr>
        <w:t>电子文档</w:t>
      </w:r>
    </w:p>
    <w:p w14:paraId="35121EFC">
      <w:pPr>
        <w:snapToGrid w:val="0"/>
        <w:spacing w:line="360" w:lineRule="auto"/>
        <w:ind w:firstLine="1470" w:firstLineChars="700"/>
        <w:jc w:val="left"/>
        <w:rPr>
          <w:rFonts w:cs="宋体" w:asciiTheme="minorEastAsia" w:hAnsiTheme="minorEastAsia" w:eastAsiaTheme="minorEastAsia"/>
          <w:szCs w:val="21"/>
        </w:rPr>
      </w:pPr>
      <w:r>
        <w:rPr>
          <w:rFonts w:hint="eastAsia" w:cs="宋体" w:asciiTheme="minorEastAsia" w:hAnsiTheme="minorEastAsia" w:eastAsiaTheme="minorEastAsia"/>
          <w:szCs w:val="21"/>
        </w:rPr>
        <w:t>4.投标（响应）函、廉政承诺书</w:t>
      </w:r>
    </w:p>
    <w:p w14:paraId="749B2A42">
      <w:pPr>
        <w:snapToGrid w:val="0"/>
        <w:spacing w:line="360" w:lineRule="auto"/>
        <w:ind w:firstLine="1470" w:firstLineChars="7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5.中小企业声明函；</w:t>
      </w:r>
    </w:p>
    <w:p w14:paraId="11125DB6">
      <w:pPr>
        <w:snapToGrid w:val="0"/>
        <w:spacing w:line="360" w:lineRule="auto"/>
        <w:ind w:firstLine="1680" w:firstLineChars="8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监狱企业声明函（如是）；</w:t>
      </w:r>
    </w:p>
    <w:p w14:paraId="7780E181">
      <w:pPr>
        <w:snapToGrid w:val="0"/>
        <w:spacing w:line="360" w:lineRule="auto"/>
        <w:ind w:firstLine="1680" w:firstLineChars="8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残疾人福利性单位声明函（如是）；</w:t>
      </w:r>
    </w:p>
    <w:p w14:paraId="2D277596">
      <w:pPr>
        <w:snapToGrid w:val="0"/>
        <w:spacing w:line="360" w:lineRule="auto"/>
        <w:ind w:firstLine="420" w:firstLineChars="200"/>
        <w:jc w:val="left"/>
        <w:rPr>
          <w:rFonts w:cs="宋体" w:asciiTheme="minorEastAsia" w:hAnsiTheme="minorEastAsia" w:eastAsiaTheme="minorEastAsia"/>
          <w:color w:val="000000" w:themeColor="text1"/>
          <w:szCs w:val="21"/>
          <w:lang w:val="zh-CN"/>
        </w:rPr>
      </w:pPr>
      <w:r>
        <w:rPr>
          <w:rFonts w:hint="eastAsia" w:cs="宋体" w:asciiTheme="minorEastAsia" w:hAnsiTheme="minorEastAsia" w:eastAsiaTheme="minorEastAsia"/>
          <w:color w:val="000000" w:themeColor="text1"/>
          <w:szCs w:val="21"/>
        </w:rPr>
        <w:t>二、</w:t>
      </w:r>
      <w:r>
        <w:rPr>
          <w:rFonts w:hint="eastAsia" w:cs="宋体" w:asciiTheme="minorEastAsia" w:hAnsiTheme="minorEastAsia" w:eastAsiaTheme="minorEastAsia"/>
          <w:b/>
          <w:bCs/>
          <w:color w:val="000000" w:themeColor="text1"/>
          <w:szCs w:val="21"/>
        </w:rPr>
        <w:t>商务技术响应文件</w:t>
      </w:r>
      <w:r>
        <w:rPr>
          <w:rFonts w:hint="eastAsia" w:cs="宋体" w:asciiTheme="minorEastAsia" w:hAnsiTheme="minorEastAsia" w:eastAsiaTheme="minorEastAsia"/>
          <w:b/>
          <w:bCs/>
          <w:color w:val="000000" w:themeColor="text1"/>
          <w:szCs w:val="21"/>
          <w:lang w:val="zh-CN"/>
        </w:rPr>
        <w:t>：</w:t>
      </w:r>
    </w:p>
    <w:p w14:paraId="48EE1E71">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1.供应商基本情况表（如有）；供应商信誉；</w:t>
      </w:r>
    </w:p>
    <w:p w14:paraId="70424094">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2.成功案例及业绩；</w:t>
      </w:r>
      <w:r>
        <w:rPr>
          <w:rFonts w:hint="eastAsia" w:asciiTheme="minorEastAsia" w:hAnsiTheme="minorEastAsia" w:eastAsiaTheme="minorEastAsia"/>
          <w:bCs/>
          <w:szCs w:val="21"/>
        </w:rPr>
        <w:tab/>
      </w:r>
    </w:p>
    <w:p w14:paraId="2BFE6A4D">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3.拟派团队基本情况及人员素质；</w:t>
      </w:r>
    </w:p>
    <w:p w14:paraId="53C471DE">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4.项目组人员专业能力；项目实施人员一览表；</w:t>
      </w:r>
    </w:p>
    <w:p w14:paraId="1DBE185B">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5.商务偏离表；（格式自拟）</w:t>
      </w:r>
    </w:p>
    <w:p w14:paraId="491AEBC6">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6.工作实施总体方案（包括具体审核方案）；</w:t>
      </w:r>
    </w:p>
    <w:p w14:paraId="3DC806E4">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7.质量保证措施；响应服务能力</w:t>
      </w:r>
    </w:p>
    <w:p w14:paraId="0F958243">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8.进度保证措施；应急措施；</w:t>
      </w:r>
    </w:p>
    <w:p w14:paraId="245C9389">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9.廉政风险及保密制度；</w:t>
      </w:r>
    </w:p>
    <w:p w14:paraId="62F19ED8">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10.误差率承诺情况；</w:t>
      </w:r>
    </w:p>
    <w:p w14:paraId="2C0AB2ED">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11.对本项目的其他合理化建议、要求（如有）；</w:t>
      </w:r>
    </w:p>
    <w:p w14:paraId="13948E0F">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12.优惠条件及特殊承诺；</w:t>
      </w:r>
    </w:p>
    <w:p w14:paraId="33D7327D">
      <w:pPr>
        <w:pStyle w:val="38"/>
        <w:spacing w:line="312" w:lineRule="auto"/>
        <w:ind w:firstLine="840" w:firstLineChars="400"/>
        <w:jc w:val="left"/>
        <w:rPr>
          <w:rFonts w:asciiTheme="minorEastAsia" w:hAnsiTheme="minorEastAsia" w:eastAsiaTheme="minorEastAsia"/>
          <w:bCs/>
          <w:szCs w:val="21"/>
        </w:rPr>
      </w:pPr>
      <w:r>
        <w:rPr>
          <w:rFonts w:hint="eastAsia" w:asciiTheme="minorEastAsia" w:hAnsiTheme="minorEastAsia" w:eastAsiaTheme="minorEastAsia"/>
          <w:bCs/>
          <w:szCs w:val="21"/>
        </w:rPr>
        <w:t>13.技术偏离表（格式自拟）</w:t>
      </w:r>
    </w:p>
    <w:p w14:paraId="1D139B69">
      <w:pPr>
        <w:pStyle w:val="38"/>
        <w:spacing w:line="312" w:lineRule="auto"/>
        <w:ind w:left="1470" w:leftChars="600" w:hanging="210" w:hangingChars="100"/>
        <w:jc w:val="left"/>
        <w:rPr>
          <w:rFonts w:asciiTheme="minorEastAsia" w:hAnsiTheme="minorEastAsia" w:eastAsiaTheme="minorEastAsia"/>
          <w:bCs/>
          <w:szCs w:val="21"/>
        </w:rPr>
      </w:pPr>
      <w:r>
        <w:rPr>
          <w:rFonts w:hint="eastAsia" w:asciiTheme="minorEastAsia" w:hAnsiTheme="minorEastAsia" w:eastAsiaTheme="minorEastAsia"/>
          <w:bCs/>
          <w:szCs w:val="21"/>
        </w:rPr>
        <w:t>14.评分规则中涉及的所需提交的材料（如有），供应商需要说明的其他文件和说明（如有）。</w:t>
      </w:r>
    </w:p>
    <w:p w14:paraId="2FCBE919">
      <w:pPr>
        <w:pStyle w:val="18"/>
        <w:ind w:firstLine="480" w:firstLineChars="200"/>
        <w:jc w:val="left"/>
        <w:rPr>
          <w:rFonts w:ascii="仿宋_GB2312" w:hAnsi="宋体" w:eastAsia="仿宋_GB2312" w:cs="宋体"/>
          <w:color w:val="000000" w:themeColor="text1"/>
          <w:kern w:val="0"/>
        </w:rPr>
      </w:pPr>
    </w:p>
    <w:p w14:paraId="476D634F">
      <w:pPr>
        <w:pStyle w:val="36"/>
        <w:spacing w:beforeLines="100" w:afterLines="100"/>
        <w:outlineLvl w:val="1"/>
        <w:rPr>
          <w:rFonts w:ascii="仿宋_GB2312" w:hAnsi="宋体" w:eastAsia="仿宋_GB2312" w:cs="宋体"/>
          <w:bCs/>
          <w:color w:val="000000" w:themeColor="text1"/>
          <w:kern w:val="2"/>
          <w:sz w:val="36"/>
          <w:szCs w:val="36"/>
          <w:lang w:val="en-US"/>
        </w:rPr>
      </w:pPr>
      <w:r>
        <w:rPr>
          <w:rFonts w:hint="eastAsia" w:cs="宋体" w:asciiTheme="minorEastAsia" w:hAnsiTheme="minorEastAsia" w:eastAsiaTheme="minorEastAsia"/>
          <w:bCs/>
          <w:color w:val="000000" w:themeColor="text1"/>
          <w:sz w:val="30"/>
          <w:szCs w:val="30"/>
        </w:rPr>
        <w:t>符合参加政府采购活动应当具备的一般条件的承诺函</w:t>
      </w:r>
    </w:p>
    <w:p w14:paraId="3E5168C4">
      <w:pPr>
        <w:pStyle w:val="201"/>
        <w:spacing w:line="360" w:lineRule="auto"/>
        <w:rPr>
          <w:rFonts w:asciiTheme="minorEastAsia" w:hAnsiTheme="minorEastAsia" w:eastAsiaTheme="minorEastAsia"/>
          <w:szCs w:val="21"/>
          <w:u w:val="single"/>
        </w:rPr>
      </w:pPr>
    </w:p>
    <w:p w14:paraId="6D1D06B1">
      <w:pPr>
        <w:pStyle w:val="201"/>
        <w:spacing w:line="360" w:lineRule="auto"/>
        <w:rPr>
          <w:rFonts w:asciiTheme="minorEastAsia" w:hAnsiTheme="minorEastAsia" w:eastAsiaTheme="minorEastAsia"/>
          <w:spacing w:val="6"/>
          <w:szCs w:val="21"/>
        </w:rPr>
      </w:pPr>
      <w:bookmarkStart w:id="404" w:name="_Hlk185593287"/>
      <w:r>
        <w:rPr>
          <w:rFonts w:hint="eastAsia" w:asciiTheme="minorEastAsia" w:hAnsiTheme="minorEastAsia" w:eastAsiaTheme="minorEastAsia"/>
          <w:sz w:val="24"/>
          <w:u w:val="single"/>
        </w:rPr>
        <w:t>岱山县财政局（岱山县政府投资项目审价中心）、深圳市国信招标有限公司</w:t>
      </w:r>
      <w:r>
        <w:rPr>
          <w:rFonts w:hint="eastAsia" w:asciiTheme="minorEastAsia" w:hAnsiTheme="minorEastAsia" w:eastAsiaTheme="minorEastAsia"/>
          <w:spacing w:val="6"/>
          <w:szCs w:val="21"/>
        </w:rPr>
        <w:t>：</w:t>
      </w:r>
      <w:bookmarkEnd w:id="404"/>
    </w:p>
    <w:p w14:paraId="2300EF2A">
      <w:pPr>
        <w:pStyle w:val="201"/>
        <w:spacing w:line="360" w:lineRule="auto"/>
        <w:ind w:firstLine="420" w:firstLineChars="20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kern w:val="0"/>
          <w:szCs w:val="21"/>
          <w:lang w:val="zh-CN"/>
        </w:rPr>
        <w:t>我单位自愿参与此次</w:t>
      </w:r>
      <w:bookmarkStart w:id="405" w:name="_Hlk185593322"/>
      <w:r>
        <w:rPr>
          <w:rFonts w:hint="eastAsia" w:cs="宋体" w:asciiTheme="minorEastAsia" w:hAnsiTheme="minorEastAsia" w:eastAsiaTheme="minorEastAsia"/>
          <w:color w:val="000000" w:themeColor="text1"/>
          <w:szCs w:val="21"/>
        </w:rPr>
        <w:t>岱山县财政局2025-2027年政府投资项目工程造价咨询服务采购项目（项目编号：SZGXZS2024279）</w:t>
      </w:r>
      <w:bookmarkEnd w:id="405"/>
      <w:r>
        <w:rPr>
          <w:rFonts w:hint="eastAsia" w:cs="宋体" w:asciiTheme="minorEastAsia" w:hAnsiTheme="minorEastAsia" w:eastAsiaTheme="minorEastAsia"/>
          <w:color w:val="000000" w:themeColor="text1"/>
          <w:kern w:val="0"/>
          <w:szCs w:val="21"/>
          <w:lang w:val="zh-CN"/>
        </w:rPr>
        <w:t>公开征集的政府采购活动，保证注册供应商资料和本项目响应文件是真实、合法、有效的。我单位已详细阅读本项目征集公告、征集文件全部资料和相关附件，并已了解我单位在参加本项目过程中的权利和义务。</w:t>
      </w:r>
      <w:r>
        <w:rPr>
          <w:rFonts w:hint="eastAsia" w:asciiTheme="minorEastAsia" w:hAnsiTheme="minorEastAsia" w:eastAsiaTheme="minorEastAsia"/>
          <w:spacing w:val="6"/>
          <w:szCs w:val="21"/>
        </w:rPr>
        <w:t>我</w:t>
      </w:r>
      <w:r>
        <w:rPr>
          <w:rFonts w:hint="eastAsia" w:cs="宋体" w:asciiTheme="minorEastAsia" w:hAnsiTheme="minorEastAsia" w:eastAsiaTheme="minorEastAsia"/>
          <w:color w:val="000000" w:themeColor="text1"/>
          <w:kern w:val="0"/>
          <w:szCs w:val="21"/>
          <w:lang w:val="zh-CN"/>
        </w:rPr>
        <w:t>单位郑重声明且承诺</w:t>
      </w:r>
      <w:r>
        <w:rPr>
          <w:rFonts w:hint="eastAsia" w:asciiTheme="minorEastAsia" w:hAnsiTheme="minorEastAsia" w:eastAsiaTheme="minorEastAsia"/>
          <w:spacing w:val="6"/>
          <w:szCs w:val="21"/>
        </w:rPr>
        <w:t>具有履行合同所必需设备和专业技术能力，同时</w:t>
      </w:r>
      <w:r>
        <w:rPr>
          <w:rFonts w:hint="eastAsia" w:cs="宋体" w:asciiTheme="minorEastAsia" w:hAnsiTheme="minorEastAsia" w:eastAsiaTheme="minorEastAsia"/>
          <w:color w:val="000000" w:themeColor="text1"/>
          <w:kern w:val="0"/>
          <w:szCs w:val="21"/>
          <w:lang w:val="zh-CN"/>
        </w:rPr>
        <w:t>满足以下事项：</w:t>
      </w:r>
    </w:p>
    <w:tbl>
      <w:tblPr>
        <w:tblStyle w:val="39"/>
        <w:tblW w:w="9003" w:type="dxa"/>
        <w:jc w:val="center"/>
        <w:tblLayout w:type="fixed"/>
        <w:tblCellMar>
          <w:top w:w="0" w:type="dxa"/>
          <w:left w:w="0" w:type="dxa"/>
          <w:bottom w:w="0" w:type="dxa"/>
          <w:right w:w="0" w:type="dxa"/>
        </w:tblCellMar>
      </w:tblPr>
      <w:tblGrid>
        <w:gridCol w:w="537"/>
        <w:gridCol w:w="8466"/>
      </w:tblGrid>
      <w:tr w14:paraId="4C52D999">
        <w:tblPrEx>
          <w:tblCellMar>
            <w:top w:w="0" w:type="dxa"/>
            <w:left w:w="0" w:type="dxa"/>
            <w:bottom w:w="0" w:type="dxa"/>
            <w:right w:w="0" w:type="dxa"/>
          </w:tblCellMar>
        </w:tblPrEx>
        <w:trPr>
          <w:cantSplit/>
          <w:trHeight w:val="61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14:paraId="601FA72A">
            <w:pPr>
              <w:widowControl/>
              <w:spacing w:line="360" w:lineRule="auto"/>
              <w:jc w:val="center"/>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序号</w:t>
            </w:r>
          </w:p>
        </w:tc>
        <w:tc>
          <w:tcPr>
            <w:tcW w:w="8466" w:type="dxa"/>
            <w:tcBorders>
              <w:top w:val="single" w:color="auto" w:sz="8" w:space="0"/>
              <w:left w:val="nil"/>
              <w:bottom w:val="single" w:color="auto" w:sz="8" w:space="0"/>
              <w:right w:val="single" w:color="auto" w:sz="4" w:space="0"/>
            </w:tcBorders>
            <w:vAlign w:val="center"/>
          </w:tcPr>
          <w:p w14:paraId="306763CD">
            <w:pPr>
              <w:widowControl/>
              <w:spacing w:line="360" w:lineRule="auto"/>
              <w:jc w:val="center"/>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b/>
                <w:bCs/>
                <w:color w:val="000000" w:themeColor="text1"/>
                <w:szCs w:val="21"/>
              </w:rPr>
              <w:t>承诺事项</w:t>
            </w:r>
          </w:p>
        </w:tc>
      </w:tr>
      <w:tr w14:paraId="24E56642">
        <w:tblPrEx>
          <w:tblCellMar>
            <w:top w:w="0" w:type="dxa"/>
            <w:left w:w="0" w:type="dxa"/>
            <w:bottom w:w="0" w:type="dxa"/>
            <w:right w:w="0" w:type="dxa"/>
          </w:tblCellMar>
        </w:tblPrEx>
        <w:trPr>
          <w:cantSplit/>
          <w:trHeight w:val="93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14:paraId="1B6A8F11">
            <w:pPr>
              <w:widowControl/>
              <w:spacing w:line="360" w:lineRule="auto"/>
              <w:jc w:val="center"/>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1</w:t>
            </w:r>
          </w:p>
        </w:tc>
        <w:tc>
          <w:tcPr>
            <w:tcW w:w="8466" w:type="dxa"/>
            <w:tcBorders>
              <w:top w:val="single" w:color="auto" w:sz="8" w:space="0"/>
              <w:left w:val="nil"/>
              <w:bottom w:val="single" w:color="auto" w:sz="8" w:space="0"/>
              <w:right w:val="single" w:color="auto" w:sz="4" w:space="0"/>
            </w:tcBorders>
            <w:vAlign w:val="center"/>
          </w:tcPr>
          <w:p w14:paraId="4CB4BC45">
            <w:pPr>
              <w:widowControl/>
              <w:spacing w:line="360" w:lineRule="auto"/>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具备《中华人民共和国政府采购法》第二十二条第一款规定的条件：</w:t>
            </w:r>
          </w:p>
          <w:p w14:paraId="7031C528">
            <w:pPr>
              <w:widowControl/>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1.具有独立承担民事责任的能力；</w:t>
            </w:r>
          </w:p>
          <w:p w14:paraId="2BDBCE56">
            <w:pPr>
              <w:widowControl/>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 xml:space="preserve">2.具有良好的商业信誉和健全的财务会计制度； </w:t>
            </w:r>
          </w:p>
          <w:p w14:paraId="48B7F785">
            <w:pPr>
              <w:widowControl/>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3.具有履行合同所必需的设备和专业技术能力；</w:t>
            </w:r>
          </w:p>
          <w:p w14:paraId="43FADE90">
            <w:pPr>
              <w:widowControl/>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4.有依法缴纳税收和社会保障资金的良好记录；</w:t>
            </w:r>
          </w:p>
          <w:p w14:paraId="3B82AD59">
            <w:pPr>
              <w:widowControl/>
              <w:spacing w:line="360" w:lineRule="auto"/>
              <w:ind w:firstLine="420" w:firstLineChars="200"/>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5.参加政府采购活动前三年内，在经营活动中没有重大违法记录</w:t>
            </w:r>
            <w:r>
              <w:rPr>
                <w:rFonts w:hint="eastAsia" w:cs="宋体" w:asciiTheme="minorEastAsia" w:hAnsiTheme="minorEastAsia" w:eastAsiaTheme="minorEastAsia"/>
                <w:color w:val="000000" w:themeColor="text1"/>
                <w:szCs w:val="21"/>
                <w:vertAlign w:val="superscript"/>
              </w:rPr>
              <w:t>★</w:t>
            </w:r>
            <w:r>
              <w:rPr>
                <w:rFonts w:hint="eastAsia" w:cs="宋体" w:asciiTheme="minorEastAsia" w:hAnsiTheme="minorEastAsia" w:eastAsiaTheme="minorEastAsia"/>
                <w:color w:val="000000" w:themeColor="text1"/>
                <w:szCs w:val="21"/>
              </w:rPr>
              <w:t>；</w:t>
            </w:r>
          </w:p>
          <w:p w14:paraId="6F604664">
            <w:pPr>
              <w:widowControl/>
              <w:spacing w:line="360" w:lineRule="auto"/>
              <w:ind w:firstLine="420" w:firstLineChars="200"/>
              <w:jc w:val="left"/>
              <w:rPr>
                <w:rFonts w:cs="宋体" w:asciiTheme="minorEastAsia" w:hAnsiTheme="minorEastAsia" w:eastAsiaTheme="minorEastAsia"/>
                <w:b/>
                <w:bCs/>
                <w:color w:val="000000" w:themeColor="text1"/>
                <w:szCs w:val="21"/>
              </w:rPr>
            </w:pPr>
            <w:r>
              <w:rPr>
                <w:rFonts w:hint="eastAsia" w:cs="宋体" w:asciiTheme="minorEastAsia" w:hAnsiTheme="minorEastAsia" w:eastAsiaTheme="minorEastAsia"/>
                <w:color w:val="000000" w:themeColor="text1"/>
                <w:szCs w:val="21"/>
              </w:rPr>
              <w:t>6.具有法律、行政法规规定的其他条件。</w:t>
            </w:r>
          </w:p>
        </w:tc>
      </w:tr>
      <w:tr w14:paraId="27C8E164">
        <w:tblPrEx>
          <w:tblCellMar>
            <w:top w:w="0" w:type="dxa"/>
            <w:left w:w="0" w:type="dxa"/>
            <w:bottom w:w="0" w:type="dxa"/>
            <w:right w:w="0" w:type="dxa"/>
          </w:tblCellMar>
        </w:tblPrEx>
        <w:trPr>
          <w:cantSplit/>
          <w:trHeight w:val="93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14:paraId="263575E3">
            <w:pPr>
              <w:widowControl/>
              <w:spacing w:line="360" w:lineRule="auto"/>
              <w:jc w:val="center"/>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2</w:t>
            </w:r>
          </w:p>
        </w:tc>
        <w:tc>
          <w:tcPr>
            <w:tcW w:w="8466" w:type="dxa"/>
            <w:tcBorders>
              <w:top w:val="single" w:color="auto" w:sz="8" w:space="0"/>
              <w:left w:val="nil"/>
              <w:bottom w:val="single" w:color="auto" w:sz="8" w:space="0"/>
              <w:right w:val="single" w:color="auto" w:sz="4" w:space="0"/>
            </w:tcBorders>
            <w:vAlign w:val="center"/>
          </w:tcPr>
          <w:p w14:paraId="4863B272">
            <w:pPr>
              <w:widowControl/>
              <w:spacing w:line="360" w:lineRule="auto"/>
              <w:jc w:val="left"/>
              <w:rPr>
                <w:rFonts w:cs="宋体" w:asciiTheme="minorEastAsia" w:hAnsiTheme="minorEastAsia" w:eastAsiaTheme="minorEastAsia"/>
                <w:b/>
                <w:bCs/>
                <w:color w:val="000000" w:themeColor="text1"/>
                <w:szCs w:val="21"/>
              </w:rPr>
            </w:pPr>
            <w:r>
              <w:rPr>
                <w:rFonts w:hint="eastAsia" w:cs="宋体" w:asciiTheme="minorEastAsia" w:hAnsiTheme="minorEastAsia" w:eastAsiaTheme="minorEastAsia"/>
                <w:snapToGrid w:val="0"/>
                <w:color w:val="000000" w:themeColor="text1"/>
                <w:kern w:val="28"/>
                <w:szCs w:val="21"/>
              </w:rPr>
              <w:t>在递交响应文件截止时间止</w:t>
            </w:r>
            <w:r>
              <w:rPr>
                <w:rFonts w:hint="eastAsia" w:cs="宋体" w:asciiTheme="minorEastAsia" w:hAnsiTheme="minorEastAsia" w:eastAsiaTheme="minorEastAsia"/>
                <w:color w:val="000000" w:themeColor="text1"/>
                <w:szCs w:val="21"/>
              </w:rPr>
              <w:t>未被“信用中国”（www.creditchina.gov.cn）、“中国政府采购网”（www.ccgp.gov.cn）列入失信被执行人、重大税收违法案件当事人名单、政府采购严重违法失信行为记录名单。</w:t>
            </w:r>
          </w:p>
        </w:tc>
      </w:tr>
      <w:tr w14:paraId="317DD980">
        <w:tblPrEx>
          <w:tblCellMar>
            <w:top w:w="0" w:type="dxa"/>
            <w:left w:w="0" w:type="dxa"/>
            <w:bottom w:w="0" w:type="dxa"/>
            <w:right w:w="0" w:type="dxa"/>
          </w:tblCellMar>
        </w:tblPrEx>
        <w:trPr>
          <w:cantSplit/>
          <w:trHeight w:val="930" w:hRule="atLeast"/>
          <w:jc w:val="center"/>
        </w:trPr>
        <w:tc>
          <w:tcPr>
            <w:tcW w:w="537" w:type="dxa"/>
            <w:tcBorders>
              <w:top w:val="single" w:color="auto" w:sz="8" w:space="0"/>
              <w:left w:val="single" w:color="auto" w:sz="8" w:space="0"/>
              <w:bottom w:val="single" w:color="auto" w:sz="8" w:space="0"/>
              <w:right w:val="single" w:color="auto" w:sz="8" w:space="0"/>
            </w:tcBorders>
            <w:vAlign w:val="center"/>
          </w:tcPr>
          <w:p w14:paraId="4FE9ED34">
            <w:pPr>
              <w:widowControl/>
              <w:spacing w:line="360" w:lineRule="auto"/>
              <w:jc w:val="center"/>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3</w:t>
            </w:r>
          </w:p>
        </w:tc>
        <w:tc>
          <w:tcPr>
            <w:tcW w:w="8466" w:type="dxa"/>
            <w:tcBorders>
              <w:top w:val="single" w:color="auto" w:sz="8" w:space="0"/>
              <w:left w:val="nil"/>
              <w:bottom w:val="single" w:color="auto" w:sz="8" w:space="0"/>
              <w:right w:val="single" w:color="auto" w:sz="4" w:space="0"/>
            </w:tcBorders>
            <w:vAlign w:val="center"/>
          </w:tcPr>
          <w:p w14:paraId="4D15CEB8">
            <w:pPr>
              <w:widowControl/>
              <w:spacing w:line="360" w:lineRule="auto"/>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不存在以下情况：</w:t>
            </w:r>
          </w:p>
          <w:p w14:paraId="0ECE9E5A">
            <w:pPr>
              <w:widowControl/>
              <w:numPr>
                <w:ilvl w:val="0"/>
                <w:numId w:val="7"/>
              </w:numPr>
              <w:spacing w:line="360" w:lineRule="auto"/>
              <w:jc w:val="left"/>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单位负责人为同一人或者存在直接控股、管理关系的不同供应商同时参加同一采购项目。</w:t>
            </w:r>
          </w:p>
          <w:p w14:paraId="15513C91">
            <w:pPr>
              <w:widowControl/>
              <w:numPr>
                <w:ilvl w:val="0"/>
                <w:numId w:val="7"/>
              </w:numPr>
              <w:spacing w:line="360" w:lineRule="auto"/>
              <w:jc w:val="left"/>
              <w:rPr>
                <w:rFonts w:cs="宋体"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分公司（分支机构）直接参与响应</w:t>
            </w:r>
            <w:r>
              <w:rPr>
                <w:rFonts w:hint="eastAsia" w:cs="宋体" w:asciiTheme="minorEastAsia" w:hAnsiTheme="minorEastAsia" w:eastAsiaTheme="minorEastAsia"/>
                <w:color w:val="000000" w:themeColor="text1"/>
                <w:szCs w:val="21"/>
              </w:rPr>
              <w:t>。</w:t>
            </w:r>
          </w:p>
        </w:tc>
      </w:tr>
    </w:tbl>
    <w:p w14:paraId="05DB5259">
      <w:pPr>
        <w:snapToGrid w:val="0"/>
        <w:spacing w:line="360" w:lineRule="auto"/>
        <w:ind w:right="480" w:firstLine="420" w:firstLineChars="200"/>
        <w:jc w:val="left"/>
        <w:rPr>
          <w:rFonts w:cs="宋体" w:asciiTheme="minorEastAsia" w:hAnsiTheme="minorEastAsia" w:eastAsiaTheme="minorEastAsia"/>
          <w:b/>
          <w:color w:val="000000" w:themeColor="text1"/>
          <w:kern w:val="0"/>
          <w:szCs w:val="21"/>
        </w:rPr>
      </w:pPr>
      <w:r>
        <w:rPr>
          <w:rFonts w:hint="eastAsia" w:cs="宋体" w:asciiTheme="minorEastAsia" w:hAnsiTheme="minorEastAsia" w:eastAsiaTheme="minorEastAsia"/>
          <w:color w:val="000000" w:themeColor="text1"/>
          <w:szCs w:val="21"/>
        </w:rPr>
        <w:t>（★注：按本格式和要求提供，否则无效）</w:t>
      </w:r>
    </w:p>
    <w:p w14:paraId="2024F3E1">
      <w:pPr>
        <w:snapToGrid w:val="0"/>
        <w:spacing w:line="360" w:lineRule="auto"/>
        <w:ind w:left="5506" w:leftChars="2622"/>
        <w:jc w:val="left"/>
        <w:rPr>
          <w:rFonts w:cs="宋体" w:asciiTheme="minorEastAsia" w:hAnsiTheme="minorEastAsia" w:eastAsiaTheme="minorEastAsia"/>
          <w:color w:val="000000" w:themeColor="text1"/>
          <w:kern w:val="0"/>
          <w:szCs w:val="21"/>
          <w:lang w:val="zh-CN"/>
        </w:rPr>
      </w:pPr>
    </w:p>
    <w:p w14:paraId="3425FA13">
      <w:pPr>
        <w:snapToGrid w:val="0"/>
        <w:spacing w:line="360" w:lineRule="auto"/>
        <w:ind w:left="5506" w:leftChars="2622"/>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lang w:val="zh-CN"/>
        </w:rPr>
        <w:t>响应供应商名称(</w:t>
      </w:r>
      <w:r>
        <w:rPr>
          <w:rFonts w:hint="eastAsia" w:cs="宋体" w:asciiTheme="minorEastAsia" w:hAnsiTheme="minorEastAsia" w:eastAsiaTheme="minorEastAsia"/>
          <w:color w:val="000000" w:themeColor="text1"/>
          <w:kern w:val="0"/>
          <w:szCs w:val="21"/>
        </w:rPr>
        <w:t>盖章</w:t>
      </w:r>
      <w:r>
        <w:rPr>
          <w:rFonts w:hint="eastAsia" w:cs="宋体" w:asciiTheme="minorEastAsia" w:hAnsiTheme="minorEastAsia" w:eastAsiaTheme="minorEastAsia"/>
          <w:color w:val="000000" w:themeColor="text1"/>
          <w:kern w:val="0"/>
          <w:szCs w:val="21"/>
          <w:lang w:val="zh-CN"/>
        </w:rPr>
        <w:t>)：</w:t>
      </w:r>
    </w:p>
    <w:p w14:paraId="2AEF9643">
      <w:pPr>
        <w:snapToGrid w:val="0"/>
        <w:spacing w:line="360" w:lineRule="auto"/>
        <w:ind w:firstLine="5460" w:firstLineChars="2600"/>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lang w:val="zh-CN"/>
        </w:rPr>
        <w:t>日期</w:t>
      </w:r>
      <w:r>
        <w:rPr>
          <w:rFonts w:hint="eastAsia" w:cs="宋体" w:asciiTheme="minorEastAsia" w:hAnsiTheme="minorEastAsia" w:eastAsiaTheme="minorEastAsia"/>
          <w:color w:val="000000" w:themeColor="text1"/>
          <w:kern w:val="0"/>
          <w:szCs w:val="21"/>
        </w:rPr>
        <w:t xml:space="preserve">：  年  </w:t>
      </w:r>
      <w:r>
        <w:rPr>
          <w:rFonts w:hint="eastAsia" w:cs="宋体" w:asciiTheme="minorEastAsia" w:hAnsiTheme="minorEastAsia" w:eastAsiaTheme="minorEastAsia"/>
          <w:color w:val="000000" w:themeColor="text1"/>
          <w:kern w:val="0"/>
          <w:szCs w:val="21"/>
          <w:lang w:val="zh-CN"/>
        </w:rPr>
        <w:t>月 日</w:t>
      </w:r>
    </w:p>
    <w:p w14:paraId="2653CBB6">
      <w:pPr>
        <w:snapToGrid w:val="0"/>
        <w:spacing w:line="360" w:lineRule="auto"/>
        <w:jc w:val="left"/>
        <w:rPr>
          <w:rFonts w:cs="宋体" w:asciiTheme="minorEastAsia" w:hAnsiTheme="minorEastAsia" w:eastAsiaTheme="minorEastAsia"/>
          <w:b/>
          <w:bCs/>
          <w:color w:val="000000" w:themeColor="text1"/>
          <w:szCs w:val="21"/>
        </w:rPr>
      </w:pPr>
      <w:r>
        <w:rPr>
          <w:rFonts w:hint="eastAsia" w:cs="宋体" w:asciiTheme="minorEastAsia" w:hAnsiTheme="minorEastAsia" w:eastAsiaTheme="minorEastAsia"/>
          <w:color w:val="000000" w:themeColor="text1"/>
          <w:szCs w:val="21"/>
        </w:rPr>
        <w:t>注：重大违法记录</w:t>
      </w:r>
      <w:r>
        <w:rPr>
          <w:rFonts w:hint="eastAsia" w:cs="宋体" w:asciiTheme="minorEastAsia" w:hAnsiTheme="minorEastAsia" w:eastAsiaTheme="minorEastAsia"/>
          <w:color w:val="000000" w:themeColor="text1"/>
          <w:szCs w:val="21"/>
          <w:vertAlign w:val="superscript"/>
        </w:rPr>
        <w:t>★</w:t>
      </w:r>
      <w:r>
        <w:rPr>
          <w:rFonts w:hint="eastAsia" w:cs="宋体" w:asciiTheme="minorEastAsia" w:hAnsiTheme="minorEastAsia" w:eastAsiaTheme="minorEastAsia"/>
          <w:color w:val="000000" w:themeColor="text1"/>
          <w:szCs w:val="21"/>
        </w:rPr>
        <w:t>是指供应商因违法经营受到刑事处罚或者责令停产停业、吊销许可证或者执照、较大数额罚款等行政处罚。</w:t>
      </w:r>
      <w:r>
        <w:rPr>
          <w:rFonts w:hint="eastAsia" w:cs="宋体" w:asciiTheme="minorEastAsia" w:hAnsiTheme="minorEastAsia" w:eastAsiaTheme="minorEastAsia"/>
          <w:b/>
          <w:bCs/>
          <w:color w:val="000000" w:themeColor="text1"/>
          <w:szCs w:val="21"/>
        </w:rPr>
        <w:t>供应商作出的承诺如与实际情况不符的，将按提供虚假材料响应处理。</w:t>
      </w:r>
      <w:bookmarkStart w:id="406" w:name="_Toc523398524"/>
      <w:bookmarkStart w:id="407" w:name="_Toc530551878"/>
      <w:bookmarkStart w:id="408" w:name="_Toc493956052"/>
      <w:bookmarkStart w:id="409" w:name="_Toc493956053"/>
    </w:p>
    <w:p w14:paraId="7EB3CCB1">
      <w:pPr>
        <w:snapToGrid w:val="0"/>
        <w:spacing w:line="360" w:lineRule="auto"/>
        <w:jc w:val="left"/>
        <w:rPr>
          <w:rFonts w:cs="宋体" w:asciiTheme="minorEastAsia" w:hAnsiTheme="minorEastAsia" w:eastAsiaTheme="minorEastAsia"/>
          <w:b/>
          <w:bCs/>
          <w:color w:val="000000" w:themeColor="text1"/>
          <w:szCs w:val="21"/>
        </w:rPr>
      </w:pPr>
    </w:p>
    <w:p w14:paraId="2196EA99">
      <w:pPr>
        <w:snapToGrid w:val="0"/>
        <w:spacing w:line="360" w:lineRule="auto"/>
        <w:jc w:val="left"/>
        <w:rPr>
          <w:rFonts w:asciiTheme="minorEastAsia" w:hAnsiTheme="minorEastAsia" w:eastAsiaTheme="minorEastAsia"/>
          <w:szCs w:val="21"/>
        </w:rPr>
      </w:pPr>
    </w:p>
    <w:bookmarkEnd w:id="406"/>
    <w:bookmarkEnd w:id="407"/>
    <w:bookmarkEnd w:id="408"/>
    <w:bookmarkEnd w:id="409"/>
    <w:p w14:paraId="79FDD9C2">
      <w:pPr>
        <w:pStyle w:val="203"/>
        <w:jc w:val="left"/>
        <w:rPr>
          <w:rFonts w:cs="宋体" w:asciiTheme="minorEastAsia" w:hAnsiTheme="minorEastAsia" w:eastAsiaTheme="minorEastAsia"/>
          <w:b/>
          <w:bCs/>
          <w:color w:val="000000" w:themeColor="text1"/>
          <w:szCs w:val="21"/>
        </w:rPr>
      </w:pPr>
    </w:p>
    <w:p w14:paraId="601D5A5A">
      <w:pPr>
        <w:pStyle w:val="203"/>
        <w:jc w:val="left"/>
        <w:rPr>
          <w:rFonts w:cs="宋体" w:asciiTheme="minorEastAsia" w:hAnsiTheme="minorEastAsia" w:eastAsiaTheme="minorEastAsia"/>
          <w:b/>
          <w:bCs/>
          <w:color w:val="000000" w:themeColor="text1"/>
          <w:szCs w:val="21"/>
        </w:rPr>
      </w:pPr>
    </w:p>
    <w:p w14:paraId="7E8CA07C">
      <w:pPr>
        <w:pStyle w:val="203"/>
        <w:jc w:val="left"/>
        <w:rPr>
          <w:rFonts w:cs="宋体" w:asciiTheme="minorEastAsia" w:hAnsiTheme="minorEastAsia" w:eastAsiaTheme="minorEastAsia"/>
          <w:b/>
          <w:bCs/>
          <w:color w:val="000000" w:themeColor="text1"/>
          <w:szCs w:val="21"/>
        </w:rPr>
      </w:pPr>
    </w:p>
    <w:p w14:paraId="016CBF40">
      <w:pPr>
        <w:pStyle w:val="203"/>
        <w:jc w:val="left"/>
        <w:rPr>
          <w:rFonts w:cs="宋体" w:asciiTheme="minorEastAsia" w:hAnsiTheme="minorEastAsia" w:eastAsiaTheme="minorEastAsia"/>
          <w:b/>
          <w:bCs/>
          <w:color w:val="000000" w:themeColor="text1"/>
          <w:szCs w:val="21"/>
        </w:rPr>
      </w:pPr>
    </w:p>
    <w:p w14:paraId="0A61216A">
      <w:pPr>
        <w:pStyle w:val="203"/>
        <w:jc w:val="left"/>
        <w:rPr>
          <w:rFonts w:cs="宋体" w:asciiTheme="minorEastAsia" w:hAnsiTheme="minorEastAsia" w:eastAsiaTheme="minorEastAsia"/>
          <w:color w:val="000000" w:themeColor="text1"/>
          <w:szCs w:val="21"/>
        </w:rPr>
      </w:pPr>
    </w:p>
    <w:p w14:paraId="25119CEC">
      <w:pPr>
        <w:pStyle w:val="5"/>
        <w:spacing w:line="360" w:lineRule="auto"/>
        <w:ind w:firstLine="0"/>
        <w:jc w:val="center"/>
        <w:rPr>
          <w:rFonts w:asciiTheme="minorEastAsia" w:hAnsiTheme="minorEastAsia" w:eastAsiaTheme="minorEastAsia"/>
          <w:b/>
          <w:sz w:val="30"/>
          <w:szCs w:val="30"/>
        </w:rPr>
      </w:pPr>
      <w:bookmarkStart w:id="410" w:name="_Hlk185510953"/>
      <w:r>
        <w:rPr>
          <w:rFonts w:hint="eastAsia" w:asciiTheme="minorEastAsia" w:hAnsiTheme="minorEastAsia" w:eastAsiaTheme="minorEastAsia"/>
          <w:b/>
          <w:sz w:val="30"/>
          <w:szCs w:val="30"/>
        </w:rPr>
        <w:t>投标（响应）函</w:t>
      </w:r>
    </w:p>
    <w:bookmarkEnd w:id="410"/>
    <w:p w14:paraId="05327565">
      <w:pPr>
        <w:pStyle w:val="204"/>
        <w:tabs>
          <w:tab w:val="left" w:pos="0"/>
        </w:tabs>
        <w:spacing w:line="360" w:lineRule="auto"/>
        <w:rPr>
          <w:rFonts w:asciiTheme="minorEastAsia" w:hAnsiTheme="minorEastAsia" w:eastAsiaTheme="minorEastAsia"/>
          <w:sz w:val="21"/>
          <w:szCs w:val="21"/>
        </w:rPr>
      </w:pPr>
    </w:p>
    <w:p w14:paraId="69CE1863">
      <w:pPr>
        <w:pStyle w:val="204"/>
        <w:tabs>
          <w:tab w:val="left" w:pos="0"/>
        </w:tabs>
        <w:spacing w:line="360" w:lineRule="auto"/>
        <w:rPr>
          <w:rFonts w:asciiTheme="minorEastAsia" w:hAnsiTheme="minorEastAsia" w:eastAsiaTheme="minorEastAsia"/>
          <w:sz w:val="21"/>
          <w:szCs w:val="21"/>
        </w:rPr>
      </w:pPr>
      <w:r>
        <w:rPr>
          <w:rFonts w:hint="eastAsia" w:asciiTheme="minorEastAsia" w:hAnsiTheme="minorEastAsia" w:eastAsiaTheme="minorEastAsia"/>
          <w:sz w:val="24"/>
          <w:szCs w:val="24"/>
        </w:rPr>
        <w:t>致：</w:t>
      </w:r>
      <w:r>
        <w:rPr>
          <w:rFonts w:hint="eastAsia" w:asciiTheme="minorEastAsia" w:hAnsiTheme="minorEastAsia" w:eastAsiaTheme="minorEastAsia"/>
          <w:sz w:val="24"/>
          <w:szCs w:val="24"/>
          <w:u w:val="single"/>
        </w:rPr>
        <w:t>岱山县财政局（岱山县政府投资项目审价中心）、深圳市国信招标有限公司：</w:t>
      </w:r>
    </w:p>
    <w:p w14:paraId="79083D02">
      <w:pPr>
        <w:pStyle w:val="204"/>
        <w:tabs>
          <w:tab w:val="left" w:pos="0"/>
        </w:tabs>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根据贵方岱山县财政局2025-2027年政府投资项目工程造价咨询服务采购项目（项目编号：SZGXZS2024279）的征集文件要求，正式授权下述签字人</w:t>
      </w:r>
      <w:r>
        <w:rPr>
          <w:rFonts w:hint="eastAsia" w:asciiTheme="minorEastAsia" w:hAnsiTheme="minorEastAsia" w:eastAsiaTheme="minorEastAsia"/>
          <w:sz w:val="21"/>
          <w:szCs w:val="21"/>
          <w:u w:val="single"/>
        </w:rPr>
        <w:t>（姓名和职务）</w:t>
      </w:r>
      <w:r>
        <w:rPr>
          <w:rFonts w:hint="eastAsia" w:asciiTheme="minorEastAsia" w:hAnsiTheme="minorEastAsia" w:eastAsiaTheme="minorEastAsia"/>
          <w:sz w:val="21"/>
          <w:szCs w:val="21"/>
        </w:rPr>
        <w:t>全权代表供应商</w:t>
      </w:r>
      <w:r>
        <w:rPr>
          <w:rFonts w:hint="eastAsia" w:asciiTheme="minorEastAsia" w:hAnsiTheme="minorEastAsia" w:eastAsiaTheme="minorEastAsia"/>
          <w:sz w:val="21"/>
          <w:szCs w:val="21"/>
          <w:u w:val="single"/>
        </w:rPr>
        <w:t>（供应商全称）</w:t>
      </w:r>
      <w:r>
        <w:rPr>
          <w:rFonts w:hint="eastAsia" w:asciiTheme="minorEastAsia" w:hAnsiTheme="minorEastAsia" w:eastAsiaTheme="minorEastAsia"/>
          <w:sz w:val="21"/>
          <w:szCs w:val="21"/>
        </w:rPr>
        <w:t>参加贵方组织的有关招标活动，并提交下述文件：</w:t>
      </w:r>
    </w:p>
    <w:p w14:paraId="687E5D56">
      <w:pPr>
        <w:pStyle w:val="204"/>
        <w:tabs>
          <w:tab w:val="left" w:pos="0"/>
        </w:tabs>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政府采购云系统提交电子加密投标文件份；</w:t>
      </w:r>
    </w:p>
    <w:p w14:paraId="49AAF367">
      <w:pPr>
        <w:pStyle w:val="204"/>
        <w:tabs>
          <w:tab w:val="left" w:pos="0"/>
        </w:tabs>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据此函我方就本次投标有关事项郑重承诺如下：</w:t>
      </w:r>
    </w:p>
    <w:p w14:paraId="16DEBB3A">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1.我方向贵方提交的所有投标文件、资料都是准确的和真实的。</w:t>
      </w:r>
    </w:p>
    <w:p w14:paraId="0B4D8321">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2.我方承诺已经具备《中华人民共和国政府采购法》、《中华人民共和国政府采购法实施条例》中规定的参加政府采购活动的供应商应当具备的条件且没有税收缴纳、社会保障等方面的失信记录，并真实提供相关材料。</w:t>
      </w:r>
    </w:p>
    <w:p w14:paraId="01722ADD">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3.如果我方入围，将派出</w:t>
      </w:r>
      <w:r>
        <w:rPr>
          <w:rFonts w:hint="eastAsia" w:asciiTheme="minorEastAsia" w:hAnsiTheme="minorEastAsia" w:eastAsiaTheme="minorEastAsia"/>
          <w:sz w:val="21"/>
          <w:szCs w:val="21"/>
          <w:u w:val="single"/>
        </w:rPr>
        <w:t>（姓名及身份证号码），</w:t>
      </w:r>
      <w:r>
        <w:rPr>
          <w:rFonts w:hint="eastAsia" w:asciiTheme="minorEastAsia" w:hAnsiTheme="minorEastAsia" w:eastAsiaTheme="minorEastAsia"/>
          <w:sz w:val="21"/>
          <w:szCs w:val="21"/>
        </w:rPr>
        <w:t>作为本项目与采购单位联系的项目实施负责人，联系手机号码：。在项目实施过程中，并承诺项目实施负责人不更换，若确需要更换的，书面征得征集人同意后才准予更换。</w:t>
      </w:r>
    </w:p>
    <w:p w14:paraId="6918950F">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4.我方的投标有效期自在开标日起</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天内有效。如果在开标后规定的投标有效期内撤回投标，贵方可按相关规定处理我方。</w:t>
      </w:r>
    </w:p>
    <w:p w14:paraId="14B026B4">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5.我方在投标之前已经与贵方进行了充分的沟通，完全理解并接受招标文件的各项规定和要求，对招标文件的合理性、合法性不再有异议。</w:t>
      </w:r>
    </w:p>
    <w:p w14:paraId="0F077C6A">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6.我方愿意向贵方提供真实完整的任何与该项投标有关的数据、情况和技术资料。若贵方需要，我方愿意提供我方作出的一切承诺的证明材料。</w:t>
      </w:r>
    </w:p>
    <w:p w14:paraId="320B0906">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7.我方已详细审核全部征集文件，包括征集文件的澄清或修改文件（如有的话）、参考资料及有关附件，已经了解我方对于征集文件、征集过程、征集结果有依法进行询问、质疑、投诉的权利及相关渠道和要求。</w:t>
      </w:r>
    </w:p>
    <w:p w14:paraId="29FA8072">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8、我方不是征集人的附属机构，并未为本项目提供整体设计、规范编制或者项目管理、监理、监测等服务。</w:t>
      </w:r>
    </w:p>
    <w:p w14:paraId="05DD7E8E">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CD114F8">
      <w:pPr>
        <w:pStyle w:val="204"/>
        <w:spacing w:line="360" w:lineRule="auto"/>
        <w:ind w:firstLine="210" w:firstLineChars="100"/>
        <w:rPr>
          <w:rFonts w:asciiTheme="minorEastAsia" w:hAnsiTheme="minorEastAsia" w:eastAsiaTheme="minorEastAsia"/>
          <w:sz w:val="21"/>
          <w:szCs w:val="21"/>
        </w:rPr>
      </w:pPr>
      <w:r>
        <w:rPr>
          <w:rFonts w:hint="eastAsia" w:asciiTheme="minorEastAsia" w:hAnsiTheme="minorEastAsia" w:eastAsiaTheme="minorEastAsia"/>
          <w:sz w:val="21"/>
          <w:szCs w:val="21"/>
        </w:rPr>
        <w:t>（一）提供虚假材料谋取入围、成交的；</w:t>
      </w:r>
    </w:p>
    <w:p w14:paraId="1206D6B5">
      <w:pPr>
        <w:pStyle w:val="204"/>
        <w:spacing w:line="360" w:lineRule="auto"/>
        <w:ind w:firstLine="210" w:firstLineChars="100"/>
        <w:rPr>
          <w:rFonts w:asciiTheme="minorEastAsia" w:hAnsiTheme="minorEastAsia" w:eastAsiaTheme="minorEastAsia"/>
          <w:sz w:val="21"/>
          <w:szCs w:val="21"/>
        </w:rPr>
      </w:pPr>
      <w:r>
        <w:rPr>
          <w:rFonts w:hint="eastAsia" w:asciiTheme="minorEastAsia" w:hAnsiTheme="minorEastAsia" w:eastAsiaTheme="minorEastAsia"/>
          <w:sz w:val="21"/>
          <w:szCs w:val="21"/>
        </w:rPr>
        <w:t>（二）采取不正当手段诋毁、排挤其他投标人的；</w:t>
      </w:r>
    </w:p>
    <w:p w14:paraId="2F3C1386">
      <w:pPr>
        <w:pStyle w:val="204"/>
        <w:spacing w:line="360" w:lineRule="auto"/>
        <w:ind w:firstLine="210" w:firstLineChars="100"/>
        <w:rPr>
          <w:rFonts w:asciiTheme="minorEastAsia" w:hAnsiTheme="minorEastAsia" w:eastAsiaTheme="minorEastAsia"/>
          <w:sz w:val="21"/>
          <w:szCs w:val="21"/>
        </w:rPr>
      </w:pPr>
      <w:r>
        <w:rPr>
          <w:rFonts w:hint="eastAsia" w:asciiTheme="minorEastAsia" w:hAnsiTheme="minorEastAsia" w:eastAsiaTheme="minorEastAsia"/>
          <w:sz w:val="21"/>
          <w:szCs w:val="21"/>
        </w:rPr>
        <w:t>（三）与征集人、其它投标人或者采购代理机构恶意串通的；</w:t>
      </w:r>
    </w:p>
    <w:p w14:paraId="2AC6AE71">
      <w:pPr>
        <w:pStyle w:val="204"/>
        <w:spacing w:line="360" w:lineRule="auto"/>
        <w:ind w:firstLine="210" w:firstLineChars="100"/>
        <w:rPr>
          <w:rFonts w:asciiTheme="minorEastAsia" w:hAnsiTheme="minorEastAsia" w:eastAsiaTheme="minorEastAsia"/>
          <w:sz w:val="21"/>
          <w:szCs w:val="21"/>
        </w:rPr>
      </w:pPr>
      <w:r>
        <w:rPr>
          <w:rFonts w:hint="eastAsia" w:asciiTheme="minorEastAsia" w:hAnsiTheme="minorEastAsia" w:eastAsiaTheme="minorEastAsia"/>
          <w:sz w:val="21"/>
          <w:szCs w:val="21"/>
        </w:rPr>
        <w:t>（四）向征集人、采购代理机构行贿或者提供其他不正当利益的；</w:t>
      </w:r>
    </w:p>
    <w:p w14:paraId="3B4B5FBC">
      <w:pPr>
        <w:pStyle w:val="204"/>
        <w:spacing w:line="360" w:lineRule="auto"/>
        <w:ind w:firstLine="210" w:firstLineChars="100"/>
        <w:rPr>
          <w:rFonts w:asciiTheme="minorEastAsia" w:hAnsiTheme="minorEastAsia" w:eastAsiaTheme="minorEastAsia"/>
          <w:sz w:val="21"/>
          <w:szCs w:val="21"/>
        </w:rPr>
      </w:pPr>
      <w:r>
        <w:rPr>
          <w:rFonts w:hint="eastAsia" w:asciiTheme="minorEastAsia" w:hAnsiTheme="minorEastAsia" w:eastAsiaTheme="minorEastAsia"/>
          <w:sz w:val="21"/>
          <w:szCs w:val="21"/>
        </w:rPr>
        <w:t>（五）在招标采购过程中与征集人进行协商谈判的；</w:t>
      </w:r>
    </w:p>
    <w:p w14:paraId="768A0D02">
      <w:pPr>
        <w:pStyle w:val="204"/>
        <w:spacing w:line="360" w:lineRule="auto"/>
        <w:ind w:firstLine="210" w:firstLineChars="100"/>
        <w:rPr>
          <w:rFonts w:asciiTheme="minorEastAsia" w:hAnsiTheme="minorEastAsia" w:eastAsiaTheme="minorEastAsia"/>
          <w:sz w:val="21"/>
          <w:szCs w:val="21"/>
        </w:rPr>
      </w:pPr>
      <w:r>
        <w:rPr>
          <w:rFonts w:hint="eastAsia" w:asciiTheme="minorEastAsia" w:hAnsiTheme="minorEastAsia" w:eastAsiaTheme="minorEastAsia"/>
          <w:sz w:val="21"/>
          <w:szCs w:val="21"/>
        </w:rPr>
        <w:t>（六）拒绝有关部门监督检查或提供虚假情况的。</w:t>
      </w:r>
    </w:p>
    <w:p w14:paraId="510BB001">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10、如入围，本投标文件至本项目合同履行完毕止均保持有效，我方将按征集文件及政府采购法律、法规的规定履行合同责任和义务。</w:t>
      </w:r>
    </w:p>
    <w:p w14:paraId="37E24D88">
      <w:pPr>
        <w:pStyle w:val="204"/>
        <w:spacing w:line="360" w:lineRule="auto"/>
        <w:ind w:firstLine="420" w:firstLineChars="200"/>
        <w:rPr>
          <w:rFonts w:asciiTheme="minorEastAsia" w:hAnsiTheme="minorEastAsia" w:eastAsiaTheme="minorEastAsia"/>
          <w:sz w:val="21"/>
          <w:szCs w:val="21"/>
        </w:rPr>
      </w:pPr>
      <w:r>
        <w:rPr>
          <w:rFonts w:hint="eastAsia" w:asciiTheme="minorEastAsia" w:hAnsiTheme="minorEastAsia" w:eastAsiaTheme="minorEastAsia"/>
          <w:sz w:val="21"/>
          <w:szCs w:val="21"/>
        </w:rPr>
        <w:t>11、以上事项如有虚假或隐瞒，我方愿意承担一切不利后果，并不再寻求任何旨在减轻或免除法律责任。</w:t>
      </w:r>
    </w:p>
    <w:p w14:paraId="7620D716">
      <w:pPr>
        <w:pStyle w:val="204"/>
        <w:spacing w:line="360" w:lineRule="auto"/>
        <w:ind w:firstLine="480"/>
        <w:rPr>
          <w:rFonts w:asciiTheme="minorEastAsia" w:hAnsiTheme="minorEastAsia" w:eastAsiaTheme="minorEastAsia"/>
          <w:sz w:val="21"/>
          <w:szCs w:val="21"/>
        </w:rPr>
      </w:pPr>
      <w:r>
        <w:rPr>
          <w:rFonts w:hint="eastAsia" w:asciiTheme="minorEastAsia" w:hAnsiTheme="minorEastAsia" w:eastAsiaTheme="minorEastAsia"/>
          <w:sz w:val="21"/>
          <w:szCs w:val="21"/>
        </w:rPr>
        <w:t>与本次投标有关的一切正式往来信函请寄：</w:t>
      </w:r>
    </w:p>
    <w:p w14:paraId="38C7E977">
      <w:pPr>
        <w:pStyle w:val="204"/>
        <w:spacing w:line="360" w:lineRule="auto"/>
        <w:ind w:firstLine="480"/>
        <w:rPr>
          <w:rFonts w:asciiTheme="minorEastAsia" w:hAnsiTheme="minorEastAsia" w:eastAsiaTheme="minorEastAsia"/>
          <w:sz w:val="21"/>
          <w:szCs w:val="21"/>
        </w:rPr>
      </w:pPr>
      <w:r>
        <w:rPr>
          <w:rFonts w:hint="eastAsia" w:asciiTheme="minorEastAsia" w:hAnsiTheme="minorEastAsia" w:eastAsiaTheme="minorEastAsia"/>
          <w:sz w:val="21"/>
          <w:szCs w:val="21"/>
        </w:rPr>
        <w:t>地址：     邮编：</w:t>
      </w:r>
    </w:p>
    <w:p w14:paraId="5D9DAFD3">
      <w:pPr>
        <w:pStyle w:val="22"/>
        <w:spacing w:line="360" w:lineRule="auto"/>
        <w:ind w:firstLine="420" w:firstLineChars="200"/>
        <w:rPr>
          <w:rFonts w:asciiTheme="minorEastAsia" w:hAnsiTheme="minorEastAsia" w:eastAsiaTheme="minorEastAsia"/>
        </w:rPr>
      </w:pPr>
      <w:r>
        <w:rPr>
          <w:rFonts w:hint="eastAsia" w:asciiTheme="minorEastAsia" w:hAnsiTheme="minorEastAsia" w:eastAsiaTheme="minorEastAsia"/>
        </w:rPr>
        <w:t>电话：     传真：</w:t>
      </w:r>
    </w:p>
    <w:p w14:paraId="75229332">
      <w:pPr>
        <w:pStyle w:val="206"/>
        <w:spacing w:line="360" w:lineRule="auto"/>
        <w:rPr>
          <w:rFonts w:asciiTheme="minorEastAsia" w:hAnsiTheme="minorEastAsia" w:eastAsiaTheme="minorEastAsia"/>
          <w:bCs/>
          <w:szCs w:val="21"/>
        </w:rPr>
      </w:pPr>
    </w:p>
    <w:p w14:paraId="06092BCD">
      <w:pPr>
        <w:pStyle w:val="207"/>
        <w:spacing w:line="360" w:lineRule="auto"/>
        <w:rPr>
          <w:rFonts w:asciiTheme="minorEastAsia" w:hAnsiTheme="minorEastAsia" w:eastAsiaTheme="minorEastAsia"/>
          <w:szCs w:val="21"/>
        </w:rPr>
      </w:pPr>
    </w:p>
    <w:p w14:paraId="6257F13F">
      <w:pPr>
        <w:pStyle w:val="120"/>
        <w:wordWrap w:val="0"/>
        <w:spacing w:line="360" w:lineRule="auto"/>
        <w:ind w:firstLine="480"/>
        <w:jc w:val="right"/>
        <w:rPr>
          <w:rFonts w:asciiTheme="minorEastAsia" w:hAnsiTheme="minorEastAsia" w:eastAsiaTheme="minorEastAsia"/>
          <w:spacing w:val="20"/>
          <w:szCs w:val="21"/>
          <w:u w:val="single"/>
        </w:rPr>
      </w:pPr>
    </w:p>
    <w:p w14:paraId="7D9B7750">
      <w:pPr>
        <w:pStyle w:val="120"/>
        <w:wordWrap w:val="0"/>
        <w:spacing w:line="360" w:lineRule="auto"/>
        <w:ind w:right="840" w:firstLine="480"/>
        <w:jc w:val="right"/>
        <w:rPr>
          <w:rFonts w:asciiTheme="minorEastAsia" w:hAnsiTheme="minorEastAsia" w:eastAsiaTheme="minorEastAsia"/>
          <w:szCs w:val="21"/>
          <w:u w:val="single"/>
        </w:rPr>
      </w:pPr>
      <w:r>
        <w:rPr>
          <w:rFonts w:hint="eastAsia" w:asciiTheme="minorEastAsia" w:hAnsiTheme="minorEastAsia" w:eastAsiaTheme="minorEastAsia"/>
          <w:szCs w:val="21"/>
        </w:rPr>
        <w:t>响应供应商盖章：</w:t>
      </w:r>
    </w:p>
    <w:p w14:paraId="453CEDFB">
      <w:pPr>
        <w:pStyle w:val="120"/>
        <w:wordWrap w:val="0"/>
        <w:spacing w:line="360" w:lineRule="auto"/>
        <w:ind w:firstLine="480"/>
        <w:jc w:val="center"/>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p w14:paraId="18125F81">
      <w:pPr>
        <w:pStyle w:val="120"/>
        <w:spacing w:line="360" w:lineRule="auto"/>
        <w:jc w:val="left"/>
        <w:rPr>
          <w:rFonts w:ascii="仿宋_GB2312" w:hAnsi="Courier New" w:eastAsia="仿宋_GB2312"/>
          <w:spacing w:val="20"/>
          <w:sz w:val="24"/>
          <w:szCs w:val="21"/>
          <w:u w:val="single"/>
        </w:rPr>
      </w:pPr>
    </w:p>
    <w:p w14:paraId="290E2D94">
      <w:pPr>
        <w:pStyle w:val="204"/>
        <w:spacing w:line="360" w:lineRule="auto"/>
        <w:rPr>
          <w:rFonts w:ascii="仿宋_GB2312" w:hAnsi="宋体" w:eastAsia="仿宋_GB2312"/>
          <w:sz w:val="24"/>
          <w:szCs w:val="21"/>
        </w:rPr>
      </w:pPr>
    </w:p>
    <w:p w14:paraId="5BEF9680">
      <w:pPr>
        <w:pStyle w:val="204"/>
        <w:spacing w:line="360" w:lineRule="auto"/>
        <w:ind w:firstLine="723" w:firstLineChars="300"/>
        <w:rPr>
          <w:rFonts w:asciiTheme="minorEastAsia" w:hAnsiTheme="minorEastAsia" w:eastAsiaTheme="minorEastAsia"/>
          <w:b/>
          <w:bCs/>
          <w:sz w:val="24"/>
          <w:szCs w:val="24"/>
        </w:rPr>
        <w:sectPr>
          <w:footerReference r:id="rId3" w:type="default"/>
          <w:pgSz w:w="11906" w:h="16838"/>
          <w:pgMar w:top="1440" w:right="1440" w:bottom="1440" w:left="1440" w:header="851" w:footer="851" w:gutter="0"/>
          <w:cols w:space="720" w:num="1"/>
          <w:docGrid w:linePitch="312" w:charSpace="0"/>
        </w:sectPr>
      </w:pPr>
      <w:r>
        <w:rPr>
          <w:rFonts w:hint="eastAsia" w:asciiTheme="minorEastAsia" w:hAnsiTheme="minorEastAsia" w:eastAsiaTheme="minorEastAsia"/>
          <w:b/>
          <w:bCs/>
          <w:sz w:val="24"/>
          <w:szCs w:val="21"/>
        </w:rPr>
        <w:t>★注：按照本响应书要求填报</w:t>
      </w:r>
      <w:bookmarkStart w:id="411" w:name="_Toc531359063"/>
      <w:bookmarkStart w:id="412" w:name="_Toc530551891"/>
      <w:bookmarkStart w:id="413" w:name="_Toc493956067"/>
    </w:p>
    <w:bookmarkEnd w:id="411"/>
    <w:bookmarkEnd w:id="412"/>
    <w:bookmarkEnd w:id="413"/>
    <w:p w14:paraId="293855E2">
      <w:pPr>
        <w:jc w:val="center"/>
        <w:rPr>
          <w:b/>
          <w:bCs/>
          <w:sz w:val="30"/>
          <w:szCs w:val="30"/>
        </w:rPr>
      </w:pPr>
    </w:p>
    <w:p w14:paraId="701DFA14">
      <w:pPr>
        <w:jc w:val="center"/>
        <w:rPr>
          <w:sz w:val="30"/>
          <w:szCs w:val="30"/>
        </w:rPr>
      </w:pPr>
      <w:r>
        <w:rPr>
          <w:rFonts w:hint="eastAsia"/>
          <w:b/>
          <w:bCs/>
          <w:sz w:val="30"/>
          <w:szCs w:val="30"/>
        </w:rPr>
        <w:t>廉政承诺书</w:t>
      </w:r>
    </w:p>
    <w:p w14:paraId="5B161615">
      <w:pPr>
        <w:adjustRightInd/>
        <w:rPr>
          <w:b/>
          <w:bCs/>
          <w:sz w:val="28"/>
          <w:szCs w:val="28"/>
        </w:rPr>
      </w:pPr>
    </w:p>
    <w:p w14:paraId="3392DD97">
      <w:pPr>
        <w:adjustRightInd/>
        <w:rPr>
          <w:b/>
          <w:bCs/>
          <w:sz w:val="24"/>
        </w:rPr>
      </w:pPr>
    </w:p>
    <w:p w14:paraId="362026C7">
      <w:pPr>
        <w:adjustRightInd/>
        <w:rPr>
          <w:b/>
          <w:bCs/>
          <w:szCs w:val="21"/>
        </w:rPr>
      </w:pPr>
      <w:r>
        <w:rPr>
          <w:rFonts w:hint="eastAsia"/>
          <w:b/>
          <w:bCs/>
          <w:sz w:val="24"/>
        </w:rPr>
        <w:t>致：</w:t>
      </w:r>
      <w:r>
        <w:rPr>
          <w:rFonts w:hint="eastAsia" w:asciiTheme="minorEastAsia" w:hAnsiTheme="minorEastAsia" w:eastAsiaTheme="minorEastAsia"/>
          <w:sz w:val="24"/>
          <w:u w:val="single"/>
        </w:rPr>
        <w:t>岱山县财政局（岱山县政府投资项目审价中心）、深圳市国信招标有限公司：</w:t>
      </w:r>
    </w:p>
    <w:p w14:paraId="5716B2FC">
      <w:pPr>
        <w:adjustRightInd/>
        <w:spacing w:line="360" w:lineRule="auto"/>
        <w:ind w:firstLine="420" w:firstLineChars="200"/>
        <w:rPr>
          <w:szCs w:val="21"/>
        </w:rPr>
      </w:pPr>
    </w:p>
    <w:p w14:paraId="43A1F1CC">
      <w:pPr>
        <w:adjustRightInd/>
        <w:spacing w:line="360" w:lineRule="auto"/>
        <w:ind w:firstLine="420" w:firstLineChars="200"/>
        <w:rPr>
          <w:szCs w:val="21"/>
        </w:rPr>
      </w:pPr>
      <w:r>
        <w:rPr>
          <w:rFonts w:hint="eastAsia"/>
          <w:szCs w:val="21"/>
        </w:rPr>
        <w:t>我单位响应</w:t>
      </w:r>
      <w:r>
        <w:rPr>
          <w:rFonts w:hint="eastAsia" w:asciiTheme="minorEastAsia" w:hAnsiTheme="minorEastAsia" w:eastAsiaTheme="minorEastAsia"/>
          <w:szCs w:val="21"/>
          <w:u w:val="single"/>
        </w:rPr>
        <w:t>岱山县财政局2025-2027年政府投资项目工程造价咨询服务采购项目（项目编号：SZGXZS2024279）</w:t>
      </w:r>
      <w:r>
        <w:rPr>
          <w:rFonts w:hint="eastAsia"/>
          <w:szCs w:val="21"/>
          <w:u w:val="single"/>
        </w:rPr>
        <w:t>征集要求参加投标，在这次投标过程中和入围后，我们将严格遵守国家法律法规要求，并郑重承</w:t>
      </w:r>
      <w:r>
        <w:rPr>
          <w:rFonts w:hint="eastAsia"/>
          <w:szCs w:val="21"/>
        </w:rPr>
        <w:t>诺</w:t>
      </w:r>
      <w:r>
        <w:rPr>
          <w:szCs w:val="21"/>
        </w:rPr>
        <w:t>:</w:t>
      </w:r>
    </w:p>
    <w:p w14:paraId="22429FAD">
      <w:pPr>
        <w:adjustRightInd/>
        <w:spacing w:line="360" w:lineRule="auto"/>
        <w:ind w:firstLine="420" w:firstLineChars="200"/>
        <w:rPr>
          <w:szCs w:val="21"/>
        </w:rPr>
      </w:pPr>
      <w:r>
        <w:rPr>
          <w:rFonts w:hint="eastAsia"/>
          <w:szCs w:val="21"/>
        </w:rPr>
        <w:t>一、不向项目有关人员及部门赠送礼金礼物、有价证券、回扣以及中介费、介绍费、咨询费等好处费。</w:t>
      </w:r>
    </w:p>
    <w:p w14:paraId="71DEE07D">
      <w:pPr>
        <w:adjustRightInd/>
        <w:spacing w:line="360" w:lineRule="auto"/>
        <w:ind w:firstLine="420" w:firstLineChars="200"/>
        <w:rPr>
          <w:szCs w:val="21"/>
        </w:rPr>
      </w:pPr>
      <w:r>
        <w:rPr>
          <w:rFonts w:hint="eastAsia"/>
          <w:szCs w:val="21"/>
        </w:rPr>
        <w:t>二、不为项目有关人员及部门报销应由你方单位或个人支付的费用</w:t>
      </w:r>
      <w:r>
        <w:rPr>
          <w:szCs w:val="21"/>
        </w:rPr>
        <w:t>;</w:t>
      </w:r>
    </w:p>
    <w:p w14:paraId="5C778E6D">
      <w:pPr>
        <w:adjustRightInd/>
        <w:spacing w:line="360" w:lineRule="auto"/>
        <w:ind w:firstLine="420" w:firstLineChars="200"/>
        <w:rPr>
          <w:szCs w:val="21"/>
        </w:rPr>
      </w:pPr>
      <w:r>
        <w:rPr>
          <w:rFonts w:hint="eastAsia"/>
          <w:szCs w:val="21"/>
        </w:rPr>
        <w:t>三、不向项目有关人员及部门提供有可能影响公正的宴请和健身娱乐等活动</w:t>
      </w:r>
      <w:r>
        <w:rPr>
          <w:szCs w:val="21"/>
        </w:rPr>
        <w:t>;</w:t>
      </w:r>
    </w:p>
    <w:p w14:paraId="0095B4BC">
      <w:pPr>
        <w:adjustRightInd/>
        <w:spacing w:line="360" w:lineRule="auto"/>
        <w:ind w:firstLine="420" w:firstLineChars="200"/>
        <w:rPr>
          <w:szCs w:val="21"/>
        </w:rPr>
      </w:pPr>
      <w:r>
        <w:rPr>
          <w:rFonts w:hint="eastAsia"/>
          <w:szCs w:val="21"/>
        </w:rPr>
        <w:t>四、不为项目有关人员及部门出国</w:t>
      </w:r>
      <w:r>
        <w:rPr>
          <w:szCs w:val="21"/>
        </w:rPr>
        <w:t>(</w:t>
      </w:r>
      <w:r>
        <w:rPr>
          <w:rFonts w:hint="eastAsia"/>
          <w:szCs w:val="21"/>
        </w:rPr>
        <w:t>境</w:t>
      </w:r>
      <w:r>
        <w:rPr>
          <w:szCs w:val="21"/>
        </w:rPr>
        <w:t>)</w:t>
      </w:r>
      <w:r>
        <w:rPr>
          <w:rFonts w:hint="eastAsia"/>
          <w:szCs w:val="21"/>
        </w:rPr>
        <w:t>、旅游等提供方便；</w:t>
      </w:r>
    </w:p>
    <w:p w14:paraId="311CE361">
      <w:pPr>
        <w:adjustRightInd/>
        <w:spacing w:line="360" w:lineRule="auto"/>
        <w:ind w:firstLine="420" w:firstLineChars="200"/>
        <w:rPr>
          <w:szCs w:val="21"/>
        </w:rPr>
      </w:pPr>
      <w:r>
        <w:rPr>
          <w:rFonts w:hint="eastAsia"/>
          <w:szCs w:val="21"/>
        </w:rPr>
        <w:t>五、不为项目有关人员个人装修住房、婚丧嫁娶、配偶子女工作安排等提供好处</w:t>
      </w:r>
      <w:r>
        <w:rPr>
          <w:szCs w:val="21"/>
        </w:rPr>
        <w:t>;</w:t>
      </w:r>
    </w:p>
    <w:p w14:paraId="174F68E4">
      <w:pPr>
        <w:adjustRightInd/>
        <w:spacing w:line="360" w:lineRule="auto"/>
        <w:ind w:firstLine="420" w:firstLineChars="200"/>
        <w:rPr>
          <w:szCs w:val="21"/>
        </w:rPr>
      </w:pPr>
      <w:r>
        <w:rPr>
          <w:rFonts w:hint="eastAsia"/>
          <w:szCs w:val="21"/>
        </w:rPr>
        <w:t>六、严格遵守政府采购法、民法典等法律，诚实守信，合法经营，坚决抵制各种违法违纪行为。</w:t>
      </w:r>
    </w:p>
    <w:p w14:paraId="44DD7B54">
      <w:pPr>
        <w:adjustRightInd/>
        <w:spacing w:line="360" w:lineRule="auto"/>
        <w:ind w:firstLine="420" w:firstLineChars="200"/>
        <w:rPr>
          <w:szCs w:val="21"/>
        </w:rPr>
      </w:pPr>
      <w:r>
        <w:rPr>
          <w:rFonts w:hint="eastAsia"/>
          <w:szCs w:val="21"/>
        </w:rPr>
        <w:t>如违反上述承诺，你单位有权立即取消我单位投标、入围资格，有权拒绝我单位在一定时期内进入你单位进行项目建设或其他经营活动，并通报政府采购监管部门，由此引起的相应损失均由我单位承担。</w:t>
      </w:r>
    </w:p>
    <w:p w14:paraId="58919A1A">
      <w:pPr>
        <w:adjustRightInd/>
        <w:rPr>
          <w:szCs w:val="21"/>
        </w:rPr>
      </w:pPr>
    </w:p>
    <w:p w14:paraId="0BE2087F">
      <w:pPr>
        <w:adjustRightInd/>
        <w:rPr>
          <w:szCs w:val="21"/>
        </w:rPr>
      </w:pPr>
    </w:p>
    <w:p w14:paraId="35813220">
      <w:pPr>
        <w:pStyle w:val="120"/>
        <w:wordWrap w:val="0"/>
        <w:spacing w:line="360" w:lineRule="auto"/>
        <w:ind w:right="840" w:firstLine="480"/>
        <w:jc w:val="right"/>
        <w:rPr>
          <w:rFonts w:asciiTheme="minorEastAsia" w:hAnsiTheme="minorEastAsia" w:eastAsiaTheme="minorEastAsia"/>
          <w:szCs w:val="21"/>
          <w:u w:val="single"/>
        </w:rPr>
      </w:pPr>
      <w:r>
        <w:rPr>
          <w:rFonts w:hint="eastAsia" w:asciiTheme="minorEastAsia" w:hAnsiTheme="minorEastAsia" w:eastAsiaTheme="minorEastAsia"/>
          <w:szCs w:val="21"/>
        </w:rPr>
        <w:t>响应供应商盖章：</w:t>
      </w:r>
    </w:p>
    <w:p w14:paraId="287A322B">
      <w:pPr>
        <w:pStyle w:val="120"/>
        <w:wordWrap w:val="0"/>
        <w:spacing w:line="360" w:lineRule="auto"/>
        <w:ind w:firstLine="480"/>
        <w:jc w:val="center"/>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p w14:paraId="2221E125">
      <w:pPr>
        <w:adjustRightInd/>
        <w:snapToGrid w:val="0"/>
        <w:spacing w:before="50" w:line="312" w:lineRule="auto"/>
        <w:jc w:val="left"/>
        <w:rPr>
          <w:b/>
          <w:spacing w:val="20"/>
          <w:sz w:val="28"/>
          <w:szCs w:val="22"/>
        </w:rPr>
      </w:pPr>
    </w:p>
    <w:p w14:paraId="6952C557">
      <w:pPr>
        <w:adjustRightInd/>
        <w:snapToGrid w:val="0"/>
        <w:spacing w:line="360" w:lineRule="auto"/>
        <w:ind w:right="-341"/>
        <w:jc w:val="center"/>
        <w:rPr>
          <w:rFonts w:ascii="宋体" w:hAnsi="宋体" w:cs="宋体"/>
          <w:b/>
          <w:kern w:val="0"/>
          <w:sz w:val="28"/>
          <w:szCs w:val="28"/>
        </w:rPr>
      </w:pPr>
    </w:p>
    <w:p w14:paraId="752A62A3">
      <w:pPr>
        <w:pStyle w:val="36"/>
        <w:spacing w:beforeLines="100" w:afterLines="100"/>
        <w:jc w:val="both"/>
        <w:outlineLvl w:val="1"/>
        <w:rPr>
          <w:rFonts w:ascii="仿宋_GB2312" w:eastAsia="仿宋_GB2312"/>
          <w:color w:val="000000" w:themeColor="text1"/>
        </w:rPr>
      </w:pPr>
    </w:p>
    <w:p w14:paraId="51AADAC8">
      <w:pPr>
        <w:pStyle w:val="36"/>
        <w:spacing w:beforeLines="100" w:afterLines="100"/>
        <w:jc w:val="both"/>
        <w:outlineLvl w:val="1"/>
        <w:rPr>
          <w:rFonts w:ascii="仿宋_GB2312" w:eastAsia="仿宋_GB2312"/>
          <w:color w:val="000000" w:themeColor="text1"/>
        </w:rPr>
      </w:pPr>
    </w:p>
    <w:p w14:paraId="51D6E0A8">
      <w:pPr>
        <w:adjustRightInd/>
        <w:snapToGrid w:val="0"/>
        <w:spacing w:line="360" w:lineRule="auto"/>
        <w:ind w:right="-341"/>
        <w:jc w:val="center"/>
        <w:rPr>
          <w:rFonts w:ascii="宋体" w:hAnsi="宋体" w:cs="宋体"/>
          <w:b/>
          <w:kern w:val="0"/>
          <w:sz w:val="28"/>
          <w:szCs w:val="28"/>
        </w:rPr>
      </w:pPr>
    </w:p>
    <w:p w14:paraId="01B9A933">
      <w:pPr>
        <w:adjustRightInd/>
        <w:snapToGrid w:val="0"/>
        <w:spacing w:line="360" w:lineRule="auto"/>
        <w:ind w:right="-341"/>
        <w:rPr>
          <w:rFonts w:ascii="宋体" w:hAnsi="宋体" w:cs="宋体"/>
          <w:b/>
          <w:kern w:val="0"/>
          <w:sz w:val="28"/>
          <w:szCs w:val="28"/>
        </w:rPr>
      </w:pPr>
    </w:p>
    <w:p w14:paraId="28447EB7">
      <w:pPr>
        <w:adjustRightInd/>
        <w:snapToGrid w:val="0"/>
        <w:spacing w:line="360" w:lineRule="auto"/>
        <w:ind w:right="-341"/>
        <w:jc w:val="center"/>
        <w:rPr>
          <w:rFonts w:ascii="宋体" w:hAnsi="宋体" w:cs="宋体"/>
          <w:b/>
          <w:kern w:val="0"/>
          <w:sz w:val="28"/>
          <w:szCs w:val="28"/>
        </w:rPr>
      </w:pPr>
      <w:r>
        <w:rPr>
          <w:rFonts w:hint="eastAsia" w:ascii="宋体" w:hAnsi="宋体" w:cs="宋体"/>
          <w:b/>
          <w:kern w:val="0"/>
          <w:sz w:val="28"/>
          <w:szCs w:val="28"/>
        </w:rPr>
        <w:t>中小企业声明函（工程、服务）</w:t>
      </w:r>
    </w:p>
    <w:p w14:paraId="1BF78B59">
      <w:pPr>
        <w:adjustRightInd/>
        <w:snapToGrid w:val="0"/>
        <w:spacing w:line="360" w:lineRule="auto"/>
        <w:ind w:right="-341"/>
        <w:rPr>
          <w:rFonts w:ascii="宋体" w:hAnsi="宋体" w:cs="宋体"/>
          <w:kern w:val="0"/>
          <w:szCs w:val="21"/>
        </w:rPr>
      </w:pPr>
    </w:p>
    <w:p w14:paraId="4413C681">
      <w:pPr>
        <w:adjustRightInd/>
        <w:snapToGrid w:val="0"/>
        <w:spacing w:line="360" w:lineRule="auto"/>
        <w:ind w:right="-341"/>
        <w:rPr>
          <w:rFonts w:ascii="宋体" w:hAnsi="宋体" w:cs="宋体"/>
          <w:kern w:val="0"/>
          <w:szCs w:val="21"/>
        </w:rPr>
      </w:pPr>
    </w:p>
    <w:p w14:paraId="5DE862FB">
      <w:pPr>
        <w:adjustRightInd/>
        <w:snapToGrid w:val="0"/>
        <w:spacing w:line="360" w:lineRule="auto"/>
        <w:ind w:right="-341" w:firstLine="420" w:firstLineChars="200"/>
        <w:rPr>
          <w:rFonts w:ascii="宋体" w:hAnsi="宋体" w:cs="宋体"/>
          <w:kern w:val="0"/>
          <w:szCs w:val="21"/>
        </w:rPr>
      </w:pPr>
      <w:r>
        <w:rPr>
          <w:rFonts w:hint="eastAsia" w:ascii="宋体" w:hAnsi="宋体" w:cs="宋体"/>
          <w:kern w:val="0"/>
          <w:szCs w:val="21"/>
        </w:rPr>
        <w:t>本公司</w:t>
      </w:r>
      <w:r>
        <w:rPr>
          <w:rFonts w:hint="eastAsia" w:ascii="宋体" w:hAnsi="宋体" w:cs="宋体"/>
          <w:kern w:val="0"/>
          <w:szCs w:val="21"/>
          <w:u w:val="single"/>
        </w:rPr>
        <w:t xml:space="preserve">       （联合体）</w:t>
      </w:r>
      <w:r>
        <w:rPr>
          <w:rFonts w:hint="eastAsia" w:ascii="宋体" w:hAnsi="宋体" w:cs="宋体"/>
          <w:kern w:val="0"/>
          <w:szCs w:val="21"/>
        </w:rPr>
        <w:t>郑重声明，根据《政府采购促进中小企业发展管理办法》（财库﹝2020﹞46号）的规定，本公司</w:t>
      </w:r>
      <w:r>
        <w:rPr>
          <w:rFonts w:hint="eastAsia" w:ascii="宋体" w:hAnsi="宋体" w:cs="宋体"/>
          <w:kern w:val="0"/>
          <w:szCs w:val="21"/>
          <w:u w:val="single"/>
        </w:rPr>
        <w:t xml:space="preserve">      （联合体）</w:t>
      </w:r>
      <w:r>
        <w:rPr>
          <w:rFonts w:hint="eastAsia" w:ascii="宋体" w:hAnsi="宋体" w:cs="宋体"/>
          <w:kern w:val="0"/>
          <w:szCs w:val="21"/>
        </w:rPr>
        <w:t>参加</w:t>
      </w:r>
      <w:r>
        <w:rPr>
          <w:rFonts w:hint="eastAsia" w:ascii="宋体" w:hAnsi="宋体" w:cs="宋体"/>
          <w:kern w:val="0"/>
          <w:szCs w:val="21"/>
          <w:u w:val="single"/>
        </w:rPr>
        <w:t xml:space="preserve">     （单位名称）</w:t>
      </w:r>
      <w:r>
        <w:rPr>
          <w:rFonts w:hint="eastAsia" w:ascii="宋体" w:hAnsi="宋体" w:cs="宋体"/>
          <w:kern w:val="0"/>
          <w:szCs w:val="21"/>
        </w:rPr>
        <w:t>的</w:t>
      </w:r>
      <w:r>
        <w:rPr>
          <w:rFonts w:hint="eastAsia" w:ascii="宋体" w:hAnsi="宋体" w:cs="宋体"/>
          <w:kern w:val="0"/>
          <w:szCs w:val="21"/>
          <w:u w:val="single"/>
        </w:rPr>
        <w:t xml:space="preserve">      （项目名称）</w:t>
      </w:r>
      <w:r>
        <w:rPr>
          <w:rFonts w:hint="eastAsia" w:ascii="宋体" w:hAnsi="宋体" w:cs="宋体"/>
          <w:kern w:val="0"/>
          <w:szCs w:val="21"/>
        </w:rPr>
        <w:t>采购活动，服务全部由符合政策要求的中小企业承接。相关企业（含联合体中的中小企业、签订分包意向协议的中小企业）的具体情况如下：</w:t>
      </w:r>
    </w:p>
    <w:p w14:paraId="4B7F3C70">
      <w:pPr>
        <w:numPr>
          <w:ilvl w:val="0"/>
          <w:numId w:val="8"/>
        </w:numPr>
        <w:adjustRightInd/>
        <w:snapToGrid w:val="0"/>
        <w:spacing w:line="360" w:lineRule="auto"/>
        <w:ind w:right="-341" w:firstLine="420" w:firstLineChars="200"/>
        <w:rPr>
          <w:rFonts w:ascii="宋体" w:hAnsi="宋体" w:cs="宋体"/>
          <w:kern w:val="0"/>
          <w:szCs w:val="21"/>
        </w:rPr>
      </w:pPr>
      <w:r>
        <w:rPr>
          <w:rFonts w:hint="eastAsia" w:ascii="宋体" w:hAnsi="宋体" w:cs="宋体"/>
          <w:kern w:val="0"/>
          <w:szCs w:val="21"/>
          <w:u w:val="single"/>
        </w:rPr>
        <w:t xml:space="preserve">     （标的名称）</w:t>
      </w:r>
      <w:r>
        <w:rPr>
          <w:rFonts w:hint="eastAsia" w:ascii="宋体" w:hAnsi="宋体" w:cs="宋体"/>
          <w:kern w:val="0"/>
          <w:szCs w:val="21"/>
        </w:rPr>
        <w:t>，属于</w:t>
      </w:r>
      <w:r>
        <w:rPr>
          <w:rFonts w:hint="eastAsia" w:ascii="宋体" w:hAnsi="宋体" w:cs="宋体"/>
          <w:kern w:val="0"/>
          <w:szCs w:val="21"/>
          <w:u w:val="single"/>
        </w:rPr>
        <w:t xml:space="preserve">              （采购文件中明确的所属行业）</w:t>
      </w:r>
      <w:r>
        <w:rPr>
          <w:rFonts w:hint="eastAsia" w:ascii="宋体" w:hAnsi="宋体" w:cs="宋体"/>
          <w:kern w:val="0"/>
          <w:szCs w:val="21"/>
        </w:rPr>
        <w:t>；承建（承接）企业为</w:t>
      </w:r>
      <w:r>
        <w:rPr>
          <w:rFonts w:hint="eastAsia" w:ascii="宋体" w:hAnsi="宋体" w:cs="宋体"/>
          <w:kern w:val="0"/>
          <w:szCs w:val="21"/>
          <w:u w:val="single"/>
        </w:rPr>
        <w:t xml:space="preserve">         （企业名称）</w:t>
      </w:r>
      <w:r>
        <w:rPr>
          <w:rFonts w:hint="eastAsia" w:ascii="宋体" w:hAnsi="宋体" w:cs="宋体"/>
          <w:kern w:val="0"/>
          <w:szCs w:val="21"/>
        </w:rPr>
        <w:t>，从业人员人，营业收入为万元，资产总额为万元，属于（中型企业、小型企业、微型企业）；</w:t>
      </w:r>
    </w:p>
    <w:p w14:paraId="478C7726">
      <w:pPr>
        <w:numPr>
          <w:ilvl w:val="0"/>
          <w:numId w:val="8"/>
        </w:numPr>
        <w:adjustRightInd/>
        <w:snapToGrid w:val="0"/>
        <w:spacing w:line="360" w:lineRule="auto"/>
        <w:ind w:right="-341" w:firstLine="420" w:firstLineChars="200"/>
        <w:rPr>
          <w:rFonts w:ascii="宋体" w:hAnsi="宋体" w:cs="宋体"/>
          <w:kern w:val="0"/>
          <w:szCs w:val="21"/>
        </w:rPr>
      </w:pPr>
      <w:r>
        <w:rPr>
          <w:rFonts w:hint="eastAsia" w:ascii="宋体" w:hAnsi="宋体" w:cs="宋体"/>
          <w:kern w:val="0"/>
          <w:szCs w:val="21"/>
          <w:u w:val="single"/>
        </w:rPr>
        <w:t xml:space="preserve">       （标的名称）</w:t>
      </w:r>
      <w:r>
        <w:rPr>
          <w:rFonts w:hint="eastAsia" w:ascii="宋体" w:hAnsi="宋体" w:cs="宋体"/>
          <w:kern w:val="0"/>
          <w:szCs w:val="21"/>
        </w:rPr>
        <w:t>，属于</w:t>
      </w:r>
      <w:r>
        <w:rPr>
          <w:rFonts w:hint="eastAsia" w:ascii="宋体" w:hAnsi="宋体" w:cs="宋体"/>
          <w:kern w:val="0"/>
          <w:szCs w:val="21"/>
          <w:u w:val="single"/>
        </w:rPr>
        <w:t xml:space="preserve">              （采购文件中明确的所属行业）</w:t>
      </w:r>
      <w:r>
        <w:rPr>
          <w:rFonts w:hint="eastAsia" w:ascii="宋体" w:hAnsi="宋体" w:cs="宋体"/>
          <w:kern w:val="0"/>
          <w:szCs w:val="21"/>
        </w:rPr>
        <w:t>；承建（承接）企业为</w:t>
      </w:r>
      <w:r>
        <w:rPr>
          <w:rFonts w:hint="eastAsia" w:ascii="宋体" w:hAnsi="宋体" w:cs="宋体"/>
          <w:kern w:val="0"/>
          <w:szCs w:val="21"/>
          <w:u w:val="single"/>
        </w:rPr>
        <w:t xml:space="preserve">         （企业名称）</w:t>
      </w:r>
      <w:r>
        <w:rPr>
          <w:rFonts w:hint="eastAsia" w:ascii="宋体" w:hAnsi="宋体" w:cs="宋体"/>
          <w:kern w:val="0"/>
          <w:szCs w:val="21"/>
        </w:rPr>
        <w:t>，从业人员人，营业收入为万元，资产总额为万元，属于（中型企业、小型企业、微型企业）；</w:t>
      </w:r>
    </w:p>
    <w:p w14:paraId="04A27B4F">
      <w:pPr>
        <w:adjustRightInd/>
        <w:snapToGrid w:val="0"/>
        <w:spacing w:line="360" w:lineRule="auto"/>
        <w:ind w:right="-341"/>
        <w:rPr>
          <w:rFonts w:ascii="宋体" w:hAnsi="宋体" w:cs="宋体"/>
          <w:kern w:val="0"/>
          <w:szCs w:val="21"/>
        </w:rPr>
      </w:pPr>
      <w:r>
        <w:rPr>
          <w:rFonts w:hint="eastAsia" w:ascii="宋体" w:hAnsi="宋体" w:cs="宋体"/>
          <w:kern w:val="0"/>
          <w:szCs w:val="21"/>
        </w:rPr>
        <w:t>……</w:t>
      </w:r>
    </w:p>
    <w:p w14:paraId="24AFB9E8">
      <w:pPr>
        <w:adjustRightInd/>
        <w:snapToGrid w:val="0"/>
        <w:spacing w:line="360" w:lineRule="auto"/>
        <w:ind w:right="-341" w:firstLine="420" w:firstLineChars="200"/>
        <w:rPr>
          <w:rFonts w:ascii="宋体" w:hAnsi="宋体" w:cs="宋体"/>
          <w:kern w:val="0"/>
          <w:szCs w:val="21"/>
        </w:rPr>
      </w:pPr>
      <w:r>
        <w:rPr>
          <w:rFonts w:hint="eastAsia" w:ascii="宋体" w:hAnsi="宋体" w:cs="宋体"/>
          <w:kern w:val="0"/>
          <w:szCs w:val="21"/>
        </w:rPr>
        <w:t>以上企业，不属于大企业的分支机构，不存在控股股东为大企业的情形，也不存在与大企业的负责人为同一人的情形。</w:t>
      </w:r>
    </w:p>
    <w:p w14:paraId="3D341545">
      <w:pPr>
        <w:adjustRightInd/>
        <w:snapToGrid w:val="0"/>
        <w:spacing w:line="360" w:lineRule="auto"/>
        <w:ind w:right="-341" w:firstLine="420" w:firstLineChars="200"/>
        <w:rPr>
          <w:rFonts w:ascii="宋体" w:hAnsi="宋体" w:cs="宋体"/>
          <w:kern w:val="0"/>
          <w:szCs w:val="21"/>
        </w:rPr>
      </w:pPr>
      <w:r>
        <w:rPr>
          <w:rFonts w:hint="eastAsia" w:ascii="宋体" w:hAnsi="宋体" w:cs="宋体"/>
          <w:kern w:val="0"/>
          <w:szCs w:val="21"/>
        </w:rPr>
        <w:t>本企业对上述声明内容的真实性负责。如有虚假，将依法承担相应责任。</w:t>
      </w:r>
    </w:p>
    <w:p w14:paraId="089AD19E">
      <w:pPr>
        <w:adjustRightInd/>
        <w:snapToGrid w:val="0"/>
        <w:spacing w:line="360" w:lineRule="auto"/>
        <w:ind w:right="-341"/>
        <w:rPr>
          <w:rFonts w:ascii="宋体" w:hAnsi="宋体" w:cs="宋体"/>
          <w:kern w:val="0"/>
          <w:szCs w:val="21"/>
        </w:rPr>
      </w:pPr>
    </w:p>
    <w:p w14:paraId="7D893C20">
      <w:pPr>
        <w:pStyle w:val="120"/>
        <w:wordWrap w:val="0"/>
        <w:spacing w:line="360" w:lineRule="auto"/>
        <w:ind w:right="840" w:firstLine="480"/>
        <w:jc w:val="right"/>
        <w:rPr>
          <w:rFonts w:asciiTheme="minorEastAsia" w:hAnsiTheme="minorEastAsia" w:eastAsiaTheme="minorEastAsia"/>
          <w:szCs w:val="21"/>
          <w:u w:val="single"/>
        </w:rPr>
      </w:pPr>
      <w:r>
        <w:rPr>
          <w:rFonts w:hint="eastAsia" w:asciiTheme="minorEastAsia" w:hAnsiTheme="minorEastAsia" w:eastAsiaTheme="minorEastAsia"/>
          <w:szCs w:val="21"/>
        </w:rPr>
        <w:t>响应供应商盖章：</w:t>
      </w:r>
    </w:p>
    <w:p w14:paraId="011ACDCE">
      <w:pPr>
        <w:pStyle w:val="120"/>
        <w:wordWrap w:val="0"/>
        <w:spacing w:line="360" w:lineRule="auto"/>
        <w:ind w:firstLine="480"/>
        <w:jc w:val="center"/>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p w14:paraId="67E25526">
      <w:pPr>
        <w:adjustRightInd/>
        <w:spacing w:after="120"/>
        <w:rPr>
          <w:szCs w:val="22"/>
        </w:rPr>
      </w:pPr>
    </w:p>
    <w:p w14:paraId="25B1A7F3">
      <w:pPr>
        <w:adjustRightInd/>
        <w:spacing w:line="360" w:lineRule="auto"/>
        <w:ind w:firstLine="3132" w:firstLineChars="1300"/>
        <w:rPr>
          <w:b/>
          <w:sz w:val="24"/>
        </w:rPr>
      </w:pPr>
    </w:p>
    <w:p w14:paraId="2E7D2144">
      <w:pPr>
        <w:adjustRightInd/>
        <w:spacing w:line="360" w:lineRule="auto"/>
        <w:ind w:firstLine="3132" w:firstLineChars="1300"/>
        <w:rPr>
          <w:b/>
          <w:sz w:val="24"/>
        </w:rPr>
      </w:pPr>
    </w:p>
    <w:p w14:paraId="24351087">
      <w:pPr>
        <w:adjustRightInd/>
        <w:spacing w:line="360" w:lineRule="auto"/>
        <w:ind w:firstLine="3132" w:firstLineChars="1300"/>
        <w:rPr>
          <w:b/>
          <w:sz w:val="24"/>
        </w:rPr>
      </w:pPr>
    </w:p>
    <w:p w14:paraId="5E7F88F1">
      <w:pPr>
        <w:adjustRightInd/>
        <w:spacing w:line="360" w:lineRule="auto"/>
        <w:ind w:firstLine="3132" w:firstLineChars="1300"/>
        <w:rPr>
          <w:b/>
          <w:sz w:val="24"/>
        </w:rPr>
      </w:pPr>
    </w:p>
    <w:p w14:paraId="40CB1252">
      <w:pPr>
        <w:adjustRightInd/>
        <w:spacing w:line="360" w:lineRule="auto"/>
        <w:ind w:firstLine="3132" w:firstLineChars="1300"/>
        <w:rPr>
          <w:b/>
          <w:sz w:val="24"/>
        </w:rPr>
      </w:pPr>
    </w:p>
    <w:p w14:paraId="68245A79">
      <w:pPr>
        <w:adjustRightInd/>
        <w:spacing w:line="360" w:lineRule="auto"/>
        <w:ind w:firstLine="3132" w:firstLineChars="1300"/>
        <w:rPr>
          <w:b/>
          <w:sz w:val="24"/>
        </w:rPr>
      </w:pPr>
    </w:p>
    <w:p w14:paraId="346606E2">
      <w:pPr>
        <w:adjustRightInd/>
        <w:spacing w:line="360" w:lineRule="auto"/>
        <w:ind w:firstLine="3132" w:firstLineChars="1300"/>
        <w:rPr>
          <w:b/>
          <w:sz w:val="24"/>
        </w:rPr>
      </w:pPr>
    </w:p>
    <w:p w14:paraId="5F7A12B5">
      <w:pPr>
        <w:adjustRightInd/>
        <w:spacing w:line="360" w:lineRule="auto"/>
        <w:ind w:firstLine="3132" w:firstLineChars="1300"/>
        <w:rPr>
          <w:b/>
          <w:sz w:val="24"/>
        </w:rPr>
      </w:pPr>
    </w:p>
    <w:p w14:paraId="43F68C77">
      <w:pPr>
        <w:adjustRightInd/>
        <w:spacing w:line="360" w:lineRule="auto"/>
        <w:ind w:firstLine="3132" w:firstLineChars="1300"/>
        <w:rPr>
          <w:b/>
          <w:sz w:val="24"/>
        </w:rPr>
      </w:pPr>
    </w:p>
    <w:p w14:paraId="3FA6A90C">
      <w:pPr>
        <w:adjustRightInd/>
        <w:spacing w:line="360" w:lineRule="auto"/>
        <w:ind w:firstLine="3132" w:firstLineChars="1300"/>
        <w:rPr>
          <w:b/>
          <w:sz w:val="24"/>
        </w:rPr>
      </w:pPr>
    </w:p>
    <w:p w14:paraId="2A62D5A6">
      <w:pPr>
        <w:adjustRightInd/>
        <w:spacing w:line="360" w:lineRule="auto"/>
        <w:ind w:firstLine="3132" w:firstLineChars="1300"/>
        <w:rPr>
          <w:b/>
          <w:sz w:val="24"/>
        </w:rPr>
      </w:pPr>
    </w:p>
    <w:p w14:paraId="2E8911D6">
      <w:pPr>
        <w:adjustRightInd/>
        <w:spacing w:line="360" w:lineRule="auto"/>
        <w:ind w:firstLine="3132" w:firstLineChars="1300"/>
        <w:rPr>
          <w:b/>
          <w:sz w:val="24"/>
        </w:rPr>
      </w:pPr>
      <w:r>
        <w:rPr>
          <w:rFonts w:hint="eastAsia"/>
          <w:b/>
          <w:sz w:val="24"/>
        </w:rPr>
        <w:t>监狱企业声明函</w:t>
      </w:r>
    </w:p>
    <w:p w14:paraId="4FE47464">
      <w:pPr>
        <w:adjustRightInd/>
        <w:spacing w:line="360" w:lineRule="auto"/>
        <w:ind w:firstLine="2640" w:firstLineChars="1100"/>
        <w:rPr>
          <w:sz w:val="24"/>
        </w:rPr>
      </w:pPr>
      <w:r>
        <w:rPr>
          <w:rFonts w:hint="eastAsia"/>
          <w:sz w:val="24"/>
        </w:rPr>
        <w:t>【非监狱企业不用提供】</w:t>
      </w:r>
    </w:p>
    <w:p w14:paraId="43C28EAB">
      <w:pPr>
        <w:adjustRightInd/>
        <w:spacing w:line="360" w:lineRule="auto"/>
        <w:ind w:firstLine="480"/>
        <w:rPr>
          <w:szCs w:val="21"/>
        </w:rPr>
      </w:pPr>
    </w:p>
    <w:p w14:paraId="64AB2244">
      <w:pPr>
        <w:adjustRightInd/>
        <w:spacing w:line="360" w:lineRule="auto"/>
        <w:ind w:firstLine="525" w:firstLineChars="250"/>
        <w:rPr>
          <w:szCs w:val="21"/>
        </w:rPr>
      </w:pPr>
      <w:r>
        <w:rPr>
          <w:rFonts w:hint="eastAsia"/>
          <w:szCs w:val="21"/>
        </w:rPr>
        <w:t>监狱企业参加政府采购活动时，应当提供由省级以上监狱管理本企业郑重声明，根据《关于政府采购支持监狱企业发展有关问题的通知》（财库</w:t>
      </w:r>
      <w:r>
        <w:rPr>
          <w:szCs w:val="21"/>
        </w:rPr>
        <w:t>[2014]68</w:t>
      </w:r>
      <w:r>
        <w:rPr>
          <w:rFonts w:hint="eastAsia"/>
          <w:szCs w:val="21"/>
        </w:rPr>
        <w:t>号）的规定，本企业为监狱企业。</w:t>
      </w:r>
    </w:p>
    <w:p w14:paraId="6BDE6EF7">
      <w:pPr>
        <w:adjustRightInd/>
        <w:spacing w:line="360" w:lineRule="auto"/>
        <w:ind w:firstLine="480"/>
        <w:rPr>
          <w:szCs w:val="21"/>
        </w:rPr>
      </w:pPr>
      <w:r>
        <w:rPr>
          <w:rFonts w:hint="eastAsia"/>
          <w:szCs w:val="21"/>
        </w:rPr>
        <w:t>根据上述标准，我企业属于监狱企业的理由为：。</w:t>
      </w:r>
    </w:p>
    <w:p w14:paraId="6D911FCD">
      <w:pPr>
        <w:adjustRightInd/>
        <w:spacing w:line="360" w:lineRule="auto"/>
        <w:ind w:firstLine="480"/>
        <w:rPr>
          <w:szCs w:val="21"/>
        </w:rPr>
      </w:pPr>
      <w:r>
        <w:rPr>
          <w:rFonts w:hint="eastAsia"/>
          <w:szCs w:val="21"/>
        </w:rPr>
        <w:t>本企业为参加（项目名称：）（项目编号：）采购活动提供本企业的产品。</w:t>
      </w:r>
    </w:p>
    <w:p w14:paraId="250CD439">
      <w:pPr>
        <w:adjustRightInd/>
        <w:spacing w:line="360" w:lineRule="auto"/>
        <w:ind w:firstLine="480"/>
        <w:rPr>
          <w:szCs w:val="21"/>
        </w:rPr>
      </w:pPr>
      <w:r>
        <w:rPr>
          <w:rFonts w:hint="eastAsia"/>
          <w:szCs w:val="21"/>
        </w:rPr>
        <w:t>本企业对上述声明的真实性负责。如有虚假，将依法承担相应责任。</w:t>
      </w:r>
    </w:p>
    <w:p w14:paraId="309EEDA8">
      <w:pPr>
        <w:adjustRightInd/>
        <w:spacing w:line="360" w:lineRule="auto"/>
        <w:ind w:firstLine="480"/>
        <w:rPr>
          <w:szCs w:val="21"/>
        </w:rPr>
      </w:pPr>
    </w:p>
    <w:p w14:paraId="69B7340D">
      <w:pPr>
        <w:pStyle w:val="120"/>
        <w:wordWrap w:val="0"/>
        <w:spacing w:line="360" w:lineRule="auto"/>
        <w:ind w:right="840" w:firstLine="480"/>
        <w:jc w:val="right"/>
        <w:rPr>
          <w:rFonts w:asciiTheme="minorEastAsia" w:hAnsiTheme="minorEastAsia" w:eastAsiaTheme="minorEastAsia"/>
          <w:szCs w:val="21"/>
          <w:u w:val="single"/>
        </w:rPr>
      </w:pPr>
      <w:r>
        <w:rPr>
          <w:rFonts w:hint="eastAsia" w:asciiTheme="minorEastAsia" w:hAnsiTheme="minorEastAsia" w:eastAsiaTheme="minorEastAsia"/>
          <w:szCs w:val="21"/>
        </w:rPr>
        <w:t>响应供应商盖章：</w:t>
      </w:r>
    </w:p>
    <w:p w14:paraId="6962C1C5">
      <w:pPr>
        <w:pStyle w:val="120"/>
        <w:wordWrap w:val="0"/>
        <w:spacing w:line="360" w:lineRule="auto"/>
        <w:ind w:firstLine="480"/>
        <w:jc w:val="center"/>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p w14:paraId="1B738E5A">
      <w:pPr>
        <w:adjustRightInd/>
        <w:spacing w:line="360" w:lineRule="auto"/>
        <w:ind w:firstLine="480"/>
        <w:rPr>
          <w:szCs w:val="21"/>
        </w:rPr>
      </w:pPr>
    </w:p>
    <w:p w14:paraId="605E502E">
      <w:pPr>
        <w:adjustRightInd/>
        <w:spacing w:line="360" w:lineRule="auto"/>
        <w:ind w:firstLine="480"/>
        <w:rPr>
          <w:szCs w:val="21"/>
        </w:rPr>
      </w:pPr>
    </w:p>
    <w:p w14:paraId="0AE5507D">
      <w:pPr>
        <w:adjustRightInd/>
        <w:spacing w:line="360" w:lineRule="auto"/>
        <w:ind w:firstLine="480"/>
        <w:rPr>
          <w:szCs w:val="21"/>
        </w:rPr>
      </w:pPr>
      <w:r>
        <w:rPr>
          <w:rFonts w:hint="eastAsia"/>
          <w:szCs w:val="21"/>
        </w:rPr>
        <w:t>投标人为监狱企业的提供此函。</w:t>
      </w:r>
    </w:p>
    <w:p w14:paraId="7C8C5417">
      <w:pPr>
        <w:adjustRightInd/>
        <w:spacing w:line="360" w:lineRule="auto"/>
        <w:ind w:firstLine="480"/>
        <w:rPr>
          <w:szCs w:val="21"/>
        </w:rPr>
      </w:pPr>
      <w:r>
        <w:rPr>
          <w:rFonts w:hint="eastAsia"/>
          <w:szCs w:val="21"/>
        </w:rPr>
        <w:t>局、戒毒管理局（含新疆生产建设兵团）出具的属于监狱企业的证明文件。</w:t>
      </w:r>
    </w:p>
    <w:p w14:paraId="360C06B6">
      <w:pPr>
        <w:adjustRightInd/>
        <w:spacing w:line="360" w:lineRule="auto"/>
        <w:ind w:firstLine="480"/>
        <w:rPr>
          <w:szCs w:val="21"/>
        </w:rPr>
      </w:pPr>
      <w:r>
        <w:rPr>
          <w:rFonts w:hint="eastAsia"/>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8F4D956">
      <w:pPr>
        <w:adjustRightInd/>
        <w:spacing w:line="360" w:lineRule="auto"/>
        <w:ind w:firstLine="480"/>
        <w:rPr>
          <w:szCs w:val="21"/>
        </w:rPr>
      </w:pPr>
    </w:p>
    <w:p w14:paraId="73D3996A">
      <w:pPr>
        <w:adjustRightInd/>
        <w:spacing w:line="360" w:lineRule="auto"/>
        <w:ind w:firstLine="480"/>
        <w:rPr>
          <w:szCs w:val="21"/>
        </w:rPr>
      </w:pPr>
    </w:p>
    <w:p w14:paraId="59CE5380">
      <w:pPr>
        <w:adjustRightInd/>
        <w:spacing w:line="360" w:lineRule="auto"/>
        <w:ind w:firstLine="480"/>
        <w:rPr>
          <w:szCs w:val="21"/>
        </w:rPr>
      </w:pPr>
    </w:p>
    <w:p w14:paraId="3152CA57">
      <w:pPr>
        <w:adjustRightInd/>
        <w:spacing w:line="360" w:lineRule="auto"/>
        <w:ind w:firstLine="480"/>
        <w:rPr>
          <w:szCs w:val="21"/>
        </w:rPr>
      </w:pPr>
    </w:p>
    <w:p w14:paraId="6436FF1C">
      <w:pPr>
        <w:adjustRightInd/>
        <w:spacing w:line="360" w:lineRule="auto"/>
        <w:ind w:firstLine="480"/>
        <w:rPr>
          <w:szCs w:val="21"/>
        </w:rPr>
      </w:pPr>
    </w:p>
    <w:p w14:paraId="7933D8AC">
      <w:pPr>
        <w:adjustRightInd/>
        <w:spacing w:line="360" w:lineRule="auto"/>
        <w:ind w:firstLine="480"/>
        <w:rPr>
          <w:szCs w:val="21"/>
        </w:rPr>
      </w:pPr>
    </w:p>
    <w:p w14:paraId="6AFE1536">
      <w:pPr>
        <w:adjustRightInd/>
        <w:spacing w:line="360" w:lineRule="auto"/>
        <w:ind w:firstLine="480"/>
        <w:rPr>
          <w:szCs w:val="21"/>
        </w:rPr>
      </w:pPr>
    </w:p>
    <w:p w14:paraId="72A9AE67">
      <w:pPr>
        <w:adjustRightInd/>
        <w:spacing w:line="360" w:lineRule="auto"/>
        <w:ind w:firstLine="480"/>
        <w:rPr>
          <w:szCs w:val="21"/>
        </w:rPr>
      </w:pPr>
    </w:p>
    <w:p w14:paraId="03FECFD2">
      <w:pPr>
        <w:adjustRightInd/>
        <w:spacing w:line="360" w:lineRule="auto"/>
        <w:rPr>
          <w:szCs w:val="21"/>
        </w:rPr>
      </w:pPr>
    </w:p>
    <w:p w14:paraId="515D5431">
      <w:pPr>
        <w:adjustRightInd/>
        <w:spacing w:line="360" w:lineRule="auto"/>
        <w:rPr>
          <w:b/>
          <w:sz w:val="24"/>
        </w:rPr>
      </w:pPr>
    </w:p>
    <w:p w14:paraId="711DAF74">
      <w:pPr>
        <w:adjustRightInd/>
        <w:spacing w:line="360" w:lineRule="auto"/>
        <w:jc w:val="center"/>
        <w:rPr>
          <w:b/>
          <w:sz w:val="24"/>
        </w:rPr>
      </w:pPr>
    </w:p>
    <w:p w14:paraId="6AD28A56">
      <w:pPr>
        <w:adjustRightInd/>
        <w:spacing w:line="360" w:lineRule="auto"/>
        <w:jc w:val="center"/>
        <w:rPr>
          <w:b/>
          <w:sz w:val="24"/>
        </w:rPr>
      </w:pPr>
      <w:r>
        <w:rPr>
          <w:rFonts w:hint="eastAsia"/>
          <w:b/>
          <w:sz w:val="24"/>
        </w:rPr>
        <w:t>残疾人福利性单位声明函</w:t>
      </w:r>
    </w:p>
    <w:p w14:paraId="21DEF85F">
      <w:pPr>
        <w:adjustRightInd/>
        <w:spacing w:line="360" w:lineRule="auto"/>
        <w:ind w:firstLine="2835" w:firstLineChars="1350"/>
        <w:rPr>
          <w:szCs w:val="21"/>
        </w:rPr>
      </w:pPr>
      <w:r>
        <w:rPr>
          <w:rFonts w:hint="eastAsia"/>
          <w:szCs w:val="21"/>
        </w:rPr>
        <w:t>【非残疾人福利性单位不用提供】</w:t>
      </w:r>
    </w:p>
    <w:p w14:paraId="6D5E38CA">
      <w:pPr>
        <w:adjustRightInd/>
        <w:spacing w:line="360" w:lineRule="auto"/>
        <w:rPr>
          <w:szCs w:val="21"/>
        </w:rPr>
      </w:pPr>
    </w:p>
    <w:p w14:paraId="476D3A99">
      <w:pPr>
        <w:adjustRightInd/>
        <w:spacing w:line="360" w:lineRule="auto"/>
        <w:ind w:firstLine="420" w:firstLineChars="200"/>
        <w:rPr>
          <w:szCs w:val="21"/>
        </w:rPr>
      </w:pPr>
      <w:r>
        <w:rPr>
          <w:rFonts w:hint="eastAsia"/>
          <w:szCs w:val="21"/>
        </w:rPr>
        <w:t>本单位郑重声明，根据《财政部民政部中国残疾人联合会关于促进残疾人就业政府采购政策的通知》（财库〔</w:t>
      </w:r>
      <w:r>
        <w:rPr>
          <w:szCs w:val="21"/>
        </w:rPr>
        <w:t>2017</w:t>
      </w:r>
      <w:r>
        <w:rPr>
          <w:rFonts w:hint="eastAsia"/>
          <w:szCs w:val="21"/>
        </w:rPr>
        <w:t>〕</w:t>
      </w:r>
      <w:r>
        <w:rPr>
          <w:szCs w:val="21"/>
        </w:rPr>
        <w:t>141</w:t>
      </w:r>
      <w:r>
        <w:rPr>
          <w:rFonts w:hint="eastAsia"/>
          <w:szCs w:val="21"/>
        </w:rPr>
        <w:t>号）的规定，本单位为符合条件的残疾人福利性单位，且本单位参加</w:t>
      </w:r>
      <w:r>
        <w:rPr>
          <w:rFonts w:hint="eastAsia"/>
          <w:szCs w:val="21"/>
          <w:u w:val="single"/>
        </w:rPr>
        <w:t>（采购人名称）</w:t>
      </w:r>
      <w:r>
        <w:rPr>
          <w:rFonts w:hint="eastAsia"/>
          <w:szCs w:val="21"/>
        </w:rPr>
        <w:t>单位的</w:t>
      </w:r>
      <w:r>
        <w:rPr>
          <w:rFonts w:hint="eastAsia"/>
          <w:szCs w:val="21"/>
          <w:u w:val="single"/>
        </w:rPr>
        <w:t>（项目名称）</w:t>
      </w:r>
      <w:r>
        <w:rPr>
          <w:rFonts w:hint="eastAsia"/>
          <w:szCs w:val="21"/>
        </w:rPr>
        <w:t>项目采购活动提供本单位制造的货物（由本单位承担工程</w:t>
      </w:r>
      <w:r>
        <w:rPr>
          <w:szCs w:val="21"/>
        </w:rPr>
        <w:t>/</w:t>
      </w:r>
      <w:r>
        <w:rPr>
          <w:rFonts w:hint="eastAsia"/>
          <w:szCs w:val="21"/>
        </w:rPr>
        <w:t>提供服务），或者提供其他残疾人福利性单位制造的货物（不包括使用非残疾人福利性单位注册商标的货物）。</w:t>
      </w:r>
    </w:p>
    <w:p w14:paraId="73251739">
      <w:pPr>
        <w:adjustRightInd/>
        <w:spacing w:line="360" w:lineRule="auto"/>
        <w:ind w:firstLine="420" w:firstLineChars="200"/>
        <w:rPr>
          <w:szCs w:val="21"/>
        </w:rPr>
      </w:pPr>
      <w:r>
        <w:rPr>
          <w:rFonts w:hint="eastAsia"/>
          <w:szCs w:val="21"/>
        </w:rPr>
        <w:t>本单位对上述声明的真实性负责。如有虚假，将依法承担相应责任。</w:t>
      </w:r>
    </w:p>
    <w:p w14:paraId="0F729508">
      <w:pPr>
        <w:adjustRightInd/>
        <w:spacing w:line="360" w:lineRule="auto"/>
        <w:rPr>
          <w:szCs w:val="21"/>
        </w:rPr>
      </w:pPr>
    </w:p>
    <w:p w14:paraId="28EF8B71">
      <w:pPr>
        <w:adjustRightInd/>
        <w:spacing w:line="360" w:lineRule="auto"/>
        <w:rPr>
          <w:szCs w:val="21"/>
        </w:rPr>
      </w:pPr>
    </w:p>
    <w:p w14:paraId="35AD5CA3">
      <w:pPr>
        <w:adjustRightInd/>
        <w:spacing w:line="360" w:lineRule="auto"/>
        <w:rPr>
          <w:szCs w:val="21"/>
        </w:rPr>
      </w:pPr>
    </w:p>
    <w:p w14:paraId="1DA65285">
      <w:pPr>
        <w:adjustRightInd/>
        <w:spacing w:line="360" w:lineRule="auto"/>
        <w:ind w:firstLine="480"/>
        <w:rPr>
          <w:szCs w:val="21"/>
        </w:rPr>
      </w:pPr>
      <w:r>
        <w:rPr>
          <w:rFonts w:hint="eastAsia"/>
          <w:szCs w:val="21"/>
        </w:rPr>
        <w:t>说明：投标人为残疾人福利性单位的提供此函。</w:t>
      </w:r>
    </w:p>
    <w:p w14:paraId="3980D8E3">
      <w:pPr>
        <w:adjustRightInd/>
        <w:snapToGrid w:val="0"/>
        <w:spacing w:line="360" w:lineRule="auto"/>
        <w:ind w:right="-341"/>
        <w:rPr>
          <w:szCs w:val="22"/>
        </w:rPr>
      </w:pPr>
    </w:p>
    <w:p w14:paraId="30C44BDC">
      <w:pPr>
        <w:adjustRightInd/>
        <w:snapToGrid w:val="0"/>
        <w:spacing w:line="360" w:lineRule="auto"/>
        <w:ind w:right="-341"/>
        <w:rPr>
          <w:szCs w:val="22"/>
        </w:rPr>
      </w:pPr>
    </w:p>
    <w:p w14:paraId="62996654">
      <w:pPr>
        <w:pStyle w:val="120"/>
        <w:wordWrap w:val="0"/>
        <w:spacing w:line="360" w:lineRule="auto"/>
        <w:ind w:right="840" w:firstLine="480"/>
        <w:jc w:val="right"/>
        <w:rPr>
          <w:rFonts w:asciiTheme="minorEastAsia" w:hAnsiTheme="minorEastAsia" w:eastAsiaTheme="minorEastAsia"/>
          <w:szCs w:val="21"/>
          <w:u w:val="single"/>
        </w:rPr>
      </w:pPr>
      <w:bookmarkStart w:id="414" w:name="_Hlk185593967"/>
      <w:r>
        <w:rPr>
          <w:rFonts w:hint="eastAsia" w:asciiTheme="minorEastAsia" w:hAnsiTheme="minorEastAsia" w:eastAsiaTheme="minorEastAsia"/>
          <w:szCs w:val="21"/>
        </w:rPr>
        <w:t>响应供应商盖章：</w:t>
      </w:r>
    </w:p>
    <w:p w14:paraId="68FA79F8">
      <w:pPr>
        <w:pStyle w:val="120"/>
        <w:wordWrap w:val="0"/>
        <w:spacing w:line="360" w:lineRule="auto"/>
        <w:ind w:firstLine="480"/>
        <w:jc w:val="center"/>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bookmarkEnd w:id="414"/>
    <w:p w14:paraId="68916A8C">
      <w:pPr>
        <w:pStyle w:val="36"/>
        <w:spacing w:beforeLines="100" w:afterLines="100"/>
        <w:jc w:val="both"/>
        <w:outlineLvl w:val="1"/>
        <w:rPr>
          <w:rFonts w:ascii="仿宋_GB2312" w:eastAsia="仿宋_GB2312"/>
          <w:color w:val="000000" w:themeColor="text1"/>
          <w:lang w:val="en-US"/>
        </w:rPr>
      </w:pPr>
    </w:p>
    <w:p w14:paraId="3B1E83B4">
      <w:pPr>
        <w:pStyle w:val="36"/>
        <w:spacing w:beforeLines="100" w:afterLines="100"/>
        <w:jc w:val="both"/>
        <w:outlineLvl w:val="1"/>
        <w:rPr>
          <w:rFonts w:ascii="仿宋_GB2312" w:eastAsia="仿宋_GB2312"/>
          <w:color w:val="000000" w:themeColor="text1"/>
          <w:lang w:val="en-US"/>
        </w:rPr>
      </w:pPr>
    </w:p>
    <w:p w14:paraId="15525CAD">
      <w:pPr>
        <w:pStyle w:val="36"/>
        <w:spacing w:beforeLines="100" w:afterLines="100"/>
        <w:jc w:val="both"/>
        <w:outlineLvl w:val="1"/>
        <w:rPr>
          <w:rFonts w:ascii="仿宋_GB2312" w:eastAsia="仿宋_GB2312"/>
          <w:color w:val="000000" w:themeColor="text1"/>
          <w:lang w:val="en-US"/>
        </w:rPr>
      </w:pPr>
    </w:p>
    <w:p w14:paraId="6ADB807E">
      <w:pPr>
        <w:pStyle w:val="36"/>
        <w:spacing w:beforeLines="100" w:afterLines="100"/>
        <w:jc w:val="both"/>
        <w:outlineLvl w:val="1"/>
        <w:rPr>
          <w:rFonts w:ascii="仿宋_GB2312" w:eastAsia="仿宋_GB2312"/>
          <w:color w:val="000000" w:themeColor="text1"/>
          <w:lang w:val="en-US"/>
        </w:rPr>
      </w:pPr>
    </w:p>
    <w:p w14:paraId="120D42C7">
      <w:pPr>
        <w:pStyle w:val="36"/>
        <w:spacing w:beforeLines="100" w:afterLines="100"/>
        <w:jc w:val="both"/>
        <w:outlineLvl w:val="1"/>
        <w:rPr>
          <w:rFonts w:ascii="仿宋_GB2312" w:eastAsia="仿宋_GB2312"/>
          <w:color w:val="000000" w:themeColor="text1"/>
          <w:lang w:val="en-US"/>
        </w:rPr>
      </w:pPr>
    </w:p>
    <w:p w14:paraId="27C5C353">
      <w:pPr>
        <w:pStyle w:val="36"/>
        <w:spacing w:beforeLines="100" w:afterLines="100"/>
        <w:jc w:val="both"/>
        <w:outlineLvl w:val="1"/>
        <w:rPr>
          <w:rFonts w:ascii="仿宋_GB2312" w:eastAsia="仿宋_GB2312"/>
          <w:color w:val="000000" w:themeColor="text1"/>
          <w:lang w:val="en-US"/>
        </w:rPr>
      </w:pPr>
    </w:p>
    <w:p w14:paraId="2EE434D7">
      <w:pPr>
        <w:adjustRightInd/>
        <w:snapToGrid w:val="0"/>
        <w:spacing w:before="50" w:line="312" w:lineRule="auto"/>
        <w:jc w:val="center"/>
        <w:rPr>
          <w:b/>
          <w:sz w:val="30"/>
          <w:szCs w:val="30"/>
        </w:rPr>
      </w:pPr>
    </w:p>
    <w:p w14:paraId="5DEE8A6F">
      <w:pPr>
        <w:adjustRightInd/>
        <w:snapToGrid w:val="0"/>
        <w:spacing w:before="50" w:line="312" w:lineRule="auto"/>
        <w:jc w:val="center"/>
        <w:rPr>
          <w:b/>
          <w:sz w:val="30"/>
          <w:szCs w:val="30"/>
        </w:rPr>
      </w:pPr>
    </w:p>
    <w:p w14:paraId="50EE7913">
      <w:pPr>
        <w:adjustRightInd/>
        <w:snapToGrid w:val="0"/>
        <w:spacing w:before="50" w:line="312" w:lineRule="auto"/>
        <w:jc w:val="center"/>
        <w:rPr>
          <w:b/>
          <w:sz w:val="30"/>
          <w:szCs w:val="30"/>
        </w:rPr>
      </w:pPr>
    </w:p>
    <w:p w14:paraId="350C3FFC">
      <w:pPr>
        <w:adjustRightInd/>
        <w:snapToGrid w:val="0"/>
        <w:spacing w:before="50" w:line="312" w:lineRule="auto"/>
        <w:jc w:val="center"/>
        <w:rPr>
          <w:b/>
          <w:sz w:val="30"/>
          <w:szCs w:val="30"/>
        </w:rPr>
      </w:pPr>
    </w:p>
    <w:p w14:paraId="49AB71CD">
      <w:pPr>
        <w:adjustRightInd/>
        <w:snapToGrid w:val="0"/>
        <w:spacing w:before="50" w:line="312" w:lineRule="auto"/>
        <w:jc w:val="center"/>
        <w:rPr>
          <w:b/>
          <w:sz w:val="30"/>
          <w:szCs w:val="30"/>
        </w:rPr>
      </w:pPr>
    </w:p>
    <w:p w14:paraId="40CBDCCD">
      <w:pPr>
        <w:adjustRightInd/>
        <w:snapToGrid w:val="0"/>
        <w:spacing w:before="50" w:line="312" w:lineRule="auto"/>
        <w:jc w:val="center"/>
        <w:rPr>
          <w:b/>
          <w:sz w:val="30"/>
          <w:szCs w:val="30"/>
        </w:rPr>
      </w:pPr>
    </w:p>
    <w:p w14:paraId="02D91A6B">
      <w:pPr>
        <w:adjustRightInd/>
        <w:snapToGrid w:val="0"/>
        <w:spacing w:before="50" w:line="312" w:lineRule="auto"/>
        <w:jc w:val="center"/>
        <w:rPr>
          <w:b/>
          <w:sz w:val="30"/>
          <w:szCs w:val="30"/>
        </w:rPr>
      </w:pPr>
      <w:r>
        <w:rPr>
          <w:rFonts w:hint="eastAsia"/>
          <w:b/>
          <w:sz w:val="30"/>
          <w:szCs w:val="30"/>
        </w:rPr>
        <w:t>企业简介表</w:t>
      </w:r>
    </w:p>
    <w:p w14:paraId="0D724411">
      <w:pPr>
        <w:adjustRightInd/>
        <w:spacing w:line="360" w:lineRule="auto"/>
        <w:rPr>
          <w:rFonts w:ascii="仿宋_GB2312" w:hAnsi="宋体" w:eastAsia="仿宋_GB2312"/>
          <w:b/>
          <w:spacing w:val="20"/>
          <w:sz w:val="24"/>
        </w:rPr>
      </w:pPr>
    </w:p>
    <w:p w14:paraId="61A3287F">
      <w:pPr>
        <w:adjustRightInd/>
        <w:spacing w:line="360" w:lineRule="auto"/>
        <w:rPr>
          <w:rFonts w:ascii="宋体" w:hAnsi="宋体"/>
          <w:b/>
          <w:spacing w:val="20"/>
          <w:sz w:val="24"/>
        </w:rPr>
      </w:pPr>
    </w:p>
    <w:tbl>
      <w:tblPr>
        <w:tblStyle w:val="39"/>
        <w:tblW w:w="9410" w:type="dxa"/>
        <w:tblInd w:w="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1222"/>
        <w:gridCol w:w="790"/>
        <w:gridCol w:w="493"/>
        <w:gridCol w:w="608"/>
        <w:gridCol w:w="873"/>
        <w:gridCol w:w="115"/>
        <w:gridCol w:w="659"/>
        <w:gridCol w:w="1200"/>
        <w:gridCol w:w="1620"/>
      </w:tblGrid>
      <w:tr w14:paraId="19CFA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830" w:type="dxa"/>
            <w:tcBorders>
              <w:top w:val="single" w:color="auto" w:sz="4" w:space="0"/>
              <w:left w:val="single" w:color="auto" w:sz="4" w:space="0"/>
              <w:bottom w:val="single" w:color="auto" w:sz="4" w:space="0"/>
              <w:right w:val="single" w:color="auto" w:sz="4" w:space="0"/>
            </w:tcBorders>
            <w:vAlign w:val="center"/>
          </w:tcPr>
          <w:p w14:paraId="0485F52F">
            <w:pPr>
              <w:snapToGrid w:val="0"/>
              <w:spacing w:line="360" w:lineRule="auto"/>
              <w:jc w:val="center"/>
              <w:rPr>
                <w:rFonts w:ascii="宋体" w:hAnsi="宋体"/>
                <w:szCs w:val="21"/>
              </w:rPr>
            </w:pPr>
            <w:r>
              <w:rPr>
                <w:rFonts w:hint="eastAsia" w:ascii="宋体" w:hAnsi="宋体"/>
                <w:szCs w:val="21"/>
              </w:rPr>
              <w:t>单位名称</w:t>
            </w:r>
          </w:p>
        </w:tc>
        <w:tc>
          <w:tcPr>
            <w:tcW w:w="1222" w:type="dxa"/>
            <w:tcBorders>
              <w:top w:val="single" w:color="auto" w:sz="4" w:space="0"/>
              <w:left w:val="single" w:color="auto" w:sz="4" w:space="0"/>
              <w:bottom w:val="single" w:color="auto" w:sz="4" w:space="0"/>
              <w:right w:val="single" w:color="auto" w:sz="4" w:space="0"/>
            </w:tcBorders>
            <w:vAlign w:val="center"/>
          </w:tcPr>
          <w:p w14:paraId="24C7F841">
            <w:pPr>
              <w:snapToGrid w:val="0"/>
              <w:spacing w:line="360" w:lineRule="auto"/>
              <w:jc w:val="center"/>
              <w:rPr>
                <w:rFonts w:ascii="宋体" w:hAnsi="宋体"/>
                <w:szCs w:val="21"/>
              </w:rPr>
            </w:pPr>
          </w:p>
        </w:tc>
        <w:tc>
          <w:tcPr>
            <w:tcW w:w="1283"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21E85BD">
            <w:pPr>
              <w:snapToGrid w:val="0"/>
              <w:spacing w:line="360" w:lineRule="auto"/>
              <w:jc w:val="center"/>
              <w:rPr>
                <w:rFonts w:ascii="宋体" w:hAnsi="宋体"/>
                <w:szCs w:val="21"/>
              </w:rPr>
            </w:pPr>
            <w:r>
              <w:rPr>
                <w:rFonts w:hint="eastAsia" w:ascii="宋体" w:hAnsi="宋体"/>
                <w:szCs w:val="21"/>
              </w:rPr>
              <w:t>单位地址</w:t>
            </w:r>
          </w:p>
        </w:tc>
        <w:tc>
          <w:tcPr>
            <w:tcW w:w="1596"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41BFCE6">
            <w:pPr>
              <w:snapToGrid w:val="0"/>
              <w:spacing w:line="360" w:lineRule="auto"/>
              <w:jc w:val="center"/>
              <w:rPr>
                <w:rFonts w:ascii="宋体" w:hAnsi="宋体"/>
                <w:szCs w:val="21"/>
              </w:rPr>
            </w:pPr>
          </w:p>
        </w:tc>
        <w:tc>
          <w:tcPr>
            <w:tcW w:w="1859"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503DF70">
            <w:pPr>
              <w:snapToGrid w:val="0"/>
              <w:spacing w:line="360" w:lineRule="auto"/>
              <w:jc w:val="center"/>
              <w:rPr>
                <w:rFonts w:ascii="宋体" w:hAnsi="宋体"/>
                <w:szCs w:val="21"/>
              </w:rPr>
            </w:pPr>
            <w:r>
              <w:rPr>
                <w:rFonts w:hint="eastAsia" w:ascii="宋体" w:hAnsi="宋体"/>
                <w:szCs w:val="21"/>
              </w:rPr>
              <w:t>成立时间</w:t>
            </w:r>
          </w:p>
        </w:tc>
        <w:tc>
          <w:tcPr>
            <w:tcW w:w="162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AF03064">
            <w:pPr>
              <w:snapToGrid w:val="0"/>
              <w:spacing w:line="360" w:lineRule="auto"/>
              <w:jc w:val="center"/>
              <w:rPr>
                <w:rFonts w:ascii="宋体" w:hAnsi="宋体"/>
                <w:szCs w:val="21"/>
              </w:rPr>
            </w:pPr>
          </w:p>
        </w:tc>
      </w:tr>
      <w:tr w14:paraId="4B7CB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830" w:type="dxa"/>
            <w:tcBorders>
              <w:top w:val="single" w:color="auto" w:sz="4" w:space="0"/>
              <w:left w:val="single" w:color="auto" w:sz="4" w:space="0"/>
              <w:bottom w:val="single" w:color="auto" w:sz="4" w:space="0"/>
              <w:right w:val="single" w:color="auto" w:sz="4" w:space="0"/>
            </w:tcBorders>
            <w:vAlign w:val="center"/>
          </w:tcPr>
          <w:p w14:paraId="2EAAA429">
            <w:pPr>
              <w:snapToGrid w:val="0"/>
              <w:spacing w:line="360" w:lineRule="auto"/>
              <w:jc w:val="center"/>
              <w:rPr>
                <w:rFonts w:ascii="宋体" w:hAnsi="宋体"/>
                <w:szCs w:val="21"/>
              </w:rPr>
            </w:pPr>
            <w:r>
              <w:rPr>
                <w:rFonts w:hint="eastAsia" w:ascii="宋体" w:hAnsi="宋体"/>
                <w:szCs w:val="21"/>
              </w:rPr>
              <w:t>注册资本</w:t>
            </w:r>
          </w:p>
        </w:tc>
        <w:tc>
          <w:tcPr>
            <w:tcW w:w="1222" w:type="dxa"/>
            <w:tcBorders>
              <w:top w:val="single" w:color="auto" w:sz="4" w:space="0"/>
              <w:left w:val="single" w:color="auto" w:sz="4" w:space="0"/>
              <w:bottom w:val="single" w:color="auto" w:sz="4" w:space="0"/>
              <w:right w:val="single" w:color="auto" w:sz="4" w:space="0"/>
            </w:tcBorders>
            <w:vAlign w:val="center"/>
          </w:tcPr>
          <w:p w14:paraId="5F736EF1">
            <w:pPr>
              <w:snapToGrid w:val="0"/>
              <w:spacing w:line="360" w:lineRule="auto"/>
              <w:jc w:val="center"/>
              <w:rPr>
                <w:rFonts w:ascii="宋体" w:hAnsi="宋体"/>
                <w:szCs w:val="21"/>
              </w:rPr>
            </w:pPr>
          </w:p>
        </w:tc>
        <w:tc>
          <w:tcPr>
            <w:tcW w:w="1283"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63A223D">
            <w:pPr>
              <w:snapToGrid w:val="0"/>
              <w:spacing w:line="360" w:lineRule="auto"/>
              <w:jc w:val="center"/>
              <w:rPr>
                <w:rFonts w:ascii="宋体" w:hAnsi="宋体"/>
                <w:szCs w:val="21"/>
              </w:rPr>
            </w:pPr>
            <w:r>
              <w:rPr>
                <w:rFonts w:hint="eastAsia" w:ascii="宋体" w:hAnsi="宋体"/>
                <w:szCs w:val="21"/>
              </w:rPr>
              <w:t>固定资产</w:t>
            </w:r>
          </w:p>
        </w:tc>
        <w:tc>
          <w:tcPr>
            <w:tcW w:w="1596"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60DA4DB">
            <w:pPr>
              <w:snapToGrid w:val="0"/>
              <w:spacing w:line="360" w:lineRule="auto"/>
              <w:jc w:val="center"/>
              <w:rPr>
                <w:rFonts w:ascii="宋体" w:hAnsi="宋体"/>
                <w:szCs w:val="21"/>
              </w:rPr>
            </w:pPr>
          </w:p>
        </w:tc>
        <w:tc>
          <w:tcPr>
            <w:tcW w:w="1859"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BB9602B">
            <w:pPr>
              <w:snapToGrid w:val="0"/>
              <w:spacing w:line="360" w:lineRule="auto"/>
              <w:jc w:val="center"/>
              <w:rPr>
                <w:rFonts w:ascii="宋体" w:hAnsi="宋体"/>
                <w:szCs w:val="21"/>
              </w:rPr>
            </w:pPr>
            <w:r>
              <w:rPr>
                <w:rFonts w:hint="eastAsia" w:ascii="宋体" w:hAnsi="宋体"/>
                <w:szCs w:val="21"/>
              </w:rPr>
              <w:t>办公用房规模(注明自有、租用)</w:t>
            </w:r>
          </w:p>
        </w:tc>
        <w:tc>
          <w:tcPr>
            <w:tcW w:w="162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DDE4E65">
            <w:pPr>
              <w:snapToGrid w:val="0"/>
              <w:spacing w:line="360" w:lineRule="auto"/>
              <w:jc w:val="center"/>
              <w:rPr>
                <w:rFonts w:ascii="宋体" w:hAnsi="宋体"/>
                <w:szCs w:val="21"/>
              </w:rPr>
            </w:pPr>
          </w:p>
        </w:tc>
      </w:tr>
      <w:tr w14:paraId="7BBF4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30" w:type="dxa"/>
            <w:vMerge w:val="restart"/>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4958382">
            <w:pPr>
              <w:snapToGrid w:val="0"/>
              <w:spacing w:line="360" w:lineRule="auto"/>
              <w:jc w:val="center"/>
              <w:rPr>
                <w:rFonts w:ascii="宋体" w:hAnsi="宋体"/>
                <w:szCs w:val="21"/>
              </w:rPr>
            </w:pPr>
            <w:r>
              <w:rPr>
                <w:rFonts w:hint="eastAsia" w:ascii="宋体" w:hAnsi="宋体"/>
                <w:szCs w:val="21"/>
              </w:rPr>
              <w:t>从事工程造价咨询资质情况</w:t>
            </w:r>
          </w:p>
        </w:tc>
        <w:tc>
          <w:tcPr>
            <w:tcW w:w="1222"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6DE9723">
            <w:pPr>
              <w:snapToGrid w:val="0"/>
              <w:spacing w:line="360" w:lineRule="auto"/>
              <w:jc w:val="center"/>
              <w:rPr>
                <w:rFonts w:ascii="宋体" w:hAnsi="宋体"/>
                <w:szCs w:val="21"/>
              </w:rPr>
            </w:pPr>
            <w:r>
              <w:rPr>
                <w:rFonts w:hint="eastAsia" w:ascii="宋体" w:hAnsi="宋体"/>
                <w:szCs w:val="21"/>
              </w:rPr>
              <w:t>资质名称</w:t>
            </w:r>
          </w:p>
        </w:tc>
        <w:tc>
          <w:tcPr>
            <w:tcW w:w="1891"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1C24A33">
            <w:pPr>
              <w:snapToGrid w:val="0"/>
              <w:spacing w:line="360" w:lineRule="auto"/>
              <w:jc w:val="center"/>
              <w:rPr>
                <w:rFonts w:ascii="宋体" w:hAnsi="宋体"/>
                <w:szCs w:val="21"/>
              </w:rPr>
            </w:pPr>
            <w:r>
              <w:rPr>
                <w:rFonts w:hint="eastAsia" w:ascii="宋体" w:hAnsi="宋体"/>
                <w:szCs w:val="21"/>
              </w:rPr>
              <w:t>颁发部门</w:t>
            </w:r>
          </w:p>
        </w:tc>
        <w:tc>
          <w:tcPr>
            <w:tcW w:w="1647"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763B66F">
            <w:pPr>
              <w:snapToGrid w:val="0"/>
              <w:spacing w:line="360" w:lineRule="auto"/>
              <w:jc w:val="center"/>
              <w:rPr>
                <w:rFonts w:ascii="宋体" w:hAnsi="宋体"/>
                <w:szCs w:val="21"/>
              </w:rPr>
            </w:pPr>
            <w:r>
              <w:rPr>
                <w:rFonts w:hint="eastAsia" w:ascii="宋体" w:hAnsi="宋体"/>
                <w:szCs w:val="21"/>
              </w:rPr>
              <w:t>资质等级</w:t>
            </w:r>
          </w:p>
        </w:tc>
        <w:tc>
          <w:tcPr>
            <w:tcW w:w="120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22E9E21">
            <w:pPr>
              <w:snapToGrid w:val="0"/>
              <w:spacing w:line="360" w:lineRule="auto"/>
              <w:jc w:val="center"/>
              <w:rPr>
                <w:rFonts w:ascii="宋体" w:hAnsi="宋体"/>
                <w:szCs w:val="21"/>
              </w:rPr>
            </w:pPr>
            <w:r>
              <w:rPr>
                <w:rFonts w:hint="eastAsia" w:ascii="宋体" w:hAnsi="宋体"/>
                <w:szCs w:val="21"/>
              </w:rPr>
              <w:t>颁发时间</w:t>
            </w:r>
          </w:p>
        </w:tc>
        <w:tc>
          <w:tcPr>
            <w:tcW w:w="162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674BB25">
            <w:pPr>
              <w:snapToGrid w:val="0"/>
              <w:spacing w:line="360" w:lineRule="auto"/>
              <w:jc w:val="center"/>
              <w:rPr>
                <w:rFonts w:ascii="宋体" w:hAnsi="宋体"/>
                <w:szCs w:val="21"/>
              </w:rPr>
            </w:pPr>
            <w:r>
              <w:rPr>
                <w:rFonts w:hint="eastAsia" w:ascii="宋体" w:hAnsi="宋体"/>
                <w:szCs w:val="21"/>
              </w:rPr>
              <w:t>证明材料</w:t>
            </w:r>
          </w:p>
          <w:p w14:paraId="699AECED">
            <w:pPr>
              <w:snapToGrid w:val="0"/>
              <w:spacing w:line="360" w:lineRule="auto"/>
              <w:jc w:val="center"/>
              <w:rPr>
                <w:rFonts w:ascii="宋体" w:hAnsi="宋体"/>
                <w:szCs w:val="21"/>
              </w:rPr>
            </w:pPr>
            <w:r>
              <w:rPr>
                <w:rFonts w:hint="eastAsia" w:ascii="宋体" w:hAnsi="宋体"/>
                <w:szCs w:val="21"/>
              </w:rPr>
              <w:t>及页码</w:t>
            </w:r>
          </w:p>
        </w:tc>
      </w:tr>
      <w:tr w14:paraId="78E89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830" w:type="dxa"/>
            <w:vMerge w:val="continue"/>
            <w:tcBorders>
              <w:top w:val="single" w:color="auto" w:sz="4" w:space="0"/>
              <w:left w:val="single" w:color="auto" w:sz="4" w:space="0"/>
              <w:bottom w:val="single" w:color="auto" w:sz="4" w:space="0"/>
              <w:right w:val="single" w:color="auto" w:sz="4" w:space="0"/>
            </w:tcBorders>
            <w:vAlign w:val="center"/>
          </w:tcPr>
          <w:p w14:paraId="1EDC202A">
            <w:pPr>
              <w:widowControl/>
              <w:adjustRightInd/>
              <w:spacing w:line="360" w:lineRule="auto"/>
              <w:jc w:val="left"/>
              <w:rPr>
                <w:rFonts w:ascii="宋体" w:hAnsi="宋体"/>
                <w:szCs w:val="21"/>
              </w:rPr>
            </w:pPr>
          </w:p>
        </w:tc>
        <w:tc>
          <w:tcPr>
            <w:tcW w:w="1222"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16256A5">
            <w:pPr>
              <w:snapToGrid w:val="0"/>
              <w:spacing w:line="360" w:lineRule="auto"/>
              <w:jc w:val="center"/>
              <w:rPr>
                <w:rFonts w:ascii="宋体" w:hAnsi="宋体"/>
                <w:szCs w:val="21"/>
              </w:rPr>
            </w:pPr>
          </w:p>
        </w:tc>
        <w:tc>
          <w:tcPr>
            <w:tcW w:w="1891"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356A467">
            <w:pPr>
              <w:snapToGrid w:val="0"/>
              <w:spacing w:line="360" w:lineRule="auto"/>
              <w:jc w:val="center"/>
              <w:rPr>
                <w:rFonts w:ascii="宋体" w:hAnsi="宋体"/>
                <w:szCs w:val="21"/>
              </w:rPr>
            </w:pPr>
          </w:p>
        </w:tc>
        <w:tc>
          <w:tcPr>
            <w:tcW w:w="1647" w:type="dxa"/>
            <w:gridSpan w:val="3"/>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2118276E">
            <w:pPr>
              <w:snapToGrid w:val="0"/>
              <w:spacing w:line="360" w:lineRule="auto"/>
              <w:jc w:val="center"/>
              <w:rPr>
                <w:rFonts w:ascii="宋体" w:hAnsi="宋体"/>
                <w:szCs w:val="21"/>
              </w:rPr>
            </w:pPr>
          </w:p>
        </w:tc>
        <w:tc>
          <w:tcPr>
            <w:tcW w:w="120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1D066C5">
            <w:pPr>
              <w:snapToGrid w:val="0"/>
              <w:spacing w:line="360" w:lineRule="auto"/>
              <w:jc w:val="center"/>
              <w:rPr>
                <w:rFonts w:ascii="宋体" w:hAnsi="宋体"/>
                <w:szCs w:val="21"/>
              </w:rPr>
            </w:pPr>
          </w:p>
        </w:tc>
        <w:tc>
          <w:tcPr>
            <w:tcW w:w="162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71B213D3">
            <w:pPr>
              <w:snapToGrid w:val="0"/>
              <w:spacing w:line="360" w:lineRule="auto"/>
              <w:jc w:val="center"/>
              <w:rPr>
                <w:rFonts w:ascii="宋体" w:hAnsi="宋体"/>
                <w:szCs w:val="21"/>
              </w:rPr>
            </w:pPr>
          </w:p>
        </w:tc>
      </w:tr>
      <w:tr w14:paraId="2A190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trPr>
        <w:tc>
          <w:tcPr>
            <w:tcW w:w="1830" w:type="dxa"/>
            <w:tcBorders>
              <w:top w:val="single" w:color="auto" w:sz="4" w:space="0"/>
              <w:left w:val="single" w:color="auto" w:sz="4" w:space="0"/>
              <w:right w:val="single" w:color="auto" w:sz="4" w:space="0"/>
            </w:tcBorders>
            <w:vAlign w:val="center"/>
          </w:tcPr>
          <w:p w14:paraId="140468AB">
            <w:pPr>
              <w:widowControl/>
              <w:adjustRightInd/>
              <w:spacing w:line="360" w:lineRule="auto"/>
              <w:jc w:val="left"/>
              <w:rPr>
                <w:rFonts w:ascii="宋体" w:hAnsi="宋体"/>
                <w:szCs w:val="21"/>
              </w:rPr>
            </w:pPr>
            <w:r>
              <w:rPr>
                <w:rFonts w:hint="eastAsia" w:ascii="宋体" w:hAnsi="宋体"/>
                <w:szCs w:val="21"/>
              </w:rPr>
              <w:t>专业人员情况（数量及专业）</w:t>
            </w:r>
          </w:p>
        </w:tc>
        <w:tc>
          <w:tcPr>
            <w:tcW w:w="7580" w:type="dxa"/>
            <w:gridSpan w:val="9"/>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4BB50699">
            <w:pPr>
              <w:snapToGrid w:val="0"/>
              <w:spacing w:line="360" w:lineRule="auto"/>
              <w:jc w:val="center"/>
              <w:rPr>
                <w:rFonts w:ascii="宋体" w:hAnsi="宋体"/>
                <w:szCs w:val="21"/>
              </w:rPr>
            </w:pPr>
          </w:p>
        </w:tc>
      </w:tr>
      <w:tr w14:paraId="375BA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9" w:hRule="atLeast"/>
        </w:trPr>
        <w:tc>
          <w:tcPr>
            <w:tcW w:w="1830" w:type="dxa"/>
            <w:tcBorders>
              <w:top w:val="single" w:color="auto" w:sz="4" w:space="0"/>
              <w:left w:val="single" w:color="auto" w:sz="4" w:space="0"/>
              <w:right w:val="single" w:color="auto" w:sz="4" w:space="0"/>
            </w:tcBorders>
            <w:vAlign w:val="center"/>
          </w:tcPr>
          <w:p w14:paraId="33D1C094">
            <w:pPr>
              <w:widowControl/>
              <w:adjustRightInd/>
              <w:spacing w:line="360" w:lineRule="auto"/>
              <w:jc w:val="left"/>
              <w:rPr>
                <w:rFonts w:ascii="宋体" w:hAnsi="宋体"/>
                <w:szCs w:val="21"/>
              </w:rPr>
            </w:pPr>
            <w:r>
              <w:rPr>
                <w:rFonts w:hint="eastAsia" w:ascii="宋体" w:hAnsi="宋体"/>
                <w:szCs w:val="21"/>
              </w:rPr>
              <w:t>已完成典型项目情况（列举5-10项）</w:t>
            </w:r>
          </w:p>
        </w:tc>
        <w:tc>
          <w:tcPr>
            <w:tcW w:w="7580" w:type="dxa"/>
            <w:gridSpan w:val="9"/>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3D78A48F">
            <w:pPr>
              <w:snapToGrid w:val="0"/>
              <w:spacing w:line="360" w:lineRule="auto"/>
              <w:jc w:val="center"/>
              <w:rPr>
                <w:rFonts w:ascii="宋体" w:hAnsi="宋体"/>
                <w:szCs w:val="21"/>
              </w:rPr>
            </w:pPr>
            <w:r>
              <w:rPr>
                <w:rFonts w:hint="eastAsia" w:ascii="宋体" w:hAnsi="宋体"/>
                <w:szCs w:val="21"/>
              </w:rPr>
              <w:t>（简要说明项目名称、完成时间、工程造价、专业类别）</w:t>
            </w:r>
          </w:p>
        </w:tc>
      </w:tr>
      <w:tr w14:paraId="1C29A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trPr>
        <w:tc>
          <w:tcPr>
            <w:tcW w:w="1830" w:type="dxa"/>
            <w:vMerge w:val="restart"/>
            <w:tcBorders>
              <w:top w:val="single" w:color="auto" w:sz="4" w:space="0"/>
              <w:left w:val="single" w:color="auto" w:sz="4" w:space="0"/>
              <w:right w:val="single" w:color="auto" w:sz="4" w:space="0"/>
            </w:tcBorders>
            <w:vAlign w:val="center"/>
          </w:tcPr>
          <w:p w14:paraId="0DE02931">
            <w:pPr>
              <w:snapToGrid w:val="0"/>
              <w:spacing w:line="360" w:lineRule="auto"/>
              <w:rPr>
                <w:rFonts w:ascii="宋体" w:hAnsi="宋体"/>
                <w:szCs w:val="22"/>
              </w:rPr>
            </w:pPr>
            <w:r>
              <w:rPr>
                <w:rFonts w:hint="eastAsia" w:ascii="宋体" w:hAnsi="宋体"/>
                <w:szCs w:val="22"/>
              </w:rPr>
              <w:t>所有均供应商填写</w:t>
            </w:r>
          </w:p>
        </w:tc>
        <w:tc>
          <w:tcPr>
            <w:tcW w:w="2012"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5411BE3">
            <w:pPr>
              <w:snapToGrid w:val="0"/>
              <w:spacing w:line="360" w:lineRule="auto"/>
              <w:jc w:val="center"/>
              <w:rPr>
                <w:rFonts w:ascii="宋体" w:hAnsi="宋体"/>
                <w:szCs w:val="22"/>
              </w:rPr>
            </w:pPr>
            <w:r>
              <w:rPr>
                <w:rFonts w:hint="eastAsia" w:ascii="宋体" w:hAnsi="宋体"/>
                <w:szCs w:val="22"/>
              </w:rPr>
              <w:t>现有或拟设办公场所地址</w:t>
            </w:r>
          </w:p>
        </w:tc>
        <w:tc>
          <w:tcPr>
            <w:tcW w:w="5568" w:type="dxa"/>
            <w:gridSpan w:val="7"/>
            <w:tcBorders>
              <w:top w:val="single" w:color="auto" w:sz="4" w:space="0"/>
              <w:left w:val="single" w:color="auto" w:sz="4" w:space="0"/>
              <w:bottom w:val="single" w:color="auto" w:sz="4" w:space="0"/>
              <w:right w:val="single" w:color="auto" w:sz="4" w:space="0"/>
            </w:tcBorders>
            <w:vAlign w:val="center"/>
          </w:tcPr>
          <w:p w14:paraId="499F67ED">
            <w:pPr>
              <w:snapToGrid w:val="0"/>
              <w:spacing w:line="360" w:lineRule="auto"/>
              <w:jc w:val="center"/>
              <w:rPr>
                <w:rFonts w:ascii="宋体" w:hAnsi="宋体"/>
                <w:szCs w:val="22"/>
              </w:rPr>
            </w:pPr>
          </w:p>
        </w:tc>
      </w:tr>
      <w:tr w14:paraId="52135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830" w:type="dxa"/>
            <w:vMerge w:val="continue"/>
            <w:tcBorders>
              <w:left w:val="single" w:color="auto" w:sz="4" w:space="0"/>
              <w:right w:val="single" w:color="auto" w:sz="4" w:space="0"/>
            </w:tcBorders>
            <w:vAlign w:val="center"/>
          </w:tcPr>
          <w:p w14:paraId="1755ED21">
            <w:pPr>
              <w:snapToGrid w:val="0"/>
              <w:spacing w:line="360" w:lineRule="auto"/>
              <w:rPr>
                <w:rFonts w:ascii="宋体" w:hAnsi="宋体"/>
                <w:szCs w:val="22"/>
              </w:rPr>
            </w:pPr>
          </w:p>
        </w:tc>
        <w:tc>
          <w:tcPr>
            <w:tcW w:w="2012"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2BA59E8D">
            <w:pPr>
              <w:snapToGrid w:val="0"/>
              <w:spacing w:line="360" w:lineRule="auto"/>
              <w:jc w:val="center"/>
              <w:rPr>
                <w:rFonts w:ascii="宋体" w:hAnsi="宋体"/>
                <w:szCs w:val="22"/>
              </w:rPr>
            </w:pPr>
            <w:r>
              <w:rPr>
                <w:rFonts w:hint="eastAsia" w:ascii="宋体" w:hAnsi="宋体"/>
                <w:szCs w:val="22"/>
              </w:rPr>
              <w:t>办公用房规模(注明自有、租用)</w:t>
            </w:r>
          </w:p>
        </w:tc>
        <w:tc>
          <w:tcPr>
            <w:tcW w:w="5568" w:type="dxa"/>
            <w:gridSpan w:val="7"/>
            <w:tcBorders>
              <w:top w:val="single" w:color="auto" w:sz="4" w:space="0"/>
              <w:left w:val="single" w:color="auto" w:sz="4" w:space="0"/>
              <w:bottom w:val="single" w:color="auto" w:sz="4" w:space="0"/>
              <w:right w:val="single" w:color="auto" w:sz="4" w:space="0"/>
            </w:tcBorders>
            <w:vAlign w:val="center"/>
          </w:tcPr>
          <w:p w14:paraId="0159F394">
            <w:pPr>
              <w:snapToGrid w:val="0"/>
              <w:spacing w:line="360" w:lineRule="auto"/>
              <w:jc w:val="center"/>
              <w:rPr>
                <w:rFonts w:ascii="宋体" w:hAnsi="宋体"/>
                <w:szCs w:val="22"/>
              </w:rPr>
            </w:pPr>
          </w:p>
        </w:tc>
      </w:tr>
      <w:tr w14:paraId="789D4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830" w:type="dxa"/>
            <w:vMerge w:val="continue"/>
            <w:tcBorders>
              <w:left w:val="single" w:color="auto" w:sz="4" w:space="0"/>
              <w:right w:val="single" w:color="auto" w:sz="4" w:space="0"/>
            </w:tcBorders>
            <w:vAlign w:val="center"/>
          </w:tcPr>
          <w:p w14:paraId="2FD137CF">
            <w:pPr>
              <w:snapToGrid w:val="0"/>
              <w:spacing w:line="360" w:lineRule="auto"/>
              <w:rPr>
                <w:rFonts w:ascii="宋体" w:hAnsi="宋体"/>
                <w:szCs w:val="22"/>
              </w:rPr>
            </w:pPr>
          </w:p>
        </w:tc>
        <w:tc>
          <w:tcPr>
            <w:tcW w:w="2012"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C03A21F">
            <w:pPr>
              <w:snapToGrid w:val="0"/>
              <w:spacing w:line="360" w:lineRule="auto"/>
              <w:jc w:val="center"/>
              <w:rPr>
                <w:rFonts w:ascii="宋体" w:hAnsi="宋体"/>
                <w:szCs w:val="22"/>
              </w:rPr>
            </w:pPr>
            <w:r>
              <w:rPr>
                <w:rFonts w:hint="eastAsia" w:ascii="宋体" w:hAnsi="宋体" w:cs="宋体"/>
                <w:szCs w:val="22"/>
              </w:rPr>
              <w:t>办公设备</w:t>
            </w:r>
          </w:p>
        </w:tc>
        <w:tc>
          <w:tcPr>
            <w:tcW w:w="5568" w:type="dxa"/>
            <w:gridSpan w:val="7"/>
            <w:tcBorders>
              <w:top w:val="single" w:color="auto" w:sz="4" w:space="0"/>
              <w:left w:val="single" w:color="auto" w:sz="4" w:space="0"/>
              <w:bottom w:val="single" w:color="auto" w:sz="4" w:space="0"/>
              <w:right w:val="single" w:color="auto" w:sz="4" w:space="0"/>
            </w:tcBorders>
            <w:vAlign w:val="center"/>
          </w:tcPr>
          <w:p w14:paraId="347CB9AD">
            <w:pPr>
              <w:snapToGrid w:val="0"/>
              <w:spacing w:line="360" w:lineRule="auto"/>
              <w:jc w:val="center"/>
              <w:rPr>
                <w:rFonts w:ascii="宋体" w:hAnsi="宋体"/>
                <w:szCs w:val="22"/>
              </w:rPr>
            </w:pPr>
          </w:p>
        </w:tc>
      </w:tr>
      <w:tr w14:paraId="2611D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1830" w:type="dxa"/>
            <w:vMerge w:val="continue"/>
            <w:tcBorders>
              <w:left w:val="single" w:color="auto" w:sz="4" w:space="0"/>
              <w:bottom w:val="single" w:color="auto" w:sz="4" w:space="0"/>
              <w:right w:val="single" w:color="auto" w:sz="4" w:space="0"/>
            </w:tcBorders>
            <w:vAlign w:val="center"/>
          </w:tcPr>
          <w:p w14:paraId="2D4C73CA">
            <w:pPr>
              <w:snapToGrid w:val="0"/>
              <w:spacing w:line="360" w:lineRule="auto"/>
              <w:rPr>
                <w:rFonts w:ascii="宋体" w:hAnsi="宋体"/>
                <w:szCs w:val="22"/>
              </w:rPr>
            </w:pPr>
          </w:p>
        </w:tc>
        <w:tc>
          <w:tcPr>
            <w:tcW w:w="2012"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B7B3085">
            <w:pPr>
              <w:snapToGrid w:val="0"/>
              <w:spacing w:line="360" w:lineRule="auto"/>
              <w:jc w:val="center"/>
              <w:rPr>
                <w:rFonts w:ascii="宋体" w:hAnsi="宋体"/>
                <w:szCs w:val="22"/>
              </w:rPr>
            </w:pPr>
            <w:r>
              <w:rPr>
                <w:rFonts w:hint="eastAsia" w:ascii="宋体" w:hAnsi="宋体"/>
                <w:szCs w:val="22"/>
              </w:rPr>
              <w:t>负责人</w:t>
            </w:r>
          </w:p>
        </w:tc>
        <w:tc>
          <w:tcPr>
            <w:tcW w:w="1974" w:type="dxa"/>
            <w:gridSpan w:val="3"/>
            <w:tcBorders>
              <w:top w:val="single" w:color="auto" w:sz="4" w:space="0"/>
              <w:left w:val="single" w:color="auto" w:sz="4" w:space="0"/>
              <w:bottom w:val="single" w:color="auto" w:sz="4" w:space="0"/>
              <w:right w:val="single" w:color="auto" w:sz="4" w:space="0"/>
            </w:tcBorders>
            <w:vAlign w:val="center"/>
          </w:tcPr>
          <w:p w14:paraId="75DF518D">
            <w:pPr>
              <w:snapToGrid w:val="0"/>
              <w:spacing w:line="360" w:lineRule="auto"/>
              <w:jc w:val="center"/>
              <w:rPr>
                <w:rFonts w:ascii="宋体" w:hAnsi="宋体"/>
                <w:szCs w:val="22"/>
              </w:rPr>
            </w:pPr>
          </w:p>
        </w:tc>
        <w:tc>
          <w:tcPr>
            <w:tcW w:w="1974" w:type="dxa"/>
            <w:gridSpan w:val="3"/>
            <w:tcBorders>
              <w:top w:val="single" w:color="auto" w:sz="4" w:space="0"/>
              <w:left w:val="single" w:color="auto" w:sz="4" w:space="0"/>
              <w:bottom w:val="single" w:color="auto" w:sz="4" w:space="0"/>
              <w:right w:val="single" w:color="auto" w:sz="4" w:space="0"/>
            </w:tcBorders>
            <w:vAlign w:val="center"/>
          </w:tcPr>
          <w:p w14:paraId="1A5685BB">
            <w:pPr>
              <w:snapToGrid w:val="0"/>
              <w:spacing w:line="360" w:lineRule="auto"/>
              <w:jc w:val="center"/>
              <w:rPr>
                <w:rFonts w:ascii="宋体" w:hAnsi="宋体"/>
                <w:szCs w:val="22"/>
              </w:rPr>
            </w:pPr>
            <w:r>
              <w:rPr>
                <w:rFonts w:hint="eastAsia" w:ascii="宋体" w:hAnsi="宋体"/>
                <w:szCs w:val="22"/>
              </w:rPr>
              <w:t>联系方式</w:t>
            </w:r>
          </w:p>
        </w:tc>
        <w:tc>
          <w:tcPr>
            <w:tcW w:w="1620"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8087243">
            <w:pPr>
              <w:snapToGrid w:val="0"/>
              <w:spacing w:line="360" w:lineRule="auto"/>
              <w:jc w:val="center"/>
              <w:rPr>
                <w:rFonts w:ascii="宋体" w:hAnsi="宋体"/>
                <w:szCs w:val="22"/>
              </w:rPr>
            </w:pPr>
          </w:p>
        </w:tc>
      </w:tr>
    </w:tbl>
    <w:p w14:paraId="098009FF">
      <w:pPr>
        <w:autoSpaceDE w:val="0"/>
        <w:autoSpaceDN w:val="0"/>
        <w:spacing w:line="480" w:lineRule="auto"/>
        <w:jc w:val="left"/>
        <w:rPr>
          <w:rFonts w:ascii="宋体" w:hAnsi="宋体"/>
          <w:szCs w:val="21"/>
        </w:rPr>
      </w:pPr>
      <w:r>
        <w:rPr>
          <w:rFonts w:hint="eastAsia" w:ascii="宋体" w:hAnsi="宋体"/>
          <w:szCs w:val="21"/>
        </w:rPr>
        <w:t>注：附单位资质证书、</w:t>
      </w:r>
      <w:r>
        <w:rPr>
          <w:rFonts w:hint="eastAsia" w:ascii="宋体" w:hAnsi="宋体" w:cs="宋体"/>
          <w:szCs w:val="22"/>
        </w:rPr>
        <w:t>办公场所</w:t>
      </w:r>
      <w:r>
        <w:rPr>
          <w:rFonts w:hint="eastAsia" w:ascii="宋体" w:hAnsi="宋体"/>
          <w:szCs w:val="21"/>
        </w:rPr>
        <w:t>相关证明材料复印件。</w:t>
      </w:r>
    </w:p>
    <w:p w14:paraId="2DD62658">
      <w:pPr>
        <w:pStyle w:val="120"/>
        <w:wordWrap w:val="0"/>
        <w:spacing w:line="360" w:lineRule="auto"/>
        <w:ind w:right="840" w:firstLine="480"/>
        <w:jc w:val="right"/>
        <w:rPr>
          <w:rFonts w:asciiTheme="minorEastAsia" w:hAnsiTheme="minorEastAsia" w:eastAsiaTheme="minorEastAsia"/>
          <w:szCs w:val="21"/>
          <w:u w:val="single"/>
        </w:rPr>
      </w:pPr>
      <w:r>
        <w:rPr>
          <w:rFonts w:hint="eastAsia" w:asciiTheme="minorEastAsia" w:hAnsiTheme="minorEastAsia" w:eastAsiaTheme="minorEastAsia"/>
          <w:szCs w:val="21"/>
        </w:rPr>
        <w:t>响应供应商盖章：</w:t>
      </w:r>
    </w:p>
    <w:p w14:paraId="5C55073C">
      <w:pPr>
        <w:pStyle w:val="120"/>
        <w:wordWrap w:val="0"/>
        <w:spacing w:line="360" w:lineRule="auto"/>
        <w:ind w:firstLine="480"/>
        <w:jc w:val="center"/>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p w14:paraId="08D04B57">
      <w:pPr>
        <w:adjustRightInd/>
        <w:spacing w:line="360" w:lineRule="auto"/>
        <w:ind w:firstLine="388"/>
        <w:jc w:val="left"/>
        <w:rPr>
          <w:rFonts w:ascii="仿宋_GB2312" w:hAnsi="宋体" w:eastAsia="仿宋_GB2312"/>
          <w:spacing w:val="-4"/>
          <w:szCs w:val="21"/>
        </w:rPr>
      </w:pPr>
    </w:p>
    <w:p w14:paraId="5E2FA3DD">
      <w:pPr>
        <w:adjustRightInd/>
        <w:spacing w:line="360" w:lineRule="auto"/>
        <w:ind w:firstLine="388"/>
        <w:jc w:val="left"/>
        <w:rPr>
          <w:rFonts w:ascii="仿宋_GB2312" w:hAnsi="宋体" w:eastAsia="仿宋_GB2312"/>
          <w:spacing w:val="-4"/>
          <w:szCs w:val="21"/>
        </w:rPr>
      </w:pPr>
    </w:p>
    <w:p w14:paraId="1EAEF72B">
      <w:pPr>
        <w:adjustRightInd/>
        <w:spacing w:line="360" w:lineRule="auto"/>
        <w:jc w:val="left"/>
        <w:rPr>
          <w:rFonts w:ascii="仿宋_GB2312" w:hAnsi="宋体" w:eastAsia="仿宋_GB2312"/>
          <w:spacing w:val="-4"/>
          <w:szCs w:val="21"/>
        </w:rPr>
      </w:pPr>
    </w:p>
    <w:p w14:paraId="7B2DB016">
      <w:pPr>
        <w:adjustRightInd/>
        <w:jc w:val="center"/>
        <w:rPr>
          <w:rFonts w:ascii="宋体" w:hAnsi="宋体"/>
          <w:b/>
          <w:sz w:val="30"/>
          <w:szCs w:val="30"/>
        </w:rPr>
      </w:pPr>
      <w:r>
        <w:rPr>
          <w:rFonts w:hint="eastAsia" w:ascii="宋体" w:hAnsi="宋体"/>
          <w:b/>
          <w:sz w:val="30"/>
          <w:szCs w:val="30"/>
        </w:rPr>
        <w:t xml:space="preserve"> </w:t>
      </w:r>
    </w:p>
    <w:p w14:paraId="7F01B724">
      <w:pPr>
        <w:adjustRightInd/>
        <w:jc w:val="center"/>
        <w:rPr>
          <w:rFonts w:ascii="宋体" w:hAnsi="宋体"/>
          <w:b/>
          <w:sz w:val="30"/>
          <w:szCs w:val="30"/>
        </w:rPr>
      </w:pPr>
    </w:p>
    <w:p w14:paraId="5D8E3F37">
      <w:pPr>
        <w:adjustRightInd/>
        <w:jc w:val="center"/>
        <w:rPr>
          <w:rFonts w:ascii="宋体" w:hAnsi="宋体"/>
          <w:b/>
          <w:sz w:val="30"/>
          <w:szCs w:val="30"/>
        </w:rPr>
      </w:pPr>
      <w:r>
        <w:rPr>
          <w:rFonts w:hint="eastAsia" w:ascii="宋体" w:hAnsi="宋体"/>
          <w:b/>
          <w:sz w:val="30"/>
          <w:szCs w:val="30"/>
        </w:rPr>
        <w:t>类似案例成功的业绩</w:t>
      </w:r>
    </w:p>
    <w:p w14:paraId="2F3FE931">
      <w:pPr>
        <w:adjustRightInd/>
        <w:spacing w:line="360" w:lineRule="auto"/>
        <w:jc w:val="center"/>
        <w:rPr>
          <w:rFonts w:ascii="仿宋_GB2312" w:hAnsi="宋体" w:eastAsia="仿宋_GB2312"/>
          <w:b/>
          <w:spacing w:val="20"/>
          <w:sz w:val="24"/>
          <w:lang w:val="zh-CN"/>
        </w:rPr>
      </w:pPr>
    </w:p>
    <w:p w14:paraId="52C57C89">
      <w:pPr>
        <w:adjustRightInd/>
        <w:spacing w:line="360" w:lineRule="auto"/>
        <w:jc w:val="center"/>
        <w:rPr>
          <w:rFonts w:ascii="宋体" w:hAnsi="宋体"/>
          <w:b/>
          <w:spacing w:val="20"/>
          <w:sz w:val="24"/>
          <w:lang w:val="zh-CN"/>
        </w:rPr>
      </w:pPr>
      <w:r>
        <w:rPr>
          <w:rFonts w:hint="eastAsia" w:ascii="宋体" w:hAnsi="宋体"/>
          <w:b/>
          <w:spacing w:val="20"/>
          <w:sz w:val="24"/>
          <w:lang w:val="zh-CN"/>
        </w:rPr>
        <w:t>业绩情况说明</w:t>
      </w:r>
    </w:p>
    <w:p w14:paraId="740F68B6">
      <w:pPr>
        <w:adjustRightInd/>
        <w:spacing w:line="360" w:lineRule="auto"/>
        <w:ind w:firstLine="388"/>
        <w:jc w:val="left"/>
        <w:rPr>
          <w:rFonts w:ascii="宋体" w:hAnsi="宋体"/>
          <w:spacing w:val="-4"/>
          <w:szCs w:val="21"/>
        </w:rPr>
      </w:pPr>
    </w:p>
    <w:p w14:paraId="721FA8B5">
      <w:pPr>
        <w:adjustRightInd/>
        <w:spacing w:line="360" w:lineRule="auto"/>
        <w:ind w:firstLine="388"/>
        <w:jc w:val="left"/>
        <w:rPr>
          <w:rFonts w:ascii="宋体" w:hAnsi="宋体"/>
          <w:szCs w:val="21"/>
        </w:rPr>
      </w:pPr>
      <w:r>
        <w:rPr>
          <w:rFonts w:hint="eastAsia" w:ascii="宋体" w:hAnsi="宋体"/>
          <w:spacing w:val="-4"/>
          <w:szCs w:val="21"/>
        </w:rPr>
        <w:t>我方对本次</w:t>
      </w:r>
      <w:r>
        <w:rPr>
          <w:rFonts w:hint="eastAsia" w:asciiTheme="minorEastAsia" w:hAnsiTheme="minorEastAsia" w:eastAsiaTheme="minorEastAsia"/>
          <w:szCs w:val="21"/>
        </w:rPr>
        <w:t>岱山县财政局2025-2027年政府投资项目工程造价咨询服务采购项目（项目编号：SZGXZS2024279）</w:t>
      </w:r>
      <w:r>
        <w:rPr>
          <w:rFonts w:hint="eastAsia" w:ascii="宋体" w:hAnsi="宋体"/>
          <w:szCs w:val="21"/>
        </w:rPr>
        <w:t>的投标业绩情况为：2021年1月1日至本次开标时间前，国内财政或审计部门委托的造价审核项目项，送审造价总金额为万元。</w:t>
      </w:r>
    </w:p>
    <w:p w14:paraId="60D9E1C7">
      <w:pPr>
        <w:adjustRightInd/>
        <w:spacing w:line="360" w:lineRule="auto"/>
        <w:ind w:firstLine="388"/>
        <w:jc w:val="left"/>
        <w:rPr>
          <w:rFonts w:ascii="宋体" w:hAnsi="宋体"/>
          <w:szCs w:val="21"/>
          <w:u w:val="single"/>
        </w:rPr>
      </w:pPr>
      <w:r>
        <w:rPr>
          <w:rFonts w:hint="eastAsia" w:ascii="宋体" w:hAnsi="宋体"/>
          <w:szCs w:val="21"/>
        </w:rPr>
        <w:t xml:space="preserve">投标业绩一：项目名称 </w:t>
      </w:r>
    </w:p>
    <w:p w14:paraId="4D6D29F7">
      <w:pPr>
        <w:adjustRightInd/>
        <w:spacing w:line="360" w:lineRule="auto"/>
        <w:ind w:firstLine="388"/>
        <w:jc w:val="left"/>
        <w:rPr>
          <w:rFonts w:ascii="宋体" w:hAnsi="宋体"/>
          <w:szCs w:val="21"/>
          <w:u w:val="single"/>
        </w:rPr>
      </w:pPr>
      <w:r>
        <w:rPr>
          <w:rFonts w:hint="eastAsia" w:ascii="宋体" w:hAnsi="宋体"/>
          <w:szCs w:val="21"/>
        </w:rPr>
        <w:t xml:space="preserve">            委托单位</w:t>
      </w:r>
    </w:p>
    <w:p w14:paraId="685DCF45">
      <w:pPr>
        <w:adjustRightInd/>
        <w:spacing w:line="360" w:lineRule="auto"/>
        <w:ind w:firstLine="388"/>
        <w:jc w:val="left"/>
        <w:rPr>
          <w:rFonts w:ascii="宋体" w:hAnsi="宋体"/>
          <w:szCs w:val="21"/>
        </w:rPr>
      </w:pPr>
      <w:r>
        <w:rPr>
          <w:rFonts w:hint="eastAsia" w:ascii="宋体" w:hAnsi="宋体"/>
          <w:szCs w:val="21"/>
        </w:rPr>
        <w:t xml:space="preserve">            送审造价万元   </w:t>
      </w:r>
    </w:p>
    <w:p w14:paraId="6199D21A">
      <w:pPr>
        <w:adjustRightInd/>
        <w:spacing w:line="360" w:lineRule="auto"/>
        <w:ind w:firstLine="388"/>
        <w:jc w:val="left"/>
        <w:rPr>
          <w:rFonts w:ascii="宋体" w:hAnsi="宋体"/>
          <w:szCs w:val="21"/>
        </w:rPr>
      </w:pPr>
      <w:r>
        <w:rPr>
          <w:rFonts w:hint="eastAsia" w:ascii="宋体" w:hAnsi="宋体"/>
          <w:szCs w:val="21"/>
        </w:rPr>
        <w:t xml:space="preserve">            委托时间</w:t>
      </w:r>
    </w:p>
    <w:p w14:paraId="5B641908">
      <w:pPr>
        <w:adjustRightInd/>
        <w:spacing w:line="360" w:lineRule="auto"/>
        <w:ind w:firstLine="388"/>
        <w:jc w:val="left"/>
        <w:rPr>
          <w:rFonts w:ascii="宋体" w:hAnsi="宋体"/>
          <w:szCs w:val="21"/>
        </w:rPr>
      </w:pPr>
      <w:r>
        <w:rPr>
          <w:rFonts w:hint="eastAsia" w:ascii="宋体" w:hAnsi="宋体"/>
          <w:szCs w:val="21"/>
        </w:rPr>
        <w:t xml:space="preserve">            完成时间 </w:t>
      </w:r>
    </w:p>
    <w:p w14:paraId="3E5ABF07">
      <w:pPr>
        <w:adjustRightInd/>
        <w:spacing w:line="360" w:lineRule="auto"/>
        <w:ind w:firstLine="420" w:firstLineChars="200"/>
        <w:rPr>
          <w:rFonts w:ascii="宋体" w:hAnsi="宋体"/>
          <w:szCs w:val="21"/>
        </w:rPr>
      </w:pPr>
    </w:p>
    <w:p w14:paraId="6D03F4E1">
      <w:pPr>
        <w:adjustRightInd/>
        <w:spacing w:line="360" w:lineRule="auto"/>
        <w:ind w:firstLine="420" w:firstLineChars="200"/>
        <w:rPr>
          <w:rFonts w:ascii="宋体" w:hAnsi="宋体"/>
          <w:szCs w:val="21"/>
        </w:rPr>
      </w:pPr>
      <w:r>
        <w:rPr>
          <w:rFonts w:hint="eastAsia" w:ascii="宋体" w:hAnsi="宋体"/>
          <w:szCs w:val="21"/>
        </w:rPr>
        <w:t>（其他投标业绩格式写法类推）</w:t>
      </w:r>
    </w:p>
    <w:p w14:paraId="09CB2DC3">
      <w:pPr>
        <w:adjustRightInd/>
        <w:spacing w:line="360" w:lineRule="auto"/>
        <w:ind w:firstLine="420" w:firstLineChars="200"/>
        <w:rPr>
          <w:rFonts w:ascii="仿宋_GB2312" w:hAnsi="宋体" w:eastAsia="仿宋_GB2312"/>
          <w:szCs w:val="22"/>
        </w:rPr>
      </w:pPr>
    </w:p>
    <w:p w14:paraId="7A9EDA26">
      <w:pPr>
        <w:pStyle w:val="120"/>
        <w:wordWrap w:val="0"/>
        <w:spacing w:line="360" w:lineRule="auto"/>
        <w:ind w:right="840" w:firstLine="480"/>
        <w:jc w:val="right"/>
        <w:rPr>
          <w:rFonts w:asciiTheme="minorEastAsia" w:hAnsiTheme="minorEastAsia" w:eastAsiaTheme="minorEastAsia"/>
          <w:szCs w:val="21"/>
          <w:u w:val="single"/>
        </w:rPr>
      </w:pPr>
      <w:r>
        <w:rPr>
          <w:rFonts w:hint="eastAsia" w:asciiTheme="minorEastAsia" w:hAnsiTheme="minorEastAsia" w:eastAsiaTheme="minorEastAsia"/>
          <w:szCs w:val="21"/>
        </w:rPr>
        <w:t>响应供应商盖章：</w:t>
      </w:r>
    </w:p>
    <w:p w14:paraId="46BFFFCC">
      <w:pPr>
        <w:pStyle w:val="120"/>
        <w:wordWrap w:val="0"/>
        <w:spacing w:line="360" w:lineRule="auto"/>
        <w:ind w:firstLine="480"/>
        <w:jc w:val="center"/>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p w14:paraId="024AF004">
      <w:pPr>
        <w:pStyle w:val="36"/>
        <w:spacing w:beforeLines="100" w:afterLines="100"/>
        <w:jc w:val="both"/>
        <w:outlineLvl w:val="1"/>
        <w:rPr>
          <w:rFonts w:ascii="仿宋_GB2312" w:eastAsia="仿宋_GB2312"/>
          <w:color w:val="000000" w:themeColor="text1"/>
          <w:lang w:val="en-US"/>
        </w:rPr>
      </w:pPr>
    </w:p>
    <w:p w14:paraId="287C93A4">
      <w:pPr>
        <w:pStyle w:val="36"/>
        <w:spacing w:beforeLines="100" w:afterLines="100"/>
        <w:jc w:val="both"/>
        <w:outlineLvl w:val="1"/>
        <w:rPr>
          <w:rFonts w:ascii="仿宋_GB2312" w:eastAsia="仿宋_GB2312"/>
          <w:color w:val="000000" w:themeColor="text1"/>
          <w:lang w:val="en-US"/>
        </w:rPr>
      </w:pPr>
    </w:p>
    <w:p w14:paraId="7D86A639">
      <w:pPr>
        <w:pStyle w:val="36"/>
        <w:spacing w:beforeLines="100" w:afterLines="100"/>
        <w:jc w:val="both"/>
        <w:outlineLvl w:val="1"/>
        <w:rPr>
          <w:rFonts w:ascii="仿宋_GB2312" w:eastAsia="仿宋_GB2312"/>
          <w:color w:val="000000" w:themeColor="text1"/>
          <w:lang w:val="en-US"/>
        </w:rPr>
      </w:pPr>
    </w:p>
    <w:p w14:paraId="306EA901">
      <w:pPr>
        <w:pStyle w:val="36"/>
        <w:spacing w:beforeLines="100" w:afterLines="100"/>
        <w:jc w:val="both"/>
        <w:outlineLvl w:val="1"/>
        <w:rPr>
          <w:rFonts w:ascii="仿宋_GB2312" w:eastAsia="仿宋_GB2312"/>
          <w:color w:val="000000" w:themeColor="text1"/>
          <w:lang w:val="en-US"/>
        </w:rPr>
      </w:pPr>
    </w:p>
    <w:p w14:paraId="4FB25C93">
      <w:pPr>
        <w:pStyle w:val="36"/>
        <w:spacing w:beforeLines="100" w:afterLines="100"/>
        <w:jc w:val="both"/>
        <w:outlineLvl w:val="1"/>
        <w:rPr>
          <w:rFonts w:ascii="仿宋_GB2312" w:eastAsia="仿宋_GB2312"/>
          <w:color w:val="000000" w:themeColor="text1"/>
          <w:lang w:val="en-US"/>
        </w:rPr>
      </w:pPr>
    </w:p>
    <w:p w14:paraId="14ECB913">
      <w:pPr>
        <w:adjustRightInd/>
        <w:snapToGrid w:val="0"/>
        <w:spacing w:beforeLines="50" w:after="50" w:line="312" w:lineRule="auto"/>
        <w:ind w:firstLine="295" w:firstLineChars="98"/>
        <w:jc w:val="center"/>
        <w:rPr>
          <w:b/>
          <w:sz w:val="30"/>
          <w:szCs w:val="30"/>
        </w:rPr>
      </w:pPr>
    </w:p>
    <w:p w14:paraId="6682F236">
      <w:pPr>
        <w:adjustRightInd/>
        <w:snapToGrid w:val="0"/>
        <w:spacing w:beforeLines="50" w:after="50" w:line="312" w:lineRule="auto"/>
        <w:ind w:firstLine="295" w:firstLineChars="98"/>
        <w:jc w:val="center"/>
        <w:rPr>
          <w:b/>
          <w:sz w:val="30"/>
          <w:szCs w:val="30"/>
        </w:rPr>
      </w:pPr>
    </w:p>
    <w:p w14:paraId="029AFD88">
      <w:pPr>
        <w:adjustRightInd/>
        <w:snapToGrid w:val="0"/>
        <w:spacing w:beforeLines="50" w:after="50" w:line="312" w:lineRule="auto"/>
        <w:ind w:firstLine="295" w:firstLineChars="98"/>
        <w:jc w:val="center"/>
        <w:rPr>
          <w:b/>
          <w:sz w:val="30"/>
          <w:szCs w:val="30"/>
        </w:rPr>
      </w:pPr>
    </w:p>
    <w:p w14:paraId="2D42F5E6">
      <w:pPr>
        <w:adjustRightInd/>
        <w:snapToGrid w:val="0"/>
        <w:spacing w:beforeLines="50" w:after="50" w:line="312" w:lineRule="auto"/>
        <w:ind w:firstLine="295" w:firstLineChars="98"/>
        <w:jc w:val="center"/>
        <w:rPr>
          <w:b/>
          <w:sz w:val="30"/>
          <w:szCs w:val="30"/>
        </w:rPr>
      </w:pPr>
    </w:p>
    <w:p w14:paraId="6C3D1DF9">
      <w:pPr>
        <w:adjustRightInd/>
        <w:snapToGrid w:val="0"/>
        <w:spacing w:beforeLines="50" w:after="50" w:line="312" w:lineRule="auto"/>
        <w:ind w:firstLine="295" w:firstLineChars="98"/>
        <w:jc w:val="center"/>
        <w:rPr>
          <w:b/>
          <w:sz w:val="30"/>
          <w:szCs w:val="30"/>
        </w:rPr>
      </w:pPr>
      <w:r>
        <w:rPr>
          <w:rFonts w:hint="eastAsia"/>
          <w:b/>
          <w:sz w:val="30"/>
          <w:szCs w:val="30"/>
        </w:rPr>
        <w:t>项目实施人员（主要从业人员及其技术资格）一览表</w:t>
      </w:r>
    </w:p>
    <w:p w14:paraId="38E505B8">
      <w:pPr>
        <w:adjustRightInd/>
        <w:rPr>
          <w:rFonts w:asciiTheme="minorHAnsi" w:hAnsiTheme="minorHAnsi" w:eastAsiaTheme="minorEastAsia" w:cstheme="minorBidi"/>
          <w:b/>
          <w:sz w:val="24"/>
        </w:rPr>
      </w:pPr>
    </w:p>
    <w:tbl>
      <w:tblPr>
        <w:tblStyle w:val="39"/>
        <w:tblW w:w="87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883"/>
        <w:gridCol w:w="1172"/>
        <w:gridCol w:w="1138"/>
        <w:gridCol w:w="1260"/>
        <w:gridCol w:w="1352"/>
        <w:gridCol w:w="2164"/>
      </w:tblGrid>
      <w:tr w14:paraId="31745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8785" w:type="dxa"/>
            <w:gridSpan w:val="7"/>
            <w:vAlign w:val="center"/>
          </w:tcPr>
          <w:p w14:paraId="79F06410">
            <w:pPr>
              <w:adjustRightInd/>
              <w:jc w:val="left"/>
              <w:rPr>
                <w:rFonts w:ascii="宋体" w:hAnsi="宋体"/>
                <w:szCs w:val="21"/>
                <w:lang w:val="zh-CN"/>
              </w:rPr>
            </w:pPr>
            <w:r>
              <w:rPr>
                <w:rFonts w:hint="eastAsia" w:ascii="宋体" w:hAnsi="宋体"/>
                <w:szCs w:val="21"/>
              </w:rPr>
              <w:t>表格一、</w:t>
            </w:r>
            <w:r>
              <w:rPr>
                <w:rFonts w:hint="eastAsia" w:ascii="宋体" w:hAnsi="宋体"/>
                <w:szCs w:val="21"/>
                <w:lang w:val="zh-CN"/>
              </w:rPr>
              <w:t>造价审核</w:t>
            </w:r>
            <w:r>
              <w:rPr>
                <w:rFonts w:hint="eastAsia" w:ascii="宋体" w:hAnsi="宋体"/>
                <w:szCs w:val="21"/>
              </w:rPr>
              <w:t>专业人员具有注册造价工程师执业证书（含一级、二级造价工程师执业证书（土建、安装、水利、公路、水运）、注册造价工程师执业证书(土建、安装)、公路工程造价人员甲级、乙级资格证书、水运工程造价工程师资格证书、水利工程造价工程师资格证书等，）</w:t>
            </w:r>
          </w:p>
        </w:tc>
      </w:tr>
      <w:tr w14:paraId="71291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816" w:type="dxa"/>
            <w:vAlign w:val="center"/>
          </w:tcPr>
          <w:p w14:paraId="4F23D7DD">
            <w:pPr>
              <w:adjustRightInd/>
              <w:spacing w:line="580" w:lineRule="exact"/>
              <w:jc w:val="center"/>
              <w:rPr>
                <w:rFonts w:ascii="宋体" w:hAnsi="宋体"/>
                <w:szCs w:val="21"/>
                <w:lang w:val="zh-CN"/>
              </w:rPr>
            </w:pPr>
            <w:r>
              <w:rPr>
                <w:rFonts w:hint="eastAsia" w:ascii="宋体" w:hAnsi="宋体"/>
                <w:szCs w:val="21"/>
                <w:lang w:val="zh-CN"/>
              </w:rPr>
              <w:t>序号</w:t>
            </w:r>
          </w:p>
        </w:tc>
        <w:tc>
          <w:tcPr>
            <w:tcW w:w="883" w:type="dxa"/>
            <w:vAlign w:val="center"/>
          </w:tcPr>
          <w:p w14:paraId="08111BCB">
            <w:pPr>
              <w:adjustRightInd/>
              <w:spacing w:line="580" w:lineRule="exact"/>
              <w:jc w:val="center"/>
              <w:rPr>
                <w:rFonts w:ascii="宋体" w:hAnsi="宋体"/>
                <w:szCs w:val="21"/>
                <w:lang w:val="zh-CN"/>
              </w:rPr>
            </w:pPr>
            <w:r>
              <w:rPr>
                <w:rFonts w:hint="eastAsia" w:ascii="宋体" w:hAnsi="宋体"/>
                <w:szCs w:val="21"/>
                <w:lang w:val="zh-CN"/>
              </w:rPr>
              <w:t>姓名</w:t>
            </w:r>
          </w:p>
        </w:tc>
        <w:tc>
          <w:tcPr>
            <w:tcW w:w="1172" w:type="dxa"/>
            <w:vAlign w:val="center"/>
          </w:tcPr>
          <w:p w14:paraId="30660A0B">
            <w:pPr>
              <w:adjustRightInd/>
              <w:spacing w:line="580" w:lineRule="exact"/>
              <w:rPr>
                <w:rFonts w:ascii="宋体" w:hAnsi="宋体"/>
                <w:szCs w:val="21"/>
                <w:lang w:val="zh-CN"/>
              </w:rPr>
            </w:pPr>
            <w:r>
              <w:rPr>
                <w:rFonts w:hint="eastAsia" w:ascii="宋体" w:hAnsi="宋体"/>
                <w:szCs w:val="21"/>
                <w:lang w:val="zh-CN"/>
              </w:rPr>
              <w:t>所学专业</w:t>
            </w:r>
          </w:p>
        </w:tc>
        <w:tc>
          <w:tcPr>
            <w:tcW w:w="1138" w:type="dxa"/>
            <w:vAlign w:val="center"/>
          </w:tcPr>
          <w:p w14:paraId="058FBD93">
            <w:pPr>
              <w:adjustRightInd/>
              <w:spacing w:line="580" w:lineRule="exact"/>
              <w:jc w:val="center"/>
              <w:rPr>
                <w:rFonts w:ascii="宋体" w:hAnsi="宋体"/>
                <w:szCs w:val="21"/>
                <w:lang w:val="zh-CN"/>
              </w:rPr>
            </w:pPr>
            <w:r>
              <w:rPr>
                <w:rFonts w:hint="eastAsia" w:ascii="宋体" w:hAnsi="宋体"/>
                <w:szCs w:val="21"/>
                <w:lang w:val="zh-CN"/>
              </w:rPr>
              <w:t>从事专业</w:t>
            </w:r>
          </w:p>
        </w:tc>
        <w:tc>
          <w:tcPr>
            <w:tcW w:w="1260" w:type="dxa"/>
            <w:vAlign w:val="center"/>
          </w:tcPr>
          <w:p w14:paraId="4E884055">
            <w:pPr>
              <w:adjustRightInd/>
              <w:spacing w:line="580" w:lineRule="exact"/>
              <w:jc w:val="center"/>
              <w:rPr>
                <w:rFonts w:ascii="宋体" w:hAnsi="宋体"/>
                <w:szCs w:val="21"/>
                <w:lang w:val="zh-CN"/>
              </w:rPr>
            </w:pPr>
            <w:r>
              <w:rPr>
                <w:rFonts w:hint="eastAsia" w:ascii="宋体" w:hAnsi="宋体"/>
                <w:szCs w:val="21"/>
                <w:lang w:val="zh-CN"/>
              </w:rPr>
              <w:t>职称</w:t>
            </w:r>
          </w:p>
        </w:tc>
        <w:tc>
          <w:tcPr>
            <w:tcW w:w="1352" w:type="dxa"/>
            <w:vAlign w:val="center"/>
          </w:tcPr>
          <w:p w14:paraId="07759230">
            <w:pPr>
              <w:adjustRightInd/>
              <w:spacing w:line="580" w:lineRule="exact"/>
              <w:jc w:val="center"/>
              <w:rPr>
                <w:rFonts w:ascii="宋体" w:hAnsi="宋体"/>
                <w:szCs w:val="21"/>
                <w:lang w:val="zh-CN"/>
              </w:rPr>
            </w:pPr>
            <w:r>
              <w:rPr>
                <w:rFonts w:hint="eastAsia" w:ascii="宋体" w:hAnsi="宋体"/>
                <w:szCs w:val="21"/>
                <w:lang w:val="zh-CN"/>
              </w:rPr>
              <w:t>工作年限</w:t>
            </w:r>
          </w:p>
        </w:tc>
        <w:tc>
          <w:tcPr>
            <w:tcW w:w="2164" w:type="dxa"/>
            <w:vAlign w:val="center"/>
          </w:tcPr>
          <w:p w14:paraId="35036672">
            <w:pPr>
              <w:adjustRightInd/>
              <w:jc w:val="center"/>
              <w:rPr>
                <w:rFonts w:ascii="宋体" w:hAnsi="宋体"/>
                <w:szCs w:val="21"/>
                <w:lang w:val="zh-CN"/>
              </w:rPr>
            </w:pPr>
            <w:r>
              <w:rPr>
                <w:rFonts w:hint="eastAsia" w:ascii="宋体" w:hAnsi="宋体"/>
                <w:szCs w:val="21"/>
                <w:lang w:val="zh-CN"/>
              </w:rPr>
              <w:t>注册执业</w:t>
            </w:r>
          </w:p>
          <w:p w14:paraId="75B31540">
            <w:pPr>
              <w:adjustRightInd/>
              <w:jc w:val="center"/>
              <w:rPr>
                <w:rFonts w:ascii="宋体" w:hAnsi="宋体"/>
                <w:szCs w:val="21"/>
                <w:lang w:val="zh-CN"/>
              </w:rPr>
            </w:pPr>
            <w:r>
              <w:rPr>
                <w:rFonts w:hint="eastAsia" w:ascii="宋体" w:hAnsi="宋体"/>
                <w:szCs w:val="21"/>
                <w:lang w:val="zh-CN"/>
              </w:rPr>
              <w:t>资格</w:t>
            </w:r>
          </w:p>
        </w:tc>
      </w:tr>
      <w:tr w14:paraId="04E54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816" w:type="dxa"/>
            <w:vAlign w:val="center"/>
          </w:tcPr>
          <w:p w14:paraId="42B0D565">
            <w:pPr>
              <w:adjustRightInd/>
              <w:spacing w:line="580" w:lineRule="exact"/>
              <w:jc w:val="center"/>
              <w:rPr>
                <w:rFonts w:ascii="宋体" w:hAnsi="宋体"/>
                <w:szCs w:val="21"/>
              </w:rPr>
            </w:pPr>
          </w:p>
        </w:tc>
        <w:tc>
          <w:tcPr>
            <w:tcW w:w="883" w:type="dxa"/>
            <w:vAlign w:val="center"/>
          </w:tcPr>
          <w:p w14:paraId="03E16CA1">
            <w:pPr>
              <w:adjustRightInd/>
              <w:spacing w:line="580" w:lineRule="exact"/>
              <w:jc w:val="center"/>
              <w:rPr>
                <w:rFonts w:ascii="宋体" w:hAnsi="宋体"/>
                <w:szCs w:val="21"/>
                <w:lang w:val="zh-CN"/>
              </w:rPr>
            </w:pPr>
          </w:p>
        </w:tc>
        <w:tc>
          <w:tcPr>
            <w:tcW w:w="1172" w:type="dxa"/>
            <w:vAlign w:val="center"/>
          </w:tcPr>
          <w:p w14:paraId="5339D2CD">
            <w:pPr>
              <w:adjustRightInd/>
              <w:spacing w:line="580" w:lineRule="exact"/>
              <w:rPr>
                <w:rFonts w:ascii="宋体" w:hAnsi="宋体"/>
                <w:szCs w:val="21"/>
                <w:lang w:val="zh-CN"/>
              </w:rPr>
            </w:pPr>
          </w:p>
        </w:tc>
        <w:tc>
          <w:tcPr>
            <w:tcW w:w="1138" w:type="dxa"/>
            <w:vAlign w:val="center"/>
          </w:tcPr>
          <w:p w14:paraId="366C763C">
            <w:pPr>
              <w:adjustRightInd/>
              <w:spacing w:line="580" w:lineRule="exact"/>
              <w:jc w:val="center"/>
              <w:rPr>
                <w:rFonts w:ascii="宋体" w:hAnsi="宋体"/>
                <w:szCs w:val="21"/>
                <w:lang w:val="zh-CN"/>
              </w:rPr>
            </w:pPr>
          </w:p>
        </w:tc>
        <w:tc>
          <w:tcPr>
            <w:tcW w:w="1260" w:type="dxa"/>
            <w:vAlign w:val="center"/>
          </w:tcPr>
          <w:p w14:paraId="1AFF6FFE">
            <w:pPr>
              <w:adjustRightInd/>
              <w:spacing w:line="580" w:lineRule="exact"/>
              <w:jc w:val="center"/>
              <w:rPr>
                <w:rFonts w:ascii="宋体" w:hAnsi="宋体"/>
                <w:szCs w:val="21"/>
                <w:lang w:val="zh-CN"/>
              </w:rPr>
            </w:pPr>
          </w:p>
        </w:tc>
        <w:tc>
          <w:tcPr>
            <w:tcW w:w="1352" w:type="dxa"/>
            <w:vAlign w:val="center"/>
          </w:tcPr>
          <w:p w14:paraId="714E753D">
            <w:pPr>
              <w:adjustRightInd/>
              <w:spacing w:line="580" w:lineRule="exact"/>
              <w:jc w:val="center"/>
              <w:rPr>
                <w:rFonts w:ascii="宋体" w:hAnsi="宋体"/>
                <w:szCs w:val="21"/>
                <w:lang w:val="zh-CN"/>
              </w:rPr>
            </w:pPr>
          </w:p>
        </w:tc>
        <w:tc>
          <w:tcPr>
            <w:tcW w:w="2164" w:type="dxa"/>
            <w:vAlign w:val="center"/>
          </w:tcPr>
          <w:p w14:paraId="593CF2B8">
            <w:pPr>
              <w:adjustRightInd/>
              <w:spacing w:line="580" w:lineRule="exact"/>
              <w:jc w:val="center"/>
              <w:rPr>
                <w:rFonts w:ascii="宋体" w:hAnsi="宋体"/>
                <w:szCs w:val="21"/>
                <w:lang w:val="zh-CN"/>
              </w:rPr>
            </w:pPr>
          </w:p>
        </w:tc>
      </w:tr>
      <w:tr w14:paraId="025C1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7BD1F254">
            <w:pPr>
              <w:adjustRightInd/>
              <w:spacing w:line="580" w:lineRule="exact"/>
              <w:jc w:val="center"/>
              <w:rPr>
                <w:rFonts w:ascii="宋体" w:hAnsi="宋体"/>
                <w:szCs w:val="21"/>
                <w:lang w:val="zh-CN"/>
              </w:rPr>
            </w:pPr>
          </w:p>
        </w:tc>
        <w:tc>
          <w:tcPr>
            <w:tcW w:w="883" w:type="dxa"/>
            <w:vAlign w:val="center"/>
          </w:tcPr>
          <w:p w14:paraId="692A4A33">
            <w:pPr>
              <w:adjustRightInd/>
              <w:spacing w:line="580" w:lineRule="exact"/>
              <w:rPr>
                <w:rFonts w:ascii="宋体" w:hAnsi="宋体"/>
                <w:szCs w:val="21"/>
                <w:lang w:val="zh-CN"/>
              </w:rPr>
            </w:pPr>
          </w:p>
        </w:tc>
        <w:tc>
          <w:tcPr>
            <w:tcW w:w="1172" w:type="dxa"/>
            <w:vAlign w:val="center"/>
          </w:tcPr>
          <w:p w14:paraId="5B1B7F0D">
            <w:pPr>
              <w:adjustRightInd/>
              <w:spacing w:line="580" w:lineRule="exact"/>
              <w:rPr>
                <w:rFonts w:ascii="宋体" w:hAnsi="宋体"/>
                <w:szCs w:val="21"/>
                <w:lang w:val="zh-CN"/>
              </w:rPr>
            </w:pPr>
          </w:p>
        </w:tc>
        <w:tc>
          <w:tcPr>
            <w:tcW w:w="1138" w:type="dxa"/>
            <w:vAlign w:val="center"/>
          </w:tcPr>
          <w:p w14:paraId="346A9909">
            <w:pPr>
              <w:adjustRightInd/>
              <w:spacing w:line="580" w:lineRule="exact"/>
              <w:rPr>
                <w:rFonts w:ascii="宋体" w:hAnsi="宋体"/>
                <w:szCs w:val="21"/>
                <w:lang w:val="zh-CN"/>
              </w:rPr>
            </w:pPr>
          </w:p>
        </w:tc>
        <w:tc>
          <w:tcPr>
            <w:tcW w:w="1260" w:type="dxa"/>
            <w:vAlign w:val="center"/>
          </w:tcPr>
          <w:p w14:paraId="10DD5B0A">
            <w:pPr>
              <w:adjustRightInd/>
              <w:spacing w:line="580" w:lineRule="exact"/>
              <w:rPr>
                <w:rFonts w:ascii="宋体" w:hAnsi="宋体"/>
                <w:szCs w:val="21"/>
                <w:lang w:val="zh-CN"/>
              </w:rPr>
            </w:pPr>
          </w:p>
        </w:tc>
        <w:tc>
          <w:tcPr>
            <w:tcW w:w="1352" w:type="dxa"/>
            <w:vAlign w:val="center"/>
          </w:tcPr>
          <w:p w14:paraId="3217AD4A">
            <w:pPr>
              <w:adjustRightInd/>
              <w:spacing w:line="580" w:lineRule="exact"/>
              <w:rPr>
                <w:rFonts w:ascii="宋体" w:hAnsi="宋体"/>
                <w:szCs w:val="21"/>
                <w:lang w:val="zh-CN"/>
              </w:rPr>
            </w:pPr>
          </w:p>
        </w:tc>
        <w:tc>
          <w:tcPr>
            <w:tcW w:w="2164" w:type="dxa"/>
            <w:vAlign w:val="center"/>
          </w:tcPr>
          <w:p w14:paraId="3BE80054">
            <w:pPr>
              <w:adjustRightInd/>
              <w:spacing w:line="580" w:lineRule="exact"/>
              <w:rPr>
                <w:rFonts w:ascii="宋体" w:hAnsi="宋体"/>
                <w:szCs w:val="21"/>
                <w:lang w:val="zh-CN"/>
              </w:rPr>
            </w:pPr>
          </w:p>
        </w:tc>
      </w:tr>
      <w:tr w14:paraId="704F0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816" w:type="dxa"/>
            <w:vAlign w:val="center"/>
          </w:tcPr>
          <w:p w14:paraId="2D5F307C">
            <w:pPr>
              <w:adjustRightInd/>
              <w:spacing w:line="580" w:lineRule="exact"/>
              <w:jc w:val="center"/>
              <w:rPr>
                <w:rFonts w:ascii="宋体" w:hAnsi="宋体"/>
                <w:szCs w:val="21"/>
                <w:lang w:val="zh-CN"/>
              </w:rPr>
            </w:pPr>
          </w:p>
        </w:tc>
        <w:tc>
          <w:tcPr>
            <w:tcW w:w="883" w:type="dxa"/>
            <w:vAlign w:val="center"/>
          </w:tcPr>
          <w:p w14:paraId="75C6246A">
            <w:pPr>
              <w:adjustRightInd/>
              <w:spacing w:line="580" w:lineRule="exact"/>
              <w:rPr>
                <w:rFonts w:ascii="宋体" w:hAnsi="宋体"/>
                <w:szCs w:val="21"/>
                <w:lang w:val="zh-CN"/>
              </w:rPr>
            </w:pPr>
          </w:p>
        </w:tc>
        <w:tc>
          <w:tcPr>
            <w:tcW w:w="1172" w:type="dxa"/>
            <w:vAlign w:val="center"/>
          </w:tcPr>
          <w:p w14:paraId="46D10A37">
            <w:pPr>
              <w:adjustRightInd/>
              <w:spacing w:line="580" w:lineRule="exact"/>
              <w:rPr>
                <w:rFonts w:ascii="宋体" w:hAnsi="宋体"/>
                <w:szCs w:val="21"/>
                <w:lang w:val="zh-CN"/>
              </w:rPr>
            </w:pPr>
          </w:p>
        </w:tc>
        <w:tc>
          <w:tcPr>
            <w:tcW w:w="1138" w:type="dxa"/>
            <w:vAlign w:val="center"/>
          </w:tcPr>
          <w:p w14:paraId="76BDA77F">
            <w:pPr>
              <w:adjustRightInd/>
              <w:spacing w:line="580" w:lineRule="exact"/>
              <w:rPr>
                <w:rFonts w:ascii="宋体" w:hAnsi="宋体"/>
                <w:szCs w:val="21"/>
                <w:lang w:val="zh-CN"/>
              </w:rPr>
            </w:pPr>
          </w:p>
        </w:tc>
        <w:tc>
          <w:tcPr>
            <w:tcW w:w="1260" w:type="dxa"/>
            <w:vAlign w:val="center"/>
          </w:tcPr>
          <w:p w14:paraId="2A49B073">
            <w:pPr>
              <w:adjustRightInd/>
              <w:spacing w:line="580" w:lineRule="exact"/>
              <w:rPr>
                <w:rFonts w:ascii="宋体" w:hAnsi="宋体"/>
                <w:szCs w:val="21"/>
                <w:lang w:val="zh-CN"/>
              </w:rPr>
            </w:pPr>
          </w:p>
        </w:tc>
        <w:tc>
          <w:tcPr>
            <w:tcW w:w="1352" w:type="dxa"/>
            <w:vAlign w:val="center"/>
          </w:tcPr>
          <w:p w14:paraId="7B7E9FF0">
            <w:pPr>
              <w:adjustRightInd/>
              <w:spacing w:line="580" w:lineRule="exact"/>
              <w:rPr>
                <w:rFonts w:ascii="宋体" w:hAnsi="宋体"/>
                <w:szCs w:val="21"/>
                <w:lang w:val="zh-CN"/>
              </w:rPr>
            </w:pPr>
          </w:p>
        </w:tc>
        <w:tc>
          <w:tcPr>
            <w:tcW w:w="2164" w:type="dxa"/>
            <w:vAlign w:val="center"/>
          </w:tcPr>
          <w:p w14:paraId="307AD42B">
            <w:pPr>
              <w:adjustRightInd/>
              <w:spacing w:line="580" w:lineRule="exact"/>
              <w:rPr>
                <w:rFonts w:ascii="宋体" w:hAnsi="宋体"/>
                <w:szCs w:val="21"/>
                <w:lang w:val="zh-CN"/>
              </w:rPr>
            </w:pPr>
          </w:p>
        </w:tc>
      </w:tr>
      <w:tr w14:paraId="06CEF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816" w:type="dxa"/>
            <w:vAlign w:val="center"/>
          </w:tcPr>
          <w:p w14:paraId="234A8EAD">
            <w:pPr>
              <w:adjustRightInd/>
              <w:spacing w:line="580" w:lineRule="exact"/>
              <w:jc w:val="center"/>
              <w:rPr>
                <w:rFonts w:ascii="宋体" w:hAnsi="宋体"/>
                <w:szCs w:val="21"/>
                <w:lang w:val="zh-CN"/>
              </w:rPr>
            </w:pPr>
          </w:p>
        </w:tc>
        <w:tc>
          <w:tcPr>
            <w:tcW w:w="883" w:type="dxa"/>
            <w:vAlign w:val="center"/>
          </w:tcPr>
          <w:p w14:paraId="5F3DFD93">
            <w:pPr>
              <w:adjustRightInd/>
              <w:spacing w:line="580" w:lineRule="exact"/>
              <w:rPr>
                <w:rFonts w:ascii="宋体" w:hAnsi="宋体"/>
                <w:szCs w:val="21"/>
                <w:lang w:val="zh-CN"/>
              </w:rPr>
            </w:pPr>
          </w:p>
        </w:tc>
        <w:tc>
          <w:tcPr>
            <w:tcW w:w="1172" w:type="dxa"/>
            <w:vAlign w:val="center"/>
          </w:tcPr>
          <w:p w14:paraId="0ED8D9C8">
            <w:pPr>
              <w:adjustRightInd/>
              <w:spacing w:line="580" w:lineRule="exact"/>
              <w:rPr>
                <w:rFonts w:ascii="宋体" w:hAnsi="宋体"/>
                <w:szCs w:val="21"/>
                <w:lang w:val="zh-CN"/>
              </w:rPr>
            </w:pPr>
          </w:p>
        </w:tc>
        <w:tc>
          <w:tcPr>
            <w:tcW w:w="1138" w:type="dxa"/>
            <w:vAlign w:val="center"/>
          </w:tcPr>
          <w:p w14:paraId="767B7EF4">
            <w:pPr>
              <w:adjustRightInd/>
              <w:spacing w:line="580" w:lineRule="exact"/>
              <w:rPr>
                <w:rFonts w:ascii="宋体" w:hAnsi="宋体"/>
                <w:szCs w:val="21"/>
                <w:lang w:val="zh-CN"/>
              </w:rPr>
            </w:pPr>
          </w:p>
        </w:tc>
        <w:tc>
          <w:tcPr>
            <w:tcW w:w="1260" w:type="dxa"/>
            <w:vAlign w:val="center"/>
          </w:tcPr>
          <w:p w14:paraId="126712BF">
            <w:pPr>
              <w:adjustRightInd/>
              <w:spacing w:line="580" w:lineRule="exact"/>
              <w:rPr>
                <w:rFonts w:ascii="宋体" w:hAnsi="宋体"/>
                <w:szCs w:val="21"/>
                <w:lang w:val="zh-CN"/>
              </w:rPr>
            </w:pPr>
          </w:p>
        </w:tc>
        <w:tc>
          <w:tcPr>
            <w:tcW w:w="1352" w:type="dxa"/>
            <w:vAlign w:val="center"/>
          </w:tcPr>
          <w:p w14:paraId="3F68726F">
            <w:pPr>
              <w:adjustRightInd/>
              <w:spacing w:line="580" w:lineRule="exact"/>
              <w:rPr>
                <w:rFonts w:ascii="宋体" w:hAnsi="宋体"/>
                <w:szCs w:val="21"/>
                <w:lang w:val="zh-CN"/>
              </w:rPr>
            </w:pPr>
          </w:p>
        </w:tc>
        <w:tc>
          <w:tcPr>
            <w:tcW w:w="2164" w:type="dxa"/>
            <w:vAlign w:val="center"/>
          </w:tcPr>
          <w:p w14:paraId="0215B41C">
            <w:pPr>
              <w:adjustRightInd/>
              <w:spacing w:line="580" w:lineRule="exact"/>
              <w:rPr>
                <w:rFonts w:ascii="宋体" w:hAnsi="宋体"/>
                <w:szCs w:val="21"/>
                <w:lang w:val="zh-CN"/>
              </w:rPr>
            </w:pPr>
          </w:p>
        </w:tc>
      </w:tr>
      <w:tr w14:paraId="78FF3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785" w:type="dxa"/>
            <w:gridSpan w:val="7"/>
            <w:vAlign w:val="center"/>
          </w:tcPr>
          <w:p w14:paraId="1EAB5BCB">
            <w:pPr>
              <w:adjustRightInd/>
              <w:rPr>
                <w:rFonts w:ascii="宋体" w:hAnsi="宋体"/>
                <w:szCs w:val="21"/>
                <w:lang w:val="zh-CN"/>
              </w:rPr>
            </w:pPr>
            <w:r>
              <w:rPr>
                <w:rFonts w:hint="eastAsia" w:ascii="宋体" w:hAnsi="宋体"/>
                <w:szCs w:val="21"/>
                <w:lang w:val="zh-CN"/>
              </w:rPr>
              <w:t>表格二、</w:t>
            </w:r>
            <w:r>
              <w:rPr>
                <w:rFonts w:hint="eastAsia" w:ascii="宋体" w:hAnsi="宋体" w:cs="仿宋_GB2312"/>
                <w:szCs w:val="21"/>
              </w:rPr>
              <w:t>一级注册造价工程师专业配备建筑、安装、水利、公路、水运5个专业（并非要求供应商完全具备该5种专业资格）</w:t>
            </w:r>
          </w:p>
        </w:tc>
      </w:tr>
      <w:tr w14:paraId="67293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2BC66D15">
            <w:pPr>
              <w:adjustRightInd/>
              <w:spacing w:line="580" w:lineRule="exact"/>
              <w:jc w:val="center"/>
              <w:rPr>
                <w:rFonts w:ascii="宋体" w:hAnsi="宋体"/>
                <w:szCs w:val="21"/>
                <w:lang w:val="zh-CN"/>
              </w:rPr>
            </w:pPr>
            <w:r>
              <w:rPr>
                <w:rFonts w:hint="eastAsia" w:ascii="宋体" w:hAnsi="宋体"/>
                <w:szCs w:val="21"/>
                <w:lang w:val="zh-CN"/>
              </w:rPr>
              <w:t>序号</w:t>
            </w:r>
          </w:p>
        </w:tc>
        <w:tc>
          <w:tcPr>
            <w:tcW w:w="883" w:type="dxa"/>
            <w:vAlign w:val="center"/>
          </w:tcPr>
          <w:p w14:paraId="1A70DCB5">
            <w:pPr>
              <w:adjustRightInd/>
              <w:spacing w:line="580" w:lineRule="exact"/>
              <w:jc w:val="center"/>
              <w:rPr>
                <w:rFonts w:ascii="宋体" w:hAnsi="宋体"/>
                <w:szCs w:val="21"/>
                <w:lang w:val="zh-CN"/>
              </w:rPr>
            </w:pPr>
            <w:r>
              <w:rPr>
                <w:rFonts w:hint="eastAsia" w:ascii="宋体" w:hAnsi="宋体"/>
                <w:szCs w:val="21"/>
                <w:lang w:val="zh-CN"/>
              </w:rPr>
              <w:t>姓名</w:t>
            </w:r>
          </w:p>
        </w:tc>
        <w:tc>
          <w:tcPr>
            <w:tcW w:w="1172" w:type="dxa"/>
            <w:vAlign w:val="center"/>
          </w:tcPr>
          <w:p w14:paraId="5E212429">
            <w:pPr>
              <w:adjustRightInd/>
              <w:spacing w:line="580" w:lineRule="exact"/>
              <w:rPr>
                <w:rFonts w:ascii="宋体" w:hAnsi="宋体"/>
                <w:szCs w:val="21"/>
                <w:lang w:val="zh-CN"/>
              </w:rPr>
            </w:pPr>
            <w:r>
              <w:rPr>
                <w:rFonts w:hint="eastAsia" w:ascii="宋体" w:hAnsi="宋体"/>
                <w:szCs w:val="21"/>
                <w:lang w:val="zh-CN"/>
              </w:rPr>
              <w:t>所学专业</w:t>
            </w:r>
          </w:p>
        </w:tc>
        <w:tc>
          <w:tcPr>
            <w:tcW w:w="1138" w:type="dxa"/>
            <w:vAlign w:val="center"/>
          </w:tcPr>
          <w:p w14:paraId="2111BD3C">
            <w:pPr>
              <w:adjustRightInd/>
              <w:spacing w:line="580" w:lineRule="exact"/>
              <w:jc w:val="center"/>
              <w:rPr>
                <w:rFonts w:ascii="宋体" w:hAnsi="宋体"/>
                <w:szCs w:val="21"/>
                <w:lang w:val="zh-CN"/>
              </w:rPr>
            </w:pPr>
            <w:r>
              <w:rPr>
                <w:rFonts w:hint="eastAsia" w:ascii="宋体" w:hAnsi="宋体"/>
                <w:szCs w:val="21"/>
                <w:lang w:val="zh-CN"/>
              </w:rPr>
              <w:t>从事专业</w:t>
            </w:r>
          </w:p>
        </w:tc>
        <w:tc>
          <w:tcPr>
            <w:tcW w:w="1260" w:type="dxa"/>
            <w:vAlign w:val="center"/>
          </w:tcPr>
          <w:p w14:paraId="4BB3BB61">
            <w:pPr>
              <w:adjustRightInd/>
              <w:spacing w:line="580" w:lineRule="exact"/>
              <w:jc w:val="center"/>
              <w:rPr>
                <w:rFonts w:ascii="宋体" w:hAnsi="宋体"/>
                <w:szCs w:val="21"/>
                <w:lang w:val="zh-CN"/>
              </w:rPr>
            </w:pPr>
            <w:r>
              <w:rPr>
                <w:rFonts w:hint="eastAsia" w:ascii="宋体" w:hAnsi="宋体"/>
                <w:szCs w:val="21"/>
                <w:lang w:val="zh-CN"/>
              </w:rPr>
              <w:t>职称</w:t>
            </w:r>
          </w:p>
        </w:tc>
        <w:tc>
          <w:tcPr>
            <w:tcW w:w="1352" w:type="dxa"/>
            <w:vAlign w:val="center"/>
          </w:tcPr>
          <w:p w14:paraId="7D9B36A1">
            <w:pPr>
              <w:adjustRightInd/>
              <w:spacing w:line="580" w:lineRule="exact"/>
              <w:jc w:val="center"/>
              <w:rPr>
                <w:rFonts w:ascii="宋体" w:hAnsi="宋体"/>
                <w:szCs w:val="21"/>
                <w:lang w:val="zh-CN"/>
              </w:rPr>
            </w:pPr>
            <w:r>
              <w:rPr>
                <w:rFonts w:hint="eastAsia" w:ascii="宋体" w:hAnsi="宋体"/>
                <w:szCs w:val="21"/>
                <w:lang w:val="zh-CN"/>
              </w:rPr>
              <w:t>工作年限</w:t>
            </w:r>
          </w:p>
        </w:tc>
        <w:tc>
          <w:tcPr>
            <w:tcW w:w="2164" w:type="dxa"/>
            <w:vAlign w:val="center"/>
          </w:tcPr>
          <w:p w14:paraId="73B10E1B">
            <w:pPr>
              <w:adjustRightInd/>
              <w:jc w:val="center"/>
              <w:rPr>
                <w:rFonts w:ascii="宋体" w:hAnsi="宋体"/>
                <w:szCs w:val="21"/>
                <w:lang w:val="zh-CN"/>
              </w:rPr>
            </w:pPr>
            <w:r>
              <w:rPr>
                <w:rFonts w:hint="eastAsia" w:ascii="宋体" w:hAnsi="宋体"/>
                <w:szCs w:val="21"/>
                <w:lang w:val="zh-CN"/>
              </w:rPr>
              <w:t>注册执业</w:t>
            </w:r>
          </w:p>
          <w:p w14:paraId="42BF43D2">
            <w:pPr>
              <w:adjustRightInd/>
              <w:jc w:val="center"/>
              <w:rPr>
                <w:rFonts w:ascii="宋体" w:hAnsi="宋体"/>
                <w:szCs w:val="21"/>
                <w:lang w:val="zh-CN"/>
              </w:rPr>
            </w:pPr>
            <w:r>
              <w:rPr>
                <w:rFonts w:hint="eastAsia" w:ascii="宋体" w:hAnsi="宋体"/>
                <w:szCs w:val="21"/>
                <w:lang w:val="zh-CN"/>
              </w:rPr>
              <w:t>资格</w:t>
            </w:r>
          </w:p>
        </w:tc>
      </w:tr>
      <w:tr w14:paraId="4BAF7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0DCA4F29">
            <w:pPr>
              <w:adjustRightInd/>
              <w:spacing w:line="580" w:lineRule="exact"/>
              <w:rPr>
                <w:rFonts w:ascii="宋体" w:hAnsi="宋体"/>
                <w:szCs w:val="21"/>
                <w:lang w:val="zh-CN"/>
              </w:rPr>
            </w:pPr>
          </w:p>
        </w:tc>
        <w:tc>
          <w:tcPr>
            <w:tcW w:w="883" w:type="dxa"/>
            <w:vAlign w:val="center"/>
          </w:tcPr>
          <w:p w14:paraId="02A20CFC">
            <w:pPr>
              <w:adjustRightInd/>
              <w:spacing w:line="580" w:lineRule="exact"/>
              <w:rPr>
                <w:rFonts w:ascii="宋体" w:hAnsi="宋体"/>
                <w:szCs w:val="21"/>
                <w:lang w:val="zh-CN"/>
              </w:rPr>
            </w:pPr>
          </w:p>
        </w:tc>
        <w:tc>
          <w:tcPr>
            <w:tcW w:w="1172" w:type="dxa"/>
            <w:vAlign w:val="center"/>
          </w:tcPr>
          <w:p w14:paraId="6C7D9818">
            <w:pPr>
              <w:adjustRightInd/>
              <w:spacing w:line="580" w:lineRule="exact"/>
              <w:rPr>
                <w:rFonts w:ascii="宋体" w:hAnsi="宋体"/>
                <w:szCs w:val="21"/>
                <w:lang w:val="zh-CN"/>
              </w:rPr>
            </w:pPr>
          </w:p>
        </w:tc>
        <w:tc>
          <w:tcPr>
            <w:tcW w:w="1138" w:type="dxa"/>
            <w:vAlign w:val="center"/>
          </w:tcPr>
          <w:p w14:paraId="63A69F76">
            <w:pPr>
              <w:adjustRightInd/>
              <w:spacing w:line="580" w:lineRule="exact"/>
              <w:rPr>
                <w:rFonts w:ascii="宋体" w:hAnsi="宋体"/>
                <w:szCs w:val="21"/>
                <w:lang w:val="zh-CN"/>
              </w:rPr>
            </w:pPr>
          </w:p>
        </w:tc>
        <w:tc>
          <w:tcPr>
            <w:tcW w:w="1260" w:type="dxa"/>
            <w:vAlign w:val="center"/>
          </w:tcPr>
          <w:p w14:paraId="47DD42CA">
            <w:pPr>
              <w:adjustRightInd/>
              <w:spacing w:line="580" w:lineRule="exact"/>
              <w:rPr>
                <w:rFonts w:ascii="宋体" w:hAnsi="宋体"/>
                <w:szCs w:val="21"/>
                <w:lang w:val="zh-CN"/>
              </w:rPr>
            </w:pPr>
          </w:p>
        </w:tc>
        <w:tc>
          <w:tcPr>
            <w:tcW w:w="1352" w:type="dxa"/>
            <w:vAlign w:val="center"/>
          </w:tcPr>
          <w:p w14:paraId="01D4E3AD">
            <w:pPr>
              <w:adjustRightInd/>
              <w:spacing w:line="580" w:lineRule="exact"/>
              <w:rPr>
                <w:rFonts w:ascii="宋体" w:hAnsi="宋体"/>
                <w:szCs w:val="21"/>
                <w:lang w:val="zh-CN"/>
              </w:rPr>
            </w:pPr>
          </w:p>
        </w:tc>
        <w:tc>
          <w:tcPr>
            <w:tcW w:w="2164" w:type="dxa"/>
            <w:vAlign w:val="center"/>
          </w:tcPr>
          <w:p w14:paraId="014E34D8">
            <w:pPr>
              <w:adjustRightInd/>
              <w:spacing w:line="580" w:lineRule="exact"/>
              <w:rPr>
                <w:rFonts w:ascii="宋体" w:hAnsi="宋体"/>
                <w:szCs w:val="21"/>
                <w:lang w:val="zh-CN"/>
              </w:rPr>
            </w:pPr>
          </w:p>
        </w:tc>
      </w:tr>
      <w:tr w14:paraId="1EB1E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4703B27C">
            <w:pPr>
              <w:adjustRightInd/>
              <w:spacing w:line="580" w:lineRule="exact"/>
              <w:rPr>
                <w:rFonts w:ascii="宋体" w:hAnsi="宋体"/>
                <w:szCs w:val="21"/>
                <w:lang w:val="zh-CN"/>
              </w:rPr>
            </w:pPr>
          </w:p>
        </w:tc>
        <w:tc>
          <w:tcPr>
            <w:tcW w:w="883" w:type="dxa"/>
            <w:vAlign w:val="center"/>
          </w:tcPr>
          <w:p w14:paraId="608332CB">
            <w:pPr>
              <w:adjustRightInd/>
              <w:spacing w:line="580" w:lineRule="exact"/>
              <w:rPr>
                <w:rFonts w:ascii="宋体" w:hAnsi="宋体"/>
                <w:szCs w:val="21"/>
                <w:lang w:val="zh-CN"/>
              </w:rPr>
            </w:pPr>
          </w:p>
        </w:tc>
        <w:tc>
          <w:tcPr>
            <w:tcW w:w="1172" w:type="dxa"/>
            <w:vAlign w:val="center"/>
          </w:tcPr>
          <w:p w14:paraId="5E54BC23">
            <w:pPr>
              <w:adjustRightInd/>
              <w:spacing w:line="580" w:lineRule="exact"/>
              <w:rPr>
                <w:rFonts w:ascii="宋体" w:hAnsi="宋体"/>
                <w:szCs w:val="21"/>
                <w:lang w:val="zh-CN"/>
              </w:rPr>
            </w:pPr>
          </w:p>
        </w:tc>
        <w:tc>
          <w:tcPr>
            <w:tcW w:w="1138" w:type="dxa"/>
            <w:vAlign w:val="center"/>
          </w:tcPr>
          <w:p w14:paraId="42E1FFD4">
            <w:pPr>
              <w:adjustRightInd/>
              <w:spacing w:line="580" w:lineRule="exact"/>
              <w:rPr>
                <w:rFonts w:ascii="宋体" w:hAnsi="宋体"/>
                <w:szCs w:val="21"/>
                <w:lang w:val="zh-CN"/>
              </w:rPr>
            </w:pPr>
          </w:p>
        </w:tc>
        <w:tc>
          <w:tcPr>
            <w:tcW w:w="1260" w:type="dxa"/>
            <w:vAlign w:val="center"/>
          </w:tcPr>
          <w:p w14:paraId="7A3804C7">
            <w:pPr>
              <w:adjustRightInd/>
              <w:spacing w:line="580" w:lineRule="exact"/>
              <w:rPr>
                <w:rFonts w:ascii="宋体" w:hAnsi="宋体"/>
                <w:szCs w:val="21"/>
                <w:lang w:val="zh-CN"/>
              </w:rPr>
            </w:pPr>
          </w:p>
        </w:tc>
        <w:tc>
          <w:tcPr>
            <w:tcW w:w="1352" w:type="dxa"/>
            <w:vAlign w:val="center"/>
          </w:tcPr>
          <w:p w14:paraId="1F3710E3">
            <w:pPr>
              <w:adjustRightInd/>
              <w:spacing w:line="580" w:lineRule="exact"/>
              <w:rPr>
                <w:rFonts w:ascii="宋体" w:hAnsi="宋体"/>
                <w:szCs w:val="21"/>
                <w:lang w:val="zh-CN"/>
              </w:rPr>
            </w:pPr>
          </w:p>
        </w:tc>
        <w:tc>
          <w:tcPr>
            <w:tcW w:w="2164" w:type="dxa"/>
            <w:vAlign w:val="center"/>
          </w:tcPr>
          <w:p w14:paraId="2CDB83B5">
            <w:pPr>
              <w:adjustRightInd/>
              <w:spacing w:line="580" w:lineRule="exact"/>
              <w:rPr>
                <w:rFonts w:ascii="宋体" w:hAnsi="宋体"/>
                <w:szCs w:val="21"/>
                <w:lang w:val="zh-CN"/>
              </w:rPr>
            </w:pPr>
          </w:p>
        </w:tc>
      </w:tr>
      <w:tr w14:paraId="6A400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155784F2">
            <w:pPr>
              <w:adjustRightInd/>
              <w:spacing w:line="580" w:lineRule="exact"/>
              <w:rPr>
                <w:rFonts w:ascii="宋体" w:hAnsi="宋体"/>
                <w:szCs w:val="21"/>
                <w:lang w:val="zh-CN"/>
              </w:rPr>
            </w:pPr>
          </w:p>
        </w:tc>
        <w:tc>
          <w:tcPr>
            <w:tcW w:w="883" w:type="dxa"/>
            <w:vAlign w:val="center"/>
          </w:tcPr>
          <w:p w14:paraId="578FBED3">
            <w:pPr>
              <w:adjustRightInd/>
              <w:spacing w:line="580" w:lineRule="exact"/>
              <w:rPr>
                <w:rFonts w:ascii="宋体" w:hAnsi="宋体"/>
                <w:szCs w:val="21"/>
                <w:lang w:val="zh-CN"/>
              </w:rPr>
            </w:pPr>
          </w:p>
        </w:tc>
        <w:tc>
          <w:tcPr>
            <w:tcW w:w="1172" w:type="dxa"/>
            <w:vAlign w:val="center"/>
          </w:tcPr>
          <w:p w14:paraId="6D715B30">
            <w:pPr>
              <w:adjustRightInd/>
              <w:spacing w:line="580" w:lineRule="exact"/>
              <w:rPr>
                <w:rFonts w:ascii="宋体" w:hAnsi="宋体"/>
                <w:szCs w:val="21"/>
                <w:lang w:val="zh-CN"/>
              </w:rPr>
            </w:pPr>
          </w:p>
        </w:tc>
        <w:tc>
          <w:tcPr>
            <w:tcW w:w="1138" w:type="dxa"/>
            <w:vAlign w:val="center"/>
          </w:tcPr>
          <w:p w14:paraId="2939EFB7">
            <w:pPr>
              <w:adjustRightInd/>
              <w:spacing w:line="580" w:lineRule="exact"/>
              <w:rPr>
                <w:rFonts w:ascii="宋体" w:hAnsi="宋体"/>
                <w:szCs w:val="21"/>
                <w:lang w:val="zh-CN"/>
              </w:rPr>
            </w:pPr>
          </w:p>
        </w:tc>
        <w:tc>
          <w:tcPr>
            <w:tcW w:w="1260" w:type="dxa"/>
            <w:vAlign w:val="center"/>
          </w:tcPr>
          <w:p w14:paraId="3C63AD76">
            <w:pPr>
              <w:adjustRightInd/>
              <w:spacing w:line="580" w:lineRule="exact"/>
              <w:rPr>
                <w:rFonts w:ascii="宋体" w:hAnsi="宋体"/>
                <w:szCs w:val="21"/>
                <w:lang w:val="zh-CN"/>
              </w:rPr>
            </w:pPr>
          </w:p>
        </w:tc>
        <w:tc>
          <w:tcPr>
            <w:tcW w:w="1352" w:type="dxa"/>
            <w:vAlign w:val="center"/>
          </w:tcPr>
          <w:p w14:paraId="558482B1">
            <w:pPr>
              <w:adjustRightInd/>
              <w:spacing w:line="580" w:lineRule="exact"/>
              <w:rPr>
                <w:rFonts w:ascii="宋体" w:hAnsi="宋体"/>
                <w:szCs w:val="21"/>
                <w:lang w:val="zh-CN"/>
              </w:rPr>
            </w:pPr>
          </w:p>
        </w:tc>
        <w:tc>
          <w:tcPr>
            <w:tcW w:w="2164" w:type="dxa"/>
            <w:vAlign w:val="center"/>
          </w:tcPr>
          <w:p w14:paraId="25D6DE22">
            <w:pPr>
              <w:adjustRightInd/>
              <w:spacing w:line="580" w:lineRule="exact"/>
              <w:rPr>
                <w:rFonts w:ascii="宋体" w:hAnsi="宋体"/>
                <w:szCs w:val="21"/>
                <w:lang w:val="zh-CN"/>
              </w:rPr>
            </w:pPr>
          </w:p>
        </w:tc>
      </w:tr>
      <w:tr w14:paraId="1D441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0C74F7F2">
            <w:pPr>
              <w:adjustRightInd/>
              <w:spacing w:line="580" w:lineRule="exact"/>
              <w:rPr>
                <w:rFonts w:ascii="宋体" w:hAnsi="宋体"/>
                <w:szCs w:val="21"/>
                <w:lang w:val="zh-CN"/>
              </w:rPr>
            </w:pPr>
          </w:p>
        </w:tc>
        <w:tc>
          <w:tcPr>
            <w:tcW w:w="883" w:type="dxa"/>
            <w:vAlign w:val="center"/>
          </w:tcPr>
          <w:p w14:paraId="47C4F399">
            <w:pPr>
              <w:adjustRightInd/>
              <w:spacing w:line="580" w:lineRule="exact"/>
              <w:rPr>
                <w:rFonts w:ascii="宋体" w:hAnsi="宋体"/>
                <w:szCs w:val="21"/>
                <w:lang w:val="zh-CN"/>
              </w:rPr>
            </w:pPr>
          </w:p>
        </w:tc>
        <w:tc>
          <w:tcPr>
            <w:tcW w:w="1172" w:type="dxa"/>
            <w:vAlign w:val="center"/>
          </w:tcPr>
          <w:p w14:paraId="1DF420F7">
            <w:pPr>
              <w:adjustRightInd/>
              <w:spacing w:line="580" w:lineRule="exact"/>
              <w:rPr>
                <w:rFonts w:ascii="宋体" w:hAnsi="宋体"/>
                <w:szCs w:val="21"/>
                <w:lang w:val="zh-CN"/>
              </w:rPr>
            </w:pPr>
          </w:p>
        </w:tc>
        <w:tc>
          <w:tcPr>
            <w:tcW w:w="1138" w:type="dxa"/>
            <w:vAlign w:val="center"/>
          </w:tcPr>
          <w:p w14:paraId="007A107A">
            <w:pPr>
              <w:adjustRightInd/>
              <w:spacing w:line="580" w:lineRule="exact"/>
              <w:rPr>
                <w:rFonts w:ascii="宋体" w:hAnsi="宋体"/>
                <w:szCs w:val="21"/>
                <w:lang w:val="zh-CN"/>
              </w:rPr>
            </w:pPr>
          </w:p>
        </w:tc>
        <w:tc>
          <w:tcPr>
            <w:tcW w:w="1260" w:type="dxa"/>
            <w:vAlign w:val="center"/>
          </w:tcPr>
          <w:p w14:paraId="1E6FFC7F">
            <w:pPr>
              <w:adjustRightInd/>
              <w:spacing w:line="580" w:lineRule="exact"/>
              <w:rPr>
                <w:rFonts w:ascii="宋体" w:hAnsi="宋体"/>
                <w:szCs w:val="21"/>
                <w:lang w:val="zh-CN"/>
              </w:rPr>
            </w:pPr>
          </w:p>
        </w:tc>
        <w:tc>
          <w:tcPr>
            <w:tcW w:w="1352" w:type="dxa"/>
            <w:vAlign w:val="center"/>
          </w:tcPr>
          <w:p w14:paraId="2BD413A8">
            <w:pPr>
              <w:adjustRightInd/>
              <w:spacing w:line="580" w:lineRule="exact"/>
              <w:rPr>
                <w:rFonts w:ascii="宋体" w:hAnsi="宋体"/>
                <w:szCs w:val="21"/>
                <w:lang w:val="zh-CN"/>
              </w:rPr>
            </w:pPr>
          </w:p>
        </w:tc>
        <w:tc>
          <w:tcPr>
            <w:tcW w:w="2164" w:type="dxa"/>
            <w:vAlign w:val="center"/>
          </w:tcPr>
          <w:p w14:paraId="4470EC49">
            <w:pPr>
              <w:adjustRightInd/>
              <w:spacing w:line="580" w:lineRule="exact"/>
              <w:rPr>
                <w:rFonts w:ascii="宋体" w:hAnsi="宋体"/>
                <w:szCs w:val="21"/>
                <w:lang w:val="zh-CN"/>
              </w:rPr>
            </w:pPr>
          </w:p>
        </w:tc>
      </w:tr>
      <w:tr w14:paraId="2B735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58420879">
            <w:pPr>
              <w:adjustRightInd/>
              <w:spacing w:line="580" w:lineRule="exact"/>
              <w:rPr>
                <w:rFonts w:ascii="宋体" w:hAnsi="宋体"/>
                <w:szCs w:val="21"/>
                <w:lang w:val="zh-CN"/>
              </w:rPr>
            </w:pPr>
          </w:p>
        </w:tc>
        <w:tc>
          <w:tcPr>
            <w:tcW w:w="883" w:type="dxa"/>
            <w:vAlign w:val="center"/>
          </w:tcPr>
          <w:p w14:paraId="6B249C9D">
            <w:pPr>
              <w:adjustRightInd/>
              <w:spacing w:line="580" w:lineRule="exact"/>
              <w:rPr>
                <w:rFonts w:ascii="宋体" w:hAnsi="宋体"/>
                <w:szCs w:val="21"/>
                <w:lang w:val="zh-CN"/>
              </w:rPr>
            </w:pPr>
          </w:p>
        </w:tc>
        <w:tc>
          <w:tcPr>
            <w:tcW w:w="1172" w:type="dxa"/>
            <w:vAlign w:val="center"/>
          </w:tcPr>
          <w:p w14:paraId="72AFAD05">
            <w:pPr>
              <w:adjustRightInd/>
              <w:spacing w:line="580" w:lineRule="exact"/>
              <w:rPr>
                <w:rFonts w:ascii="宋体" w:hAnsi="宋体"/>
                <w:szCs w:val="21"/>
                <w:lang w:val="zh-CN"/>
              </w:rPr>
            </w:pPr>
          </w:p>
        </w:tc>
        <w:tc>
          <w:tcPr>
            <w:tcW w:w="1138" w:type="dxa"/>
            <w:vAlign w:val="center"/>
          </w:tcPr>
          <w:p w14:paraId="6373BA27">
            <w:pPr>
              <w:adjustRightInd/>
              <w:spacing w:line="580" w:lineRule="exact"/>
              <w:rPr>
                <w:rFonts w:ascii="宋体" w:hAnsi="宋体"/>
                <w:szCs w:val="21"/>
                <w:lang w:val="zh-CN"/>
              </w:rPr>
            </w:pPr>
          </w:p>
        </w:tc>
        <w:tc>
          <w:tcPr>
            <w:tcW w:w="1260" w:type="dxa"/>
            <w:vAlign w:val="center"/>
          </w:tcPr>
          <w:p w14:paraId="65F6E462">
            <w:pPr>
              <w:adjustRightInd/>
              <w:spacing w:line="580" w:lineRule="exact"/>
              <w:rPr>
                <w:rFonts w:ascii="宋体" w:hAnsi="宋体"/>
                <w:szCs w:val="21"/>
                <w:lang w:val="zh-CN"/>
              </w:rPr>
            </w:pPr>
          </w:p>
        </w:tc>
        <w:tc>
          <w:tcPr>
            <w:tcW w:w="1352" w:type="dxa"/>
            <w:vAlign w:val="center"/>
          </w:tcPr>
          <w:p w14:paraId="47909426">
            <w:pPr>
              <w:adjustRightInd/>
              <w:spacing w:line="580" w:lineRule="exact"/>
              <w:rPr>
                <w:rFonts w:ascii="宋体" w:hAnsi="宋体"/>
                <w:szCs w:val="21"/>
                <w:lang w:val="zh-CN"/>
              </w:rPr>
            </w:pPr>
          </w:p>
        </w:tc>
        <w:tc>
          <w:tcPr>
            <w:tcW w:w="2164" w:type="dxa"/>
            <w:vAlign w:val="center"/>
          </w:tcPr>
          <w:p w14:paraId="12EFE781">
            <w:pPr>
              <w:adjustRightInd/>
              <w:spacing w:line="580" w:lineRule="exact"/>
              <w:rPr>
                <w:rFonts w:ascii="宋体" w:hAnsi="宋体"/>
                <w:szCs w:val="21"/>
                <w:lang w:val="zh-CN"/>
              </w:rPr>
            </w:pPr>
          </w:p>
        </w:tc>
      </w:tr>
      <w:tr w14:paraId="0ABBF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6" w:type="dxa"/>
            <w:vAlign w:val="center"/>
          </w:tcPr>
          <w:p w14:paraId="71A58BC1">
            <w:pPr>
              <w:adjustRightInd/>
              <w:spacing w:line="580" w:lineRule="exact"/>
              <w:rPr>
                <w:rFonts w:ascii="宋体" w:hAnsi="宋体"/>
                <w:szCs w:val="21"/>
                <w:lang w:val="zh-CN"/>
              </w:rPr>
            </w:pPr>
          </w:p>
        </w:tc>
        <w:tc>
          <w:tcPr>
            <w:tcW w:w="883" w:type="dxa"/>
            <w:vAlign w:val="center"/>
          </w:tcPr>
          <w:p w14:paraId="19141742">
            <w:pPr>
              <w:adjustRightInd/>
              <w:spacing w:line="580" w:lineRule="exact"/>
              <w:rPr>
                <w:rFonts w:ascii="宋体" w:hAnsi="宋体"/>
                <w:szCs w:val="21"/>
                <w:lang w:val="zh-CN"/>
              </w:rPr>
            </w:pPr>
          </w:p>
        </w:tc>
        <w:tc>
          <w:tcPr>
            <w:tcW w:w="1172" w:type="dxa"/>
            <w:vAlign w:val="center"/>
          </w:tcPr>
          <w:p w14:paraId="2310023B">
            <w:pPr>
              <w:adjustRightInd/>
              <w:spacing w:line="580" w:lineRule="exact"/>
              <w:rPr>
                <w:rFonts w:ascii="宋体" w:hAnsi="宋体"/>
                <w:szCs w:val="21"/>
                <w:lang w:val="zh-CN"/>
              </w:rPr>
            </w:pPr>
          </w:p>
        </w:tc>
        <w:tc>
          <w:tcPr>
            <w:tcW w:w="1138" w:type="dxa"/>
            <w:vAlign w:val="center"/>
          </w:tcPr>
          <w:p w14:paraId="3A1B16B4">
            <w:pPr>
              <w:adjustRightInd/>
              <w:spacing w:line="580" w:lineRule="exact"/>
              <w:rPr>
                <w:rFonts w:ascii="宋体" w:hAnsi="宋体"/>
                <w:szCs w:val="21"/>
                <w:lang w:val="zh-CN"/>
              </w:rPr>
            </w:pPr>
          </w:p>
        </w:tc>
        <w:tc>
          <w:tcPr>
            <w:tcW w:w="1260" w:type="dxa"/>
            <w:vAlign w:val="center"/>
          </w:tcPr>
          <w:p w14:paraId="23854695">
            <w:pPr>
              <w:adjustRightInd/>
              <w:spacing w:line="580" w:lineRule="exact"/>
              <w:rPr>
                <w:rFonts w:ascii="宋体" w:hAnsi="宋体"/>
                <w:szCs w:val="21"/>
                <w:lang w:val="zh-CN"/>
              </w:rPr>
            </w:pPr>
          </w:p>
        </w:tc>
        <w:tc>
          <w:tcPr>
            <w:tcW w:w="1352" w:type="dxa"/>
            <w:vAlign w:val="center"/>
          </w:tcPr>
          <w:p w14:paraId="386BCCB0">
            <w:pPr>
              <w:adjustRightInd/>
              <w:spacing w:line="580" w:lineRule="exact"/>
              <w:rPr>
                <w:rFonts w:ascii="宋体" w:hAnsi="宋体"/>
                <w:szCs w:val="21"/>
                <w:lang w:val="zh-CN"/>
              </w:rPr>
            </w:pPr>
          </w:p>
        </w:tc>
        <w:tc>
          <w:tcPr>
            <w:tcW w:w="2164" w:type="dxa"/>
            <w:vAlign w:val="center"/>
          </w:tcPr>
          <w:p w14:paraId="6491C73D">
            <w:pPr>
              <w:adjustRightInd/>
              <w:spacing w:line="580" w:lineRule="exact"/>
              <w:rPr>
                <w:rFonts w:ascii="宋体" w:hAnsi="宋体"/>
                <w:szCs w:val="21"/>
                <w:lang w:val="zh-CN"/>
              </w:rPr>
            </w:pPr>
          </w:p>
        </w:tc>
      </w:tr>
    </w:tbl>
    <w:p w14:paraId="7DF3AFCE">
      <w:pPr>
        <w:adjustRightInd/>
        <w:spacing w:line="312" w:lineRule="auto"/>
        <w:ind w:firstLine="413" w:firstLineChars="196"/>
        <w:rPr>
          <w:rFonts w:ascii="宋体" w:hAnsi="宋体"/>
          <w:b/>
          <w:szCs w:val="21"/>
        </w:rPr>
      </w:pPr>
      <w:r>
        <w:rPr>
          <w:rFonts w:hint="eastAsia" w:ascii="宋体" w:hAnsi="宋体"/>
          <w:b/>
          <w:szCs w:val="21"/>
          <w:lang w:val="zh-CN"/>
        </w:rPr>
        <w:t>1.</w:t>
      </w:r>
      <w:r>
        <w:rPr>
          <w:rFonts w:hint="eastAsia" w:ascii="宋体" w:hAnsi="宋体"/>
          <w:b/>
          <w:szCs w:val="21"/>
        </w:rPr>
        <w:t>以上表格一、二工程造价审核专业人员可以重复，一人可报多本不同专业资格证书。</w:t>
      </w:r>
    </w:p>
    <w:p w14:paraId="061EECCF">
      <w:pPr>
        <w:adjustRightInd/>
        <w:spacing w:line="312" w:lineRule="auto"/>
        <w:ind w:firstLine="413" w:firstLineChars="196"/>
        <w:rPr>
          <w:rFonts w:ascii="宋体" w:hAnsi="宋体"/>
          <w:b/>
          <w:szCs w:val="21"/>
        </w:rPr>
      </w:pPr>
      <w:r>
        <w:rPr>
          <w:rFonts w:hint="eastAsia" w:ascii="宋体" w:hAnsi="宋体"/>
          <w:b/>
          <w:szCs w:val="21"/>
        </w:rPr>
        <w:t>上述人员必须提供在开标时间前三个月内其中任意一个月的社保证明（需含个人养老保险交纳清单）；如为退休人员的，必须注册在本单位并且为单位出资人，需提供退休证明和工商部门出具的最新的相关出资证明资料。复印件加盖公章</w:t>
      </w:r>
    </w:p>
    <w:p w14:paraId="4CB734B7">
      <w:pPr>
        <w:pStyle w:val="120"/>
        <w:spacing w:line="312" w:lineRule="auto"/>
        <w:ind w:right="840" w:firstLine="480"/>
        <w:jc w:val="right"/>
        <w:rPr>
          <w:rFonts w:ascii="宋体" w:hAnsi="宋体"/>
          <w:b/>
          <w:szCs w:val="21"/>
        </w:rPr>
      </w:pPr>
      <w:r>
        <w:rPr>
          <w:rFonts w:hint="eastAsia" w:ascii="宋体" w:hAnsi="宋体"/>
          <w:b/>
          <w:szCs w:val="21"/>
          <w:lang w:val="zh-CN"/>
        </w:rPr>
        <w:t>2、所有人员须附专业资格证书复印件</w:t>
      </w:r>
      <w:r>
        <w:rPr>
          <w:rFonts w:hint="eastAsia" w:ascii="宋体" w:hAnsi="宋体"/>
          <w:b/>
          <w:szCs w:val="21"/>
        </w:rPr>
        <w:t>。</w:t>
      </w:r>
      <w:r>
        <w:rPr>
          <w:rFonts w:hint="eastAsia" w:ascii="宋体" w:hAnsi="宋体"/>
          <w:b/>
          <w:szCs w:val="21"/>
          <w:lang w:val="zh-CN"/>
        </w:rPr>
        <w:t>所有人员须附</w:t>
      </w:r>
      <w:r>
        <w:rPr>
          <w:rFonts w:hint="eastAsia" w:ascii="宋体" w:hAnsi="宋体"/>
          <w:b/>
          <w:szCs w:val="21"/>
        </w:rPr>
        <w:t>开标时间前三个月内其中任意一个月的的社保证明（需含个人养老保险交纳清单）。如为退休人员的，必须注册在本单位并且为单位出资人，需提供退休证明和工商部门出具的最新的相关出资证明资料。</w:t>
      </w:r>
    </w:p>
    <w:p w14:paraId="64F4A6B6">
      <w:pPr>
        <w:pStyle w:val="120"/>
        <w:spacing w:line="312" w:lineRule="auto"/>
        <w:ind w:right="840" w:firstLine="480"/>
        <w:jc w:val="right"/>
        <w:rPr>
          <w:rFonts w:ascii="宋体" w:hAnsi="宋体"/>
          <w:b/>
          <w:szCs w:val="21"/>
        </w:rPr>
      </w:pPr>
    </w:p>
    <w:p w14:paraId="1DECFD4B">
      <w:pPr>
        <w:pStyle w:val="120"/>
        <w:spacing w:line="360" w:lineRule="auto"/>
        <w:ind w:right="1680" w:firstLine="3570" w:firstLineChars="1700"/>
        <w:rPr>
          <w:rFonts w:asciiTheme="minorEastAsia" w:hAnsiTheme="minorEastAsia" w:eastAsiaTheme="minorEastAsia"/>
          <w:szCs w:val="21"/>
          <w:u w:val="single"/>
        </w:rPr>
      </w:pPr>
      <w:r>
        <w:rPr>
          <w:rFonts w:hint="eastAsia" w:asciiTheme="minorEastAsia" w:hAnsiTheme="minorEastAsia" w:eastAsiaTheme="minorEastAsia"/>
          <w:szCs w:val="21"/>
        </w:rPr>
        <w:t>响应供应商盖章：</w:t>
      </w:r>
    </w:p>
    <w:p w14:paraId="461AA50B">
      <w:pPr>
        <w:pStyle w:val="120"/>
        <w:wordWrap w:val="0"/>
        <w:spacing w:line="360" w:lineRule="auto"/>
        <w:ind w:firstLine="2520" w:firstLineChars="1200"/>
        <w:rPr>
          <w:rFonts w:asciiTheme="minorEastAsia" w:hAnsiTheme="minorEastAsia" w:eastAsiaTheme="minorEastAsia"/>
          <w:szCs w:val="21"/>
          <w:u w:val="single"/>
        </w:rPr>
      </w:pPr>
      <w:r>
        <w:rPr>
          <w:rFonts w:hint="eastAsia" w:asciiTheme="minorEastAsia" w:hAnsiTheme="minorEastAsia" w:eastAsiaTheme="minorEastAsia"/>
          <w:szCs w:val="21"/>
        </w:rPr>
        <w:t xml:space="preserve">           日      期：</w:t>
      </w:r>
    </w:p>
    <w:sectPr>
      <w:footerReference r:id="rId7" w:type="first"/>
      <w:headerReference r:id="rId4" w:type="default"/>
      <w:footerReference r:id="rId5" w:type="default"/>
      <w:footerReference r:id="rId6" w:type="even"/>
      <w:pgSz w:w="11906" w:h="16838"/>
      <w:pgMar w:top="1276" w:right="1417" w:bottom="1247" w:left="1417" w:header="851" w:footer="992" w:gutter="0"/>
      <w:cols w:space="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Futura Bk">
    <w:altName w:val="Trebuchet MS"/>
    <w:panose1 w:val="00000000000000000000"/>
    <w:charset w:val="00"/>
    <w:family w:val="swiss"/>
    <w:pitch w:val="default"/>
    <w:sig w:usb0="00000000" w:usb1="00000000" w:usb2="00000000" w:usb3="00000000" w:csb0="00000011"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Futura Hv">
    <w:altName w:val="Arial"/>
    <w:panose1 w:val="00000000000000000000"/>
    <w:charset w:val="00"/>
    <w:family w:val="swiss"/>
    <w:pitch w:val="default"/>
    <w:sig w:usb0="00000000" w:usb1="00000000" w:usb2="00000000" w:usb3="00000000" w:csb0="000001FB" w:csb1="00000000"/>
  </w:font>
  <w:font w:name="Arial Unicode MS">
    <w:altName w:val="宋体"/>
    <w:panose1 w:val="020B0604020202020204"/>
    <w:charset w:val="86"/>
    <w:family w:val="swiss"/>
    <w:pitch w:val="default"/>
    <w:sig w:usb0="00000000" w:usb1="00000000" w:usb2="0000003F" w:usb3="00000000" w:csb0="003F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1C853">
    <w:pPr>
      <w:pStyle w:val="27"/>
      <w:jc w:val="center"/>
    </w:pPr>
    <w:r>
      <w:fldChar w:fldCharType="begin"/>
    </w:r>
    <w:r>
      <w:instrText xml:space="preserve"> PAGE   \* MERGEFORMAT </w:instrText>
    </w:r>
    <w:r>
      <w:fldChar w:fldCharType="separate"/>
    </w:r>
    <w:r>
      <w:rPr>
        <w:lang w:val="zh-CN"/>
      </w:rPr>
      <w:t>34</w:t>
    </w:r>
    <w:r>
      <w:rPr>
        <w:lang w:val="zh-CN"/>
      </w:rPr>
      <w:fldChar w:fldCharType="end"/>
    </w:r>
  </w:p>
  <w:p w14:paraId="242B18F8">
    <w:pPr>
      <w:pStyle w:val="2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DE8D37">
    <w:pPr>
      <w:pStyle w:val="2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16CD4">
    <w:pPr>
      <w:pStyle w:val="27"/>
      <w:framePr w:wrap="around" w:vAnchor="text" w:hAnchor="margin" w:xAlign="right" w:y="1"/>
      <w:rPr>
        <w:rStyle w:val="42"/>
      </w:rPr>
    </w:pPr>
    <w:r>
      <w:fldChar w:fldCharType="begin"/>
    </w:r>
    <w:r>
      <w:rPr>
        <w:rStyle w:val="42"/>
      </w:rPr>
      <w:instrText xml:space="preserve">PAGE  </w:instrText>
    </w:r>
    <w:r>
      <w:fldChar w:fldCharType="separate"/>
    </w:r>
    <w:r>
      <w:rPr>
        <w:rStyle w:val="42"/>
      </w:rPr>
      <w:t>33</w:t>
    </w:r>
    <w:r>
      <w:fldChar w:fldCharType="end"/>
    </w:r>
  </w:p>
  <w:p w14:paraId="278537C5">
    <w:pPr>
      <w:pStyle w:val="2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EAF02">
    <w:pPr>
      <w:pStyle w:val="2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46</w:t>
    </w:r>
    <w:r>
      <w:rPr>
        <w:rFonts w:hint="eastAsia" w:ascii="仿宋_GB2312" w:eastAsia="仿宋_GB2312"/>
        <w:kern w:val="0"/>
        <w:szCs w:val="21"/>
      </w:rPr>
      <w:fldChar w:fldCharType="end"/>
    </w:r>
    <w:bookmarkStart w:id="415" w:name="_Toc164085800"/>
    <w:bookmarkStart w:id="416" w:name="_Toc36110187"/>
    <w:bookmarkStart w:id="417" w:name="_Toc131845147"/>
    <w:bookmarkStart w:id="418" w:name="_Toc91899912"/>
    <w:r>
      <w:rPr>
        <w:rFonts w:hint="eastAsia" w:ascii="仿宋_GB2312" w:eastAsia="仿宋_GB2312"/>
        <w:kern w:val="0"/>
        <w:szCs w:val="21"/>
      </w:rPr>
      <w:t xml:space="preserve"> 页</w:t>
    </w:r>
    <w:bookmarkEnd w:id="415"/>
    <w:bookmarkEnd w:id="416"/>
    <w:bookmarkEnd w:id="417"/>
    <w:bookmarkEnd w:id="4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7467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FB3329"/>
    <w:multiLevelType w:val="singleLevel"/>
    <w:tmpl w:val="86FB3329"/>
    <w:lvl w:ilvl="0" w:tentative="0">
      <w:start w:val="1"/>
      <w:numFmt w:val="decimal"/>
      <w:suff w:val="space"/>
      <w:lvlText w:val="%1."/>
      <w:lvlJc w:val="left"/>
    </w:lvl>
  </w:abstractNum>
  <w:abstractNum w:abstractNumId="1">
    <w:nsid w:val="9660C6A8"/>
    <w:multiLevelType w:val="singleLevel"/>
    <w:tmpl w:val="9660C6A8"/>
    <w:lvl w:ilvl="0" w:tentative="0">
      <w:start w:val="5"/>
      <w:numFmt w:val="chineseCounting"/>
      <w:suff w:val="space"/>
      <w:lvlText w:val="第%1部分"/>
      <w:lvlJc w:val="left"/>
      <w:rPr>
        <w:rFonts w:hint="eastAsia"/>
      </w:rPr>
    </w:lvl>
  </w:abstractNum>
  <w:abstractNum w:abstractNumId="2">
    <w:nsid w:val="B06AB588"/>
    <w:multiLevelType w:val="singleLevel"/>
    <w:tmpl w:val="B06AB588"/>
    <w:lvl w:ilvl="0" w:tentative="0">
      <w:start w:val="2"/>
      <w:numFmt w:val="decimal"/>
      <w:lvlText w:val="%1."/>
      <w:lvlJc w:val="left"/>
      <w:pPr>
        <w:tabs>
          <w:tab w:val="left" w:pos="312"/>
        </w:tabs>
      </w:pPr>
    </w:lvl>
  </w:abstractNum>
  <w:abstractNum w:abstractNumId="3">
    <w:nsid w:val="0C34DE15"/>
    <w:multiLevelType w:val="singleLevel"/>
    <w:tmpl w:val="0C34DE15"/>
    <w:lvl w:ilvl="0" w:tentative="0">
      <w:start w:val="1"/>
      <w:numFmt w:val="decimal"/>
      <w:lvlText w:val="%1."/>
      <w:lvlJc w:val="left"/>
      <w:pPr>
        <w:tabs>
          <w:tab w:val="left" w:pos="312"/>
        </w:tabs>
      </w:pPr>
    </w:lvl>
  </w:abstractNum>
  <w:abstractNum w:abstractNumId="4">
    <w:nsid w:val="225A8346"/>
    <w:multiLevelType w:val="singleLevel"/>
    <w:tmpl w:val="225A8346"/>
    <w:lvl w:ilvl="0" w:tentative="0">
      <w:start w:val="1"/>
      <w:numFmt w:val="decimal"/>
      <w:lvlText w:val="%1."/>
      <w:lvlJc w:val="left"/>
      <w:pPr>
        <w:tabs>
          <w:tab w:val="left" w:pos="312"/>
        </w:tabs>
      </w:pPr>
    </w:lvl>
  </w:abstractNum>
  <w:abstractNum w:abstractNumId="5">
    <w:nsid w:val="2ABA1F3D"/>
    <w:multiLevelType w:val="singleLevel"/>
    <w:tmpl w:val="2ABA1F3D"/>
    <w:lvl w:ilvl="0" w:tentative="0">
      <w:start w:val="1"/>
      <w:numFmt w:val="decimal"/>
      <w:lvlText w:val="%1."/>
      <w:lvlJc w:val="left"/>
      <w:pPr>
        <w:tabs>
          <w:tab w:val="left" w:pos="312"/>
        </w:tabs>
      </w:pPr>
    </w:lvl>
  </w:abstractNum>
  <w:abstractNum w:abstractNumId="6">
    <w:nsid w:val="2C50B5E9"/>
    <w:multiLevelType w:val="singleLevel"/>
    <w:tmpl w:val="2C50B5E9"/>
    <w:lvl w:ilvl="0" w:tentative="0">
      <w:start w:val="1"/>
      <w:numFmt w:val="decimal"/>
      <w:lvlText w:val="%1."/>
      <w:lvlJc w:val="left"/>
      <w:pPr>
        <w:tabs>
          <w:tab w:val="left" w:pos="312"/>
        </w:tabs>
      </w:pPr>
    </w:lvl>
  </w:abstractNum>
  <w:abstractNum w:abstractNumId="7">
    <w:nsid w:val="4DD4552D"/>
    <w:multiLevelType w:val="singleLevel"/>
    <w:tmpl w:val="4DD4552D"/>
    <w:lvl w:ilvl="0" w:tentative="0">
      <w:start w:val="1"/>
      <w:numFmt w:val="decimal"/>
      <w:lvlText w:val="%1."/>
      <w:lvlJc w:val="left"/>
      <w:pPr>
        <w:tabs>
          <w:tab w:val="left" w:pos="312"/>
        </w:tabs>
      </w:pPr>
    </w:lvl>
  </w:abstractNum>
  <w:num w:numId="1">
    <w:abstractNumId w:val="5"/>
  </w:num>
  <w:num w:numId="2">
    <w:abstractNumId w:val="2"/>
  </w:num>
  <w:num w:numId="3">
    <w:abstractNumId w:val="1"/>
  </w:num>
  <w:num w:numId="4">
    <w:abstractNumId w:val="4"/>
  </w:num>
  <w:num w:numId="5">
    <w:abstractNumId w:val="7"/>
  </w:num>
  <w:num w:numId="6">
    <w:abstractNumId w:val="3"/>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TVlZDNiNjc4N2Y5YzJiNWY0NjQxMTBmZmRlYWU5ZTMifQ=="/>
    <w:docVar w:name="KSO_WPS_MARK_KEY" w:val="1e65d19a-4a83-4e3f-9f63-2d5fa83f520a"/>
  </w:docVars>
  <w:rsids>
    <w:rsidRoot w:val="00214960"/>
    <w:rsid w:val="00002413"/>
    <w:rsid w:val="000055F1"/>
    <w:rsid w:val="00011374"/>
    <w:rsid w:val="00011879"/>
    <w:rsid w:val="00013E63"/>
    <w:rsid w:val="000316C6"/>
    <w:rsid w:val="00037B77"/>
    <w:rsid w:val="000402F1"/>
    <w:rsid w:val="00046FCF"/>
    <w:rsid w:val="00050536"/>
    <w:rsid w:val="0005614D"/>
    <w:rsid w:val="00081E14"/>
    <w:rsid w:val="00082477"/>
    <w:rsid w:val="00082B97"/>
    <w:rsid w:val="00083903"/>
    <w:rsid w:val="00093BCF"/>
    <w:rsid w:val="000A1D9B"/>
    <w:rsid w:val="000A2B4A"/>
    <w:rsid w:val="000A5A91"/>
    <w:rsid w:val="000C00E9"/>
    <w:rsid w:val="000C302C"/>
    <w:rsid w:val="000E1E08"/>
    <w:rsid w:val="000E6EE3"/>
    <w:rsid w:val="000E790C"/>
    <w:rsid w:val="000F454E"/>
    <w:rsid w:val="000F6708"/>
    <w:rsid w:val="00112620"/>
    <w:rsid w:val="001315F7"/>
    <w:rsid w:val="001367E4"/>
    <w:rsid w:val="00166BA6"/>
    <w:rsid w:val="00174E72"/>
    <w:rsid w:val="00182DDD"/>
    <w:rsid w:val="001A115B"/>
    <w:rsid w:val="001B2F6F"/>
    <w:rsid w:val="001B3E12"/>
    <w:rsid w:val="001B7D1B"/>
    <w:rsid w:val="001C4982"/>
    <w:rsid w:val="001D6667"/>
    <w:rsid w:val="001D6E2E"/>
    <w:rsid w:val="001E03E1"/>
    <w:rsid w:val="001E053E"/>
    <w:rsid w:val="001E7E77"/>
    <w:rsid w:val="00206AE1"/>
    <w:rsid w:val="002076A9"/>
    <w:rsid w:val="00211307"/>
    <w:rsid w:val="00214960"/>
    <w:rsid w:val="0024033D"/>
    <w:rsid w:val="002433FF"/>
    <w:rsid w:val="002630BB"/>
    <w:rsid w:val="0026683C"/>
    <w:rsid w:val="0027649F"/>
    <w:rsid w:val="002B0613"/>
    <w:rsid w:val="002B70A3"/>
    <w:rsid w:val="002D74BE"/>
    <w:rsid w:val="002E01C1"/>
    <w:rsid w:val="002E0709"/>
    <w:rsid w:val="002E6413"/>
    <w:rsid w:val="002F4A4E"/>
    <w:rsid w:val="00320856"/>
    <w:rsid w:val="00321656"/>
    <w:rsid w:val="003225B3"/>
    <w:rsid w:val="00335F4C"/>
    <w:rsid w:val="00341C33"/>
    <w:rsid w:val="00342E4B"/>
    <w:rsid w:val="0036430C"/>
    <w:rsid w:val="00386046"/>
    <w:rsid w:val="00387F64"/>
    <w:rsid w:val="00395399"/>
    <w:rsid w:val="003B3A86"/>
    <w:rsid w:val="003B5315"/>
    <w:rsid w:val="003E264D"/>
    <w:rsid w:val="003F0CD8"/>
    <w:rsid w:val="0041346B"/>
    <w:rsid w:val="00414D94"/>
    <w:rsid w:val="00430A8D"/>
    <w:rsid w:val="00432778"/>
    <w:rsid w:val="0044023C"/>
    <w:rsid w:val="00463664"/>
    <w:rsid w:val="00470EB0"/>
    <w:rsid w:val="0047412F"/>
    <w:rsid w:val="0048288A"/>
    <w:rsid w:val="00483FFA"/>
    <w:rsid w:val="00490D1B"/>
    <w:rsid w:val="00490E47"/>
    <w:rsid w:val="00492069"/>
    <w:rsid w:val="004A3771"/>
    <w:rsid w:val="004A3940"/>
    <w:rsid w:val="004A76C3"/>
    <w:rsid w:val="004B4C8D"/>
    <w:rsid w:val="004B7934"/>
    <w:rsid w:val="004D26D4"/>
    <w:rsid w:val="004D7307"/>
    <w:rsid w:val="004E0C44"/>
    <w:rsid w:val="004E223B"/>
    <w:rsid w:val="004E6161"/>
    <w:rsid w:val="004F6A56"/>
    <w:rsid w:val="004F6E2F"/>
    <w:rsid w:val="005310E8"/>
    <w:rsid w:val="00532E51"/>
    <w:rsid w:val="00536A0A"/>
    <w:rsid w:val="00544AA5"/>
    <w:rsid w:val="005539A0"/>
    <w:rsid w:val="00563798"/>
    <w:rsid w:val="0056382E"/>
    <w:rsid w:val="00565C37"/>
    <w:rsid w:val="005669FA"/>
    <w:rsid w:val="00571FAE"/>
    <w:rsid w:val="00573168"/>
    <w:rsid w:val="00574458"/>
    <w:rsid w:val="005803C0"/>
    <w:rsid w:val="00593A62"/>
    <w:rsid w:val="005A001D"/>
    <w:rsid w:val="005D5D35"/>
    <w:rsid w:val="005D5F24"/>
    <w:rsid w:val="005E3273"/>
    <w:rsid w:val="005E452F"/>
    <w:rsid w:val="00600AE0"/>
    <w:rsid w:val="00614158"/>
    <w:rsid w:val="00617EE1"/>
    <w:rsid w:val="00636948"/>
    <w:rsid w:val="006434D5"/>
    <w:rsid w:val="0065611C"/>
    <w:rsid w:val="00657F4E"/>
    <w:rsid w:val="00663130"/>
    <w:rsid w:val="00670AD4"/>
    <w:rsid w:val="00674133"/>
    <w:rsid w:val="00675B41"/>
    <w:rsid w:val="00676D1C"/>
    <w:rsid w:val="00684476"/>
    <w:rsid w:val="006A69D5"/>
    <w:rsid w:val="006C3B91"/>
    <w:rsid w:val="006C5AAD"/>
    <w:rsid w:val="006C6C25"/>
    <w:rsid w:val="006C6EE7"/>
    <w:rsid w:val="006C7AD7"/>
    <w:rsid w:val="006D188A"/>
    <w:rsid w:val="006D572E"/>
    <w:rsid w:val="006D5D8F"/>
    <w:rsid w:val="006F4073"/>
    <w:rsid w:val="00715CEA"/>
    <w:rsid w:val="00725124"/>
    <w:rsid w:val="0072538D"/>
    <w:rsid w:val="0073048C"/>
    <w:rsid w:val="00732630"/>
    <w:rsid w:val="00737655"/>
    <w:rsid w:val="00737703"/>
    <w:rsid w:val="00743573"/>
    <w:rsid w:val="00747C26"/>
    <w:rsid w:val="00752C8E"/>
    <w:rsid w:val="00754420"/>
    <w:rsid w:val="00756FB6"/>
    <w:rsid w:val="00780F13"/>
    <w:rsid w:val="00781F7F"/>
    <w:rsid w:val="00784275"/>
    <w:rsid w:val="00790CFA"/>
    <w:rsid w:val="007A1A32"/>
    <w:rsid w:val="007A6B74"/>
    <w:rsid w:val="007B4CF7"/>
    <w:rsid w:val="007B6868"/>
    <w:rsid w:val="007B783A"/>
    <w:rsid w:val="007C1916"/>
    <w:rsid w:val="007D2D96"/>
    <w:rsid w:val="007D376D"/>
    <w:rsid w:val="007D65FF"/>
    <w:rsid w:val="007D6994"/>
    <w:rsid w:val="007E0773"/>
    <w:rsid w:val="007E45C5"/>
    <w:rsid w:val="007F3BF6"/>
    <w:rsid w:val="00814462"/>
    <w:rsid w:val="008229F7"/>
    <w:rsid w:val="00836DE1"/>
    <w:rsid w:val="008378FC"/>
    <w:rsid w:val="008505D1"/>
    <w:rsid w:val="00862AA0"/>
    <w:rsid w:val="008837E0"/>
    <w:rsid w:val="00892828"/>
    <w:rsid w:val="00897030"/>
    <w:rsid w:val="008C04AC"/>
    <w:rsid w:val="008D4A3B"/>
    <w:rsid w:val="008D58E7"/>
    <w:rsid w:val="008D7BB9"/>
    <w:rsid w:val="008E15A7"/>
    <w:rsid w:val="008E6DCB"/>
    <w:rsid w:val="009000EE"/>
    <w:rsid w:val="009046AD"/>
    <w:rsid w:val="00911C18"/>
    <w:rsid w:val="009205B2"/>
    <w:rsid w:val="009227A6"/>
    <w:rsid w:val="00932CDE"/>
    <w:rsid w:val="00935726"/>
    <w:rsid w:val="00942D83"/>
    <w:rsid w:val="0095200F"/>
    <w:rsid w:val="00952B08"/>
    <w:rsid w:val="00972C74"/>
    <w:rsid w:val="00980FCF"/>
    <w:rsid w:val="00986AC9"/>
    <w:rsid w:val="00992443"/>
    <w:rsid w:val="009A0CD5"/>
    <w:rsid w:val="009A34F7"/>
    <w:rsid w:val="009B0A53"/>
    <w:rsid w:val="009C15CF"/>
    <w:rsid w:val="009C3501"/>
    <w:rsid w:val="009C72EF"/>
    <w:rsid w:val="00A12152"/>
    <w:rsid w:val="00A1595E"/>
    <w:rsid w:val="00A21CFE"/>
    <w:rsid w:val="00A22F9D"/>
    <w:rsid w:val="00A245D8"/>
    <w:rsid w:val="00A24EB1"/>
    <w:rsid w:val="00A35D9D"/>
    <w:rsid w:val="00A40483"/>
    <w:rsid w:val="00A44A31"/>
    <w:rsid w:val="00A471BB"/>
    <w:rsid w:val="00A47B19"/>
    <w:rsid w:val="00A52B06"/>
    <w:rsid w:val="00A5683A"/>
    <w:rsid w:val="00A65F06"/>
    <w:rsid w:val="00A71915"/>
    <w:rsid w:val="00A76800"/>
    <w:rsid w:val="00A81D7A"/>
    <w:rsid w:val="00A8445B"/>
    <w:rsid w:val="00A919BE"/>
    <w:rsid w:val="00A95CED"/>
    <w:rsid w:val="00AA3CEC"/>
    <w:rsid w:val="00AB2D91"/>
    <w:rsid w:val="00AB31B7"/>
    <w:rsid w:val="00AC543A"/>
    <w:rsid w:val="00AD5462"/>
    <w:rsid w:val="00AD64CB"/>
    <w:rsid w:val="00AE38EE"/>
    <w:rsid w:val="00AF15F4"/>
    <w:rsid w:val="00AF57C3"/>
    <w:rsid w:val="00AF641B"/>
    <w:rsid w:val="00B000E2"/>
    <w:rsid w:val="00B03301"/>
    <w:rsid w:val="00B156D0"/>
    <w:rsid w:val="00B33007"/>
    <w:rsid w:val="00B41E87"/>
    <w:rsid w:val="00B45137"/>
    <w:rsid w:val="00B54B83"/>
    <w:rsid w:val="00B55B21"/>
    <w:rsid w:val="00B645CD"/>
    <w:rsid w:val="00B64C88"/>
    <w:rsid w:val="00B708D2"/>
    <w:rsid w:val="00B76800"/>
    <w:rsid w:val="00B81E51"/>
    <w:rsid w:val="00B96154"/>
    <w:rsid w:val="00B96A1D"/>
    <w:rsid w:val="00BB0B33"/>
    <w:rsid w:val="00BB10E9"/>
    <w:rsid w:val="00BB1C31"/>
    <w:rsid w:val="00BD3D75"/>
    <w:rsid w:val="00BD744C"/>
    <w:rsid w:val="00BE1545"/>
    <w:rsid w:val="00BF14E8"/>
    <w:rsid w:val="00BF4500"/>
    <w:rsid w:val="00BF728E"/>
    <w:rsid w:val="00C063B8"/>
    <w:rsid w:val="00C12A7B"/>
    <w:rsid w:val="00C2254C"/>
    <w:rsid w:val="00C4289D"/>
    <w:rsid w:val="00C563E4"/>
    <w:rsid w:val="00C608DC"/>
    <w:rsid w:val="00C60ADC"/>
    <w:rsid w:val="00C71C9D"/>
    <w:rsid w:val="00C71F70"/>
    <w:rsid w:val="00C73446"/>
    <w:rsid w:val="00C800CC"/>
    <w:rsid w:val="00C84172"/>
    <w:rsid w:val="00C86C79"/>
    <w:rsid w:val="00C91FC3"/>
    <w:rsid w:val="00CA7DE2"/>
    <w:rsid w:val="00CB2CA9"/>
    <w:rsid w:val="00CD2C0E"/>
    <w:rsid w:val="00CD6976"/>
    <w:rsid w:val="00CD7B86"/>
    <w:rsid w:val="00CE086A"/>
    <w:rsid w:val="00CE259A"/>
    <w:rsid w:val="00CE48D4"/>
    <w:rsid w:val="00D016ED"/>
    <w:rsid w:val="00D051B1"/>
    <w:rsid w:val="00D14223"/>
    <w:rsid w:val="00D20ECF"/>
    <w:rsid w:val="00D27661"/>
    <w:rsid w:val="00D333A2"/>
    <w:rsid w:val="00D44048"/>
    <w:rsid w:val="00D55B3B"/>
    <w:rsid w:val="00D64B87"/>
    <w:rsid w:val="00D6772C"/>
    <w:rsid w:val="00D67949"/>
    <w:rsid w:val="00D820A0"/>
    <w:rsid w:val="00D8424F"/>
    <w:rsid w:val="00D95D63"/>
    <w:rsid w:val="00DA54AE"/>
    <w:rsid w:val="00DA70F9"/>
    <w:rsid w:val="00DB3F71"/>
    <w:rsid w:val="00DC08C3"/>
    <w:rsid w:val="00DC0C7C"/>
    <w:rsid w:val="00DD390C"/>
    <w:rsid w:val="00DE78B7"/>
    <w:rsid w:val="00DF77F9"/>
    <w:rsid w:val="00E00B57"/>
    <w:rsid w:val="00E113BF"/>
    <w:rsid w:val="00E17F1A"/>
    <w:rsid w:val="00E227F3"/>
    <w:rsid w:val="00E23078"/>
    <w:rsid w:val="00E3395A"/>
    <w:rsid w:val="00E44091"/>
    <w:rsid w:val="00E54D24"/>
    <w:rsid w:val="00E6152B"/>
    <w:rsid w:val="00E62632"/>
    <w:rsid w:val="00E6283E"/>
    <w:rsid w:val="00E65C50"/>
    <w:rsid w:val="00E70954"/>
    <w:rsid w:val="00E7556F"/>
    <w:rsid w:val="00E80BC6"/>
    <w:rsid w:val="00E93FB6"/>
    <w:rsid w:val="00EB2319"/>
    <w:rsid w:val="00EB4B9B"/>
    <w:rsid w:val="00EB4D4E"/>
    <w:rsid w:val="00EC0D08"/>
    <w:rsid w:val="00EC5247"/>
    <w:rsid w:val="00ED0102"/>
    <w:rsid w:val="00ED5FC6"/>
    <w:rsid w:val="00EF0621"/>
    <w:rsid w:val="00EF33BC"/>
    <w:rsid w:val="00EF3EBB"/>
    <w:rsid w:val="00F0434F"/>
    <w:rsid w:val="00F063DB"/>
    <w:rsid w:val="00F06A88"/>
    <w:rsid w:val="00F12A5F"/>
    <w:rsid w:val="00F22941"/>
    <w:rsid w:val="00F26CC5"/>
    <w:rsid w:val="00F366DE"/>
    <w:rsid w:val="00F43B02"/>
    <w:rsid w:val="00F51B21"/>
    <w:rsid w:val="00F563F9"/>
    <w:rsid w:val="00F63D6E"/>
    <w:rsid w:val="00F65B25"/>
    <w:rsid w:val="00F666AF"/>
    <w:rsid w:val="00F711F6"/>
    <w:rsid w:val="00F722E6"/>
    <w:rsid w:val="00F752BA"/>
    <w:rsid w:val="00F77A5A"/>
    <w:rsid w:val="00FA3531"/>
    <w:rsid w:val="00FA5B54"/>
    <w:rsid w:val="00FA7068"/>
    <w:rsid w:val="00FB40B1"/>
    <w:rsid w:val="00FB4A74"/>
    <w:rsid w:val="00FD705E"/>
    <w:rsid w:val="00FE0F99"/>
    <w:rsid w:val="00FE16D5"/>
    <w:rsid w:val="00FE2B58"/>
    <w:rsid w:val="00FE2F7B"/>
    <w:rsid w:val="00FF42B1"/>
    <w:rsid w:val="00FF7240"/>
    <w:rsid w:val="010A6538"/>
    <w:rsid w:val="010F1DA1"/>
    <w:rsid w:val="01176EA7"/>
    <w:rsid w:val="01177834"/>
    <w:rsid w:val="0127533C"/>
    <w:rsid w:val="01333346"/>
    <w:rsid w:val="01342365"/>
    <w:rsid w:val="0156352C"/>
    <w:rsid w:val="016A347B"/>
    <w:rsid w:val="01714809"/>
    <w:rsid w:val="01C621A0"/>
    <w:rsid w:val="01E21263"/>
    <w:rsid w:val="0200793B"/>
    <w:rsid w:val="023A109F"/>
    <w:rsid w:val="023C4E17"/>
    <w:rsid w:val="024261A6"/>
    <w:rsid w:val="027A149C"/>
    <w:rsid w:val="028C11CF"/>
    <w:rsid w:val="028D7421"/>
    <w:rsid w:val="028E4F47"/>
    <w:rsid w:val="02CD1F13"/>
    <w:rsid w:val="02FC45A7"/>
    <w:rsid w:val="03086AA8"/>
    <w:rsid w:val="03131769"/>
    <w:rsid w:val="0317318F"/>
    <w:rsid w:val="03433F84"/>
    <w:rsid w:val="03455F4E"/>
    <w:rsid w:val="03465822"/>
    <w:rsid w:val="03561F09"/>
    <w:rsid w:val="035E2B6B"/>
    <w:rsid w:val="03667C72"/>
    <w:rsid w:val="037C7496"/>
    <w:rsid w:val="03810BB8"/>
    <w:rsid w:val="03906444"/>
    <w:rsid w:val="039C5442"/>
    <w:rsid w:val="03B7227C"/>
    <w:rsid w:val="03CA6453"/>
    <w:rsid w:val="03DB0660"/>
    <w:rsid w:val="03E312C3"/>
    <w:rsid w:val="042E253E"/>
    <w:rsid w:val="04367644"/>
    <w:rsid w:val="043D09D3"/>
    <w:rsid w:val="044004C3"/>
    <w:rsid w:val="04446205"/>
    <w:rsid w:val="04575F38"/>
    <w:rsid w:val="04602913"/>
    <w:rsid w:val="04774D75"/>
    <w:rsid w:val="047A39D5"/>
    <w:rsid w:val="0482288A"/>
    <w:rsid w:val="0486237A"/>
    <w:rsid w:val="04936845"/>
    <w:rsid w:val="049820AD"/>
    <w:rsid w:val="049F51EA"/>
    <w:rsid w:val="04E11CA6"/>
    <w:rsid w:val="04E43544"/>
    <w:rsid w:val="04EB6681"/>
    <w:rsid w:val="04FC43EA"/>
    <w:rsid w:val="050D65F7"/>
    <w:rsid w:val="0534627A"/>
    <w:rsid w:val="053E2C54"/>
    <w:rsid w:val="05410997"/>
    <w:rsid w:val="054B5371"/>
    <w:rsid w:val="054F4BDD"/>
    <w:rsid w:val="055E50A5"/>
    <w:rsid w:val="05746676"/>
    <w:rsid w:val="057E74F5"/>
    <w:rsid w:val="05B253F0"/>
    <w:rsid w:val="05B44CC5"/>
    <w:rsid w:val="05F15F19"/>
    <w:rsid w:val="05F23A3F"/>
    <w:rsid w:val="061B4D44"/>
    <w:rsid w:val="064047AA"/>
    <w:rsid w:val="064249C6"/>
    <w:rsid w:val="0659794D"/>
    <w:rsid w:val="066C559F"/>
    <w:rsid w:val="06823015"/>
    <w:rsid w:val="068428E9"/>
    <w:rsid w:val="069114AA"/>
    <w:rsid w:val="06915006"/>
    <w:rsid w:val="06971098"/>
    <w:rsid w:val="06A0349B"/>
    <w:rsid w:val="06A42F8B"/>
    <w:rsid w:val="06AC0092"/>
    <w:rsid w:val="06B37672"/>
    <w:rsid w:val="06D03D80"/>
    <w:rsid w:val="06D373CC"/>
    <w:rsid w:val="06DE31F4"/>
    <w:rsid w:val="07245E7A"/>
    <w:rsid w:val="072E6CF9"/>
    <w:rsid w:val="07300CC3"/>
    <w:rsid w:val="073D0CEA"/>
    <w:rsid w:val="073F4A62"/>
    <w:rsid w:val="07554285"/>
    <w:rsid w:val="075E75DE"/>
    <w:rsid w:val="07660241"/>
    <w:rsid w:val="076F5347"/>
    <w:rsid w:val="07807554"/>
    <w:rsid w:val="07837045"/>
    <w:rsid w:val="078A2181"/>
    <w:rsid w:val="07CD02C0"/>
    <w:rsid w:val="07F4584C"/>
    <w:rsid w:val="08071A24"/>
    <w:rsid w:val="080D4B60"/>
    <w:rsid w:val="08232E32"/>
    <w:rsid w:val="082425D6"/>
    <w:rsid w:val="086F75C9"/>
    <w:rsid w:val="089A2898"/>
    <w:rsid w:val="089F7EAE"/>
    <w:rsid w:val="08B80F70"/>
    <w:rsid w:val="08F63846"/>
    <w:rsid w:val="08FD2E27"/>
    <w:rsid w:val="091F0FEF"/>
    <w:rsid w:val="09297778"/>
    <w:rsid w:val="0946032A"/>
    <w:rsid w:val="09532A47"/>
    <w:rsid w:val="09664528"/>
    <w:rsid w:val="098E3A7F"/>
    <w:rsid w:val="09C83435"/>
    <w:rsid w:val="09CB082F"/>
    <w:rsid w:val="09D43B87"/>
    <w:rsid w:val="09E244F6"/>
    <w:rsid w:val="09ED0EE7"/>
    <w:rsid w:val="0A002BCE"/>
    <w:rsid w:val="0A171CC6"/>
    <w:rsid w:val="0A193C90"/>
    <w:rsid w:val="0A2914D6"/>
    <w:rsid w:val="0A2F0DBE"/>
    <w:rsid w:val="0A474359"/>
    <w:rsid w:val="0A4F76B2"/>
    <w:rsid w:val="0A60541B"/>
    <w:rsid w:val="0A7964DD"/>
    <w:rsid w:val="0A8A06EA"/>
    <w:rsid w:val="0A982E07"/>
    <w:rsid w:val="0AB47432"/>
    <w:rsid w:val="0AB87BD1"/>
    <w:rsid w:val="0ACB31DC"/>
    <w:rsid w:val="0ACE2BAA"/>
    <w:rsid w:val="0AEF4230"/>
    <w:rsid w:val="0B107D8C"/>
    <w:rsid w:val="0B163D2C"/>
    <w:rsid w:val="0B2E376B"/>
    <w:rsid w:val="0B310B66"/>
    <w:rsid w:val="0B61144B"/>
    <w:rsid w:val="0B662F05"/>
    <w:rsid w:val="0B7F5D75"/>
    <w:rsid w:val="0B9D61FB"/>
    <w:rsid w:val="0BAD4690"/>
    <w:rsid w:val="0BAD643E"/>
    <w:rsid w:val="0BF56037"/>
    <w:rsid w:val="0C264442"/>
    <w:rsid w:val="0C2801BA"/>
    <w:rsid w:val="0C3152C1"/>
    <w:rsid w:val="0C460641"/>
    <w:rsid w:val="0C476893"/>
    <w:rsid w:val="0C607954"/>
    <w:rsid w:val="0C790A16"/>
    <w:rsid w:val="0C7B29E0"/>
    <w:rsid w:val="0CFE46F5"/>
    <w:rsid w:val="0CFF716D"/>
    <w:rsid w:val="0D29243C"/>
    <w:rsid w:val="0D2E7A52"/>
    <w:rsid w:val="0D4234FE"/>
    <w:rsid w:val="0D4903E8"/>
    <w:rsid w:val="0D5648B3"/>
    <w:rsid w:val="0D5D5C42"/>
    <w:rsid w:val="0D933D59"/>
    <w:rsid w:val="0DD57ECE"/>
    <w:rsid w:val="0DED5218"/>
    <w:rsid w:val="0DFE5677"/>
    <w:rsid w:val="0E1053AA"/>
    <w:rsid w:val="0E250E55"/>
    <w:rsid w:val="0E39045D"/>
    <w:rsid w:val="0E807E3A"/>
    <w:rsid w:val="0E8611C8"/>
    <w:rsid w:val="0EAF4BC3"/>
    <w:rsid w:val="0EBD766F"/>
    <w:rsid w:val="0ECE5049"/>
    <w:rsid w:val="0F0740B7"/>
    <w:rsid w:val="0F340C24"/>
    <w:rsid w:val="0F707EAE"/>
    <w:rsid w:val="0F87344A"/>
    <w:rsid w:val="0FA83AEC"/>
    <w:rsid w:val="0FBC30F4"/>
    <w:rsid w:val="0FC91CB4"/>
    <w:rsid w:val="0FCB1589"/>
    <w:rsid w:val="0FD77F2D"/>
    <w:rsid w:val="0FE32D76"/>
    <w:rsid w:val="0FEC475D"/>
    <w:rsid w:val="0FED3F88"/>
    <w:rsid w:val="101271B8"/>
    <w:rsid w:val="101D6766"/>
    <w:rsid w:val="103326DC"/>
    <w:rsid w:val="10374E70"/>
    <w:rsid w:val="10433815"/>
    <w:rsid w:val="10445048"/>
    <w:rsid w:val="105570A4"/>
    <w:rsid w:val="10A51DDA"/>
    <w:rsid w:val="11036B00"/>
    <w:rsid w:val="11164A85"/>
    <w:rsid w:val="11194576"/>
    <w:rsid w:val="11196324"/>
    <w:rsid w:val="11380EA0"/>
    <w:rsid w:val="113B44EC"/>
    <w:rsid w:val="116457F1"/>
    <w:rsid w:val="116E6670"/>
    <w:rsid w:val="117F6ACF"/>
    <w:rsid w:val="118B5473"/>
    <w:rsid w:val="1193257A"/>
    <w:rsid w:val="11AB1672"/>
    <w:rsid w:val="11B20C52"/>
    <w:rsid w:val="11C24C0D"/>
    <w:rsid w:val="11C52008"/>
    <w:rsid w:val="11C6025A"/>
    <w:rsid w:val="11D02E86"/>
    <w:rsid w:val="11D84431"/>
    <w:rsid w:val="11EE155E"/>
    <w:rsid w:val="1202500A"/>
    <w:rsid w:val="12211934"/>
    <w:rsid w:val="122356AC"/>
    <w:rsid w:val="123E4294"/>
    <w:rsid w:val="12443874"/>
    <w:rsid w:val="126B6F53"/>
    <w:rsid w:val="127C6B6A"/>
    <w:rsid w:val="127F48AC"/>
    <w:rsid w:val="1292638E"/>
    <w:rsid w:val="129E2F84"/>
    <w:rsid w:val="12AE1275"/>
    <w:rsid w:val="12BA7692"/>
    <w:rsid w:val="131E0E7A"/>
    <w:rsid w:val="13201BEB"/>
    <w:rsid w:val="132711CC"/>
    <w:rsid w:val="1332191F"/>
    <w:rsid w:val="134A310C"/>
    <w:rsid w:val="13541895"/>
    <w:rsid w:val="136441CE"/>
    <w:rsid w:val="13960100"/>
    <w:rsid w:val="13985C26"/>
    <w:rsid w:val="13A97E33"/>
    <w:rsid w:val="13E42C19"/>
    <w:rsid w:val="13EB21F9"/>
    <w:rsid w:val="13FD017F"/>
    <w:rsid w:val="140137CB"/>
    <w:rsid w:val="14264FE0"/>
    <w:rsid w:val="143A6CDD"/>
    <w:rsid w:val="14531B4D"/>
    <w:rsid w:val="14643D5A"/>
    <w:rsid w:val="146A5814"/>
    <w:rsid w:val="146B50E8"/>
    <w:rsid w:val="147A17CF"/>
    <w:rsid w:val="147F2942"/>
    <w:rsid w:val="14A405FA"/>
    <w:rsid w:val="14A95C11"/>
    <w:rsid w:val="14B561ED"/>
    <w:rsid w:val="14C8078D"/>
    <w:rsid w:val="150F3CC6"/>
    <w:rsid w:val="151614F8"/>
    <w:rsid w:val="152534E9"/>
    <w:rsid w:val="15655FDB"/>
    <w:rsid w:val="15744470"/>
    <w:rsid w:val="15915022"/>
    <w:rsid w:val="15981F0D"/>
    <w:rsid w:val="15995C85"/>
    <w:rsid w:val="15AC7766"/>
    <w:rsid w:val="15B8435D"/>
    <w:rsid w:val="15BA6327"/>
    <w:rsid w:val="15BD1974"/>
    <w:rsid w:val="15C9656A"/>
    <w:rsid w:val="15DD5B72"/>
    <w:rsid w:val="15E72E94"/>
    <w:rsid w:val="16175528"/>
    <w:rsid w:val="163B0AEA"/>
    <w:rsid w:val="16465E0D"/>
    <w:rsid w:val="16766A42"/>
    <w:rsid w:val="16893F4C"/>
    <w:rsid w:val="16AE5760"/>
    <w:rsid w:val="16CB6312"/>
    <w:rsid w:val="16E11692"/>
    <w:rsid w:val="16E41182"/>
    <w:rsid w:val="16EB2510"/>
    <w:rsid w:val="170D06D9"/>
    <w:rsid w:val="175005C5"/>
    <w:rsid w:val="17620A24"/>
    <w:rsid w:val="1767428D"/>
    <w:rsid w:val="178A1D29"/>
    <w:rsid w:val="17987B29"/>
    <w:rsid w:val="179D7CAF"/>
    <w:rsid w:val="17B84AE8"/>
    <w:rsid w:val="17DB4333"/>
    <w:rsid w:val="17F378CF"/>
    <w:rsid w:val="17FB2C27"/>
    <w:rsid w:val="18115FA7"/>
    <w:rsid w:val="184E2D57"/>
    <w:rsid w:val="18534811"/>
    <w:rsid w:val="18550589"/>
    <w:rsid w:val="186B1B5B"/>
    <w:rsid w:val="187327BD"/>
    <w:rsid w:val="188906C2"/>
    <w:rsid w:val="18950986"/>
    <w:rsid w:val="18AB01A9"/>
    <w:rsid w:val="18C179CD"/>
    <w:rsid w:val="18FE652B"/>
    <w:rsid w:val="191C4C03"/>
    <w:rsid w:val="19322678"/>
    <w:rsid w:val="1988673C"/>
    <w:rsid w:val="198B3B37"/>
    <w:rsid w:val="19CE05F3"/>
    <w:rsid w:val="19CF1C75"/>
    <w:rsid w:val="19CF7EC7"/>
    <w:rsid w:val="19F93196"/>
    <w:rsid w:val="1A1104E0"/>
    <w:rsid w:val="1A381F10"/>
    <w:rsid w:val="1A824F3A"/>
    <w:rsid w:val="1A8C5DB8"/>
    <w:rsid w:val="1AA94BBC"/>
    <w:rsid w:val="1AC83294"/>
    <w:rsid w:val="1AE31E7C"/>
    <w:rsid w:val="1AE6371B"/>
    <w:rsid w:val="1AF916A0"/>
    <w:rsid w:val="1B1464DA"/>
    <w:rsid w:val="1B155DAE"/>
    <w:rsid w:val="1B171B26"/>
    <w:rsid w:val="1B1C713C"/>
    <w:rsid w:val="1B3426D8"/>
    <w:rsid w:val="1B440441"/>
    <w:rsid w:val="1B590390"/>
    <w:rsid w:val="1B617245"/>
    <w:rsid w:val="1B925650"/>
    <w:rsid w:val="1B9273FE"/>
    <w:rsid w:val="1B99253B"/>
    <w:rsid w:val="1BAA0BEC"/>
    <w:rsid w:val="1BD87507"/>
    <w:rsid w:val="1BDE0896"/>
    <w:rsid w:val="1BF956CF"/>
    <w:rsid w:val="1C2344FA"/>
    <w:rsid w:val="1C2E35CB"/>
    <w:rsid w:val="1C411611"/>
    <w:rsid w:val="1C5B1EE6"/>
    <w:rsid w:val="1CC21F65"/>
    <w:rsid w:val="1CCE090A"/>
    <w:rsid w:val="1CE912A0"/>
    <w:rsid w:val="1CFC7225"/>
    <w:rsid w:val="1D047E88"/>
    <w:rsid w:val="1D1C78C7"/>
    <w:rsid w:val="1D1F1166"/>
    <w:rsid w:val="1D464944"/>
    <w:rsid w:val="1D4806BC"/>
    <w:rsid w:val="1D646B79"/>
    <w:rsid w:val="1D6D0123"/>
    <w:rsid w:val="1D796AC8"/>
    <w:rsid w:val="1D943902"/>
    <w:rsid w:val="1D994A74"/>
    <w:rsid w:val="1DCD2970"/>
    <w:rsid w:val="1DDE692B"/>
    <w:rsid w:val="1DE101C9"/>
    <w:rsid w:val="1DF24184"/>
    <w:rsid w:val="1E0345C4"/>
    <w:rsid w:val="1E17008E"/>
    <w:rsid w:val="1E197963"/>
    <w:rsid w:val="1E3429EF"/>
    <w:rsid w:val="1E4569AA"/>
    <w:rsid w:val="1E7E3C6A"/>
    <w:rsid w:val="1E957931"/>
    <w:rsid w:val="1E960FB4"/>
    <w:rsid w:val="1EA01E32"/>
    <w:rsid w:val="1EB51D82"/>
    <w:rsid w:val="1EC45B21"/>
    <w:rsid w:val="1ECC0E79"/>
    <w:rsid w:val="1F0976B2"/>
    <w:rsid w:val="1F1620F4"/>
    <w:rsid w:val="1F1C595D"/>
    <w:rsid w:val="1F4924CA"/>
    <w:rsid w:val="1F550E6F"/>
    <w:rsid w:val="1F645556"/>
    <w:rsid w:val="1F705CA9"/>
    <w:rsid w:val="1F721A21"/>
    <w:rsid w:val="1F777037"/>
    <w:rsid w:val="1F7A2683"/>
    <w:rsid w:val="1F923E71"/>
    <w:rsid w:val="1FA6791C"/>
    <w:rsid w:val="1FAE057F"/>
    <w:rsid w:val="1FB5190D"/>
    <w:rsid w:val="1FE67D19"/>
    <w:rsid w:val="201E3957"/>
    <w:rsid w:val="20384A18"/>
    <w:rsid w:val="20390790"/>
    <w:rsid w:val="203C5DBA"/>
    <w:rsid w:val="20407429"/>
    <w:rsid w:val="20450EE3"/>
    <w:rsid w:val="20631369"/>
    <w:rsid w:val="209D2ACD"/>
    <w:rsid w:val="209D487B"/>
    <w:rsid w:val="20C718F8"/>
    <w:rsid w:val="20DD736E"/>
    <w:rsid w:val="213F3B84"/>
    <w:rsid w:val="21486EDD"/>
    <w:rsid w:val="21717AB6"/>
    <w:rsid w:val="21725D08"/>
    <w:rsid w:val="21902632"/>
    <w:rsid w:val="21A8172A"/>
    <w:rsid w:val="21A8797C"/>
    <w:rsid w:val="21BA76AF"/>
    <w:rsid w:val="21BF4CC5"/>
    <w:rsid w:val="21CB18BC"/>
    <w:rsid w:val="21E14C3C"/>
    <w:rsid w:val="21FC7CC7"/>
    <w:rsid w:val="222C235B"/>
    <w:rsid w:val="223B07F0"/>
    <w:rsid w:val="22561186"/>
    <w:rsid w:val="22596EC8"/>
    <w:rsid w:val="227E248B"/>
    <w:rsid w:val="22873A35"/>
    <w:rsid w:val="22A04AF7"/>
    <w:rsid w:val="22A939AB"/>
    <w:rsid w:val="22D8603F"/>
    <w:rsid w:val="22E33C1A"/>
    <w:rsid w:val="22EE5862"/>
    <w:rsid w:val="22F664C5"/>
    <w:rsid w:val="230230BC"/>
    <w:rsid w:val="231177A3"/>
    <w:rsid w:val="23164DB9"/>
    <w:rsid w:val="2318643B"/>
    <w:rsid w:val="232079E6"/>
    <w:rsid w:val="23224961"/>
    <w:rsid w:val="2329689A"/>
    <w:rsid w:val="232C638A"/>
    <w:rsid w:val="233A0AA7"/>
    <w:rsid w:val="233B037C"/>
    <w:rsid w:val="233F60BE"/>
    <w:rsid w:val="23580F2E"/>
    <w:rsid w:val="23607DE2"/>
    <w:rsid w:val="23825FAA"/>
    <w:rsid w:val="23AE0B4E"/>
    <w:rsid w:val="23CD191B"/>
    <w:rsid w:val="243E45C7"/>
    <w:rsid w:val="246B6A3F"/>
    <w:rsid w:val="246D27B7"/>
    <w:rsid w:val="247104F9"/>
    <w:rsid w:val="24763D61"/>
    <w:rsid w:val="247E49C4"/>
    <w:rsid w:val="248A3369"/>
    <w:rsid w:val="248F4E23"/>
    <w:rsid w:val="249E17AF"/>
    <w:rsid w:val="24AF4B7D"/>
    <w:rsid w:val="25186BC6"/>
    <w:rsid w:val="251A0B90"/>
    <w:rsid w:val="254554E2"/>
    <w:rsid w:val="254C2D14"/>
    <w:rsid w:val="25951FC5"/>
    <w:rsid w:val="259D0E7A"/>
    <w:rsid w:val="25E22D30"/>
    <w:rsid w:val="25F0369F"/>
    <w:rsid w:val="25FE400E"/>
    <w:rsid w:val="260E7FC9"/>
    <w:rsid w:val="26190E48"/>
    <w:rsid w:val="261F3F85"/>
    <w:rsid w:val="265A4FBD"/>
    <w:rsid w:val="265A6D6B"/>
    <w:rsid w:val="26751DF6"/>
    <w:rsid w:val="26832765"/>
    <w:rsid w:val="268362C1"/>
    <w:rsid w:val="26A60202"/>
    <w:rsid w:val="26A76454"/>
    <w:rsid w:val="26AD77E2"/>
    <w:rsid w:val="26C32B62"/>
    <w:rsid w:val="271B246D"/>
    <w:rsid w:val="27277595"/>
    <w:rsid w:val="272F1FA5"/>
    <w:rsid w:val="273D0B66"/>
    <w:rsid w:val="274912B9"/>
    <w:rsid w:val="27710810"/>
    <w:rsid w:val="277327DA"/>
    <w:rsid w:val="27A6495D"/>
    <w:rsid w:val="27A91D58"/>
    <w:rsid w:val="27B84691"/>
    <w:rsid w:val="27C070A1"/>
    <w:rsid w:val="27C941A8"/>
    <w:rsid w:val="27D112AE"/>
    <w:rsid w:val="280E2503"/>
    <w:rsid w:val="281C077C"/>
    <w:rsid w:val="282F4953"/>
    <w:rsid w:val="283C2BCC"/>
    <w:rsid w:val="284303FE"/>
    <w:rsid w:val="28550131"/>
    <w:rsid w:val="286D547B"/>
    <w:rsid w:val="28702875"/>
    <w:rsid w:val="28920A3E"/>
    <w:rsid w:val="28996270"/>
    <w:rsid w:val="289B1FE8"/>
    <w:rsid w:val="289C18BC"/>
    <w:rsid w:val="28C52BC1"/>
    <w:rsid w:val="28C64B8B"/>
    <w:rsid w:val="28DC43AF"/>
    <w:rsid w:val="28E53263"/>
    <w:rsid w:val="290C6A42"/>
    <w:rsid w:val="29211DC2"/>
    <w:rsid w:val="294A57BC"/>
    <w:rsid w:val="295D729E"/>
    <w:rsid w:val="298F4F7D"/>
    <w:rsid w:val="29946A38"/>
    <w:rsid w:val="29A6176B"/>
    <w:rsid w:val="29BB2216"/>
    <w:rsid w:val="29C46CC1"/>
    <w:rsid w:val="29CE019B"/>
    <w:rsid w:val="29CF181E"/>
    <w:rsid w:val="29D60DFE"/>
    <w:rsid w:val="29FD22B4"/>
    <w:rsid w:val="2A0140CD"/>
    <w:rsid w:val="2A4C2E6E"/>
    <w:rsid w:val="2A5F2BA2"/>
    <w:rsid w:val="2A726D79"/>
    <w:rsid w:val="2A7A5C2D"/>
    <w:rsid w:val="2A862824"/>
    <w:rsid w:val="2A8E3487"/>
    <w:rsid w:val="2AA84549"/>
    <w:rsid w:val="2AB23619"/>
    <w:rsid w:val="2AD01CF1"/>
    <w:rsid w:val="2ADB491E"/>
    <w:rsid w:val="2AF21C68"/>
    <w:rsid w:val="2AF23A16"/>
    <w:rsid w:val="2B0D4CF3"/>
    <w:rsid w:val="2B1020EE"/>
    <w:rsid w:val="2B156BC4"/>
    <w:rsid w:val="2B1E0CAF"/>
    <w:rsid w:val="2B4D50F0"/>
    <w:rsid w:val="2B591CE7"/>
    <w:rsid w:val="2B6366C1"/>
    <w:rsid w:val="2B77216D"/>
    <w:rsid w:val="2B786611"/>
    <w:rsid w:val="2BA016C4"/>
    <w:rsid w:val="2BA57F39"/>
    <w:rsid w:val="2BCA4992"/>
    <w:rsid w:val="2BDB6BA0"/>
    <w:rsid w:val="2C1300E8"/>
    <w:rsid w:val="2C1C3440"/>
    <w:rsid w:val="2C416A03"/>
    <w:rsid w:val="2C4209CD"/>
    <w:rsid w:val="2C424529"/>
    <w:rsid w:val="2C624BCB"/>
    <w:rsid w:val="2C66290D"/>
    <w:rsid w:val="2C6C77F8"/>
    <w:rsid w:val="2C8654E0"/>
    <w:rsid w:val="2C884632"/>
    <w:rsid w:val="2C8B4122"/>
    <w:rsid w:val="2CB73169"/>
    <w:rsid w:val="2CE455E0"/>
    <w:rsid w:val="2D0D2D89"/>
    <w:rsid w:val="2D2307FE"/>
    <w:rsid w:val="2D377E06"/>
    <w:rsid w:val="2D426ED6"/>
    <w:rsid w:val="2D452523"/>
    <w:rsid w:val="2D4542D1"/>
    <w:rsid w:val="2D546C0A"/>
    <w:rsid w:val="2DAF5BEE"/>
    <w:rsid w:val="2DD815E9"/>
    <w:rsid w:val="2DD9710F"/>
    <w:rsid w:val="2DDD275B"/>
    <w:rsid w:val="2DE24215"/>
    <w:rsid w:val="2DF950BB"/>
    <w:rsid w:val="2DFE26D1"/>
    <w:rsid w:val="2E255EB0"/>
    <w:rsid w:val="2E400F3C"/>
    <w:rsid w:val="2E4647A4"/>
    <w:rsid w:val="2E514EF7"/>
    <w:rsid w:val="2E725511"/>
    <w:rsid w:val="2E734E6D"/>
    <w:rsid w:val="2E755089"/>
    <w:rsid w:val="2E8250B1"/>
    <w:rsid w:val="2EE22ADE"/>
    <w:rsid w:val="2F126434"/>
    <w:rsid w:val="2F416D1A"/>
    <w:rsid w:val="2F8A6913"/>
    <w:rsid w:val="2F917CA1"/>
    <w:rsid w:val="2FA07EE4"/>
    <w:rsid w:val="301663F8"/>
    <w:rsid w:val="30183F1E"/>
    <w:rsid w:val="30197C97"/>
    <w:rsid w:val="301E705B"/>
    <w:rsid w:val="306B6744"/>
    <w:rsid w:val="307B44AD"/>
    <w:rsid w:val="307C26FF"/>
    <w:rsid w:val="30AC28B9"/>
    <w:rsid w:val="30B005FB"/>
    <w:rsid w:val="30BF439A"/>
    <w:rsid w:val="30C45E54"/>
    <w:rsid w:val="30D616E4"/>
    <w:rsid w:val="30DA5678"/>
    <w:rsid w:val="30DC13F0"/>
    <w:rsid w:val="30E6401D"/>
    <w:rsid w:val="310B2917"/>
    <w:rsid w:val="31434FCB"/>
    <w:rsid w:val="31662A68"/>
    <w:rsid w:val="316663BE"/>
    <w:rsid w:val="319C46DB"/>
    <w:rsid w:val="31A517E2"/>
    <w:rsid w:val="31B9703B"/>
    <w:rsid w:val="31C559E0"/>
    <w:rsid w:val="31D43E75"/>
    <w:rsid w:val="31E16592"/>
    <w:rsid w:val="31F75DB5"/>
    <w:rsid w:val="320C1861"/>
    <w:rsid w:val="32696CB3"/>
    <w:rsid w:val="328E671A"/>
    <w:rsid w:val="329D4BAF"/>
    <w:rsid w:val="32A970B0"/>
    <w:rsid w:val="32B37F2E"/>
    <w:rsid w:val="32F80037"/>
    <w:rsid w:val="330C5891"/>
    <w:rsid w:val="33134E71"/>
    <w:rsid w:val="33274478"/>
    <w:rsid w:val="332E1CAB"/>
    <w:rsid w:val="333F7A14"/>
    <w:rsid w:val="334212B2"/>
    <w:rsid w:val="337E053C"/>
    <w:rsid w:val="33872BA2"/>
    <w:rsid w:val="33945FB2"/>
    <w:rsid w:val="33AB32FB"/>
    <w:rsid w:val="33AB50A9"/>
    <w:rsid w:val="33C70135"/>
    <w:rsid w:val="33CD5020"/>
    <w:rsid w:val="33E5680D"/>
    <w:rsid w:val="33F97BC3"/>
    <w:rsid w:val="341D7D55"/>
    <w:rsid w:val="34502058"/>
    <w:rsid w:val="34873421"/>
    <w:rsid w:val="3491604D"/>
    <w:rsid w:val="349B6ECC"/>
    <w:rsid w:val="34B47F8E"/>
    <w:rsid w:val="34DA5C46"/>
    <w:rsid w:val="34F52A80"/>
    <w:rsid w:val="34FC3E0F"/>
    <w:rsid w:val="351D5B33"/>
    <w:rsid w:val="352275ED"/>
    <w:rsid w:val="353A66E5"/>
    <w:rsid w:val="353E4427"/>
    <w:rsid w:val="3546508A"/>
    <w:rsid w:val="35683252"/>
    <w:rsid w:val="358B6F41"/>
    <w:rsid w:val="35AE2C2F"/>
    <w:rsid w:val="35B00755"/>
    <w:rsid w:val="35C16E06"/>
    <w:rsid w:val="35C81F43"/>
    <w:rsid w:val="35CF1523"/>
    <w:rsid w:val="35D46B3A"/>
    <w:rsid w:val="35F25212"/>
    <w:rsid w:val="35FA5E74"/>
    <w:rsid w:val="360B1E2F"/>
    <w:rsid w:val="360F1920"/>
    <w:rsid w:val="360F36CE"/>
    <w:rsid w:val="36252EF1"/>
    <w:rsid w:val="363C023B"/>
    <w:rsid w:val="363E3FB3"/>
    <w:rsid w:val="3659703F"/>
    <w:rsid w:val="366C4FC4"/>
    <w:rsid w:val="366F0610"/>
    <w:rsid w:val="36A54032"/>
    <w:rsid w:val="36D84407"/>
    <w:rsid w:val="370C2303"/>
    <w:rsid w:val="37117919"/>
    <w:rsid w:val="37411FAD"/>
    <w:rsid w:val="374970B3"/>
    <w:rsid w:val="377723FE"/>
    <w:rsid w:val="378400EB"/>
    <w:rsid w:val="37936580"/>
    <w:rsid w:val="37B207B5"/>
    <w:rsid w:val="37CE75B8"/>
    <w:rsid w:val="37D921E5"/>
    <w:rsid w:val="37DC1CD5"/>
    <w:rsid w:val="37E82428"/>
    <w:rsid w:val="37FC4126"/>
    <w:rsid w:val="3825367C"/>
    <w:rsid w:val="382F0057"/>
    <w:rsid w:val="385950D4"/>
    <w:rsid w:val="387463B2"/>
    <w:rsid w:val="387C0DC3"/>
    <w:rsid w:val="38A41449"/>
    <w:rsid w:val="38B16CBE"/>
    <w:rsid w:val="38B30C88"/>
    <w:rsid w:val="38B36EDA"/>
    <w:rsid w:val="38B92017"/>
    <w:rsid w:val="38C05153"/>
    <w:rsid w:val="38FF3ECD"/>
    <w:rsid w:val="393578EF"/>
    <w:rsid w:val="393873DF"/>
    <w:rsid w:val="39535FC7"/>
    <w:rsid w:val="397228F1"/>
    <w:rsid w:val="397877DC"/>
    <w:rsid w:val="39953421"/>
    <w:rsid w:val="39A93E39"/>
    <w:rsid w:val="39AE31FE"/>
    <w:rsid w:val="39C649EB"/>
    <w:rsid w:val="3A086DB2"/>
    <w:rsid w:val="3A145757"/>
    <w:rsid w:val="3A1A0893"/>
    <w:rsid w:val="3A1C285D"/>
    <w:rsid w:val="3A241712"/>
    <w:rsid w:val="3A282FB0"/>
    <w:rsid w:val="3A2D6818"/>
    <w:rsid w:val="3A4A561C"/>
    <w:rsid w:val="3A9C399E"/>
    <w:rsid w:val="3AA80595"/>
    <w:rsid w:val="3AB94E96"/>
    <w:rsid w:val="3ABF3ABC"/>
    <w:rsid w:val="3AC0768C"/>
    <w:rsid w:val="3AC21656"/>
    <w:rsid w:val="3B0752BB"/>
    <w:rsid w:val="3B117EE8"/>
    <w:rsid w:val="3B297B13"/>
    <w:rsid w:val="3B2A0FAA"/>
    <w:rsid w:val="3B443E1A"/>
    <w:rsid w:val="3B4B164C"/>
    <w:rsid w:val="3B5322AF"/>
    <w:rsid w:val="3B602C1D"/>
    <w:rsid w:val="3B9528C7"/>
    <w:rsid w:val="3BA0301A"/>
    <w:rsid w:val="3BB645EB"/>
    <w:rsid w:val="3BCF7C34"/>
    <w:rsid w:val="3BD056AD"/>
    <w:rsid w:val="3BDC04F6"/>
    <w:rsid w:val="3BE473AB"/>
    <w:rsid w:val="3BFE66BE"/>
    <w:rsid w:val="3C0637C5"/>
    <w:rsid w:val="3C1F4887"/>
    <w:rsid w:val="3C4147FD"/>
    <w:rsid w:val="3C7C75E3"/>
    <w:rsid w:val="3C850B8E"/>
    <w:rsid w:val="3C964B49"/>
    <w:rsid w:val="3C97441D"/>
    <w:rsid w:val="3CC571DC"/>
    <w:rsid w:val="3CC64D02"/>
    <w:rsid w:val="3CC82828"/>
    <w:rsid w:val="3CD613E9"/>
    <w:rsid w:val="3CDB7AF6"/>
    <w:rsid w:val="3CEC29BB"/>
    <w:rsid w:val="3CF278A5"/>
    <w:rsid w:val="3D09356D"/>
    <w:rsid w:val="3D0A4004"/>
    <w:rsid w:val="3D163594"/>
    <w:rsid w:val="3D3B124C"/>
    <w:rsid w:val="3D3B749E"/>
    <w:rsid w:val="3D3D3216"/>
    <w:rsid w:val="3D4C16AB"/>
    <w:rsid w:val="3D536596"/>
    <w:rsid w:val="3DF8538F"/>
    <w:rsid w:val="3DFD29A6"/>
    <w:rsid w:val="3E045AE2"/>
    <w:rsid w:val="3E1321C9"/>
    <w:rsid w:val="3E135D25"/>
    <w:rsid w:val="3E2148E6"/>
    <w:rsid w:val="3E216694"/>
    <w:rsid w:val="3E6D3687"/>
    <w:rsid w:val="3E7013C9"/>
    <w:rsid w:val="3EA82911"/>
    <w:rsid w:val="3EAA48DB"/>
    <w:rsid w:val="3EEF6792"/>
    <w:rsid w:val="3EFB5137"/>
    <w:rsid w:val="3F067638"/>
    <w:rsid w:val="3F0D09C6"/>
    <w:rsid w:val="3F141D55"/>
    <w:rsid w:val="3F3441A5"/>
    <w:rsid w:val="3F375A43"/>
    <w:rsid w:val="3F4F5483"/>
    <w:rsid w:val="3F514D57"/>
    <w:rsid w:val="3F6251B6"/>
    <w:rsid w:val="3F7153F9"/>
    <w:rsid w:val="3F732F1F"/>
    <w:rsid w:val="3FB53538"/>
    <w:rsid w:val="3FD80FD4"/>
    <w:rsid w:val="3FE060DB"/>
    <w:rsid w:val="3FE11AF8"/>
    <w:rsid w:val="3FEB6F5A"/>
    <w:rsid w:val="3FF35E0E"/>
    <w:rsid w:val="40004E92"/>
    <w:rsid w:val="400C0C7E"/>
    <w:rsid w:val="40493C80"/>
    <w:rsid w:val="40642868"/>
    <w:rsid w:val="406E7B8B"/>
    <w:rsid w:val="407231D7"/>
    <w:rsid w:val="40774C91"/>
    <w:rsid w:val="40784565"/>
    <w:rsid w:val="40820BDD"/>
    <w:rsid w:val="408B6047"/>
    <w:rsid w:val="40B437EF"/>
    <w:rsid w:val="40B557B9"/>
    <w:rsid w:val="40B82BB4"/>
    <w:rsid w:val="40C652D1"/>
    <w:rsid w:val="40DC3C53"/>
    <w:rsid w:val="40DC68A2"/>
    <w:rsid w:val="41083B3B"/>
    <w:rsid w:val="41151DB4"/>
    <w:rsid w:val="41265D6F"/>
    <w:rsid w:val="412C782A"/>
    <w:rsid w:val="41384420"/>
    <w:rsid w:val="41395AA3"/>
    <w:rsid w:val="41546D80"/>
    <w:rsid w:val="416074D3"/>
    <w:rsid w:val="416D1BF0"/>
    <w:rsid w:val="417D0085"/>
    <w:rsid w:val="41807B75"/>
    <w:rsid w:val="41AC096A"/>
    <w:rsid w:val="41AF3FB7"/>
    <w:rsid w:val="41BB0BAE"/>
    <w:rsid w:val="41D13F2D"/>
    <w:rsid w:val="41F06AA9"/>
    <w:rsid w:val="41F63994"/>
    <w:rsid w:val="42022339"/>
    <w:rsid w:val="421D7172"/>
    <w:rsid w:val="422C1AAB"/>
    <w:rsid w:val="4258464E"/>
    <w:rsid w:val="42843695"/>
    <w:rsid w:val="429D6505"/>
    <w:rsid w:val="42B37AD7"/>
    <w:rsid w:val="42C35F6C"/>
    <w:rsid w:val="42D27F5D"/>
    <w:rsid w:val="42DD6902"/>
    <w:rsid w:val="42E163F2"/>
    <w:rsid w:val="432E715D"/>
    <w:rsid w:val="433B01F8"/>
    <w:rsid w:val="4359242C"/>
    <w:rsid w:val="436F39FE"/>
    <w:rsid w:val="43853221"/>
    <w:rsid w:val="43A22025"/>
    <w:rsid w:val="43A833B4"/>
    <w:rsid w:val="43B27D8E"/>
    <w:rsid w:val="43B34232"/>
    <w:rsid w:val="43BF2BD7"/>
    <w:rsid w:val="43D146B8"/>
    <w:rsid w:val="43DB72E5"/>
    <w:rsid w:val="43E97C54"/>
    <w:rsid w:val="44150A49"/>
    <w:rsid w:val="443609BF"/>
    <w:rsid w:val="4436451B"/>
    <w:rsid w:val="44627A06"/>
    <w:rsid w:val="44641089"/>
    <w:rsid w:val="447D65EE"/>
    <w:rsid w:val="44894F93"/>
    <w:rsid w:val="44A41DCD"/>
    <w:rsid w:val="44C10289"/>
    <w:rsid w:val="44D75CFE"/>
    <w:rsid w:val="44E93C84"/>
    <w:rsid w:val="44ED5522"/>
    <w:rsid w:val="44FA19ED"/>
    <w:rsid w:val="44FF34A7"/>
    <w:rsid w:val="45085EB8"/>
    <w:rsid w:val="450A60D4"/>
    <w:rsid w:val="451231DA"/>
    <w:rsid w:val="45232CF2"/>
    <w:rsid w:val="45264590"/>
    <w:rsid w:val="4528655A"/>
    <w:rsid w:val="453E5D7D"/>
    <w:rsid w:val="45517260"/>
    <w:rsid w:val="45592BB7"/>
    <w:rsid w:val="45594965"/>
    <w:rsid w:val="456D6663"/>
    <w:rsid w:val="4579514B"/>
    <w:rsid w:val="459E05CA"/>
    <w:rsid w:val="45B7168C"/>
    <w:rsid w:val="45B918A8"/>
    <w:rsid w:val="45C02C36"/>
    <w:rsid w:val="45CD7101"/>
    <w:rsid w:val="45EE77A4"/>
    <w:rsid w:val="46592743"/>
    <w:rsid w:val="466730B2"/>
    <w:rsid w:val="46C202E8"/>
    <w:rsid w:val="46D02A05"/>
    <w:rsid w:val="46E91F5A"/>
    <w:rsid w:val="46FF32EA"/>
    <w:rsid w:val="47213261"/>
    <w:rsid w:val="472D42FC"/>
    <w:rsid w:val="474D674C"/>
    <w:rsid w:val="47596E9F"/>
    <w:rsid w:val="475E44B5"/>
    <w:rsid w:val="4770243A"/>
    <w:rsid w:val="477F61D9"/>
    <w:rsid w:val="479566B3"/>
    <w:rsid w:val="47A520E4"/>
    <w:rsid w:val="47E30E5E"/>
    <w:rsid w:val="47E86474"/>
    <w:rsid w:val="480212E4"/>
    <w:rsid w:val="4803505C"/>
    <w:rsid w:val="480D2B8F"/>
    <w:rsid w:val="48147269"/>
    <w:rsid w:val="48256D81"/>
    <w:rsid w:val="48284AC3"/>
    <w:rsid w:val="48831CF9"/>
    <w:rsid w:val="48847F4B"/>
    <w:rsid w:val="48893B3F"/>
    <w:rsid w:val="48994F34"/>
    <w:rsid w:val="48BA1BBF"/>
    <w:rsid w:val="48BB67FB"/>
    <w:rsid w:val="48D16F09"/>
    <w:rsid w:val="48EC5AF0"/>
    <w:rsid w:val="48FD5F50"/>
    <w:rsid w:val="4900334A"/>
    <w:rsid w:val="490948F4"/>
    <w:rsid w:val="49180694"/>
    <w:rsid w:val="49184B37"/>
    <w:rsid w:val="49261002"/>
    <w:rsid w:val="49267254"/>
    <w:rsid w:val="49470F79"/>
    <w:rsid w:val="494D658F"/>
    <w:rsid w:val="49B02FC2"/>
    <w:rsid w:val="49BC3715"/>
    <w:rsid w:val="49C10D2B"/>
    <w:rsid w:val="49E8450A"/>
    <w:rsid w:val="49E862B8"/>
    <w:rsid w:val="4A2117CA"/>
    <w:rsid w:val="4A2B43F6"/>
    <w:rsid w:val="4A2D4613"/>
    <w:rsid w:val="4A31246C"/>
    <w:rsid w:val="4A471230"/>
    <w:rsid w:val="4A5D4EF8"/>
    <w:rsid w:val="4A6718D3"/>
    <w:rsid w:val="4A7D4C52"/>
    <w:rsid w:val="4A985F30"/>
    <w:rsid w:val="4A9A0128"/>
    <w:rsid w:val="4AAA17BF"/>
    <w:rsid w:val="4AB83EDC"/>
    <w:rsid w:val="4ABA40F8"/>
    <w:rsid w:val="4ACE3700"/>
    <w:rsid w:val="4AE9678B"/>
    <w:rsid w:val="4AF64A04"/>
    <w:rsid w:val="4AFD2237"/>
    <w:rsid w:val="4B137364"/>
    <w:rsid w:val="4B4E65EF"/>
    <w:rsid w:val="4B5005B9"/>
    <w:rsid w:val="4B553E21"/>
    <w:rsid w:val="4B5D6832"/>
    <w:rsid w:val="4B5F0424"/>
    <w:rsid w:val="4B814C16"/>
    <w:rsid w:val="4B977F95"/>
    <w:rsid w:val="4B9C37FE"/>
    <w:rsid w:val="4BCD39B7"/>
    <w:rsid w:val="4BD034A7"/>
    <w:rsid w:val="4BF61160"/>
    <w:rsid w:val="4BFC429C"/>
    <w:rsid w:val="4BFE1DC3"/>
    <w:rsid w:val="4C0118B3"/>
    <w:rsid w:val="4C182F36"/>
    <w:rsid w:val="4C231829"/>
    <w:rsid w:val="4C4874E2"/>
    <w:rsid w:val="4C865CD1"/>
    <w:rsid w:val="4CAA3CF8"/>
    <w:rsid w:val="4CB15087"/>
    <w:rsid w:val="4CD86AB8"/>
    <w:rsid w:val="4CEF5BAF"/>
    <w:rsid w:val="4CF136D5"/>
    <w:rsid w:val="4D094EC3"/>
    <w:rsid w:val="4D0C49B3"/>
    <w:rsid w:val="4D1F6494"/>
    <w:rsid w:val="4D2515D1"/>
    <w:rsid w:val="4D275349"/>
    <w:rsid w:val="4D297313"/>
    <w:rsid w:val="4D302450"/>
    <w:rsid w:val="4D493511"/>
    <w:rsid w:val="4D550108"/>
    <w:rsid w:val="4D5A127B"/>
    <w:rsid w:val="4D622825"/>
    <w:rsid w:val="4D754306"/>
    <w:rsid w:val="4D950505"/>
    <w:rsid w:val="4DBC0187"/>
    <w:rsid w:val="4DC25072"/>
    <w:rsid w:val="4DE66FB2"/>
    <w:rsid w:val="4DEF230B"/>
    <w:rsid w:val="4DF06083"/>
    <w:rsid w:val="4DF558A7"/>
    <w:rsid w:val="4DFC4A28"/>
    <w:rsid w:val="4E015B9A"/>
    <w:rsid w:val="4E1C29D4"/>
    <w:rsid w:val="4E235B10"/>
    <w:rsid w:val="4E2B70BB"/>
    <w:rsid w:val="4E361CE8"/>
    <w:rsid w:val="4E3B35B9"/>
    <w:rsid w:val="4E404914"/>
    <w:rsid w:val="4E6323B1"/>
    <w:rsid w:val="4E683E6B"/>
    <w:rsid w:val="4E6879C7"/>
    <w:rsid w:val="4E6A7BE3"/>
    <w:rsid w:val="4E964534"/>
    <w:rsid w:val="4E9E5ADF"/>
    <w:rsid w:val="4EB46D26"/>
    <w:rsid w:val="4EB64BD7"/>
    <w:rsid w:val="4EC015B1"/>
    <w:rsid w:val="4ECC264C"/>
    <w:rsid w:val="4EE94FAC"/>
    <w:rsid w:val="4EF676C9"/>
    <w:rsid w:val="4EF94AC3"/>
    <w:rsid w:val="4EFA0F67"/>
    <w:rsid w:val="4F111E0D"/>
    <w:rsid w:val="4F135B85"/>
    <w:rsid w:val="4F144D58"/>
    <w:rsid w:val="4F2064F4"/>
    <w:rsid w:val="4F2204BE"/>
    <w:rsid w:val="4F253B0A"/>
    <w:rsid w:val="4F302BDB"/>
    <w:rsid w:val="4F31425D"/>
    <w:rsid w:val="4F367AC5"/>
    <w:rsid w:val="4F560168"/>
    <w:rsid w:val="4F624D5E"/>
    <w:rsid w:val="4F701229"/>
    <w:rsid w:val="4F74239C"/>
    <w:rsid w:val="4F9E0EAE"/>
    <w:rsid w:val="4FA964E9"/>
    <w:rsid w:val="4FAD0B24"/>
    <w:rsid w:val="4FBF5D0D"/>
    <w:rsid w:val="4FDF63AF"/>
    <w:rsid w:val="4FE439C5"/>
    <w:rsid w:val="4FFA4F97"/>
    <w:rsid w:val="50025BF9"/>
    <w:rsid w:val="501C4F0D"/>
    <w:rsid w:val="502F4C40"/>
    <w:rsid w:val="50302767"/>
    <w:rsid w:val="506F7733"/>
    <w:rsid w:val="50795EBC"/>
    <w:rsid w:val="508A631B"/>
    <w:rsid w:val="50936E28"/>
    <w:rsid w:val="50A078EC"/>
    <w:rsid w:val="50D91050"/>
    <w:rsid w:val="50DE21C3"/>
    <w:rsid w:val="50EC48E0"/>
    <w:rsid w:val="5110469D"/>
    <w:rsid w:val="51143E36"/>
    <w:rsid w:val="513D338D"/>
    <w:rsid w:val="513F5357"/>
    <w:rsid w:val="51713037"/>
    <w:rsid w:val="51831377"/>
    <w:rsid w:val="51850890"/>
    <w:rsid w:val="518C60C3"/>
    <w:rsid w:val="51984A67"/>
    <w:rsid w:val="51B03B5F"/>
    <w:rsid w:val="51BC69A8"/>
    <w:rsid w:val="51E11F6A"/>
    <w:rsid w:val="51E43809"/>
    <w:rsid w:val="51EB103B"/>
    <w:rsid w:val="52045C59"/>
    <w:rsid w:val="5217598C"/>
    <w:rsid w:val="521A547C"/>
    <w:rsid w:val="521D148B"/>
    <w:rsid w:val="522462FB"/>
    <w:rsid w:val="52497B10"/>
    <w:rsid w:val="524A3FB4"/>
    <w:rsid w:val="524D13AE"/>
    <w:rsid w:val="52552958"/>
    <w:rsid w:val="52666914"/>
    <w:rsid w:val="526B5CD8"/>
    <w:rsid w:val="529C2335"/>
    <w:rsid w:val="529F5982"/>
    <w:rsid w:val="52A64F62"/>
    <w:rsid w:val="52B551A5"/>
    <w:rsid w:val="52C8312A"/>
    <w:rsid w:val="52ED0DE3"/>
    <w:rsid w:val="52FD1026"/>
    <w:rsid w:val="5305612D"/>
    <w:rsid w:val="531719BC"/>
    <w:rsid w:val="53177C0E"/>
    <w:rsid w:val="532E5683"/>
    <w:rsid w:val="53334A48"/>
    <w:rsid w:val="533B4BAE"/>
    <w:rsid w:val="53616A0F"/>
    <w:rsid w:val="537312E8"/>
    <w:rsid w:val="53762B86"/>
    <w:rsid w:val="5382777D"/>
    <w:rsid w:val="53867A5B"/>
    <w:rsid w:val="53915C12"/>
    <w:rsid w:val="539D45B7"/>
    <w:rsid w:val="53A94D0A"/>
    <w:rsid w:val="53AC65A8"/>
    <w:rsid w:val="53C733E2"/>
    <w:rsid w:val="53CC27A6"/>
    <w:rsid w:val="53D224B3"/>
    <w:rsid w:val="541D3002"/>
    <w:rsid w:val="54295E4B"/>
    <w:rsid w:val="543A1E06"/>
    <w:rsid w:val="543F741C"/>
    <w:rsid w:val="547215A0"/>
    <w:rsid w:val="547A66A6"/>
    <w:rsid w:val="5495703C"/>
    <w:rsid w:val="549F610D"/>
    <w:rsid w:val="54A51975"/>
    <w:rsid w:val="54C17E31"/>
    <w:rsid w:val="54C31DFB"/>
    <w:rsid w:val="54C36382"/>
    <w:rsid w:val="54E63D3C"/>
    <w:rsid w:val="54FE4BE1"/>
    <w:rsid w:val="55115363"/>
    <w:rsid w:val="551408A9"/>
    <w:rsid w:val="55254864"/>
    <w:rsid w:val="55322ADD"/>
    <w:rsid w:val="55393E6B"/>
    <w:rsid w:val="554A6079"/>
    <w:rsid w:val="55545149"/>
    <w:rsid w:val="55823A64"/>
    <w:rsid w:val="55C0633B"/>
    <w:rsid w:val="55E42029"/>
    <w:rsid w:val="55EC35D4"/>
    <w:rsid w:val="55F52488"/>
    <w:rsid w:val="55FF50B5"/>
    <w:rsid w:val="5612303A"/>
    <w:rsid w:val="561641AD"/>
    <w:rsid w:val="561A1EEF"/>
    <w:rsid w:val="56310FE7"/>
    <w:rsid w:val="56327239"/>
    <w:rsid w:val="564B02FA"/>
    <w:rsid w:val="56660C90"/>
    <w:rsid w:val="56665134"/>
    <w:rsid w:val="56772E9D"/>
    <w:rsid w:val="56876E58"/>
    <w:rsid w:val="56C1680E"/>
    <w:rsid w:val="56E16569"/>
    <w:rsid w:val="570404A9"/>
    <w:rsid w:val="57201787"/>
    <w:rsid w:val="573A3ECB"/>
    <w:rsid w:val="57596A47"/>
    <w:rsid w:val="576F626A"/>
    <w:rsid w:val="5774562F"/>
    <w:rsid w:val="57B7551B"/>
    <w:rsid w:val="57C16F6E"/>
    <w:rsid w:val="57C540DC"/>
    <w:rsid w:val="57D342AF"/>
    <w:rsid w:val="57FF75EE"/>
    <w:rsid w:val="580F5357"/>
    <w:rsid w:val="5822508B"/>
    <w:rsid w:val="5829466B"/>
    <w:rsid w:val="582C5F09"/>
    <w:rsid w:val="58313520"/>
    <w:rsid w:val="5898534D"/>
    <w:rsid w:val="58DC7930"/>
    <w:rsid w:val="59011144"/>
    <w:rsid w:val="590824D3"/>
    <w:rsid w:val="595B4CF8"/>
    <w:rsid w:val="59723DF0"/>
    <w:rsid w:val="59875AED"/>
    <w:rsid w:val="59914276"/>
    <w:rsid w:val="59973856"/>
    <w:rsid w:val="59AF0BA0"/>
    <w:rsid w:val="59B85CA7"/>
    <w:rsid w:val="59CC3500"/>
    <w:rsid w:val="59E96209"/>
    <w:rsid w:val="59F91E1B"/>
    <w:rsid w:val="5A0642D0"/>
    <w:rsid w:val="5A184997"/>
    <w:rsid w:val="5A5C0D28"/>
    <w:rsid w:val="5A655703"/>
    <w:rsid w:val="5A7140A7"/>
    <w:rsid w:val="5A7B0A82"/>
    <w:rsid w:val="5A851901"/>
    <w:rsid w:val="5AA224B3"/>
    <w:rsid w:val="5ABD72ED"/>
    <w:rsid w:val="5AD563E4"/>
    <w:rsid w:val="5AE605F2"/>
    <w:rsid w:val="5B24736C"/>
    <w:rsid w:val="5B4812AC"/>
    <w:rsid w:val="5B4D68C3"/>
    <w:rsid w:val="5B590DC3"/>
    <w:rsid w:val="5B8027F4"/>
    <w:rsid w:val="5B8D6CBF"/>
    <w:rsid w:val="5BA83AF9"/>
    <w:rsid w:val="5BBA55DA"/>
    <w:rsid w:val="5BCE7A03"/>
    <w:rsid w:val="5BE03293"/>
    <w:rsid w:val="5C1D0043"/>
    <w:rsid w:val="5C245875"/>
    <w:rsid w:val="5C2A6C04"/>
    <w:rsid w:val="5C4B1054"/>
    <w:rsid w:val="5C646576"/>
    <w:rsid w:val="5C734107"/>
    <w:rsid w:val="5C7A36E7"/>
    <w:rsid w:val="5CA72002"/>
    <w:rsid w:val="5CBA7F88"/>
    <w:rsid w:val="5CC04E72"/>
    <w:rsid w:val="5CC26E3C"/>
    <w:rsid w:val="5CE2128D"/>
    <w:rsid w:val="5CE77FB5"/>
    <w:rsid w:val="5D017965"/>
    <w:rsid w:val="5D215911"/>
    <w:rsid w:val="5D3F66DF"/>
    <w:rsid w:val="5D5A7075"/>
    <w:rsid w:val="5D7874FB"/>
    <w:rsid w:val="5D9702C9"/>
    <w:rsid w:val="5DA622BA"/>
    <w:rsid w:val="5DBB3FB7"/>
    <w:rsid w:val="5DD516E1"/>
    <w:rsid w:val="5DEB5F1F"/>
    <w:rsid w:val="5DFE5C52"/>
    <w:rsid w:val="5E2733FB"/>
    <w:rsid w:val="5E4775F9"/>
    <w:rsid w:val="5E547F68"/>
    <w:rsid w:val="5E6261E1"/>
    <w:rsid w:val="5E7E6D93"/>
    <w:rsid w:val="5E7F4FE5"/>
    <w:rsid w:val="5E800D5D"/>
    <w:rsid w:val="5E954808"/>
    <w:rsid w:val="5ED66BCF"/>
    <w:rsid w:val="5EE4753E"/>
    <w:rsid w:val="5EEC01A1"/>
    <w:rsid w:val="5EEC63F2"/>
    <w:rsid w:val="5F1D220F"/>
    <w:rsid w:val="5F3062DF"/>
    <w:rsid w:val="5F6B7317"/>
    <w:rsid w:val="5F751F44"/>
    <w:rsid w:val="5F795ED8"/>
    <w:rsid w:val="5F7A57AC"/>
    <w:rsid w:val="5FA016B7"/>
    <w:rsid w:val="5FB76A00"/>
    <w:rsid w:val="5FBC4017"/>
    <w:rsid w:val="600F4147"/>
    <w:rsid w:val="602A71D2"/>
    <w:rsid w:val="605C4EB2"/>
    <w:rsid w:val="606D5311"/>
    <w:rsid w:val="60936B26"/>
    <w:rsid w:val="609B3C2C"/>
    <w:rsid w:val="609D79A4"/>
    <w:rsid w:val="60A76A75"/>
    <w:rsid w:val="60FD6695"/>
    <w:rsid w:val="60FF065F"/>
    <w:rsid w:val="61167757"/>
    <w:rsid w:val="6129748A"/>
    <w:rsid w:val="613025C6"/>
    <w:rsid w:val="61357BDD"/>
    <w:rsid w:val="61442516"/>
    <w:rsid w:val="615A3AE7"/>
    <w:rsid w:val="616E1341"/>
    <w:rsid w:val="616E7593"/>
    <w:rsid w:val="617526CF"/>
    <w:rsid w:val="617D3332"/>
    <w:rsid w:val="6183209E"/>
    <w:rsid w:val="618E08DE"/>
    <w:rsid w:val="618F19E3"/>
    <w:rsid w:val="61A97405"/>
    <w:rsid w:val="61C3343B"/>
    <w:rsid w:val="61D513C0"/>
    <w:rsid w:val="61F07FA8"/>
    <w:rsid w:val="62076B0A"/>
    <w:rsid w:val="6223037D"/>
    <w:rsid w:val="62255EA3"/>
    <w:rsid w:val="623B7475"/>
    <w:rsid w:val="62570027"/>
    <w:rsid w:val="62595B4D"/>
    <w:rsid w:val="625E13B5"/>
    <w:rsid w:val="62976675"/>
    <w:rsid w:val="62C05BCC"/>
    <w:rsid w:val="62CC27C3"/>
    <w:rsid w:val="630C7063"/>
    <w:rsid w:val="63260125"/>
    <w:rsid w:val="633345F0"/>
    <w:rsid w:val="633A772C"/>
    <w:rsid w:val="63495BC1"/>
    <w:rsid w:val="63612F0B"/>
    <w:rsid w:val="63666773"/>
    <w:rsid w:val="636C7B02"/>
    <w:rsid w:val="637A5D7B"/>
    <w:rsid w:val="639C2195"/>
    <w:rsid w:val="63BC0650"/>
    <w:rsid w:val="63C65464"/>
    <w:rsid w:val="63CE4319"/>
    <w:rsid w:val="63E15DFA"/>
    <w:rsid w:val="63E31B72"/>
    <w:rsid w:val="63F96C8E"/>
    <w:rsid w:val="642A77A1"/>
    <w:rsid w:val="644D7933"/>
    <w:rsid w:val="645E569D"/>
    <w:rsid w:val="64713622"/>
    <w:rsid w:val="6476024C"/>
    <w:rsid w:val="647C5B23"/>
    <w:rsid w:val="649E35B3"/>
    <w:rsid w:val="64A31301"/>
    <w:rsid w:val="64AC6408"/>
    <w:rsid w:val="64B4350F"/>
    <w:rsid w:val="64D836A1"/>
    <w:rsid w:val="652A557F"/>
    <w:rsid w:val="652E506F"/>
    <w:rsid w:val="6530528B"/>
    <w:rsid w:val="654725D5"/>
    <w:rsid w:val="65660CAD"/>
    <w:rsid w:val="6569254B"/>
    <w:rsid w:val="65842EE1"/>
    <w:rsid w:val="65C21C5B"/>
    <w:rsid w:val="65E240AB"/>
    <w:rsid w:val="65E87914"/>
    <w:rsid w:val="65E941D8"/>
    <w:rsid w:val="65F20792"/>
    <w:rsid w:val="665E3732"/>
    <w:rsid w:val="66703465"/>
    <w:rsid w:val="667271DD"/>
    <w:rsid w:val="667C4500"/>
    <w:rsid w:val="66884C53"/>
    <w:rsid w:val="668B64F1"/>
    <w:rsid w:val="66A03D4A"/>
    <w:rsid w:val="66B477F6"/>
    <w:rsid w:val="66B9305E"/>
    <w:rsid w:val="66BC48FC"/>
    <w:rsid w:val="66DE0D17"/>
    <w:rsid w:val="66E3632D"/>
    <w:rsid w:val="66EF4CD2"/>
    <w:rsid w:val="66FE6CC3"/>
    <w:rsid w:val="6712451C"/>
    <w:rsid w:val="671608C6"/>
    <w:rsid w:val="67452B44"/>
    <w:rsid w:val="674C3ED2"/>
    <w:rsid w:val="676C1E7F"/>
    <w:rsid w:val="677156E7"/>
    <w:rsid w:val="678C0773"/>
    <w:rsid w:val="67900263"/>
    <w:rsid w:val="67A1421E"/>
    <w:rsid w:val="67D839B8"/>
    <w:rsid w:val="67E22987"/>
    <w:rsid w:val="68040309"/>
    <w:rsid w:val="68077DF9"/>
    <w:rsid w:val="681F5143"/>
    <w:rsid w:val="683F3A37"/>
    <w:rsid w:val="68460921"/>
    <w:rsid w:val="68556DB7"/>
    <w:rsid w:val="686A0AB4"/>
    <w:rsid w:val="687C2595"/>
    <w:rsid w:val="688356D2"/>
    <w:rsid w:val="689E075E"/>
    <w:rsid w:val="68C31F72"/>
    <w:rsid w:val="68C63810"/>
    <w:rsid w:val="68CF6B69"/>
    <w:rsid w:val="69256789"/>
    <w:rsid w:val="69407A67"/>
    <w:rsid w:val="694F1A58"/>
    <w:rsid w:val="694F3806"/>
    <w:rsid w:val="695567B3"/>
    <w:rsid w:val="69635503"/>
    <w:rsid w:val="69766FE4"/>
    <w:rsid w:val="69D72179"/>
    <w:rsid w:val="69D87C9F"/>
    <w:rsid w:val="69DB153D"/>
    <w:rsid w:val="6A0740E0"/>
    <w:rsid w:val="6A445335"/>
    <w:rsid w:val="6A674B7F"/>
    <w:rsid w:val="6A7554EE"/>
    <w:rsid w:val="6A794FDE"/>
    <w:rsid w:val="6A9736B6"/>
    <w:rsid w:val="6A9F53FA"/>
    <w:rsid w:val="6AA33E09"/>
    <w:rsid w:val="6AB51D8E"/>
    <w:rsid w:val="6AB57FE0"/>
    <w:rsid w:val="6ADE7537"/>
    <w:rsid w:val="6B040620"/>
    <w:rsid w:val="6B43383E"/>
    <w:rsid w:val="6B4D4B02"/>
    <w:rsid w:val="6B5670CE"/>
    <w:rsid w:val="6B60619E"/>
    <w:rsid w:val="6B9320D0"/>
    <w:rsid w:val="6BA64224"/>
    <w:rsid w:val="6BB8103F"/>
    <w:rsid w:val="6BBA58AE"/>
    <w:rsid w:val="6BBD0EFB"/>
    <w:rsid w:val="6BC229B5"/>
    <w:rsid w:val="6BE96194"/>
    <w:rsid w:val="6BEA3CBA"/>
    <w:rsid w:val="6BF15048"/>
    <w:rsid w:val="6BFF59B7"/>
    <w:rsid w:val="6C1B20C5"/>
    <w:rsid w:val="6C20148A"/>
    <w:rsid w:val="6C223454"/>
    <w:rsid w:val="6C272818"/>
    <w:rsid w:val="6C276CBC"/>
    <w:rsid w:val="6C4038DA"/>
    <w:rsid w:val="6C506213"/>
    <w:rsid w:val="6C6677E4"/>
    <w:rsid w:val="6C700663"/>
    <w:rsid w:val="6C727F37"/>
    <w:rsid w:val="6C944351"/>
    <w:rsid w:val="6CAF118B"/>
    <w:rsid w:val="6CCB3AEB"/>
    <w:rsid w:val="6CD429A0"/>
    <w:rsid w:val="6CFA1CDB"/>
    <w:rsid w:val="6D0F1C2A"/>
    <w:rsid w:val="6D1159A2"/>
    <w:rsid w:val="6D745F31"/>
    <w:rsid w:val="6D8A5754"/>
    <w:rsid w:val="6DA46816"/>
    <w:rsid w:val="6DA700B4"/>
    <w:rsid w:val="6DC347C2"/>
    <w:rsid w:val="6DC9627D"/>
    <w:rsid w:val="6DCD73EF"/>
    <w:rsid w:val="6DE309C1"/>
    <w:rsid w:val="6DEF55B7"/>
    <w:rsid w:val="6E041063"/>
    <w:rsid w:val="6E076DA5"/>
    <w:rsid w:val="6E1D2124"/>
    <w:rsid w:val="6E2C680B"/>
    <w:rsid w:val="6E3336F6"/>
    <w:rsid w:val="6E4C0C5C"/>
    <w:rsid w:val="6E777A87"/>
    <w:rsid w:val="6E781A51"/>
    <w:rsid w:val="6E8757F0"/>
    <w:rsid w:val="6E9D5013"/>
    <w:rsid w:val="6EA12D56"/>
    <w:rsid w:val="6EB74327"/>
    <w:rsid w:val="6ECE1671"/>
    <w:rsid w:val="6ED22F0F"/>
    <w:rsid w:val="6F011A46"/>
    <w:rsid w:val="6F1E43A6"/>
    <w:rsid w:val="6F23376B"/>
    <w:rsid w:val="6F286FD3"/>
    <w:rsid w:val="6F4B0F13"/>
    <w:rsid w:val="6F5558EE"/>
    <w:rsid w:val="6F6049BF"/>
    <w:rsid w:val="6F6D70DC"/>
    <w:rsid w:val="6F7B35A7"/>
    <w:rsid w:val="6FAF14A2"/>
    <w:rsid w:val="6FB46AB9"/>
    <w:rsid w:val="6FBC771B"/>
    <w:rsid w:val="6FC7059A"/>
    <w:rsid w:val="6FCA62DC"/>
    <w:rsid w:val="6FEF189F"/>
    <w:rsid w:val="6FF46EB5"/>
    <w:rsid w:val="700C06A3"/>
    <w:rsid w:val="700E441B"/>
    <w:rsid w:val="701632CF"/>
    <w:rsid w:val="701F03D6"/>
    <w:rsid w:val="70291255"/>
    <w:rsid w:val="70447E3C"/>
    <w:rsid w:val="704F233D"/>
    <w:rsid w:val="705F6A24"/>
    <w:rsid w:val="70673B2B"/>
    <w:rsid w:val="707D50FC"/>
    <w:rsid w:val="707F2C23"/>
    <w:rsid w:val="70860455"/>
    <w:rsid w:val="70980188"/>
    <w:rsid w:val="70B2124A"/>
    <w:rsid w:val="70DF36C1"/>
    <w:rsid w:val="70F01D72"/>
    <w:rsid w:val="71017ADB"/>
    <w:rsid w:val="71213CDA"/>
    <w:rsid w:val="7135474A"/>
    <w:rsid w:val="713954C7"/>
    <w:rsid w:val="714A0A9A"/>
    <w:rsid w:val="71502811"/>
    <w:rsid w:val="71597917"/>
    <w:rsid w:val="71630796"/>
    <w:rsid w:val="71632544"/>
    <w:rsid w:val="71663DE2"/>
    <w:rsid w:val="71804EA4"/>
    <w:rsid w:val="71A566B9"/>
    <w:rsid w:val="71E01DE7"/>
    <w:rsid w:val="71EF202A"/>
    <w:rsid w:val="71F1176A"/>
    <w:rsid w:val="71F92EA9"/>
    <w:rsid w:val="72023B0B"/>
    <w:rsid w:val="72255A4C"/>
    <w:rsid w:val="72442376"/>
    <w:rsid w:val="724F4877"/>
    <w:rsid w:val="726A345E"/>
    <w:rsid w:val="72750781"/>
    <w:rsid w:val="72837887"/>
    <w:rsid w:val="729D1A86"/>
    <w:rsid w:val="72A11576"/>
    <w:rsid w:val="72C25048"/>
    <w:rsid w:val="72CC236B"/>
    <w:rsid w:val="72CE60E3"/>
    <w:rsid w:val="72FA6ED8"/>
    <w:rsid w:val="72FB055A"/>
    <w:rsid w:val="72FF004B"/>
    <w:rsid w:val="73011D66"/>
    <w:rsid w:val="730B69EF"/>
    <w:rsid w:val="730E028E"/>
    <w:rsid w:val="731955B0"/>
    <w:rsid w:val="732D2E0A"/>
    <w:rsid w:val="73477393"/>
    <w:rsid w:val="73555EBD"/>
    <w:rsid w:val="735760D9"/>
    <w:rsid w:val="735E7467"/>
    <w:rsid w:val="738844E4"/>
    <w:rsid w:val="73922C6D"/>
    <w:rsid w:val="739369E5"/>
    <w:rsid w:val="73A11102"/>
    <w:rsid w:val="73A40BF2"/>
    <w:rsid w:val="73B726D3"/>
    <w:rsid w:val="73D56FFD"/>
    <w:rsid w:val="73E86D31"/>
    <w:rsid w:val="73FC0A2E"/>
    <w:rsid w:val="740C6EC3"/>
    <w:rsid w:val="7416389E"/>
    <w:rsid w:val="741C4C2C"/>
    <w:rsid w:val="74257F85"/>
    <w:rsid w:val="742C30C1"/>
    <w:rsid w:val="7439758C"/>
    <w:rsid w:val="74454183"/>
    <w:rsid w:val="7447614D"/>
    <w:rsid w:val="74507839"/>
    <w:rsid w:val="746D7236"/>
    <w:rsid w:val="74714F78"/>
    <w:rsid w:val="747B1953"/>
    <w:rsid w:val="748F53FE"/>
    <w:rsid w:val="749F1AE5"/>
    <w:rsid w:val="74F11C15"/>
    <w:rsid w:val="74FE287D"/>
    <w:rsid w:val="75220020"/>
    <w:rsid w:val="752B15CB"/>
    <w:rsid w:val="755E374E"/>
    <w:rsid w:val="75616D9B"/>
    <w:rsid w:val="756E5C8B"/>
    <w:rsid w:val="75752846"/>
    <w:rsid w:val="7589009F"/>
    <w:rsid w:val="758F1B5A"/>
    <w:rsid w:val="7590142E"/>
    <w:rsid w:val="7592099E"/>
    <w:rsid w:val="759A22AD"/>
    <w:rsid w:val="759C4277"/>
    <w:rsid w:val="75C612F4"/>
    <w:rsid w:val="75CB4B5C"/>
    <w:rsid w:val="75E672A0"/>
    <w:rsid w:val="761B33ED"/>
    <w:rsid w:val="765C7562"/>
    <w:rsid w:val="768B4BB3"/>
    <w:rsid w:val="769136B0"/>
    <w:rsid w:val="76C22F00"/>
    <w:rsid w:val="76D33CC8"/>
    <w:rsid w:val="770519A8"/>
    <w:rsid w:val="773F135E"/>
    <w:rsid w:val="773F310C"/>
    <w:rsid w:val="77493F8A"/>
    <w:rsid w:val="777F5BFE"/>
    <w:rsid w:val="77CB2BF1"/>
    <w:rsid w:val="77F263D0"/>
    <w:rsid w:val="77FC2DAB"/>
    <w:rsid w:val="780F0D30"/>
    <w:rsid w:val="78175E36"/>
    <w:rsid w:val="78216CB5"/>
    <w:rsid w:val="782C7B34"/>
    <w:rsid w:val="78322C70"/>
    <w:rsid w:val="783A0CDB"/>
    <w:rsid w:val="78434E7D"/>
    <w:rsid w:val="78591FAB"/>
    <w:rsid w:val="785E1CB7"/>
    <w:rsid w:val="786077DD"/>
    <w:rsid w:val="78654DF4"/>
    <w:rsid w:val="786A065C"/>
    <w:rsid w:val="7883171E"/>
    <w:rsid w:val="78AC657F"/>
    <w:rsid w:val="78AE468D"/>
    <w:rsid w:val="78B10039"/>
    <w:rsid w:val="78B90C9C"/>
    <w:rsid w:val="78D9133E"/>
    <w:rsid w:val="78FB12B4"/>
    <w:rsid w:val="791A3E30"/>
    <w:rsid w:val="79621333"/>
    <w:rsid w:val="797A042B"/>
    <w:rsid w:val="79905EA0"/>
    <w:rsid w:val="79A436FA"/>
    <w:rsid w:val="79BA0246"/>
    <w:rsid w:val="79D00993"/>
    <w:rsid w:val="79E9735F"/>
    <w:rsid w:val="79F97306"/>
    <w:rsid w:val="7A187C44"/>
    <w:rsid w:val="7A545120"/>
    <w:rsid w:val="7A601D17"/>
    <w:rsid w:val="7A6A4943"/>
    <w:rsid w:val="7A813A3B"/>
    <w:rsid w:val="7AA634A2"/>
    <w:rsid w:val="7AA65250"/>
    <w:rsid w:val="7AAA11E4"/>
    <w:rsid w:val="7AE446F6"/>
    <w:rsid w:val="7AF4245F"/>
    <w:rsid w:val="7AFB37ED"/>
    <w:rsid w:val="7B3F7B7E"/>
    <w:rsid w:val="7B407452"/>
    <w:rsid w:val="7B454A69"/>
    <w:rsid w:val="7B4C4049"/>
    <w:rsid w:val="7B537186"/>
    <w:rsid w:val="7B5F1FCE"/>
    <w:rsid w:val="7B65510B"/>
    <w:rsid w:val="7B71585E"/>
    <w:rsid w:val="7B7D06A6"/>
    <w:rsid w:val="7B871525"/>
    <w:rsid w:val="7B937ECA"/>
    <w:rsid w:val="7BB265A2"/>
    <w:rsid w:val="7BB35E76"/>
    <w:rsid w:val="7BD76009"/>
    <w:rsid w:val="7BE14791"/>
    <w:rsid w:val="7BE44282"/>
    <w:rsid w:val="7C136915"/>
    <w:rsid w:val="7C14495D"/>
    <w:rsid w:val="7C1903CF"/>
    <w:rsid w:val="7C211032"/>
    <w:rsid w:val="7C3C2310"/>
    <w:rsid w:val="7C484D8B"/>
    <w:rsid w:val="7C570EF7"/>
    <w:rsid w:val="7C66738C"/>
    <w:rsid w:val="7C75312C"/>
    <w:rsid w:val="7C865339"/>
    <w:rsid w:val="7C991510"/>
    <w:rsid w:val="7CFE5817"/>
    <w:rsid w:val="7D1D3EEF"/>
    <w:rsid w:val="7D653527"/>
    <w:rsid w:val="7D741635"/>
    <w:rsid w:val="7D910439"/>
    <w:rsid w:val="7D9F2B56"/>
    <w:rsid w:val="7DC223A1"/>
    <w:rsid w:val="7DCA74A7"/>
    <w:rsid w:val="7DE44A0D"/>
    <w:rsid w:val="7E0D3F64"/>
    <w:rsid w:val="7E132BFC"/>
    <w:rsid w:val="7E1A21DD"/>
    <w:rsid w:val="7E1F77F3"/>
    <w:rsid w:val="7E2117BD"/>
    <w:rsid w:val="7E355268"/>
    <w:rsid w:val="7E3D5ECB"/>
    <w:rsid w:val="7E6B6EDC"/>
    <w:rsid w:val="7EE03426"/>
    <w:rsid w:val="7EF944E8"/>
    <w:rsid w:val="7EFB200E"/>
    <w:rsid w:val="7F1430D0"/>
    <w:rsid w:val="7F2C0419"/>
    <w:rsid w:val="7F4E65E2"/>
    <w:rsid w:val="7F587460"/>
    <w:rsid w:val="7F5E23B6"/>
    <w:rsid w:val="7F673200"/>
    <w:rsid w:val="7F6851CA"/>
    <w:rsid w:val="7F6C2F0C"/>
    <w:rsid w:val="7F6D27E0"/>
    <w:rsid w:val="7F855D7C"/>
    <w:rsid w:val="7FC5261C"/>
    <w:rsid w:val="7FCE14D1"/>
    <w:rsid w:val="7FDB3BED"/>
    <w:rsid w:val="7FE42AA2"/>
    <w:rsid w:val="7FFA051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qFormat="1" w:uiPriority="99" w:semiHidden="0"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iPriority="99" w:name="E-mail Signature"/>
    <w:lsdException w:uiPriority="99"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54"/>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link w:val="5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5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58"/>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5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60"/>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6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41">
    <w:name w:val="Default Paragraph Font"/>
    <w:semiHidden/>
    <w:unhideWhenUsed/>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56"/>
    <w:qFormat/>
    <w:uiPriority w:val="0"/>
    <w:pPr>
      <w:widowControl/>
      <w:snapToGrid w:val="0"/>
      <w:spacing w:line="480" w:lineRule="exact"/>
      <w:ind w:firstLine="567"/>
    </w:pPr>
    <w:rPr>
      <w:rFonts w:ascii="宋体"/>
      <w:snapToGrid w:val="0"/>
      <w:color w:val="000000"/>
      <w:kern w:val="28"/>
      <w:sz w:val="28"/>
      <w:szCs w:val="20"/>
    </w:rPr>
  </w:style>
  <w:style w:type="paragraph" w:styleId="12">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3">
    <w:name w:val="caption"/>
    <w:basedOn w:val="1"/>
    <w:next w:val="1"/>
    <w:link w:val="63"/>
    <w:qFormat/>
    <w:uiPriority w:val="0"/>
    <w:rPr>
      <w:b/>
      <w:sz w:val="28"/>
      <w:szCs w:val="20"/>
    </w:rPr>
  </w:style>
  <w:style w:type="paragraph" w:styleId="14">
    <w:name w:val="Document Map"/>
    <w:basedOn w:val="1"/>
    <w:link w:val="65"/>
    <w:qFormat/>
    <w:uiPriority w:val="0"/>
    <w:pPr>
      <w:shd w:val="clear" w:color="auto" w:fill="000080"/>
    </w:pPr>
  </w:style>
  <w:style w:type="paragraph" w:styleId="15">
    <w:name w:val="annotation text"/>
    <w:basedOn w:val="1"/>
    <w:link w:val="67"/>
    <w:qFormat/>
    <w:uiPriority w:val="99"/>
    <w:pPr>
      <w:jc w:val="left"/>
    </w:pPr>
  </w:style>
  <w:style w:type="paragraph" w:styleId="16">
    <w:name w:val="Salutation"/>
    <w:basedOn w:val="1"/>
    <w:next w:val="1"/>
    <w:link w:val="69"/>
    <w:qFormat/>
    <w:uiPriority w:val="0"/>
    <w:rPr>
      <w:rFonts w:ascii="仿宋_GB2312" w:eastAsia="仿宋_GB2312"/>
      <w:sz w:val="28"/>
      <w:szCs w:val="20"/>
    </w:rPr>
  </w:style>
  <w:style w:type="paragraph" w:styleId="17">
    <w:name w:val="Body Text 3"/>
    <w:basedOn w:val="1"/>
    <w:link w:val="71"/>
    <w:qFormat/>
    <w:uiPriority w:val="0"/>
    <w:pPr>
      <w:jc w:val="center"/>
    </w:pPr>
    <w:rPr>
      <w:szCs w:val="20"/>
    </w:rPr>
  </w:style>
  <w:style w:type="paragraph" w:styleId="18">
    <w:name w:val="Body Text"/>
    <w:basedOn w:val="1"/>
    <w:next w:val="19"/>
    <w:link w:val="50"/>
    <w:qFormat/>
    <w:uiPriority w:val="0"/>
    <w:pPr>
      <w:autoSpaceDE w:val="0"/>
      <w:autoSpaceDN w:val="0"/>
      <w:spacing w:line="360" w:lineRule="auto"/>
    </w:pPr>
    <w:rPr>
      <w:rFonts w:ascii="宋体" w:hAnsi="Arial" w:cs="Arial"/>
      <w:snapToGrid w:val="0"/>
      <w:sz w:val="24"/>
      <w:szCs w:val="21"/>
      <w:lang w:val="zh-CN"/>
    </w:rPr>
  </w:style>
  <w:style w:type="paragraph" w:styleId="19">
    <w:name w:val="Body Text First Indent"/>
    <w:basedOn w:val="18"/>
    <w:next w:val="1"/>
    <w:link w:val="48"/>
    <w:qFormat/>
    <w:uiPriority w:val="0"/>
    <w:pPr>
      <w:ind w:firstLine="420"/>
    </w:pPr>
    <w:rPr>
      <w:rFonts w:hAnsi="Calibri" w:cs="Times New Roman"/>
      <w:snapToGrid/>
      <w:szCs w:val="20"/>
    </w:rPr>
  </w:style>
  <w:style w:type="paragraph" w:styleId="20">
    <w:name w:val="Body Text Indent"/>
    <w:basedOn w:val="1"/>
    <w:link w:val="47"/>
    <w:unhideWhenUsed/>
    <w:qFormat/>
    <w:uiPriority w:val="0"/>
    <w:pPr>
      <w:spacing w:after="120"/>
      <w:ind w:left="420" w:leftChars="200"/>
    </w:pPr>
  </w:style>
  <w:style w:type="paragraph" w:styleId="21">
    <w:name w:val="HTML Address"/>
    <w:basedOn w:val="1"/>
    <w:link w:val="73"/>
    <w:qFormat/>
    <w:uiPriority w:val="0"/>
    <w:pPr>
      <w:widowControl/>
      <w:adjustRightInd/>
      <w:ind w:firstLine="200" w:firstLineChars="200"/>
      <w:jc w:val="left"/>
    </w:pPr>
    <w:rPr>
      <w:rFonts w:ascii="宋体" w:hAnsi="宋体"/>
      <w:i/>
      <w:iCs/>
      <w:kern w:val="0"/>
      <w:sz w:val="24"/>
    </w:rPr>
  </w:style>
  <w:style w:type="paragraph" w:styleId="22">
    <w:name w:val="Plain Text"/>
    <w:basedOn w:val="1"/>
    <w:link w:val="74"/>
    <w:qFormat/>
    <w:uiPriority w:val="99"/>
    <w:rPr>
      <w:rFonts w:ascii="宋体" w:hAnsi="Courier New" w:cs="Arial"/>
      <w:snapToGrid w:val="0"/>
      <w:szCs w:val="21"/>
    </w:rPr>
  </w:style>
  <w:style w:type="paragraph" w:styleId="23">
    <w:name w:val="Date"/>
    <w:basedOn w:val="1"/>
    <w:next w:val="1"/>
    <w:link w:val="78"/>
    <w:qFormat/>
    <w:uiPriority w:val="0"/>
    <w:pPr>
      <w:ind w:left="100" w:leftChars="2500"/>
    </w:pPr>
    <w:rPr>
      <w:rFonts w:ascii="宋体"/>
      <w:sz w:val="24"/>
      <w:szCs w:val="21"/>
      <w:lang w:val="zh-CN"/>
    </w:rPr>
  </w:style>
  <w:style w:type="paragraph" w:styleId="24">
    <w:name w:val="Body Text Indent 2"/>
    <w:basedOn w:val="1"/>
    <w:link w:val="80"/>
    <w:qFormat/>
    <w:uiPriority w:val="0"/>
    <w:pPr>
      <w:spacing w:line="360" w:lineRule="auto"/>
      <w:ind w:firstLine="601"/>
      <w:textAlignment w:val="baseline"/>
    </w:pPr>
    <w:rPr>
      <w:rFonts w:ascii="宋体"/>
      <w:kern w:val="0"/>
      <w:sz w:val="28"/>
      <w:szCs w:val="20"/>
    </w:rPr>
  </w:style>
  <w:style w:type="paragraph" w:styleId="25">
    <w:name w:val="endnote text"/>
    <w:basedOn w:val="1"/>
    <w:link w:val="82"/>
    <w:qFormat/>
    <w:uiPriority w:val="0"/>
    <w:rPr>
      <w:lang w:val="zh-CN"/>
    </w:rPr>
  </w:style>
  <w:style w:type="paragraph" w:styleId="26">
    <w:name w:val="Balloon Text"/>
    <w:basedOn w:val="1"/>
    <w:link w:val="84"/>
    <w:qFormat/>
    <w:uiPriority w:val="0"/>
    <w:rPr>
      <w:sz w:val="18"/>
      <w:szCs w:val="18"/>
    </w:rPr>
  </w:style>
  <w:style w:type="paragraph" w:styleId="27">
    <w:name w:val="footer"/>
    <w:basedOn w:val="1"/>
    <w:link w:val="86"/>
    <w:qFormat/>
    <w:uiPriority w:val="99"/>
    <w:pPr>
      <w:tabs>
        <w:tab w:val="center" w:pos="4153"/>
        <w:tab w:val="right" w:pos="8306"/>
      </w:tabs>
      <w:snapToGrid w:val="0"/>
      <w:jc w:val="left"/>
    </w:pPr>
    <w:rPr>
      <w:sz w:val="18"/>
      <w:szCs w:val="18"/>
    </w:rPr>
  </w:style>
  <w:style w:type="paragraph" w:styleId="28">
    <w:name w:val="header"/>
    <w:basedOn w:val="1"/>
    <w:link w:val="88"/>
    <w:qFormat/>
    <w:uiPriority w:val="99"/>
    <w:pPr>
      <w:pBdr>
        <w:bottom w:val="single" w:color="auto" w:sz="6" w:space="1"/>
      </w:pBdr>
      <w:tabs>
        <w:tab w:val="center" w:pos="4153"/>
        <w:tab w:val="right" w:pos="8306"/>
      </w:tabs>
      <w:snapToGrid w:val="0"/>
      <w:jc w:val="center"/>
    </w:pPr>
    <w:rPr>
      <w:sz w:val="18"/>
      <w:szCs w:val="18"/>
    </w:rPr>
  </w:style>
  <w:style w:type="paragraph" w:styleId="29">
    <w:name w:val="Signature"/>
    <w:basedOn w:val="1"/>
    <w:link w:val="90"/>
    <w:qFormat/>
    <w:uiPriority w:val="0"/>
    <w:pPr>
      <w:spacing w:after="600" w:line="312" w:lineRule="atLeast"/>
      <w:jc w:val="center"/>
      <w:textAlignment w:val="baseline"/>
    </w:pPr>
    <w:rPr>
      <w:rFonts w:eastAsia="仿宋_GB2312"/>
      <w:kern w:val="0"/>
      <w:sz w:val="24"/>
      <w:szCs w:val="20"/>
    </w:rPr>
  </w:style>
  <w:style w:type="paragraph" w:styleId="30">
    <w:name w:val="Subtitle"/>
    <w:link w:val="9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31">
    <w:name w:val="List"/>
    <w:basedOn w:val="1"/>
    <w:qFormat/>
    <w:uiPriority w:val="0"/>
    <w:pPr>
      <w:ind w:left="200" w:hanging="200" w:hangingChars="200"/>
    </w:pPr>
  </w:style>
  <w:style w:type="paragraph" w:styleId="32">
    <w:name w:val="footnote text"/>
    <w:basedOn w:val="5"/>
    <w:link w:val="93"/>
    <w:qFormat/>
    <w:uiPriority w:val="0"/>
    <w:pPr>
      <w:adjustRightInd/>
      <w:snapToGrid/>
      <w:spacing w:before="60" w:after="60" w:line="300" w:lineRule="exact"/>
      <w:ind w:firstLine="0"/>
    </w:pPr>
    <w:rPr>
      <w:rFonts w:ascii="Calibri"/>
      <w:snapToGrid/>
      <w:color w:val="0000FF"/>
      <w:kern w:val="0"/>
      <w:sz w:val="21"/>
    </w:rPr>
  </w:style>
  <w:style w:type="paragraph" w:styleId="33">
    <w:name w:val="Body Text Indent 3"/>
    <w:basedOn w:val="1"/>
    <w:link w:val="95"/>
    <w:qFormat/>
    <w:uiPriority w:val="0"/>
    <w:pPr>
      <w:spacing w:line="360" w:lineRule="auto"/>
      <w:ind w:firstLine="420"/>
    </w:pPr>
    <w:rPr>
      <w:sz w:val="24"/>
      <w:szCs w:val="20"/>
    </w:rPr>
  </w:style>
  <w:style w:type="paragraph" w:styleId="34">
    <w:name w:val="Body Text 2"/>
    <w:basedOn w:val="1"/>
    <w:link w:val="97"/>
    <w:qFormat/>
    <w:uiPriority w:val="0"/>
    <w:pPr>
      <w:spacing w:after="120" w:line="480" w:lineRule="auto"/>
    </w:pPr>
  </w:style>
  <w:style w:type="paragraph" w:styleId="35">
    <w:name w:val="HTML Preformatted"/>
    <w:basedOn w:val="1"/>
    <w:link w:val="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36">
    <w:name w:val="Title"/>
    <w:basedOn w:val="1"/>
    <w:link w:val="101"/>
    <w:qFormat/>
    <w:uiPriority w:val="0"/>
    <w:pPr>
      <w:widowControl/>
      <w:overflowPunct w:val="0"/>
      <w:autoSpaceDE w:val="0"/>
      <w:autoSpaceDN w:val="0"/>
      <w:jc w:val="center"/>
      <w:textAlignment w:val="baseline"/>
    </w:pPr>
    <w:rPr>
      <w:b/>
      <w:kern w:val="0"/>
      <w:sz w:val="24"/>
      <w:szCs w:val="20"/>
      <w:lang w:val="en-GB"/>
    </w:rPr>
  </w:style>
  <w:style w:type="paragraph" w:styleId="37">
    <w:name w:val="annotation subject"/>
    <w:basedOn w:val="15"/>
    <w:next w:val="15"/>
    <w:link w:val="103"/>
    <w:qFormat/>
    <w:uiPriority w:val="0"/>
    <w:rPr>
      <w:b/>
      <w:bCs/>
    </w:rPr>
  </w:style>
  <w:style w:type="paragraph" w:styleId="38">
    <w:name w:val="Body Text First Indent 2"/>
    <w:basedOn w:val="20"/>
    <w:next w:val="18"/>
    <w:link w:val="51"/>
    <w:qFormat/>
    <w:uiPriority w:val="0"/>
    <w:pPr>
      <w:adjustRightInd/>
      <w:ind w:firstLine="210" w:firstLineChars="200"/>
    </w:pPr>
    <w:rPr>
      <w:rFonts w:ascii="宋体" w:hAnsi="宋体"/>
    </w:rPr>
  </w:style>
  <w:style w:type="table" w:styleId="40">
    <w:name w:val="Table Grid"/>
    <w:basedOn w:val="39"/>
    <w:qFormat/>
    <w:uiPriority w:val="0"/>
    <w:pPr>
      <w:widowControl w:val="0"/>
      <w:jc w:val="both"/>
    </w:pPr>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page number"/>
    <w:basedOn w:val="41"/>
    <w:qFormat/>
    <w:uiPriority w:val="0"/>
    <w:rPr>
      <w:rFonts w:ascii="Arial" w:hAnsi="Arial" w:eastAsia="黑体" w:cs="Arial"/>
      <w:snapToGrid w:val="0"/>
      <w:kern w:val="0"/>
      <w:szCs w:val="21"/>
    </w:rPr>
  </w:style>
  <w:style w:type="character" w:styleId="43">
    <w:name w:val="FollowedHyperlink"/>
    <w:qFormat/>
    <w:uiPriority w:val="99"/>
    <w:rPr>
      <w:rFonts w:ascii="Arial" w:hAnsi="Arial" w:eastAsia="黑体" w:cs="Arial"/>
      <w:snapToGrid w:val="0"/>
      <w:color w:val="000000"/>
      <w:kern w:val="0"/>
      <w:sz w:val="18"/>
      <w:szCs w:val="18"/>
      <w:u w:val="none"/>
    </w:rPr>
  </w:style>
  <w:style w:type="character" w:styleId="44">
    <w:name w:val="Hyperlink"/>
    <w:qFormat/>
    <w:uiPriority w:val="99"/>
    <w:rPr>
      <w:rFonts w:ascii="Arial" w:hAnsi="Arial" w:eastAsia="黑体" w:cs="Arial"/>
      <w:snapToGrid w:val="0"/>
      <w:color w:val="000000"/>
      <w:kern w:val="0"/>
      <w:sz w:val="18"/>
      <w:szCs w:val="18"/>
      <w:u w:val="none"/>
    </w:rPr>
  </w:style>
  <w:style w:type="character" w:styleId="45">
    <w:name w:val="annotation reference"/>
    <w:basedOn w:val="41"/>
    <w:semiHidden/>
    <w:unhideWhenUsed/>
    <w:qFormat/>
    <w:uiPriority w:val="99"/>
    <w:rPr>
      <w:sz w:val="21"/>
      <w:szCs w:val="21"/>
    </w:rPr>
  </w:style>
  <w:style w:type="paragraph" w:customStyle="1" w:styleId="46">
    <w:name w:val="表格文字"/>
    <w:basedOn w:val="1"/>
    <w:next w:val="18"/>
    <w:qFormat/>
    <w:uiPriority w:val="0"/>
    <w:pPr>
      <w:ind w:firstLine="200" w:firstLineChars="200"/>
    </w:pPr>
    <w:rPr>
      <w:rFonts w:ascii="Arial" w:hAnsi="Arial"/>
      <w:spacing w:val="-5"/>
      <w:kern w:val="0"/>
      <w:sz w:val="24"/>
      <w:szCs w:val="20"/>
    </w:rPr>
  </w:style>
  <w:style w:type="character" w:customStyle="1" w:styleId="47">
    <w:name w:val="正文文本缩进 Char"/>
    <w:basedOn w:val="41"/>
    <w:link w:val="20"/>
    <w:qFormat/>
    <w:uiPriority w:val="0"/>
    <w:rPr>
      <w:rFonts w:ascii="Times New Roman" w:hAnsi="Times New Roman" w:eastAsia="宋体" w:cs="Times New Roman"/>
      <w:szCs w:val="24"/>
    </w:rPr>
  </w:style>
  <w:style w:type="character" w:customStyle="1" w:styleId="48">
    <w:name w:val="正文首行缩进 Char"/>
    <w:basedOn w:val="49"/>
    <w:link w:val="19"/>
    <w:qFormat/>
    <w:uiPriority w:val="0"/>
    <w:rPr>
      <w:rFonts w:ascii="宋体" w:hAnsi="Calibri" w:eastAsia="宋体" w:cs="Times New Roman"/>
      <w:sz w:val="24"/>
      <w:szCs w:val="20"/>
      <w:lang w:val="zh-CN"/>
    </w:rPr>
  </w:style>
  <w:style w:type="character" w:customStyle="1" w:styleId="49">
    <w:name w:val="正文文本 Char"/>
    <w:basedOn w:val="41"/>
    <w:qFormat/>
    <w:uiPriority w:val="0"/>
    <w:rPr>
      <w:rFonts w:ascii="Times New Roman" w:hAnsi="Times New Roman" w:eastAsia="宋体" w:cs="Times New Roman"/>
      <w:szCs w:val="24"/>
    </w:rPr>
  </w:style>
  <w:style w:type="character" w:customStyle="1" w:styleId="50">
    <w:name w:val="正文文本 Char1"/>
    <w:link w:val="18"/>
    <w:qFormat/>
    <w:uiPriority w:val="0"/>
    <w:rPr>
      <w:rFonts w:ascii="宋体" w:hAnsi="Arial" w:eastAsia="宋体" w:cs="Arial"/>
      <w:snapToGrid w:val="0"/>
      <w:sz w:val="24"/>
      <w:szCs w:val="21"/>
      <w:lang w:val="zh-CN"/>
    </w:rPr>
  </w:style>
  <w:style w:type="character" w:customStyle="1" w:styleId="51">
    <w:name w:val="正文首行缩进 2 Char"/>
    <w:basedOn w:val="47"/>
    <w:link w:val="38"/>
    <w:qFormat/>
    <w:uiPriority w:val="0"/>
    <w:rPr>
      <w:rFonts w:ascii="宋体" w:hAnsi="宋体" w:eastAsia="宋体" w:cs="Times New Roman"/>
      <w:szCs w:val="24"/>
    </w:rPr>
  </w:style>
  <w:style w:type="character" w:customStyle="1" w:styleId="52">
    <w:name w:val="标题 4 Char1"/>
    <w:qFormat/>
    <w:uiPriority w:val="0"/>
    <w:rPr>
      <w:rFonts w:ascii="Arial" w:hAnsi="Arial" w:eastAsia="黑体" w:cs="Times New Roman"/>
      <w:b/>
      <w:bCs/>
      <w:sz w:val="28"/>
      <w:szCs w:val="28"/>
      <w:lang w:val="zh-CN"/>
    </w:rPr>
  </w:style>
  <w:style w:type="character" w:customStyle="1" w:styleId="53">
    <w:name w:val="标题 1 Char"/>
    <w:basedOn w:val="41"/>
    <w:link w:val="2"/>
    <w:qFormat/>
    <w:uiPriority w:val="0"/>
    <w:rPr>
      <w:rFonts w:ascii="Times New Roman" w:hAnsi="Times New Roman" w:eastAsia="宋体" w:cs="Times New Roman"/>
      <w:b/>
      <w:bCs/>
      <w:kern w:val="44"/>
      <w:sz w:val="44"/>
      <w:szCs w:val="44"/>
    </w:rPr>
  </w:style>
  <w:style w:type="character" w:customStyle="1" w:styleId="54">
    <w:name w:val="标题 2 Char"/>
    <w:basedOn w:val="41"/>
    <w:link w:val="3"/>
    <w:qFormat/>
    <w:uiPriority w:val="9"/>
    <w:rPr>
      <w:rFonts w:ascii="仿宋_GB2312" w:hAnsi="仿宋" w:eastAsia="仿宋_GB2312" w:cs="Times New Roman"/>
      <w:b/>
      <w:bCs/>
      <w:sz w:val="32"/>
      <w:szCs w:val="32"/>
      <w:lang w:val="zh-CN"/>
    </w:rPr>
  </w:style>
  <w:style w:type="character" w:customStyle="1" w:styleId="55">
    <w:name w:val="标题 3 Char"/>
    <w:basedOn w:val="41"/>
    <w:link w:val="4"/>
    <w:qFormat/>
    <w:uiPriority w:val="0"/>
    <w:rPr>
      <w:rFonts w:ascii="Times New Roman" w:hAnsi="Times New Roman" w:eastAsia="宋体" w:cs="Times New Roman"/>
      <w:b/>
      <w:bCs/>
      <w:sz w:val="32"/>
      <w:szCs w:val="32"/>
    </w:rPr>
  </w:style>
  <w:style w:type="character" w:customStyle="1" w:styleId="56">
    <w:name w:val="正文缩进 Char"/>
    <w:link w:val="5"/>
    <w:qFormat/>
    <w:uiPriority w:val="0"/>
    <w:rPr>
      <w:rFonts w:ascii="宋体" w:hAnsi="Times New Roman" w:eastAsia="宋体" w:cs="Times New Roman"/>
      <w:snapToGrid w:val="0"/>
      <w:color w:val="000000"/>
      <w:kern w:val="28"/>
      <w:sz w:val="28"/>
      <w:szCs w:val="20"/>
    </w:rPr>
  </w:style>
  <w:style w:type="character" w:customStyle="1" w:styleId="57">
    <w:name w:val="标题 4 Char"/>
    <w:basedOn w:val="41"/>
    <w:link w:val="6"/>
    <w:qFormat/>
    <w:uiPriority w:val="0"/>
    <w:rPr>
      <w:rFonts w:asciiTheme="majorHAnsi" w:hAnsiTheme="majorHAnsi" w:eastAsiaTheme="majorEastAsia" w:cstheme="majorBidi"/>
      <w:b/>
      <w:bCs/>
      <w:sz w:val="28"/>
      <w:szCs w:val="28"/>
    </w:rPr>
  </w:style>
  <w:style w:type="character" w:customStyle="1" w:styleId="58">
    <w:name w:val="标题 5 Char"/>
    <w:basedOn w:val="41"/>
    <w:link w:val="7"/>
    <w:qFormat/>
    <w:uiPriority w:val="0"/>
    <w:rPr>
      <w:rFonts w:ascii="Times New Roman" w:hAnsi="Times New Roman" w:eastAsia="宋体" w:cs="Times New Roman"/>
      <w:b/>
      <w:bCs/>
      <w:sz w:val="28"/>
      <w:szCs w:val="28"/>
    </w:rPr>
  </w:style>
  <w:style w:type="character" w:customStyle="1" w:styleId="59">
    <w:name w:val="标题 6 Char"/>
    <w:basedOn w:val="41"/>
    <w:link w:val="8"/>
    <w:qFormat/>
    <w:uiPriority w:val="0"/>
    <w:rPr>
      <w:rFonts w:ascii="Arial" w:hAnsi="Arial" w:eastAsia="黑体" w:cs="Times New Roman"/>
      <w:b/>
      <w:bCs/>
      <w:sz w:val="24"/>
      <w:szCs w:val="24"/>
    </w:rPr>
  </w:style>
  <w:style w:type="character" w:customStyle="1" w:styleId="60">
    <w:name w:val="标题 7 Char"/>
    <w:basedOn w:val="41"/>
    <w:link w:val="9"/>
    <w:qFormat/>
    <w:uiPriority w:val="0"/>
    <w:rPr>
      <w:rFonts w:ascii="Times New Roman" w:hAnsi="Times New Roman" w:eastAsia="宋体" w:cs="Times New Roman"/>
      <w:b/>
      <w:bCs/>
      <w:sz w:val="24"/>
      <w:szCs w:val="24"/>
    </w:rPr>
  </w:style>
  <w:style w:type="character" w:customStyle="1" w:styleId="61">
    <w:name w:val="标题 8 Char"/>
    <w:basedOn w:val="41"/>
    <w:link w:val="10"/>
    <w:qFormat/>
    <w:uiPriority w:val="0"/>
    <w:rPr>
      <w:rFonts w:ascii="Arial" w:hAnsi="Arial" w:eastAsia="黑体" w:cs="Times New Roman"/>
      <w:sz w:val="24"/>
      <w:szCs w:val="24"/>
    </w:rPr>
  </w:style>
  <w:style w:type="character" w:customStyle="1" w:styleId="62">
    <w:name w:val="标题 9 Char"/>
    <w:basedOn w:val="41"/>
    <w:link w:val="11"/>
    <w:qFormat/>
    <w:uiPriority w:val="0"/>
    <w:rPr>
      <w:rFonts w:ascii="Arial" w:hAnsi="Arial" w:eastAsia="黑体" w:cs="Times New Roman"/>
      <w:szCs w:val="21"/>
    </w:rPr>
  </w:style>
  <w:style w:type="character" w:customStyle="1" w:styleId="63">
    <w:name w:val="题注 Char"/>
    <w:link w:val="13"/>
    <w:qFormat/>
    <w:uiPriority w:val="0"/>
    <w:rPr>
      <w:rFonts w:ascii="Times New Roman" w:hAnsi="Times New Roman" w:eastAsia="宋体" w:cs="Times New Roman"/>
      <w:b/>
      <w:sz w:val="28"/>
      <w:szCs w:val="20"/>
    </w:rPr>
  </w:style>
  <w:style w:type="character" w:customStyle="1" w:styleId="64">
    <w:name w:val="文档结构图 Char1"/>
    <w:qFormat/>
    <w:uiPriority w:val="0"/>
    <w:rPr>
      <w:rFonts w:ascii="Times New Roman" w:hAnsi="Times New Roman" w:eastAsia="宋体" w:cs="Times New Roman"/>
      <w:szCs w:val="24"/>
      <w:shd w:val="clear" w:color="auto" w:fill="000080"/>
    </w:rPr>
  </w:style>
  <w:style w:type="character" w:customStyle="1" w:styleId="65">
    <w:name w:val="文档结构图 Char"/>
    <w:basedOn w:val="41"/>
    <w:link w:val="14"/>
    <w:qFormat/>
    <w:uiPriority w:val="0"/>
    <w:rPr>
      <w:rFonts w:ascii="宋体" w:hAnsi="Times New Roman" w:eastAsia="宋体" w:cs="Times New Roman"/>
      <w:sz w:val="18"/>
      <w:szCs w:val="18"/>
    </w:rPr>
  </w:style>
  <w:style w:type="character" w:customStyle="1" w:styleId="66">
    <w:name w:val="批注文字 Char1"/>
    <w:qFormat/>
    <w:uiPriority w:val="99"/>
    <w:rPr>
      <w:rFonts w:ascii="Times New Roman" w:hAnsi="Times New Roman" w:eastAsia="宋体" w:cs="Times New Roman"/>
      <w:szCs w:val="24"/>
    </w:rPr>
  </w:style>
  <w:style w:type="character" w:customStyle="1" w:styleId="67">
    <w:name w:val="批注文字 Char"/>
    <w:basedOn w:val="41"/>
    <w:link w:val="15"/>
    <w:qFormat/>
    <w:uiPriority w:val="99"/>
    <w:rPr>
      <w:rFonts w:ascii="Times New Roman" w:hAnsi="Times New Roman" w:eastAsia="宋体" w:cs="Times New Roman"/>
      <w:szCs w:val="24"/>
    </w:rPr>
  </w:style>
  <w:style w:type="character" w:customStyle="1" w:styleId="68">
    <w:name w:val="称呼 Char"/>
    <w:basedOn w:val="41"/>
    <w:qFormat/>
    <w:uiPriority w:val="0"/>
    <w:rPr>
      <w:rFonts w:ascii="仿宋_GB2312" w:hAnsi="Times New Roman" w:eastAsia="仿宋_GB2312" w:cs="Times New Roman"/>
      <w:sz w:val="28"/>
      <w:szCs w:val="20"/>
    </w:rPr>
  </w:style>
  <w:style w:type="character" w:customStyle="1" w:styleId="69">
    <w:name w:val="称呼 Char1"/>
    <w:basedOn w:val="41"/>
    <w:link w:val="16"/>
    <w:semiHidden/>
    <w:qFormat/>
    <w:uiPriority w:val="99"/>
    <w:rPr>
      <w:rFonts w:ascii="Times New Roman" w:hAnsi="Times New Roman" w:eastAsia="宋体" w:cs="Times New Roman"/>
      <w:szCs w:val="24"/>
    </w:rPr>
  </w:style>
  <w:style w:type="character" w:customStyle="1" w:styleId="70">
    <w:name w:val="正文文本 3 Char"/>
    <w:basedOn w:val="41"/>
    <w:qFormat/>
    <w:uiPriority w:val="0"/>
    <w:rPr>
      <w:rFonts w:ascii="Times New Roman" w:hAnsi="Times New Roman" w:eastAsia="宋体" w:cs="Times New Roman"/>
      <w:szCs w:val="20"/>
    </w:rPr>
  </w:style>
  <w:style w:type="character" w:customStyle="1" w:styleId="71">
    <w:name w:val="正文文本 3 Char1"/>
    <w:basedOn w:val="41"/>
    <w:link w:val="17"/>
    <w:semiHidden/>
    <w:qFormat/>
    <w:uiPriority w:val="99"/>
    <w:rPr>
      <w:rFonts w:ascii="Times New Roman" w:hAnsi="Times New Roman" w:eastAsia="宋体" w:cs="Times New Roman"/>
      <w:sz w:val="16"/>
      <w:szCs w:val="16"/>
    </w:rPr>
  </w:style>
  <w:style w:type="character" w:customStyle="1" w:styleId="72">
    <w:name w:val="HTML 地址 Char"/>
    <w:basedOn w:val="41"/>
    <w:qFormat/>
    <w:uiPriority w:val="0"/>
    <w:rPr>
      <w:rFonts w:ascii="宋体" w:hAnsi="宋体" w:eastAsia="宋体" w:cs="Times New Roman"/>
      <w:i/>
      <w:iCs/>
      <w:kern w:val="0"/>
      <w:sz w:val="24"/>
      <w:szCs w:val="24"/>
    </w:rPr>
  </w:style>
  <w:style w:type="character" w:customStyle="1" w:styleId="73">
    <w:name w:val="HTML 地址 Char1"/>
    <w:basedOn w:val="41"/>
    <w:link w:val="21"/>
    <w:semiHidden/>
    <w:qFormat/>
    <w:uiPriority w:val="99"/>
    <w:rPr>
      <w:rFonts w:ascii="Times New Roman" w:hAnsi="Times New Roman" w:eastAsia="宋体" w:cs="Times New Roman"/>
      <w:i/>
      <w:iCs/>
      <w:szCs w:val="24"/>
    </w:rPr>
  </w:style>
  <w:style w:type="character" w:customStyle="1" w:styleId="74">
    <w:name w:val="纯文本 Char"/>
    <w:basedOn w:val="41"/>
    <w:link w:val="22"/>
    <w:qFormat/>
    <w:uiPriority w:val="99"/>
    <w:rPr>
      <w:rFonts w:ascii="宋体" w:hAnsi="Courier New" w:eastAsia="宋体" w:cs="Arial"/>
      <w:snapToGrid w:val="0"/>
      <w:szCs w:val="21"/>
    </w:rPr>
  </w:style>
  <w:style w:type="character" w:customStyle="1" w:styleId="75">
    <w:name w:val="纯文本 Char1"/>
    <w:basedOn w:val="41"/>
    <w:link w:val="76"/>
    <w:qFormat/>
    <w:uiPriority w:val="0"/>
    <w:rPr>
      <w:rFonts w:ascii="宋体" w:hAnsi="Courier New" w:eastAsia="宋体" w:cs="Courier New"/>
      <w:szCs w:val="21"/>
    </w:rPr>
  </w:style>
  <w:style w:type="paragraph" w:customStyle="1" w:styleId="76">
    <w:name w:val="纯文本1"/>
    <w:basedOn w:val="1"/>
    <w:link w:val="75"/>
    <w:qFormat/>
    <w:uiPriority w:val="0"/>
    <w:pPr>
      <w:adjustRightInd/>
    </w:pPr>
    <w:rPr>
      <w:rFonts w:ascii="宋体" w:hAnsi="Courier New" w:cs="Courier New"/>
      <w:szCs w:val="21"/>
    </w:rPr>
  </w:style>
  <w:style w:type="character" w:customStyle="1" w:styleId="77">
    <w:name w:val="日期 Char"/>
    <w:basedOn w:val="41"/>
    <w:qFormat/>
    <w:uiPriority w:val="0"/>
    <w:rPr>
      <w:rFonts w:ascii="宋体" w:hAnsi="Times New Roman" w:eastAsia="宋体" w:cs="Times New Roman"/>
      <w:sz w:val="24"/>
      <w:szCs w:val="21"/>
      <w:lang w:val="zh-CN"/>
    </w:rPr>
  </w:style>
  <w:style w:type="character" w:customStyle="1" w:styleId="78">
    <w:name w:val="日期 Char1"/>
    <w:basedOn w:val="41"/>
    <w:link w:val="23"/>
    <w:semiHidden/>
    <w:qFormat/>
    <w:uiPriority w:val="99"/>
    <w:rPr>
      <w:rFonts w:ascii="Times New Roman" w:hAnsi="Times New Roman" w:eastAsia="宋体" w:cs="Times New Roman"/>
      <w:szCs w:val="24"/>
    </w:rPr>
  </w:style>
  <w:style w:type="character" w:customStyle="1" w:styleId="79">
    <w:name w:val="正文文本缩进 2 Char"/>
    <w:basedOn w:val="41"/>
    <w:qFormat/>
    <w:uiPriority w:val="0"/>
    <w:rPr>
      <w:rFonts w:ascii="宋体" w:hAnsi="Times New Roman" w:eastAsia="宋体" w:cs="Times New Roman"/>
      <w:kern w:val="0"/>
      <w:sz w:val="28"/>
      <w:szCs w:val="20"/>
    </w:rPr>
  </w:style>
  <w:style w:type="character" w:customStyle="1" w:styleId="80">
    <w:name w:val="正文文本缩进 2 Char1"/>
    <w:basedOn w:val="41"/>
    <w:link w:val="24"/>
    <w:qFormat/>
    <w:uiPriority w:val="0"/>
    <w:rPr>
      <w:rFonts w:ascii="Times New Roman" w:hAnsi="Times New Roman" w:eastAsia="宋体" w:cs="Times New Roman"/>
      <w:szCs w:val="24"/>
    </w:rPr>
  </w:style>
  <w:style w:type="character" w:customStyle="1" w:styleId="81">
    <w:name w:val="尾注文本 Char"/>
    <w:basedOn w:val="41"/>
    <w:qFormat/>
    <w:uiPriority w:val="0"/>
    <w:rPr>
      <w:rFonts w:ascii="Times New Roman" w:hAnsi="Times New Roman" w:eastAsia="宋体" w:cs="Times New Roman"/>
      <w:szCs w:val="24"/>
      <w:lang w:val="zh-CN"/>
    </w:rPr>
  </w:style>
  <w:style w:type="character" w:customStyle="1" w:styleId="82">
    <w:name w:val="尾注文本 Char1"/>
    <w:basedOn w:val="41"/>
    <w:link w:val="25"/>
    <w:semiHidden/>
    <w:qFormat/>
    <w:uiPriority w:val="99"/>
    <w:rPr>
      <w:rFonts w:ascii="Times New Roman" w:hAnsi="Times New Roman" w:eastAsia="宋体" w:cs="Times New Roman"/>
      <w:szCs w:val="24"/>
    </w:rPr>
  </w:style>
  <w:style w:type="character" w:customStyle="1" w:styleId="83">
    <w:name w:val="批注框文本 Char"/>
    <w:basedOn w:val="41"/>
    <w:qFormat/>
    <w:uiPriority w:val="0"/>
    <w:rPr>
      <w:rFonts w:ascii="Times New Roman" w:hAnsi="Times New Roman" w:eastAsia="宋体" w:cs="Times New Roman"/>
      <w:sz w:val="18"/>
      <w:szCs w:val="18"/>
    </w:rPr>
  </w:style>
  <w:style w:type="character" w:customStyle="1" w:styleId="84">
    <w:name w:val="批注框文本 Char1"/>
    <w:basedOn w:val="41"/>
    <w:link w:val="26"/>
    <w:qFormat/>
    <w:uiPriority w:val="0"/>
    <w:rPr>
      <w:rFonts w:ascii="Times New Roman" w:hAnsi="Times New Roman" w:eastAsia="宋体" w:cs="Times New Roman"/>
      <w:sz w:val="18"/>
      <w:szCs w:val="18"/>
    </w:rPr>
  </w:style>
  <w:style w:type="character" w:customStyle="1" w:styleId="85">
    <w:name w:val="页脚 Char1"/>
    <w:qFormat/>
    <w:locked/>
    <w:uiPriority w:val="99"/>
    <w:rPr>
      <w:rFonts w:ascii="Times New Roman" w:hAnsi="Times New Roman" w:eastAsia="宋体" w:cs="Times New Roman"/>
      <w:sz w:val="18"/>
      <w:szCs w:val="18"/>
    </w:rPr>
  </w:style>
  <w:style w:type="character" w:customStyle="1" w:styleId="86">
    <w:name w:val="页脚 Char"/>
    <w:basedOn w:val="41"/>
    <w:link w:val="27"/>
    <w:qFormat/>
    <w:uiPriority w:val="0"/>
    <w:rPr>
      <w:rFonts w:ascii="Times New Roman" w:hAnsi="Times New Roman" w:eastAsia="宋体" w:cs="Times New Roman"/>
      <w:sz w:val="18"/>
      <w:szCs w:val="18"/>
    </w:rPr>
  </w:style>
  <w:style w:type="character" w:customStyle="1" w:styleId="87">
    <w:name w:val="页眉 Char1"/>
    <w:qFormat/>
    <w:uiPriority w:val="99"/>
    <w:rPr>
      <w:rFonts w:ascii="Times New Roman" w:hAnsi="Times New Roman" w:eastAsia="宋体" w:cs="Times New Roman"/>
      <w:sz w:val="18"/>
      <w:szCs w:val="18"/>
    </w:rPr>
  </w:style>
  <w:style w:type="character" w:customStyle="1" w:styleId="88">
    <w:name w:val="页眉 Char"/>
    <w:basedOn w:val="41"/>
    <w:link w:val="28"/>
    <w:qFormat/>
    <w:uiPriority w:val="0"/>
    <w:rPr>
      <w:rFonts w:ascii="Times New Roman" w:hAnsi="Times New Roman" w:eastAsia="宋体" w:cs="Times New Roman"/>
      <w:sz w:val="18"/>
      <w:szCs w:val="18"/>
    </w:rPr>
  </w:style>
  <w:style w:type="character" w:customStyle="1" w:styleId="89">
    <w:name w:val="签名 Char"/>
    <w:basedOn w:val="41"/>
    <w:qFormat/>
    <w:uiPriority w:val="0"/>
    <w:rPr>
      <w:rFonts w:ascii="Times New Roman" w:hAnsi="Times New Roman" w:eastAsia="仿宋_GB2312" w:cs="Times New Roman"/>
      <w:kern w:val="0"/>
      <w:sz w:val="24"/>
      <w:szCs w:val="20"/>
    </w:rPr>
  </w:style>
  <w:style w:type="character" w:customStyle="1" w:styleId="90">
    <w:name w:val="签名 Char1"/>
    <w:basedOn w:val="41"/>
    <w:link w:val="29"/>
    <w:semiHidden/>
    <w:qFormat/>
    <w:uiPriority w:val="99"/>
    <w:rPr>
      <w:rFonts w:ascii="Times New Roman" w:hAnsi="Times New Roman" w:eastAsia="宋体" w:cs="Times New Roman"/>
      <w:szCs w:val="24"/>
    </w:rPr>
  </w:style>
  <w:style w:type="character" w:customStyle="1" w:styleId="91">
    <w:name w:val="副标题 Char"/>
    <w:basedOn w:val="41"/>
    <w:qFormat/>
    <w:uiPriority w:val="0"/>
    <w:rPr>
      <w:rFonts w:ascii="Arial" w:hAnsi="Arial" w:eastAsia="隶书" w:cs="Times New Roman"/>
      <w:b/>
      <w:bCs/>
      <w:kern w:val="28"/>
      <w:sz w:val="44"/>
      <w:szCs w:val="32"/>
    </w:rPr>
  </w:style>
  <w:style w:type="character" w:customStyle="1" w:styleId="92">
    <w:name w:val="副标题 Char1"/>
    <w:basedOn w:val="41"/>
    <w:link w:val="30"/>
    <w:qFormat/>
    <w:uiPriority w:val="11"/>
    <w:rPr>
      <w:rFonts w:eastAsia="宋体" w:asciiTheme="majorHAnsi" w:hAnsiTheme="majorHAnsi" w:cstheme="majorBidi"/>
      <w:b/>
      <w:bCs/>
      <w:kern w:val="28"/>
      <w:sz w:val="32"/>
      <w:szCs w:val="32"/>
    </w:rPr>
  </w:style>
  <w:style w:type="character" w:customStyle="1" w:styleId="93">
    <w:name w:val="脚注文本 Char"/>
    <w:basedOn w:val="41"/>
    <w:link w:val="32"/>
    <w:qFormat/>
    <w:uiPriority w:val="0"/>
    <w:rPr>
      <w:rFonts w:ascii="Calibri" w:hAnsi="Times New Roman" w:eastAsia="宋体" w:cs="Times New Roman"/>
      <w:color w:val="0000FF"/>
      <w:kern w:val="0"/>
      <w:szCs w:val="20"/>
    </w:rPr>
  </w:style>
  <w:style w:type="character" w:customStyle="1" w:styleId="94">
    <w:name w:val="正文文本缩进 3 Char"/>
    <w:basedOn w:val="41"/>
    <w:qFormat/>
    <w:uiPriority w:val="0"/>
    <w:rPr>
      <w:rFonts w:ascii="Times New Roman" w:hAnsi="Times New Roman" w:eastAsia="宋体" w:cs="Times New Roman"/>
      <w:sz w:val="24"/>
      <w:szCs w:val="20"/>
    </w:rPr>
  </w:style>
  <w:style w:type="character" w:customStyle="1" w:styleId="95">
    <w:name w:val="正文文本缩进 3 Char1"/>
    <w:basedOn w:val="41"/>
    <w:link w:val="33"/>
    <w:semiHidden/>
    <w:qFormat/>
    <w:uiPriority w:val="99"/>
    <w:rPr>
      <w:rFonts w:ascii="Times New Roman" w:hAnsi="Times New Roman" w:eastAsia="宋体" w:cs="Times New Roman"/>
      <w:sz w:val="16"/>
      <w:szCs w:val="16"/>
    </w:rPr>
  </w:style>
  <w:style w:type="character" w:customStyle="1" w:styleId="96">
    <w:name w:val="正文文本 2 Char1"/>
    <w:qFormat/>
    <w:uiPriority w:val="0"/>
    <w:rPr>
      <w:rFonts w:ascii="Times New Roman" w:hAnsi="Times New Roman" w:eastAsia="宋体" w:cs="Times New Roman"/>
      <w:szCs w:val="24"/>
    </w:rPr>
  </w:style>
  <w:style w:type="character" w:customStyle="1" w:styleId="97">
    <w:name w:val="正文文本 2 Char"/>
    <w:basedOn w:val="41"/>
    <w:link w:val="34"/>
    <w:qFormat/>
    <w:uiPriority w:val="0"/>
    <w:rPr>
      <w:rFonts w:ascii="Times New Roman" w:hAnsi="Times New Roman" w:eastAsia="宋体" w:cs="Times New Roman"/>
      <w:szCs w:val="24"/>
    </w:rPr>
  </w:style>
  <w:style w:type="character" w:customStyle="1" w:styleId="98">
    <w:name w:val="HTML 预设格式 Char"/>
    <w:basedOn w:val="41"/>
    <w:qFormat/>
    <w:uiPriority w:val="0"/>
    <w:rPr>
      <w:rFonts w:ascii="黑体" w:hAnsi="Courier New" w:eastAsia="黑体" w:cs="Times New Roman"/>
      <w:kern w:val="0"/>
      <w:sz w:val="20"/>
      <w:szCs w:val="20"/>
    </w:rPr>
  </w:style>
  <w:style w:type="character" w:customStyle="1" w:styleId="99">
    <w:name w:val="HTML 预设格式 Char1"/>
    <w:basedOn w:val="41"/>
    <w:link w:val="35"/>
    <w:semiHidden/>
    <w:qFormat/>
    <w:uiPriority w:val="99"/>
    <w:rPr>
      <w:rFonts w:ascii="Courier New" w:hAnsi="Courier New" w:eastAsia="宋体" w:cs="Courier New"/>
      <w:sz w:val="20"/>
      <w:szCs w:val="20"/>
    </w:rPr>
  </w:style>
  <w:style w:type="character" w:customStyle="1" w:styleId="100">
    <w:name w:val="标题 Char1"/>
    <w:qFormat/>
    <w:uiPriority w:val="10"/>
    <w:rPr>
      <w:rFonts w:ascii="Times New Roman" w:hAnsi="Times New Roman" w:eastAsia="宋体" w:cs="Times New Roman"/>
      <w:b/>
      <w:kern w:val="0"/>
      <w:sz w:val="24"/>
      <w:szCs w:val="20"/>
      <w:lang w:val="en-GB"/>
    </w:rPr>
  </w:style>
  <w:style w:type="character" w:customStyle="1" w:styleId="101">
    <w:name w:val="标题 Char"/>
    <w:basedOn w:val="41"/>
    <w:link w:val="36"/>
    <w:qFormat/>
    <w:uiPriority w:val="0"/>
    <w:rPr>
      <w:rFonts w:eastAsia="宋体" w:asciiTheme="majorHAnsi" w:hAnsiTheme="majorHAnsi" w:cstheme="majorBidi"/>
      <w:b/>
      <w:bCs/>
      <w:sz w:val="32"/>
      <w:szCs w:val="32"/>
    </w:rPr>
  </w:style>
  <w:style w:type="character" w:customStyle="1" w:styleId="102">
    <w:name w:val="批注主题 Char1"/>
    <w:qFormat/>
    <w:uiPriority w:val="0"/>
    <w:rPr>
      <w:rFonts w:ascii="Times New Roman" w:hAnsi="Times New Roman" w:eastAsia="宋体" w:cs="Times New Roman"/>
      <w:b/>
      <w:bCs/>
      <w:szCs w:val="24"/>
    </w:rPr>
  </w:style>
  <w:style w:type="character" w:customStyle="1" w:styleId="103">
    <w:name w:val="批注主题 Char"/>
    <w:basedOn w:val="67"/>
    <w:link w:val="37"/>
    <w:qFormat/>
    <w:uiPriority w:val="0"/>
    <w:rPr>
      <w:rFonts w:ascii="Times New Roman" w:hAnsi="Times New Roman" w:eastAsia="宋体" w:cs="Times New Roman"/>
      <w:b/>
      <w:bCs/>
      <w:szCs w:val="24"/>
    </w:rPr>
  </w:style>
  <w:style w:type="character" w:customStyle="1" w:styleId="104">
    <w:name w:val="表格非标题文字 Char"/>
    <w:link w:val="105"/>
    <w:qFormat/>
    <w:uiPriority w:val="0"/>
    <w:rPr>
      <w:rFonts w:ascii="Futura Bk" w:hAnsi="Futura Bk"/>
      <w:sz w:val="18"/>
      <w:szCs w:val="21"/>
    </w:rPr>
  </w:style>
  <w:style w:type="paragraph" w:customStyle="1" w:styleId="105">
    <w:name w:val="表格非标题文字"/>
    <w:link w:val="104"/>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106">
    <w:name w:val="*正文 Char"/>
    <w:link w:val="107"/>
    <w:qFormat/>
    <w:locked/>
    <w:uiPriority w:val="0"/>
    <w:rPr>
      <w:rFonts w:ascii="宋体" w:hAnsi="宋体"/>
      <w:sz w:val="24"/>
    </w:rPr>
  </w:style>
  <w:style w:type="paragraph" w:customStyle="1" w:styleId="107">
    <w:name w:val="*正文"/>
    <w:basedOn w:val="1"/>
    <w:link w:val="106"/>
    <w:qFormat/>
    <w:uiPriority w:val="0"/>
    <w:pPr>
      <w:snapToGrid w:val="0"/>
      <w:spacing w:line="360" w:lineRule="auto"/>
      <w:ind w:firstLine="482"/>
      <w:jc w:val="left"/>
    </w:pPr>
    <w:rPr>
      <w:rFonts w:ascii="宋体" w:hAnsi="宋体" w:eastAsiaTheme="minorEastAsia" w:cstheme="minorBidi"/>
      <w:sz w:val="24"/>
      <w:szCs w:val="22"/>
    </w:rPr>
  </w:style>
  <w:style w:type="character" w:customStyle="1" w:styleId="108">
    <w:name w:val="U_正文 Char"/>
    <w:link w:val="109"/>
    <w:qFormat/>
    <w:uiPriority w:val="0"/>
    <w:rPr>
      <w:sz w:val="24"/>
      <w:szCs w:val="24"/>
    </w:rPr>
  </w:style>
  <w:style w:type="paragraph" w:customStyle="1" w:styleId="109">
    <w:name w:val="U_正文"/>
    <w:basedOn w:val="1"/>
    <w:link w:val="108"/>
    <w:qFormat/>
    <w:uiPriority w:val="0"/>
    <w:pPr>
      <w:adjustRightInd/>
      <w:spacing w:beforeLines="20" w:afterLines="20" w:line="300" w:lineRule="auto"/>
      <w:ind w:firstLine="200" w:firstLineChars="200"/>
    </w:pPr>
    <w:rPr>
      <w:rFonts w:asciiTheme="minorHAnsi" w:hAnsiTheme="minorHAnsi" w:eastAsiaTheme="minorEastAsia" w:cstheme="minorBidi"/>
      <w:sz w:val="24"/>
    </w:rPr>
  </w:style>
  <w:style w:type="character" w:customStyle="1" w:styleId="110">
    <w:name w:val="哈哈正文 Char"/>
    <w:link w:val="111"/>
    <w:qFormat/>
    <w:uiPriority w:val="0"/>
    <w:rPr>
      <w:rFonts w:ascii="宋体" w:hAnsi="宋体" w:eastAsia="宋体"/>
      <w:sz w:val="24"/>
    </w:rPr>
  </w:style>
  <w:style w:type="paragraph" w:customStyle="1" w:styleId="111">
    <w:name w:val="哈哈正文"/>
    <w:basedOn w:val="1"/>
    <w:link w:val="110"/>
    <w:qFormat/>
    <w:uiPriority w:val="0"/>
    <w:pPr>
      <w:adjustRightInd/>
      <w:spacing w:line="360" w:lineRule="auto"/>
      <w:ind w:firstLine="200" w:firstLineChars="200"/>
    </w:pPr>
    <w:rPr>
      <w:rFonts w:ascii="宋体" w:hAnsi="宋体" w:cstheme="minorBidi"/>
      <w:sz w:val="24"/>
      <w:szCs w:val="22"/>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cstheme="minorBidi"/>
      <w:sz w:val="28"/>
      <w:szCs w:val="21"/>
    </w:rPr>
  </w:style>
  <w:style w:type="character" w:customStyle="1" w:styleId="114">
    <w:name w:val="正文2 Char Char"/>
    <w:link w:val="115"/>
    <w:qFormat/>
    <w:uiPriority w:val="0"/>
    <w:rPr>
      <w:rFonts w:eastAsia="宋体"/>
      <w:sz w:val="24"/>
    </w:rPr>
  </w:style>
  <w:style w:type="paragraph" w:customStyle="1" w:styleId="115">
    <w:name w:val="正文2"/>
    <w:basedOn w:val="1"/>
    <w:link w:val="114"/>
    <w:qFormat/>
    <w:uiPriority w:val="0"/>
    <w:pPr>
      <w:spacing w:before="156" w:line="360" w:lineRule="auto"/>
      <w:ind w:firstLine="510" w:firstLineChars="200"/>
    </w:pPr>
    <w:rPr>
      <w:rFonts w:asciiTheme="minorHAnsi" w:hAnsiTheme="minorHAnsi" w:cstheme="minorBidi"/>
      <w:sz w:val="24"/>
      <w:szCs w:val="22"/>
    </w:rPr>
  </w:style>
  <w:style w:type="character" w:customStyle="1" w:styleId="116">
    <w:name w:val="No Spacing Char"/>
    <w:link w:val="117"/>
    <w:qFormat/>
    <w:uiPriority w:val="1"/>
    <w:rPr>
      <w:sz w:val="22"/>
    </w:rPr>
  </w:style>
  <w:style w:type="paragraph" w:customStyle="1" w:styleId="117">
    <w:name w:val="无间隔1"/>
    <w:link w:val="116"/>
    <w:qFormat/>
    <w:uiPriority w:val="1"/>
    <w:rPr>
      <w:rFonts w:asciiTheme="minorHAnsi" w:hAnsiTheme="minorHAnsi" w:eastAsiaTheme="minorEastAsia" w:cstheme="minorBidi"/>
      <w:kern w:val="2"/>
      <w:sz w:val="22"/>
      <w:szCs w:val="22"/>
      <w:lang w:val="en-US" w:eastAsia="zh-CN" w:bidi="ar-SA"/>
    </w:rPr>
  </w:style>
  <w:style w:type="character" w:customStyle="1" w:styleId="118">
    <w:name w:val="纯文本 Char_0"/>
    <w:link w:val="119"/>
    <w:qFormat/>
    <w:uiPriority w:val="0"/>
    <w:rPr>
      <w:rFonts w:ascii="宋体" w:hAnsi="Courier New"/>
      <w:szCs w:val="21"/>
    </w:rPr>
  </w:style>
  <w:style w:type="paragraph" w:customStyle="1" w:styleId="119">
    <w:name w:val="纯文本_0_0"/>
    <w:basedOn w:val="120"/>
    <w:link w:val="118"/>
    <w:qFormat/>
    <w:uiPriority w:val="0"/>
    <w:rPr>
      <w:rFonts w:ascii="宋体" w:hAnsi="Courier New" w:eastAsiaTheme="minorEastAsia" w:cstheme="minorBidi"/>
      <w:szCs w:val="21"/>
    </w:rPr>
  </w:style>
  <w:style w:type="paragraph" w:customStyle="1" w:styleId="12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1">
    <w:name w:val="正文（绿盟科技） Char"/>
    <w:link w:val="122"/>
    <w:qFormat/>
    <w:uiPriority w:val="0"/>
    <w:rPr>
      <w:rFonts w:ascii="Arial" w:hAnsi="Arial"/>
      <w:szCs w:val="21"/>
    </w:rPr>
  </w:style>
  <w:style w:type="paragraph" w:customStyle="1" w:styleId="122">
    <w:name w:val="正文（绿盟科技）"/>
    <w:link w:val="121"/>
    <w:qFormat/>
    <w:uiPriority w:val="0"/>
    <w:pPr>
      <w:spacing w:line="300" w:lineRule="auto"/>
    </w:pPr>
    <w:rPr>
      <w:rFonts w:ascii="Arial" w:hAnsi="Arial" w:eastAsiaTheme="minorEastAsia" w:cstheme="minorBidi"/>
      <w:kern w:val="2"/>
      <w:sz w:val="21"/>
      <w:szCs w:val="21"/>
      <w:lang w:val="en-US" w:eastAsia="zh-CN" w:bidi="ar-SA"/>
    </w:rPr>
  </w:style>
  <w:style w:type="character" w:customStyle="1" w:styleId="123">
    <w:name w:val="表格名称[858D7CFB-ED40-4347-BF05-701D383B685F]"/>
    <w:link w:val="124"/>
    <w:qFormat/>
    <w:uiPriority w:val="0"/>
    <w:rPr>
      <w:sz w:val="32"/>
    </w:rPr>
  </w:style>
  <w:style w:type="paragraph" w:customStyle="1" w:styleId="124">
    <w:name w:val="表格名称"/>
    <w:basedOn w:val="3"/>
    <w:link w:val="123"/>
    <w:qFormat/>
    <w:uiPriority w:val="0"/>
    <w:pPr>
      <w:snapToGrid w:val="0"/>
      <w:spacing w:before="240" w:after="240" w:line="240" w:lineRule="auto"/>
      <w:ind w:left="0" w:firstLine="0"/>
      <w:jc w:val="center"/>
    </w:pPr>
    <w:rPr>
      <w:rFonts w:asciiTheme="minorHAnsi" w:hAnsiTheme="minorHAnsi" w:eastAsiaTheme="minorEastAsia" w:cstheme="minorBidi"/>
      <w:b w:val="0"/>
      <w:bCs w:val="0"/>
      <w:szCs w:val="22"/>
      <w:lang w:val="en-US"/>
    </w:rPr>
  </w:style>
  <w:style w:type="character" w:customStyle="1" w:styleId="125">
    <w:name w:val="my正文 Char"/>
    <w:link w:val="126"/>
    <w:qFormat/>
    <w:locked/>
    <w:uiPriority w:val="0"/>
    <w:rPr>
      <w:rFonts w:ascii="Tahoma" w:hAnsi="Tahoma"/>
      <w:sz w:val="24"/>
      <w:szCs w:val="24"/>
    </w:rPr>
  </w:style>
  <w:style w:type="paragraph" w:customStyle="1" w:styleId="126">
    <w:name w:val="my正文"/>
    <w:basedOn w:val="1"/>
    <w:link w:val="125"/>
    <w:qFormat/>
    <w:uiPriority w:val="0"/>
    <w:pPr>
      <w:adjustRightInd/>
      <w:spacing w:line="360" w:lineRule="auto"/>
      <w:ind w:firstLine="480" w:firstLineChars="200"/>
    </w:pPr>
    <w:rPr>
      <w:rFonts w:ascii="Tahoma" w:hAnsi="Tahoma" w:eastAsiaTheme="minorEastAsia" w:cstheme="minorBidi"/>
      <w:sz w:val="24"/>
    </w:rPr>
  </w:style>
  <w:style w:type="character" w:customStyle="1" w:styleId="127">
    <w:name w:val="3级 Char"/>
    <w:link w:val="128"/>
    <w:qFormat/>
    <w:uiPriority w:val="0"/>
    <w:rPr>
      <w:rFonts w:ascii="宋体" w:hAnsi="宋体"/>
      <w:b/>
      <w:bCs/>
      <w:sz w:val="28"/>
    </w:rPr>
  </w:style>
  <w:style w:type="paragraph" w:customStyle="1" w:styleId="128">
    <w:name w:val="3级"/>
    <w:basedOn w:val="129"/>
    <w:link w:val="127"/>
    <w:qFormat/>
    <w:uiPriority w:val="0"/>
    <w:pPr>
      <w:ind w:left="0" w:right="466" w:firstLine="288"/>
    </w:pPr>
    <w:rPr>
      <w:rFonts w:hAnsi="宋体" w:eastAsiaTheme="minorEastAsia" w:cstheme="minorBidi"/>
      <w:snapToGrid/>
      <w:kern w:val="2"/>
      <w:szCs w:val="22"/>
    </w:rPr>
  </w:style>
  <w:style w:type="paragraph" w:customStyle="1" w:styleId="12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30">
    <w:name w:val="标题4-dyf Char"/>
    <w:link w:val="131"/>
    <w:qFormat/>
    <w:uiPriority w:val="0"/>
    <w:rPr>
      <w:rFonts w:ascii="Cambria" w:hAnsi="Cambria"/>
      <w:b/>
      <w:bCs/>
      <w:color w:val="000000"/>
      <w:szCs w:val="21"/>
    </w:rPr>
  </w:style>
  <w:style w:type="paragraph" w:customStyle="1" w:styleId="131">
    <w:name w:val="标题4-dyf"/>
    <w:basedOn w:val="6"/>
    <w:link w:val="130"/>
    <w:qFormat/>
    <w:uiPriority w:val="0"/>
    <w:pPr>
      <w:tabs>
        <w:tab w:val="left" w:pos="851"/>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132">
    <w:name w:val="冯 Char"/>
    <w:link w:val="133"/>
    <w:qFormat/>
    <w:uiPriority w:val="0"/>
    <w:rPr>
      <w:rFonts w:ascii="宋体" w:hAnsi="宋体"/>
      <w:color w:val="000000"/>
      <w:sz w:val="24"/>
      <w:szCs w:val="24"/>
    </w:rPr>
  </w:style>
  <w:style w:type="paragraph" w:customStyle="1" w:styleId="133">
    <w:name w:val="冯"/>
    <w:basedOn w:val="1"/>
    <w:link w:val="132"/>
    <w:qFormat/>
    <w:uiPriority w:val="0"/>
    <w:pPr>
      <w:widowControl/>
      <w:adjustRightInd/>
      <w:spacing w:line="360" w:lineRule="auto"/>
      <w:ind w:firstLine="480" w:firstLineChars="200"/>
    </w:pPr>
    <w:rPr>
      <w:rFonts w:ascii="宋体" w:hAnsi="宋体" w:eastAsiaTheme="minorEastAsia" w:cstheme="minorBidi"/>
      <w:color w:val="000000"/>
      <w:sz w:val="24"/>
    </w:rPr>
  </w:style>
  <w:style w:type="character" w:customStyle="1" w:styleId="134">
    <w:name w:val="Default Char"/>
    <w:link w:val="135"/>
    <w:qFormat/>
    <w:uiPriority w:val="0"/>
    <w:rPr>
      <w:rFonts w:ascii="仿宋_GB2312" w:eastAsia="仿宋_GB2312" w:cs="仿宋_GB2312"/>
      <w:color w:val="000000"/>
      <w:sz w:val="24"/>
      <w:szCs w:val="24"/>
    </w:rPr>
  </w:style>
  <w:style w:type="paragraph" w:customStyle="1" w:styleId="135">
    <w:name w:val="Default"/>
    <w:link w:val="134"/>
    <w:qFormat/>
    <w:uiPriority w:val="0"/>
    <w:pPr>
      <w:widowControl w:val="0"/>
      <w:autoSpaceDE w:val="0"/>
      <w:autoSpaceDN w:val="0"/>
      <w:adjustRightInd w:val="0"/>
    </w:pPr>
    <w:rPr>
      <w:rFonts w:ascii="仿宋_GB2312" w:eastAsia="仿宋_GB2312" w:cs="仿宋_GB2312" w:hAnsiTheme="minorHAnsi"/>
      <w:color w:val="000000"/>
      <w:kern w:val="2"/>
      <w:sz w:val="24"/>
      <w:szCs w:val="24"/>
      <w:lang w:val="en-US" w:eastAsia="zh-CN" w:bidi="ar-SA"/>
    </w:rPr>
  </w:style>
  <w:style w:type="character" w:customStyle="1" w:styleId="136">
    <w:name w:val="正文样式 Char"/>
    <w:link w:val="137"/>
    <w:qFormat/>
    <w:uiPriority w:val="0"/>
    <w:rPr>
      <w:rFonts w:ascii="Calibri" w:hAnsi="Calibri"/>
      <w:sz w:val="24"/>
      <w:szCs w:val="24"/>
    </w:rPr>
  </w:style>
  <w:style w:type="paragraph" w:customStyle="1" w:styleId="137">
    <w:name w:val="正文样式"/>
    <w:basedOn w:val="1"/>
    <w:link w:val="136"/>
    <w:qFormat/>
    <w:uiPriority w:val="0"/>
    <w:pPr>
      <w:adjustRightInd/>
      <w:spacing w:line="360" w:lineRule="auto"/>
      <w:ind w:firstLine="480" w:firstLineChars="200"/>
    </w:pPr>
    <w:rPr>
      <w:rFonts w:ascii="Calibri" w:hAnsi="Calibri" w:eastAsiaTheme="minorEastAsia" w:cstheme="minorBidi"/>
      <w:sz w:val="24"/>
    </w:rPr>
  </w:style>
  <w:style w:type="character" w:customStyle="1" w:styleId="138">
    <w:name w:val="gf正文1 Char Char"/>
    <w:link w:val="139"/>
    <w:qFormat/>
    <w:uiPriority w:val="0"/>
    <w:rPr>
      <w:rFonts w:ascii="宋体" w:hAnsi="宋体" w:cs="宋体"/>
      <w:sz w:val="24"/>
      <w:szCs w:val="24"/>
    </w:rPr>
  </w:style>
  <w:style w:type="paragraph" w:customStyle="1" w:styleId="139">
    <w:name w:val="gf正文1"/>
    <w:basedOn w:val="1"/>
    <w:link w:val="138"/>
    <w:qFormat/>
    <w:uiPriority w:val="0"/>
    <w:pPr>
      <w:tabs>
        <w:tab w:val="left" w:pos="3240"/>
        <w:tab w:val="left" w:pos="3960"/>
      </w:tabs>
      <w:snapToGrid w:val="0"/>
      <w:spacing w:line="360" w:lineRule="auto"/>
      <w:ind w:firstLine="480" w:firstLineChars="200"/>
    </w:pPr>
    <w:rPr>
      <w:rFonts w:ascii="宋体" w:hAnsi="宋体" w:cs="宋体" w:eastAsiaTheme="minorEastAsia"/>
      <w:sz w:val="24"/>
    </w:rPr>
  </w:style>
  <w:style w:type="character" w:customStyle="1" w:styleId="140">
    <w:name w:val="列出段落 Char1"/>
    <w:link w:val="141"/>
    <w:qFormat/>
    <w:uiPriority w:val="0"/>
    <w:rPr>
      <w:rFonts w:ascii="Calibri" w:hAnsi="Calibri"/>
      <w:sz w:val="24"/>
      <w:lang w:eastAsia="en-US"/>
    </w:rPr>
  </w:style>
  <w:style w:type="paragraph" w:customStyle="1" w:styleId="141">
    <w:name w:val="列表1"/>
    <w:basedOn w:val="1"/>
    <w:next w:val="142"/>
    <w:link w:val="140"/>
    <w:qFormat/>
    <w:uiPriority w:val="0"/>
    <w:pPr>
      <w:widowControl/>
      <w:adjustRightInd/>
      <w:spacing w:after="200" w:line="360" w:lineRule="auto"/>
      <w:ind w:left="720" w:firstLine="200" w:firstLineChars="200"/>
      <w:jc w:val="left"/>
    </w:pPr>
    <w:rPr>
      <w:rFonts w:ascii="Calibri" w:hAnsi="Calibri" w:eastAsiaTheme="minorEastAsia" w:cstheme="minorBidi"/>
      <w:sz w:val="24"/>
      <w:szCs w:val="22"/>
      <w:lang w:eastAsia="en-US"/>
    </w:rPr>
  </w:style>
  <w:style w:type="paragraph" w:styleId="142">
    <w:name w:val="List Paragraph"/>
    <w:basedOn w:val="1"/>
    <w:qFormat/>
    <w:uiPriority w:val="34"/>
    <w:pPr>
      <w:spacing w:line="360" w:lineRule="auto"/>
      <w:ind w:firstLine="200" w:firstLineChars="200"/>
    </w:pPr>
    <w:rPr>
      <w:rFonts w:eastAsia="楷体_GB2312" w:cs="Lucida Sans"/>
      <w:sz w:val="24"/>
    </w:rPr>
  </w:style>
  <w:style w:type="character" w:customStyle="1" w:styleId="143">
    <w:name w:val="此正文 Char"/>
    <w:link w:val="144"/>
    <w:qFormat/>
    <w:uiPriority w:val="0"/>
    <w:rPr>
      <w:sz w:val="24"/>
      <w:szCs w:val="24"/>
    </w:rPr>
  </w:style>
  <w:style w:type="paragraph" w:customStyle="1" w:styleId="144">
    <w:name w:val="此正文"/>
    <w:basedOn w:val="1"/>
    <w:link w:val="143"/>
    <w:qFormat/>
    <w:uiPriority w:val="0"/>
    <w:pPr>
      <w:adjustRightInd/>
      <w:spacing w:line="360" w:lineRule="auto"/>
      <w:ind w:firstLine="200" w:firstLineChars="200"/>
    </w:pPr>
    <w:rPr>
      <w:rFonts w:asciiTheme="minorHAnsi" w:hAnsiTheme="minorHAnsi" w:eastAsiaTheme="minorEastAsia" w:cstheme="minorBidi"/>
      <w:sz w:val="24"/>
    </w:rPr>
  </w:style>
  <w:style w:type="character" w:customStyle="1" w:styleId="145">
    <w:name w:val="样式 样式 标题 4h4H4Fab-4T5Ref Heading 1rh1Heading sqlsect 1.2.3.... +... Char"/>
    <w:link w:val="146"/>
    <w:qFormat/>
    <w:uiPriority w:val="0"/>
    <w:rPr>
      <w:rFonts w:ascii="微软雅黑" w:hAnsi="微软雅黑" w:eastAsia="微软雅黑"/>
      <w:b/>
      <w:bCs/>
      <w:sz w:val="24"/>
      <w:szCs w:val="28"/>
    </w:rPr>
  </w:style>
  <w:style w:type="paragraph" w:customStyle="1" w:styleId="146">
    <w:name w:val="样式 样式 标题 4h4H4Fab-4T5Ref Heading 1rh1Heading sqlsect 1.2.3.... +..."/>
    <w:basedOn w:val="147"/>
    <w:link w:val="145"/>
    <w:qFormat/>
    <w:uiPriority w:val="0"/>
    <w:pPr>
      <w:tabs>
        <w:tab w:val="left" w:pos="2356"/>
      </w:tabs>
    </w:pPr>
    <w:rPr>
      <w:rFonts w:cstheme="minorBidi"/>
      <w:lang w:val="en-US"/>
    </w:rPr>
  </w:style>
  <w:style w:type="paragraph" w:customStyle="1" w:styleId="147">
    <w:name w:val="样式 标题 4h4H4Fab-4T5Ref Heading 1rh1Heading sqlsect 1.2.3...."/>
    <w:basedOn w:val="6"/>
    <w:link w:val="14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148">
    <w:name w:val="样式 标题 4h4H4Fab-4T5Ref Heading 1rh1Heading sqlsect 1.2.3.... Char"/>
    <w:link w:val="147"/>
    <w:qFormat/>
    <w:uiPriority w:val="0"/>
    <w:rPr>
      <w:rFonts w:ascii="微软雅黑" w:hAnsi="微软雅黑" w:eastAsia="微软雅黑" w:cs="Times New Roman"/>
      <w:b/>
      <w:bCs/>
      <w:sz w:val="24"/>
      <w:szCs w:val="28"/>
      <w:lang w:val="zh-CN"/>
    </w:rPr>
  </w:style>
  <w:style w:type="character" w:customStyle="1" w:styleId="149">
    <w:name w:val="Item List Char"/>
    <w:link w:val="150"/>
    <w:qFormat/>
    <w:uiPriority w:val="0"/>
    <w:rPr>
      <w:rFonts w:ascii="Arial"/>
      <w:bCs/>
      <w:szCs w:val="21"/>
    </w:rPr>
  </w:style>
  <w:style w:type="paragraph" w:customStyle="1" w:styleId="150">
    <w:name w:val="Item List"/>
    <w:link w:val="149"/>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151">
    <w:name w:val="正文说明 Char"/>
    <w:link w:val="152"/>
    <w:qFormat/>
    <w:uiPriority w:val="0"/>
    <w:rPr>
      <w:sz w:val="24"/>
      <w:szCs w:val="24"/>
    </w:rPr>
  </w:style>
  <w:style w:type="paragraph" w:customStyle="1" w:styleId="152">
    <w:name w:val="正文说明"/>
    <w:basedOn w:val="1"/>
    <w:link w:val="151"/>
    <w:qFormat/>
    <w:uiPriority w:val="0"/>
    <w:pPr>
      <w:adjustRightInd/>
      <w:spacing w:line="360" w:lineRule="auto"/>
    </w:pPr>
    <w:rPr>
      <w:rFonts w:asciiTheme="minorHAnsi" w:hAnsiTheme="minorHAnsi" w:eastAsiaTheme="minorEastAsia" w:cstheme="minorBidi"/>
      <w:sz w:val="24"/>
    </w:rPr>
  </w:style>
  <w:style w:type="character" w:customStyle="1" w:styleId="153">
    <w:name w:val="Table Text Char"/>
    <w:link w:val="154"/>
    <w:qFormat/>
    <w:uiPriority w:val="0"/>
    <w:rPr>
      <w:sz w:val="24"/>
      <w:szCs w:val="24"/>
    </w:rPr>
  </w:style>
  <w:style w:type="paragraph" w:customStyle="1" w:styleId="154">
    <w:name w:val="Table Text"/>
    <w:basedOn w:val="1"/>
    <w:link w:val="153"/>
    <w:qFormat/>
    <w:uiPriority w:val="0"/>
    <w:pPr>
      <w:widowControl/>
      <w:spacing w:before="60" w:after="60"/>
      <w:jc w:val="left"/>
    </w:pPr>
    <w:rPr>
      <w:rFonts w:asciiTheme="minorHAnsi" w:hAnsiTheme="minorHAnsi" w:eastAsiaTheme="minorEastAsia" w:cstheme="minorBidi"/>
      <w:sz w:val="24"/>
    </w:rPr>
  </w:style>
  <w:style w:type="character" w:customStyle="1" w:styleId="155">
    <w:name w:val="公文正文 Char Char"/>
    <w:link w:val="156"/>
    <w:qFormat/>
    <w:uiPriority w:val="0"/>
    <w:rPr>
      <w:rFonts w:ascii="仿宋_GB2312" w:eastAsia="仿宋_GB2312"/>
      <w:sz w:val="24"/>
      <w:szCs w:val="24"/>
    </w:rPr>
  </w:style>
  <w:style w:type="paragraph" w:customStyle="1" w:styleId="156">
    <w:name w:val="公文正文"/>
    <w:basedOn w:val="1"/>
    <w:link w:val="155"/>
    <w:qFormat/>
    <w:uiPriority w:val="0"/>
    <w:pPr>
      <w:adjustRightInd/>
      <w:spacing w:before="156" w:line="360" w:lineRule="auto"/>
      <w:ind w:firstLine="360" w:firstLineChars="200"/>
    </w:pPr>
    <w:rPr>
      <w:rFonts w:ascii="仿宋_GB2312" w:eastAsia="仿宋_GB2312" w:hAnsiTheme="minorHAnsi" w:cstheme="minorBidi"/>
      <w:sz w:val="24"/>
    </w:rPr>
  </w:style>
  <w:style w:type="character" w:customStyle="1" w:styleId="157">
    <w:name w:val="正文（缩进2汉字） Char"/>
    <w:link w:val="158"/>
    <w:qFormat/>
    <w:uiPriority w:val="0"/>
    <w:rPr>
      <w:rFonts w:ascii="宋体"/>
    </w:rPr>
  </w:style>
  <w:style w:type="paragraph" w:customStyle="1" w:styleId="158">
    <w:name w:val="正文（缩进2汉字）"/>
    <w:basedOn w:val="1"/>
    <w:link w:val="157"/>
    <w:qFormat/>
    <w:uiPriority w:val="0"/>
    <w:pPr>
      <w:tabs>
        <w:tab w:val="left" w:pos="525"/>
      </w:tabs>
      <w:adjustRightInd/>
      <w:spacing w:before="100" w:beforeAutospacing="1" w:after="100" w:afterAutospacing="1"/>
      <w:ind w:left="120" w:leftChars="50" w:firstLine="494" w:firstLineChars="206"/>
    </w:pPr>
    <w:rPr>
      <w:rFonts w:ascii="宋体" w:hAnsiTheme="minorHAnsi" w:eastAsiaTheme="minorEastAsia" w:cstheme="minorBidi"/>
      <w:szCs w:val="22"/>
    </w:rPr>
  </w:style>
  <w:style w:type="character" w:customStyle="1" w:styleId="159">
    <w:name w:val="b11_01b Char"/>
    <w:link w:val="160"/>
    <w:qFormat/>
    <w:uiPriority w:val="0"/>
    <w:rPr>
      <w:rFonts w:ascii="Verdana" w:hAnsi="Verdana"/>
      <w:b/>
      <w:bCs/>
      <w:color w:val="4A82CA"/>
      <w:sz w:val="17"/>
      <w:szCs w:val="17"/>
    </w:rPr>
  </w:style>
  <w:style w:type="paragraph" w:customStyle="1" w:styleId="160">
    <w:name w:val="b11_01b"/>
    <w:basedOn w:val="1"/>
    <w:next w:val="1"/>
    <w:link w:val="159"/>
    <w:qFormat/>
    <w:uiPriority w:val="0"/>
    <w:pPr>
      <w:widowControl/>
      <w:adjustRightInd/>
      <w:spacing w:before="100" w:beforeAutospacing="1" w:after="100" w:afterAutospacing="1" w:line="384" w:lineRule="auto"/>
      <w:jc w:val="left"/>
    </w:pPr>
    <w:rPr>
      <w:rFonts w:ascii="Verdana" w:hAnsi="Verdana" w:eastAsiaTheme="minorEastAsia" w:cstheme="minorBidi"/>
      <w:b/>
      <w:bCs/>
      <w:color w:val="4A82CA"/>
      <w:sz w:val="17"/>
      <w:szCs w:val="17"/>
    </w:rPr>
  </w:style>
  <w:style w:type="character" w:customStyle="1" w:styleId="161">
    <w:name w:val="段落 Char Char"/>
    <w:link w:val="162"/>
    <w:qFormat/>
    <w:uiPriority w:val="0"/>
    <w:rPr>
      <w:rFonts w:ascii="宋体" w:hAnsi="宋体"/>
      <w:sz w:val="24"/>
    </w:rPr>
  </w:style>
  <w:style w:type="paragraph" w:customStyle="1" w:styleId="162">
    <w:name w:val="段落"/>
    <w:basedOn w:val="1"/>
    <w:link w:val="161"/>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63">
    <w:name w:val="正文段 Char"/>
    <w:link w:val="164"/>
    <w:qFormat/>
    <w:uiPriority w:val="0"/>
    <w:rPr>
      <w:sz w:val="24"/>
    </w:rPr>
  </w:style>
  <w:style w:type="paragraph" w:customStyle="1" w:styleId="164">
    <w:name w:val="正文段"/>
    <w:basedOn w:val="1"/>
    <w:link w:val="163"/>
    <w:qFormat/>
    <w:uiPriority w:val="0"/>
    <w:pPr>
      <w:widowControl/>
      <w:snapToGrid w:val="0"/>
      <w:spacing w:afterLines="50"/>
      <w:ind w:firstLine="200" w:firstLineChars="200"/>
    </w:pPr>
    <w:rPr>
      <w:rFonts w:asciiTheme="minorHAnsi" w:hAnsiTheme="minorHAnsi" w:eastAsiaTheme="minorEastAsia" w:cstheme="minorBidi"/>
      <w:sz w:val="24"/>
      <w:szCs w:val="22"/>
    </w:rPr>
  </w:style>
  <w:style w:type="character" w:customStyle="1" w:styleId="165">
    <w:name w:val="冯广丽 Char"/>
    <w:link w:val="166"/>
    <w:qFormat/>
    <w:uiPriority w:val="0"/>
    <w:rPr>
      <w:rFonts w:ascii="宋体" w:hAnsi="宋体"/>
      <w:sz w:val="24"/>
    </w:rPr>
  </w:style>
  <w:style w:type="paragraph" w:customStyle="1" w:styleId="166">
    <w:name w:val="冯广丽"/>
    <w:basedOn w:val="1"/>
    <w:link w:val="165"/>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67">
    <w:name w:val="编号，小四 Char"/>
    <w:link w:val="168"/>
    <w:qFormat/>
    <w:uiPriority w:val="0"/>
    <w:rPr>
      <w:rFonts w:ascii="Arial" w:hAnsi="Arial"/>
      <w:sz w:val="24"/>
    </w:rPr>
  </w:style>
  <w:style w:type="paragraph" w:customStyle="1" w:styleId="168">
    <w:name w:val="编号，小四"/>
    <w:basedOn w:val="1"/>
    <w:link w:val="167"/>
    <w:qFormat/>
    <w:uiPriority w:val="0"/>
    <w:pPr>
      <w:tabs>
        <w:tab w:val="left" w:pos="432"/>
      </w:tabs>
      <w:adjustRightInd/>
      <w:spacing w:line="360" w:lineRule="auto"/>
      <w:ind w:left="432" w:hanging="432"/>
    </w:pPr>
    <w:rPr>
      <w:rFonts w:ascii="Arial" w:hAnsi="Arial" w:eastAsiaTheme="minorEastAsia" w:cstheme="minorBidi"/>
      <w:sz w:val="24"/>
      <w:szCs w:val="22"/>
    </w:rPr>
  </w:style>
  <w:style w:type="character" w:customStyle="1" w:styleId="169">
    <w:name w:val="仿宋正文 Char"/>
    <w:link w:val="170"/>
    <w:qFormat/>
    <w:uiPriority w:val="0"/>
    <w:rPr>
      <w:rFonts w:ascii="仿宋_GB2312" w:eastAsia="仿宋_GB2312"/>
      <w:sz w:val="24"/>
    </w:rPr>
  </w:style>
  <w:style w:type="paragraph" w:customStyle="1" w:styleId="170">
    <w:name w:val="仿宋正文"/>
    <w:basedOn w:val="1"/>
    <w:link w:val="169"/>
    <w:qFormat/>
    <w:uiPriority w:val="0"/>
    <w:pPr>
      <w:adjustRightInd/>
      <w:spacing w:line="360" w:lineRule="auto"/>
      <w:ind w:firstLine="480" w:firstLineChars="200"/>
    </w:pPr>
    <w:rPr>
      <w:rFonts w:ascii="仿宋_GB2312" w:eastAsia="仿宋_GB2312" w:hAnsiTheme="minorHAnsi" w:cstheme="minorBidi"/>
      <w:sz w:val="24"/>
      <w:szCs w:val="22"/>
    </w:rPr>
  </w:style>
  <w:style w:type="character" w:customStyle="1" w:styleId="171">
    <w:name w:val="样式 正文缩进 + 首行缩进:  2 字符 Char Char"/>
    <w:link w:val="172"/>
    <w:qFormat/>
    <w:uiPriority w:val="0"/>
    <w:rPr>
      <w:rFonts w:cs="宋体"/>
      <w:sz w:val="24"/>
    </w:rPr>
  </w:style>
  <w:style w:type="paragraph" w:customStyle="1" w:styleId="172">
    <w:name w:val="样式 正文缩进 + 首行缩进:  2 字符"/>
    <w:basedOn w:val="5"/>
    <w:link w:val="171"/>
    <w:qFormat/>
    <w:uiPriority w:val="0"/>
    <w:pPr>
      <w:widowControl w:val="0"/>
      <w:adjustRightInd/>
      <w:snapToGrid/>
      <w:spacing w:line="360" w:lineRule="auto"/>
      <w:ind w:firstLine="200" w:firstLineChars="200"/>
    </w:pPr>
    <w:rPr>
      <w:rFonts w:cs="宋体" w:asciiTheme="minorHAnsi" w:hAnsiTheme="minorHAnsi" w:eastAsiaTheme="minorEastAsia"/>
      <w:snapToGrid/>
      <w:color w:val="auto"/>
      <w:kern w:val="2"/>
      <w:sz w:val="24"/>
      <w:szCs w:val="22"/>
    </w:rPr>
  </w:style>
  <w:style w:type="paragraph" w:customStyle="1" w:styleId="173">
    <w:name w:val="标题4_自定义"/>
    <w:basedOn w:val="6"/>
    <w:qFormat/>
    <w:uiPriority w:val="0"/>
    <w:pPr>
      <w:adjustRightInd/>
      <w:spacing w:before="0" w:after="0" w:line="360" w:lineRule="auto"/>
    </w:pPr>
    <w:rPr>
      <w:rFonts w:ascii="Verdana" w:eastAsia="Verdana"/>
      <w:sz w:val="21"/>
      <w:lang w:val="en-US"/>
    </w:rPr>
  </w:style>
  <w:style w:type="paragraph" w:styleId="174">
    <w:name w:val="No Spacing"/>
    <w:basedOn w:val="1"/>
    <w:link w:val="175"/>
    <w:qFormat/>
    <w:uiPriority w:val="99"/>
    <w:rPr>
      <w:szCs w:val="22"/>
    </w:rPr>
  </w:style>
  <w:style w:type="character" w:customStyle="1" w:styleId="175">
    <w:name w:val="无间隔 Char"/>
    <w:link w:val="174"/>
    <w:qFormat/>
    <w:uiPriority w:val="99"/>
    <w:rPr>
      <w:rFonts w:ascii="Times New Roman" w:hAnsi="Times New Roman" w:eastAsia="宋体" w:cs="Times New Roman"/>
    </w:rPr>
  </w:style>
  <w:style w:type="paragraph" w:customStyle="1" w:styleId="176">
    <w:name w:val="默认段落样式"/>
    <w:basedOn w:val="115"/>
    <w:qFormat/>
    <w:uiPriority w:val="0"/>
    <w:pPr>
      <w:spacing w:before="0"/>
      <w:ind w:firstLine="480"/>
      <w:outlineLvl w:val="2"/>
    </w:pPr>
    <w:rPr>
      <w:rFonts w:ascii="仿宋_GB2312" w:hAnsi="宋体" w:eastAsia="仿宋_GB2312"/>
      <w:color w:val="000000"/>
      <w:szCs w:val="24"/>
    </w:rPr>
  </w:style>
  <w:style w:type="paragraph" w:customStyle="1" w:styleId="177">
    <w:name w:val="Bulleting First Indent 1"/>
    <w:basedOn w:val="1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178">
    <w:name w:val="样式 标题 4PIM 4H4h4bulletblbbH41H42H43H44H45H46H47H48...1"/>
    <w:basedOn w:val="6"/>
    <w:qFormat/>
    <w:uiPriority w:val="0"/>
    <w:pPr>
      <w:widowControl/>
      <w:jc w:val="left"/>
    </w:pPr>
    <w:rPr>
      <w:rFonts w:cs="宋体"/>
      <w:sz w:val="24"/>
      <w:szCs w:val="20"/>
    </w:rPr>
  </w:style>
  <w:style w:type="paragraph" w:customStyle="1" w:styleId="179">
    <w:name w:val="CM14"/>
    <w:basedOn w:val="135"/>
    <w:next w:val="135"/>
    <w:qFormat/>
    <w:uiPriority w:val="0"/>
    <w:pPr>
      <w:spacing w:after="68"/>
    </w:pPr>
    <w:rPr>
      <w:rFonts w:ascii="FHLHE E+ Futura Bk" w:eastAsia="FHLHE E+ Futura Bk" w:cs="Times New Roman"/>
      <w:color w:val="auto"/>
    </w:rPr>
  </w:style>
  <w:style w:type="paragraph" w:customStyle="1" w:styleId="180">
    <w:name w:val="正文文字 2"/>
    <w:basedOn w:val="135"/>
    <w:next w:val="135"/>
    <w:qFormat/>
    <w:uiPriority w:val="0"/>
    <w:rPr>
      <w:rFonts w:ascii="宋体" w:eastAsia="宋体" w:cs="Times New Roman"/>
      <w:color w:val="auto"/>
    </w:rPr>
  </w:style>
  <w:style w:type="paragraph" w:customStyle="1" w:styleId="18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82">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183">
    <w:name w:val="MM Topic 4"/>
    <w:basedOn w:val="6"/>
    <w:qFormat/>
    <w:uiPriority w:val="0"/>
    <w:pPr>
      <w:tabs>
        <w:tab w:val="left" w:pos="2100"/>
      </w:tabs>
      <w:adjustRightInd/>
      <w:ind w:left="2100" w:hanging="420"/>
    </w:pPr>
    <w:rPr>
      <w:lang w:val="en-US"/>
    </w:rPr>
  </w:style>
  <w:style w:type="paragraph" w:customStyle="1" w:styleId="184">
    <w:name w:val="body text bold"/>
    <w:basedOn w:val="18"/>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85">
    <w:name w:val="CSS1级正文 Char"/>
    <w:basedOn w:val="18"/>
    <w:qFormat/>
    <w:uiPriority w:val="0"/>
    <w:pPr>
      <w:autoSpaceDE/>
      <w:autoSpaceDN/>
      <w:snapToGrid w:val="0"/>
      <w:ind w:firstLine="480" w:firstLineChars="200"/>
    </w:pPr>
    <w:rPr>
      <w:rFonts w:ascii="Times New Roman"/>
      <w:szCs w:val="24"/>
      <w:lang w:val="en-US"/>
    </w:rPr>
  </w:style>
  <w:style w:type="paragraph" w:customStyle="1" w:styleId="186">
    <w:name w:val="MM Title"/>
    <w:basedOn w:val="36"/>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187">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188">
    <w:name w:val="正文文字缩进2字"/>
    <w:basedOn w:val="18"/>
    <w:qFormat/>
    <w:uiPriority w:val="0"/>
    <w:pPr>
      <w:autoSpaceDE/>
      <w:autoSpaceDN/>
      <w:adjustRightInd/>
      <w:spacing w:before="60" w:after="60"/>
      <w:ind w:firstLine="200" w:firstLineChars="200"/>
    </w:pPr>
    <w:rPr>
      <w:rFonts w:ascii="Times New Roman"/>
      <w:szCs w:val="20"/>
      <w:lang w:val="en-US"/>
    </w:rPr>
  </w:style>
  <w:style w:type="paragraph" w:customStyle="1" w:styleId="18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190">
    <w:name w:val="_Style 12"/>
    <w:basedOn w:val="14"/>
    <w:qFormat/>
    <w:uiPriority w:val="0"/>
    <w:pPr>
      <w:snapToGrid w:val="0"/>
      <w:spacing w:line="360" w:lineRule="auto"/>
    </w:pPr>
  </w:style>
  <w:style w:type="paragraph" w:customStyle="1" w:styleId="191">
    <w:name w:val="正文首行缩进1"/>
    <w:basedOn w:val="18"/>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character" w:customStyle="1" w:styleId="192">
    <w:name w:val="标准文本 Char Char"/>
    <w:link w:val="193"/>
    <w:qFormat/>
    <w:uiPriority w:val="0"/>
    <w:rPr>
      <w:rFonts w:cs="宋体"/>
      <w:sz w:val="24"/>
    </w:rPr>
  </w:style>
  <w:style w:type="paragraph" w:customStyle="1" w:styleId="193">
    <w:name w:val="标准文本"/>
    <w:basedOn w:val="1"/>
    <w:link w:val="192"/>
    <w:qFormat/>
    <w:uiPriority w:val="0"/>
    <w:pPr>
      <w:adjustRightInd/>
      <w:spacing w:line="360" w:lineRule="auto"/>
      <w:ind w:firstLine="480" w:firstLineChars="200"/>
    </w:pPr>
    <w:rPr>
      <w:rFonts w:cs="宋体" w:asciiTheme="minorHAnsi" w:hAnsiTheme="minorHAnsi" w:eastAsiaTheme="minorEastAsia"/>
      <w:sz w:val="24"/>
      <w:szCs w:val="22"/>
    </w:rPr>
  </w:style>
  <w:style w:type="paragraph" w:customStyle="1" w:styleId="19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19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9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97">
    <w:name w:val="样式 表格正文 + 两端对齐"/>
    <w:basedOn w:val="1"/>
    <w:qFormat/>
    <w:uiPriority w:val="0"/>
    <w:pPr>
      <w:adjustRightInd/>
      <w:spacing w:line="300" w:lineRule="auto"/>
    </w:pPr>
    <w:rPr>
      <w:sz w:val="24"/>
      <w:szCs w:val="20"/>
    </w:rPr>
  </w:style>
  <w:style w:type="character" w:customStyle="1" w:styleId="198">
    <w:name w:val="未处理的提及1"/>
    <w:basedOn w:val="41"/>
    <w:semiHidden/>
    <w:unhideWhenUsed/>
    <w:qFormat/>
    <w:uiPriority w:val="99"/>
    <w:rPr>
      <w:color w:val="605E5C"/>
      <w:shd w:val="clear" w:color="auto" w:fill="E1DFDD"/>
    </w:rPr>
  </w:style>
  <w:style w:type="character" w:customStyle="1" w:styleId="199">
    <w:name w:val="正文缩进 字符2"/>
    <w:qFormat/>
    <w:uiPriority w:val="0"/>
    <w:rPr>
      <w:rFonts w:ascii="宋体" w:eastAsia="宋体"/>
      <w:snapToGrid w:val="0"/>
      <w:color w:val="000000"/>
      <w:kern w:val="28"/>
      <w:sz w:val="28"/>
      <w:lang w:val="en-US" w:eastAsia="zh-CN" w:bidi="ar-SA"/>
    </w:rPr>
  </w:style>
  <w:style w:type="paragraph" w:customStyle="1" w:styleId="200">
    <w:name w:val="样式 标题 31.1.1标题 333rd levelBOD 0Bold HeadCTH3H31Heading ...1"/>
    <w:basedOn w:val="4"/>
    <w:qFormat/>
    <w:uiPriority w:val="0"/>
    <w:pPr>
      <w:spacing w:before="0" w:after="0"/>
      <w:ind w:firstLine="0"/>
    </w:pPr>
    <w:rPr>
      <w:rFonts w:hAnsi="宋体" w:cs="宋体"/>
      <w:sz w:val="24"/>
    </w:rPr>
  </w:style>
  <w:style w:type="paragraph" w:customStyle="1" w:styleId="201">
    <w:name w:val="正文_5"/>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2">
    <w:name w:val="纯文本_3"/>
    <w:basedOn w:val="201"/>
    <w:qFormat/>
    <w:uiPriority w:val="0"/>
    <w:rPr>
      <w:rFonts w:ascii="宋体" w:hAnsi="Courier New"/>
      <w:szCs w:val="20"/>
    </w:rPr>
  </w:style>
  <w:style w:type="paragraph" w:customStyle="1" w:styleId="203">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4">
    <w:name w:val="纯文本_0"/>
    <w:basedOn w:val="205"/>
    <w:unhideWhenUsed/>
    <w:qFormat/>
    <w:uiPriority w:val="0"/>
    <w:rPr>
      <w:rFonts w:ascii="宋体" w:hAnsi="Courier New"/>
      <w:kern w:val="0"/>
      <w:sz w:val="20"/>
      <w:szCs w:val="20"/>
    </w:rPr>
  </w:style>
  <w:style w:type="paragraph" w:customStyle="1" w:styleId="205">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6">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7">
    <w:name w:val="纯文本_1"/>
    <w:basedOn w:val="208"/>
    <w:qFormat/>
    <w:uiPriority w:val="0"/>
    <w:rPr>
      <w:rFonts w:ascii="宋体" w:hAnsi="Courier New"/>
      <w:szCs w:val="20"/>
    </w:rPr>
  </w:style>
  <w:style w:type="paragraph" w:customStyle="1" w:styleId="208">
    <w:name w:val="正文_3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9">
    <w:name w:val="正文_18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0">
    <w:name w:val="正文_13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12">
    <w:name w:val="正文_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3">
    <w:name w:val="文档正文"/>
    <w:basedOn w:val="1"/>
    <w:qFormat/>
    <w:uiPriority w:val="0"/>
    <w:rPr>
      <w:rFonts w:ascii="宋体" w:hAnsi="宋体" w:cs="Arial"/>
      <w:bCs/>
      <w:szCs w:val="21"/>
    </w:rPr>
  </w:style>
  <w:style w:type="paragraph" w:customStyle="1" w:styleId="214">
    <w:name w:val="正文1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15">
    <w:name w:val="列出段落1"/>
    <w:basedOn w:val="1"/>
    <w:qFormat/>
    <w:uiPriority w:val="0"/>
    <w:pPr>
      <w:ind w:firstLine="420" w:firstLineChars="200"/>
    </w:pPr>
    <w:rPr>
      <w:rFonts w:ascii="Calibri" w:hAnsi="Calibri"/>
      <w:szCs w:val="22"/>
    </w:rPr>
  </w:style>
  <w:style w:type="paragraph" w:customStyle="1" w:styleId="216">
    <w:name w:val="首行缩进"/>
    <w:basedOn w:val="1"/>
    <w:next w:val="1"/>
    <w:qFormat/>
    <w:uiPriority w:val="0"/>
    <w:pPr>
      <w:spacing w:line="360" w:lineRule="auto"/>
      <w:ind w:firstLine="480" w:firstLineChars="200"/>
    </w:pPr>
    <w:rPr>
      <w:rFonts w:ascii="宋体"/>
      <w:sz w:val="24"/>
      <w:szCs w:val="20"/>
    </w:rPr>
  </w:style>
  <w:style w:type="character" w:customStyle="1" w:styleId="217">
    <w:name w:val="Document Map Char"/>
    <w:semiHidden/>
    <w:qFormat/>
    <w:locked/>
    <w:uiPriority w:val="0"/>
    <w:rPr>
      <w:rFonts w:eastAsia="宋体"/>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52</Pages>
  <Words>37874</Words>
  <Characters>39894</Characters>
  <Lines>305</Lines>
  <Paragraphs>86</Paragraphs>
  <TotalTime>25</TotalTime>
  <ScaleCrop>false</ScaleCrop>
  <LinksUpToDate>false</LinksUpToDate>
  <CharactersWithSpaces>41473</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2023-11-28T01:48:00Z</dcterms:created>
  <dc:creator>NTKO</dc:creator>
  <cp:lastModifiedBy>浅笑</cp:lastModifiedBy>
  <cp:lastPrinted>2024-07-30T00:39:00Z</cp:lastPrinted>
  <dcterms:modified xsi:type="dcterms:W3CDTF">2024-12-27T03:53:11Z</dcterms:modified>
  <cp:revision>227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DBA3A166FC6D44A8B5E79AD9E82798A3_12</vt:lpwstr>
  </property>
  <property fmtid="{D5CDD505-2E9C-101B-9397-08002B2CF9AE}" pid="4" name="KSOTemplateDocerSaveRecord">
    <vt:lpwstr>eyJoZGlkIjoiZTkyYWJlNTE1MjUxYzg5OTI2NGZjMGMzYWExZmY2MGYiLCJ1c2VySWQiOiI1MzgwNTcwNjcifQ==</vt:lpwstr>
  </property>
</Properties>
</file>