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仿宋_GB2312"/>
          <w:b/>
          <w:color w:val="000000" w:themeColor="text1"/>
          <w:sz w:val="44"/>
          <w:szCs w:val="44"/>
          <w:highlight w:val="none"/>
          <w:lang w:val="en-US" w:eastAsia="zh-CN"/>
          <w14:textFill>
            <w14:solidFill>
              <w14:schemeClr w14:val="tx1"/>
            </w14:solidFill>
          </w14:textFill>
        </w:rPr>
      </w:pPr>
      <w:r>
        <w:rPr>
          <w:rFonts w:hint="eastAsia" w:ascii="仿宋_GB2312" w:hAnsi="Times New Roman" w:eastAsia="仿宋_GB2312" w:cstheme="minorBidi"/>
          <w:color w:val="000000" w:themeColor="text1"/>
          <w:sz w:val="40"/>
          <w:szCs w:val="40"/>
          <w:highlight w:val="none"/>
          <w:lang w:val="en-US" w:eastAsia="zh-CN"/>
          <w14:textFill>
            <w14:solidFill>
              <w14:schemeClr w14:val="tx1"/>
            </w14:solidFill>
          </w14:textFill>
        </w:rPr>
        <w:t>2024年视频会议室运维服务、计算存储维护服务和网络和安全设备维保维护及网络运维服务项目</w:t>
      </w:r>
    </w:p>
    <w:p>
      <w:pPr>
        <w:jc w:val="center"/>
        <w:rPr>
          <w:rFonts w:ascii="Times New Roman" w:hAnsi="Times New Roman" w:eastAsia="仿宋_GB2312"/>
          <w:b/>
          <w:color w:val="000000" w:themeColor="text1"/>
          <w:sz w:val="36"/>
          <w:szCs w:val="40"/>
          <w:highlight w:val="none"/>
          <w14:textFill>
            <w14:solidFill>
              <w14:schemeClr w14:val="tx1"/>
            </w14:solidFill>
          </w14:textFill>
        </w:rPr>
      </w:pPr>
    </w:p>
    <w:p>
      <w:pPr>
        <w:jc w:val="center"/>
        <w:rPr>
          <w:rFonts w:ascii="Times New Roman" w:hAnsi="Times New Roman" w:eastAsia="仿宋_GB2312"/>
          <w:b/>
          <w:color w:val="000000" w:themeColor="text1"/>
          <w:sz w:val="36"/>
          <w:szCs w:val="40"/>
          <w:highlight w:val="none"/>
          <w14:textFill>
            <w14:solidFill>
              <w14:schemeClr w14:val="tx1"/>
            </w14:solidFill>
          </w14:textFill>
        </w:rPr>
      </w:pPr>
    </w:p>
    <w:p>
      <w:pPr>
        <w:jc w:val="center"/>
        <w:rPr>
          <w:rFonts w:hint="eastAsia" w:ascii="楷体_GB2312" w:hAnsi="Times New Roman" w:eastAsia="楷体_GB2312"/>
          <w:b/>
          <w:color w:val="000000" w:themeColor="text1"/>
          <w:sz w:val="36"/>
          <w:szCs w:val="40"/>
          <w:highlight w:val="none"/>
          <w:lang w:eastAsia="zh-CN"/>
          <w14:textFill>
            <w14:solidFill>
              <w14:schemeClr w14:val="tx1"/>
            </w14:solidFill>
          </w14:textFill>
        </w:rPr>
      </w:pPr>
      <w:r>
        <w:rPr>
          <w:rFonts w:hint="eastAsia" w:ascii="楷体_GB2312" w:hAnsi="Times New Roman" w:eastAsia="楷体_GB2312"/>
          <w:b/>
          <w:color w:val="000000" w:themeColor="text1"/>
          <w:sz w:val="36"/>
          <w:szCs w:val="40"/>
          <w:highlight w:val="none"/>
          <w14:textFill>
            <w14:solidFill>
              <w14:schemeClr w14:val="tx1"/>
            </w14:solidFill>
          </w14:textFill>
        </w:rPr>
        <w:t>项目编号：</w:t>
      </w:r>
      <w:r>
        <w:rPr>
          <w:rFonts w:hint="eastAsia" w:ascii="楷体_GB2312" w:hAnsi="Times New Roman" w:eastAsia="楷体_GB2312"/>
          <w:b/>
          <w:color w:val="000000" w:themeColor="text1"/>
          <w:sz w:val="36"/>
          <w:szCs w:val="40"/>
          <w:highlight w:val="none"/>
          <w:lang w:eastAsia="zh-CN"/>
          <w14:textFill>
            <w14:solidFill>
              <w14:schemeClr w14:val="tx1"/>
            </w14:solidFill>
          </w14:textFill>
        </w:rPr>
        <w:t>2024-XXHGC-8</w:t>
      </w:r>
    </w:p>
    <w:p>
      <w:pPr>
        <w:jc w:val="center"/>
        <w:rPr>
          <w:rFonts w:eastAsia="仿宋_GB2312"/>
          <w:b/>
          <w:color w:val="000000" w:themeColor="text1"/>
          <w:sz w:val="48"/>
          <w:szCs w:val="48"/>
          <w:highlight w:val="none"/>
          <w14:textFill>
            <w14:solidFill>
              <w14:schemeClr w14:val="tx1"/>
            </w14:solidFill>
          </w14:textFill>
        </w:rPr>
      </w:pP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公</w:t>
      </w: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开</w:t>
      </w: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招</w:t>
      </w: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标</w:t>
      </w: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文</w:t>
      </w:r>
    </w:p>
    <w:p>
      <w:pPr>
        <w:spacing w:before="120" w:beforeLines="50" w:after="120" w:afterLines="50"/>
        <w:jc w:val="center"/>
        <w:rPr>
          <w:rFonts w:eastAsia="仿宋_GB2312"/>
          <w:b/>
          <w:color w:val="000000" w:themeColor="text1"/>
          <w:sz w:val="84"/>
          <w:highlight w:val="none"/>
          <w14:textFill>
            <w14:solidFill>
              <w14:schemeClr w14:val="tx1"/>
            </w14:solidFill>
          </w14:textFill>
        </w:rPr>
      </w:pPr>
      <w:r>
        <w:rPr>
          <w:rFonts w:hint="eastAsia" w:eastAsia="仿宋_GB2312"/>
          <w:b/>
          <w:color w:val="000000" w:themeColor="text1"/>
          <w:sz w:val="84"/>
          <w:highlight w:val="none"/>
          <w14:textFill>
            <w14:solidFill>
              <w14:schemeClr w14:val="tx1"/>
            </w14:solidFill>
          </w14:textFill>
        </w:rPr>
        <w:t>件</w:t>
      </w:r>
    </w:p>
    <w:p>
      <w:pPr>
        <w:jc w:val="center"/>
        <w:rPr>
          <w:rFonts w:ascii="Times New Roman" w:hAnsi="Times New Roman" w:eastAsia="仿宋_GB2312"/>
          <w:b/>
          <w:color w:val="000000" w:themeColor="text1"/>
          <w:sz w:val="36"/>
          <w:szCs w:val="40"/>
          <w:highlight w:val="none"/>
          <w14:textFill>
            <w14:solidFill>
              <w14:schemeClr w14:val="tx1"/>
            </w14:solidFill>
          </w14:textFill>
        </w:rPr>
      </w:pPr>
    </w:p>
    <w:p>
      <w:pPr>
        <w:jc w:val="center"/>
        <w:rPr>
          <w:rFonts w:ascii="Times New Roman" w:hAnsi="Times New Roman" w:eastAsia="仿宋_GB2312"/>
          <w:b/>
          <w:color w:val="000000" w:themeColor="text1"/>
          <w:sz w:val="36"/>
          <w:szCs w:val="40"/>
          <w:highlight w:val="none"/>
          <w14:textFill>
            <w14:solidFill>
              <w14:schemeClr w14:val="tx1"/>
            </w14:solidFill>
          </w14:textFill>
        </w:rPr>
      </w:pPr>
    </w:p>
    <w:p>
      <w:pPr>
        <w:spacing w:line="640" w:lineRule="exact"/>
        <w:jc w:val="center"/>
        <w:rPr>
          <w:rFonts w:ascii="Times New Roman" w:hAnsi="Times New Roman" w:eastAsia="仿宋_GB2312"/>
          <w:b/>
          <w:color w:val="000000" w:themeColor="text1"/>
          <w:sz w:val="36"/>
          <w:szCs w:val="40"/>
          <w:highlight w:val="none"/>
          <w14:textFill>
            <w14:solidFill>
              <w14:schemeClr w14:val="tx1"/>
            </w14:solidFill>
          </w14:textFill>
        </w:rPr>
      </w:pPr>
      <w:r>
        <w:rPr>
          <w:rFonts w:hint="eastAsia" w:ascii="Times New Roman" w:hAnsi="Times New Roman" w:eastAsia="仿宋_GB2312"/>
          <w:b/>
          <w:color w:val="000000" w:themeColor="text1"/>
          <w:sz w:val="36"/>
          <w:szCs w:val="40"/>
          <w:highlight w:val="none"/>
          <w14:textFill>
            <w14:solidFill>
              <w14:schemeClr w14:val="tx1"/>
            </w14:solidFill>
          </w14:textFill>
        </w:rPr>
        <w:t>浙江省教育技术中心</w:t>
      </w:r>
    </w:p>
    <w:p>
      <w:pPr>
        <w:jc w:val="center"/>
        <w:rPr>
          <w:rFonts w:hint="eastAsia" w:eastAsia="仿宋_GB2312"/>
          <w:b/>
          <w:color w:val="000000" w:themeColor="text1"/>
          <w:sz w:val="36"/>
          <w:szCs w:val="40"/>
          <w:highlight w:val="none"/>
          <w:lang w:eastAsia="zh-CN"/>
          <w14:textFill>
            <w14:solidFill>
              <w14:schemeClr w14:val="tx1"/>
            </w14:solidFill>
          </w14:textFill>
        </w:rPr>
      </w:pPr>
      <w:r>
        <w:rPr>
          <w:rFonts w:hint="eastAsia" w:eastAsia="仿宋_GB2312"/>
          <w:b/>
          <w:color w:val="000000" w:themeColor="text1"/>
          <w:sz w:val="36"/>
          <w:szCs w:val="40"/>
          <w:highlight w:val="none"/>
          <w:lang w:eastAsia="zh-CN"/>
          <w14:textFill>
            <w14:solidFill>
              <w14:schemeClr w14:val="tx1"/>
            </w14:solidFill>
          </w14:textFill>
        </w:rPr>
        <w:t>2024年</w:t>
      </w:r>
      <w:r>
        <w:rPr>
          <w:rFonts w:hint="eastAsia" w:eastAsia="仿宋_GB2312"/>
          <w:b/>
          <w:color w:val="000000" w:themeColor="text1"/>
          <w:sz w:val="36"/>
          <w:szCs w:val="40"/>
          <w:highlight w:val="none"/>
          <w:lang w:val="en-US" w:eastAsia="zh-CN"/>
          <w14:textFill>
            <w14:solidFill>
              <w14:schemeClr w14:val="tx1"/>
            </w14:solidFill>
          </w14:textFill>
        </w:rPr>
        <w:t>8</w:t>
      </w:r>
      <w:r>
        <w:rPr>
          <w:rFonts w:hint="eastAsia" w:eastAsia="仿宋_GB2312"/>
          <w:b/>
          <w:color w:val="000000" w:themeColor="text1"/>
          <w:sz w:val="36"/>
          <w:szCs w:val="40"/>
          <w:highlight w:val="none"/>
          <w:lang w:eastAsia="zh-CN"/>
          <w14:textFill>
            <w14:solidFill>
              <w14:schemeClr w14:val="tx1"/>
            </w14:solidFill>
          </w14:textFill>
        </w:rPr>
        <w:t>月</w:t>
      </w:r>
      <w:r>
        <w:rPr>
          <w:rFonts w:hint="eastAsia" w:eastAsia="仿宋_GB2312"/>
          <w:b/>
          <w:color w:val="000000" w:themeColor="text1"/>
          <w:sz w:val="36"/>
          <w:szCs w:val="40"/>
          <w:highlight w:val="none"/>
          <w:lang w:val="en-US" w:eastAsia="zh-CN"/>
          <w14:textFill>
            <w14:solidFill>
              <w14:schemeClr w14:val="tx1"/>
            </w14:solidFill>
          </w14:textFill>
        </w:rPr>
        <w:t>23</w:t>
      </w:r>
      <w:r>
        <w:rPr>
          <w:rFonts w:hint="eastAsia" w:eastAsia="仿宋_GB2312"/>
          <w:b/>
          <w:color w:val="000000" w:themeColor="text1"/>
          <w:sz w:val="36"/>
          <w:szCs w:val="40"/>
          <w:highlight w:val="none"/>
          <w:lang w:eastAsia="zh-CN"/>
          <w14:textFill>
            <w14:solidFill>
              <w14:schemeClr w14:val="tx1"/>
            </w14:solidFill>
          </w14:textFill>
        </w:rPr>
        <w:t>日</w:t>
      </w:r>
    </w:p>
    <w:p>
      <w:pPr>
        <w:pStyle w:val="3"/>
        <w:rPr>
          <w:rFonts w:hint="eastAsia"/>
          <w:color w:val="000000" w:themeColor="text1"/>
          <w:highlight w:val="none"/>
          <w:lang w:eastAsia="zh-CN"/>
          <w14:textFill>
            <w14:solidFill>
              <w14:schemeClr w14:val="tx1"/>
            </w14:solidFill>
          </w14:textFill>
        </w:rPr>
      </w:pPr>
    </w:p>
    <w:p>
      <w:pPr>
        <w:pStyle w:val="19"/>
        <w:pageBreakBefore/>
        <w:spacing w:before="600" w:beforeLines="250" w:after="360" w:afterLines="150" w:line="360" w:lineRule="auto"/>
        <w:jc w:val="center"/>
        <w:rPr>
          <w:rFonts w:ascii="Times New Roman" w:hAnsi="Times New Roman" w:eastAsia="仿宋_GB2312"/>
          <w:b/>
          <w:color w:val="000000" w:themeColor="text1"/>
          <w:sz w:val="48"/>
          <w:szCs w:val="48"/>
          <w:highlight w:val="none"/>
          <w14:textFill>
            <w14:solidFill>
              <w14:schemeClr w14:val="tx1"/>
            </w14:solidFill>
          </w14:textFill>
        </w:rPr>
      </w:pPr>
      <w:r>
        <w:rPr>
          <w:rFonts w:hint="eastAsia" w:ascii="Times New Roman" w:hAnsi="Times New Roman" w:eastAsia="仿宋_GB2312"/>
          <w:b/>
          <w:color w:val="000000" w:themeColor="text1"/>
          <w:sz w:val="48"/>
          <w:szCs w:val="48"/>
          <w:highlight w:val="none"/>
          <w14:textFill>
            <w14:solidFill>
              <w14:schemeClr w14:val="tx1"/>
            </w14:solidFill>
          </w14:textFill>
        </w:rPr>
        <w:t>目    录</w:t>
      </w:r>
    </w:p>
    <w:p>
      <w:pPr>
        <w:pStyle w:val="25"/>
        <w:tabs>
          <w:tab w:val="right" w:leader="dot" w:pos="9174"/>
        </w:tabs>
        <w:spacing w:line="360" w:lineRule="auto"/>
        <w:rPr>
          <w:rFonts w:ascii="仿宋_GB2312" w:eastAsia="仿宋_GB2312" w:hAnsiTheme="minorHAnsi" w:cstheme="minorBidi"/>
          <w:b/>
          <w:bCs/>
          <w:color w:val="000000" w:themeColor="text1"/>
          <w:sz w:val="32"/>
          <w:szCs w:val="36"/>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fldChar w:fldCharType="begin"/>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instrText xml:space="preserve"> TOC \o "1-1" \h \z \u </w:instrTex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"_Toc109755336" </w:instrText>
      </w:r>
      <w:r>
        <w:rPr>
          <w:color w:val="000000" w:themeColor="text1"/>
          <w:highlight w:val="none"/>
          <w14:textFill>
            <w14:solidFill>
              <w14:schemeClr w14:val="tx1"/>
            </w14:solidFill>
          </w14:textFill>
        </w:rPr>
        <w:fldChar w:fldCharType="separate"/>
      </w:r>
      <w:r>
        <w:rPr>
          <w:rStyle w:val="44"/>
          <w:rFonts w:hint="eastAsia" w:ascii="仿宋_GB2312" w:eastAsia="仿宋_GB2312"/>
          <w:b/>
          <w:bCs/>
          <w:color w:val="000000" w:themeColor="text1"/>
          <w:sz w:val="32"/>
          <w:szCs w:val="40"/>
          <w:highlight w:val="none"/>
          <w14:textFill>
            <w14:solidFill>
              <w14:schemeClr w14:val="tx1"/>
            </w14:solidFill>
          </w14:textFill>
        </w:rPr>
        <w:t>第一章  公开招标采购公告</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begin"/>
      </w:r>
      <w:r>
        <w:rPr>
          <w:rFonts w:hint="eastAsia" w:ascii="仿宋_GB2312" w:eastAsia="仿宋_GB2312"/>
          <w:b/>
          <w:bCs/>
          <w:color w:val="000000" w:themeColor="text1"/>
          <w:sz w:val="32"/>
          <w:szCs w:val="40"/>
          <w:highlight w:val="none"/>
          <w14:textFill>
            <w14:solidFill>
              <w14:schemeClr w14:val="tx1"/>
            </w14:solidFill>
          </w14:textFill>
        </w:rPr>
        <w:instrText xml:space="preserve"> PAGEREF _Toc109755336 \h </w:instrText>
      </w:r>
      <w:r>
        <w:rPr>
          <w:rFonts w:hint="eastAsia" w:ascii="仿宋_GB2312" w:eastAsia="仿宋_GB2312"/>
          <w:b/>
          <w:bCs/>
          <w:color w:val="000000" w:themeColor="text1"/>
          <w:sz w:val="32"/>
          <w:szCs w:val="40"/>
          <w:highlight w:val="none"/>
          <w14:textFill>
            <w14:solidFill>
              <w14:schemeClr w14:val="tx1"/>
            </w14:solidFill>
          </w14:textFill>
        </w:rPr>
        <w:fldChar w:fldCharType="separate"/>
      </w:r>
      <w:r>
        <w:rPr>
          <w:rFonts w:hint="eastAsia" w:ascii="仿宋_GB2312" w:eastAsia="仿宋_GB2312"/>
          <w:b/>
          <w:bCs/>
          <w:color w:val="000000" w:themeColor="text1"/>
          <w:sz w:val="32"/>
          <w:szCs w:val="40"/>
          <w:highlight w:val="none"/>
          <w14:textFill>
            <w14:solidFill>
              <w14:schemeClr w14:val="tx1"/>
            </w14:solidFill>
          </w14:textFill>
        </w:rPr>
        <w:t>1</w:t>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14:textFill>
            <w14:solidFill>
              <w14:schemeClr w14:val="tx1"/>
            </w14:solidFill>
          </w14:textFill>
        </w:rPr>
        <w:fldChar w:fldCharType="end"/>
      </w:r>
    </w:p>
    <w:p>
      <w:pPr>
        <w:pStyle w:val="25"/>
        <w:tabs>
          <w:tab w:val="right" w:leader="dot" w:pos="9174"/>
        </w:tabs>
        <w:spacing w:line="360" w:lineRule="auto"/>
        <w:rPr>
          <w:rFonts w:hint="eastAsia" w:ascii="仿宋_GB2312" w:eastAsia="仿宋_GB2312" w:hAnsiTheme="minorHAnsi" w:cstheme="minorBidi"/>
          <w:b/>
          <w:bCs/>
          <w:color w:val="000000" w:themeColor="text1"/>
          <w:sz w:val="32"/>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"_Toc109755337" </w:instrText>
      </w:r>
      <w:r>
        <w:rPr>
          <w:color w:val="000000" w:themeColor="text1"/>
          <w:highlight w:val="none"/>
          <w14:textFill>
            <w14:solidFill>
              <w14:schemeClr w14:val="tx1"/>
            </w14:solidFill>
          </w14:textFill>
        </w:rPr>
        <w:fldChar w:fldCharType="separate"/>
      </w:r>
      <w:r>
        <w:rPr>
          <w:rStyle w:val="44"/>
          <w:rFonts w:hint="eastAsia" w:ascii="仿宋_GB2312" w:hAnsi="仿宋" w:eastAsia="仿宋_GB2312"/>
          <w:b/>
          <w:bCs/>
          <w:color w:val="000000" w:themeColor="text1"/>
          <w:kern w:val="0"/>
          <w:sz w:val="32"/>
          <w:szCs w:val="40"/>
          <w:highlight w:val="none"/>
          <w14:textFill>
            <w14:solidFill>
              <w14:schemeClr w14:val="tx1"/>
            </w14:solidFill>
          </w14:textFill>
        </w:rPr>
        <w:t>第二章  投标人须知</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lang w:eastAsia="zh-CN"/>
          <w14:textFill>
            <w14:solidFill>
              <w14:schemeClr w14:val="tx1"/>
            </w14:solidFill>
          </w14:textFill>
        </w:rPr>
        <w:t>5</w:t>
      </w:r>
    </w:p>
    <w:p>
      <w:pPr>
        <w:pStyle w:val="25"/>
        <w:tabs>
          <w:tab w:val="right" w:leader="dot" w:pos="9174"/>
        </w:tabs>
        <w:spacing w:line="360" w:lineRule="auto"/>
        <w:rPr>
          <w:rFonts w:ascii="仿宋_GB2312" w:eastAsia="仿宋_GB2312" w:hAnsiTheme="minorHAnsi" w:cstheme="minorBidi"/>
          <w:b/>
          <w:bCs/>
          <w:color w:val="000000" w:themeColor="text1"/>
          <w:sz w:val="32"/>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"_Toc109755338" </w:instrText>
      </w:r>
      <w:r>
        <w:rPr>
          <w:color w:val="000000" w:themeColor="text1"/>
          <w:highlight w:val="none"/>
          <w14:textFill>
            <w14:solidFill>
              <w14:schemeClr w14:val="tx1"/>
            </w14:solidFill>
          </w14:textFill>
        </w:rPr>
        <w:fldChar w:fldCharType="separate"/>
      </w:r>
      <w:r>
        <w:rPr>
          <w:rStyle w:val="44"/>
          <w:rFonts w:hint="eastAsia" w:ascii="仿宋_GB2312" w:eastAsia="仿宋_GB2312"/>
          <w:b/>
          <w:bCs/>
          <w:color w:val="000000" w:themeColor="text1"/>
          <w:kern w:val="0"/>
          <w:sz w:val="32"/>
          <w:szCs w:val="40"/>
          <w:highlight w:val="none"/>
          <w14:textFill>
            <w14:solidFill>
              <w14:schemeClr w14:val="tx1"/>
            </w14:solidFill>
          </w14:textFill>
        </w:rPr>
        <w:t>第三章  评标办法及评分标准</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begin"/>
      </w:r>
      <w:r>
        <w:rPr>
          <w:rFonts w:hint="eastAsia" w:ascii="仿宋_GB2312" w:eastAsia="仿宋_GB2312"/>
          <w:b/>
          <w:bCs/>
          <w:color w:val="000000" w:themeColor="text1"/>
          <w:sz w:val="32"/>
          <w:szCs w:val="40"/>
          <w:highlight w:val="none"/>
          <w14:textFill>
            <w14:solidFill>
              <w14:schemeClr w14:val="tx1"/>
            </w14:solidFill>
          </w14:textFill>
        </w:rPr>
        <w:instrText xml:space="preserve"> PAGEREF _Toc109755338 \h </w:instrText>
      </w:r>
      <w:r>
        <w:rPr>
          <w:rFonts w:hint="eastAsia" w:ascii="仿宋_GB2312" w:eastAsia="仿宋_GB2312"/>
          <w:b/>
          <w:bCs/>
          <w:color w:val="000000" w:themeColor="text1"/>
          <w:sz w:val="32"/>
          <w:szCs w:val="40"/>
          <w:highlight w:val="none"/>
          <w14:textFill>
            <w14:solidFill>
              <w14:schemeClr w14:val="tx1"/>
            </w14:solidFill>
          </w14:textFill>
        </w:rPr>
        <w:fldChar w:fldCharType="separate"/>
      </w:r>
      <w:r>
        <w:rPr>
          <w:rFonts w:hint="eastAsia" w:ascii="仿宋_GB2312" w:eastAsia="仿宋_GB2312"/>
          <w:b/>
          <w:bCs/>
          <w:color w:val="000000" w:themeColor="text1"/>
          <w:sz w:val="32"/>
          <w:szCs w:val="40"/>
          <w:highlight w:val="none"/>
          <w14:textFill>
            <w14:solidFill>
              <w14:schemeClr w14:val="tx1"/>
            </w14:solidFill>
          </w14:textFill>
        </w:rPr>
        <w:t>22</w:t>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14:textFill>
            <w14:solidFill>
              <w14:schemeClr w14:val="tx1"/>
            </w14:solidFill>
          </w14:textFill>
        </w:rPr>
        <w:fldChar w:fldCharType="end"/>
      </w:r>
    </w:p>
    <w:p>
      <w:pPr>
        <w:pStyle w:val="25"/>
        <w:tabs>
          <w:tab w:val="right" w:leader="dot" w:pos="9174"/>
        </w:tabs>
        <w:spacing w:line="360" w:lineRule="auto"/>
        <w:rPr>
          <w:rFonts w:ascii="仿宋_GB2312" w:eastAsia="仿宋_GB2312" w:hAnsiTheme="minorHAnsi" w:cstheme="minorBidi"/>
          <w:b/>
          <w:bCs/>
          <w:color w:val="000000" w:themeColor="text1"/>
          <w:sz w:val="32"/>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"_Toc109755339" </w:instrText>
      </w:r>
      <w:r>
        <w:rPr>
          <w:color w:val="000000" w:themeColor="text1"/>
          <w:highlight w:val="none"/>
          <w14:textFill>
            <w14:solidFill>
              <w14:schemeClr w14:val="tx1"/>
            </w14:solidFill>
          </w14:textFill>
        </w:rPr>
        <w:fldChar w:fldCharType="separate"/>
      </w:r>
      <w:r>
        <w:rPr>
          <w:rStyle w:val="44"/>
          <w:rFonts w:hint="eastAsia" w:ascii="仿宋_GB2312" w:eastAsia="仿宋_GB2312"/>
          <w:b/>
          <w:bCs/>
          <w:color w:val="000000" w:themeColor="text1"/>
          <w:sz w:val="32"/>
          <w:szCs w:val="40"/>
          <w:highlight w:val="none"/>
          <w14:textFill>
            <w14:solidFill>
              <w14:schemeClr w14:val="tx1"/>
            </w14:solidFill>
          </w14:textFill>
        </w:rPr>
        <w:t>第四章  招标需求</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begin"/>
      </w:r>
      <w:r>
        <w:rPr>
          <w:rFonts w:hint="eastAsia" w:ascii="仿宋_GB2312" w:eastAsia="仿宋_GB2312"/>
          <w:b/>
          <w:bCs/>
          <w:color w:val="000000" w:themeColor="text1"/>
          <w:sz w:val="32"/>
          <w:szCs w:val="40"/>
          <w:highlight w:val="none"/>
          <w14:textFill>
            <w14:solidFill>
              <w14:schemeClr w14:val="tx1"/>
            </w14:solidFill>
          </w14:textFill>
        </w:rPr>
        <w:instrText xml:space="preserve"> PAGEREF _Toc109755339 \h </w:instrText>
      </w:r>
      <w:r>
        <w:rPr>
          <w:rFonts w:hint="eastAsia" w:ascii="仿宋_GB2312" w:eastAsia="仿宋_GB2312"/>
          <w:b/>
          <w:bCs/>
          <w:color w:val="000000" w:themeColor="text1"/>
          <w:sz w:val="32"/>
          <w:szCs w:val="40"/>
          <w:highlight w:val="none"/>
          <w14:textFill>
            <w14:solidFill>
              <w14:schemeClr w14:val="tx1"/>
            </w14:solidFill>
          </w14:textFill>
        </w:rPr>
        <w:fldChar w:fldCharType="separate"/>
      </w:r>
      <w:r>
        <w:rPr>
          <w:rFonts w:hint="eastAsia" w:ascii="仿宋_GB2312" w:eastAsia="仿宋_GB2312"/>
          <w:b/>
          <w:bCs/>
          <w:color w:val="000000" w:themeColor="text1"/>
          <w:sz w:val="32"/>
          <w:szCs w:val="40"/>
          <w:highlight w:val="none"/>
          <w14:textFill>
            <w14:solidFill>
              <w14:schemeClr w14:val="tx1"/>
            </w14:solidFill>
          </w14:textFill>
        </w:rPr>
        <w:t>28</w:t>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14:textFill>
            <w14:solidFill>
              <w14:schemeClr w14:val="tx1"/>
            </w14:solidFill>
          </w14:textFill>
        </w:rPr>
        <w:fldChar w:fldCharType="end"/>
      </w:r>
    </w:p>
    <w:p>
      <w:pPr>
        <w:pStyle w:val="25"/>
        <w:tabs>
          <w:tab w:val="right" w:leader="dot" w:pos="9174"/>
        </w:tabs>
        <w:spacing w:line="360" w:lineRule="auto"/>
        <w:rPr>
          <w:rFonts w:ascii="仿宋_GB2312" w:eastAsia="仿宋_GB2312" w:hAnsiTheme="minorHAnsi" w:cstheme="minorBidi"/>
          <w:b/>
          <w:bCs/>
          <w:color w:val="000000" w:themeColor="text1"/>
          <w:sz w:val="32"/>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"_Toc109755340" </w:instrText>
      </w:r>
      <w:r>
        <w:rPr>
          <w:color w:val="000000" w:themeColor="text1"/>
          <w:highlight w:val="none"/>
          <w14:textFill>
            <w14:solidFill>
              <w14:schemeClr w14:val="tx1"/>
            </w14:solidFill>
          </w14:textFill>
        </w:rPr>
        <w:fldChar w:fldCharType="separate"/>
      </w:r>
      <w:r>
        <w:rPr>
          <w:rStyle w:val="44"/>
          <w:rFonts w:hint="eastAsia" w:ascii="仿宋_GB2312" w:eastAsia="仿宋_GB2312"/>
          <w:b/>
          <w:bCs/>
          <w:color w:val="000000" w:themeColor="text1"/>
          <w:kern w:val="0"/>
          <w:sz w:val="32"/>
          <w:szCs w:val="40"/>
          <w:highlight w:val="none"/>
          <w14:textFill>
            <w14:solidFill>
              <w14:schemeClr w14:val="tx1"/>
            </w14:solidFill>
          </w14:textFill>
        </w:rPr>
        <w:t>第五章  政府采购合同主要条款指引</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begin"/>
      </w:r>
      <w:r>
        <w:rPr>
          <w:rFonts w:hint="eastAsia" w:ascii="仿宋_GB2312" w:eastAsia="仿宋_GB2312"/>
          <w:b/>
          <w:bCs/>
          <w:color w:val="000000" w:themeColor="text1"/>
          <w:sz w:val="32"/>
          <w:szCs w:val="40"/>
          <w:highlight w:val="none"/>
          <w14:textFill>
            <w14:solidFill>
              <w14:schemeClr w14:val="tx1"/>
            </w14:solidFill>
          </w14:textFill>
        </w:rPr>
        <w:instrText xml:space="preserve"> PAGEREF _Toc109755340 \h </w:instrText>
      </w:r>
      <w:r>
        <w:rPr>
          <w:rFonts w:hint="eastAsia" w:ascii="仿宋_GB2312" w:eastAsia="仿宋_GB2312"/>
          <w:b/>
          <w:bCs/>
          <w:color w:val="000000" w:themeColor="text1"/>
          <w:sz w:val="32"/>
          <w:szCs w:val="40"/>
          <w:highlight w:val="none"/>
          <w14:textFill>
            <w14:solidFill>
              <w14:schemeClr w14:val="tx1"/>
            </w14:solidFill>
          </w14:textFill>
        </w:rPr>
        <w:fldChar w:fldCharType="separate"/>
      </w:r>
      <w:r>
        <w:rPr>
          <w:rFonts w:hint="eastAsia" w:ascii="仿宋_GB2312" w:eastAsia="仿宋_GB2312"/>
          <w:b/>
          <w:bCs/>
          <w:color w:val="000000" w:themeColor="text1"/>
          <w:sz w:val="32"/>
          <w:szCs w:val="40"/>
          <w:highlight w:val="none"/>
          <w:lang w:val="en-US" w:eastAsia="zh-CN"/>
          <w14:textFill>
            <w14:solidFill>
              <w14:schemeClr w14:val="tx1"/>
            </w14:solidFill>
          </w14:textFill>
        </w:rPr>
        <w:t>34</w:t>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14:textFill>
            <w14:solidFill>
              <w14:schemeClr w14:val="tx1"/>
            </w14:solidFill>
          </w14:textFill>
        </w:rPr>
        <w:fldChar w:fldCharType="end"/>
      </w:r>
    </w:p>
    <w:p>
      <w:pPr>
        <w:pStyle w:val="25"/>
        <w:tabs>
          <w:tab w:val="right" w:leader="dot" w:pos="9174"/>
        </w:tabs>
        <w:spacing w:line="360" w:lineRule="auto"/>
        <w:rPr>
          <w:rFonts w:ascii="仿宋_GB2312" w:eastAsia="仿宋_GB2312" w:hAnsiTheme="minorHAnsi" w:cstheme="minorBidi"/>
          <w:b/>
          <w:bCs/>
          <w:color w:val="000000" w:themeColor="text1"/>
          <w:sz w:val="32"/>
          <w:szCs w:val="36"/>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"_Toc109755341" </w:instrText>
      </w:r>
      <w:r>
        <w:rPr>
          <w:color w:val="000000" w:themeColor="text1"/>
          <w:highlight w:val="none"/>
          <w14:textFill>
            <w14:solidFill>
              <w14:schemeClr w14:val="tx1"/>
            </w14:solidFill>
          </w14:textFill>
        </w:rPr>
        <w:fldChar w:fldCharType="separate"/>
      </w:r>
      <w:r>
        <w:rPr>
          <w:rStyle w:val="44"/>
          <w:rFonts w:hint="eastAsia" w:ascii="仿宋_GB2312" w:eastAsia="仿宋_GB2312"/>
          <w:b/>
          <w:bCs/>
          <w:color w:val="000000" w:themeColor="text1"/>
          <w:sz w:val="32"/>
          <w:szCs w:val="40"/>
          <w:highlight w:val="none"/>
          <w14:textFill>
            <w14:solidFill>
              <w14:schemeClr w14:val="tx1"/>
            </w14:solidFill>
          </w14:textFill>
        </w:rPr>
        <w:t>第六章  投标文件格式附件</w:t>
      </w:r>
      <w:r>
        <w:rPr>
          <w:rFonts w:hint="eastAsia" w:ascii="仿宋_GB2312" w:eastAsia="仿宋_GB2312"/>
          <w:b/>
          <w:bCs/>
          <w:color w:val="000000" w:themeColor="text1"/>
          <w:sz w:val="32"/>
          <w:szCs w:val="40"/>
          <w:highlight w:val="none"/>
          <w14:textFill>
            <w14:solidFill>
              <w14:schemeClr w14:val="tx1"/>
            </w14:solidFill>
          </w14:textFill>
        </w:rPr>
        <w:tab/>
      </w:r>
      <w:r>
        <w:rPr>
          <w:rFonts w:hint="eastAsia" w:ascii="仿宋_GB2312" w:eastAsia="仿宋_GB2312"/>
          <w:b/>
          <w:bCs/>
          <w:color w:val="000000" w:themeColor="text1"/>
          <w:sz w:val="32"/>
          <w:szCs w:val="40"/>
          <w:highlight w:val="none"/>
          <w14:textFill>
            <w14:solidFill>
              <w14:schemeClr w14:val="tx1"/>
            </w14:solidFill>
          </w14:textFill>
        </w:rPr>
        <w:fldChar w:fldCharType="begin"/>
      </w:r>
      <w:r>
        <w:rPr>
          <w:rFonts w:hint="eastAsia" w:ascii="仿宋_GB2312" w:eastAsia="仿宋_GB2312"/>
          <w:b/>
          <w:bCs/>
          <w:color w:val="000000" w:themeColor="text1"/>
          <w:sz w:val="32"/>
          <w:szCs w:val="40"/>
          <w:highlight w:val="none"/>
          <w14:textFill>
            <w14:solidFill>
              <w14:schemeClr w14:val="tx1"/>
            </w14:solidFill>
          </w14:textFill>
        </w:rPr>
        <w:instrText xml:space="preserve"> PAGEREF _Toc109755341 \h </w:instrText>
      </w:r>
      <w:r>
        <w:rPr>
          <w:rFonts w:hint="eastAsia" w:ascii="仿宋_GB2312" w:eastAsia="仿宋_GB2312"/>
          <w:b/>
          <w:bCs/>
          <w:color w:val="000000" w:themeColor="text1"/>
          <w:sz w:val="32"/>
          <w:szCs w:val="40"/>
          <w:highlight w:val="none"/>
          <w14:textFill>
            <w14:solidFill>
              <w14:schemeClr w14:val="tx1"/>
            </w14:solidFill>
          </w14:textFill>
        </w:rPr>
        <w:fldChar w:fldCharType="separate"/>
      </w:r>
      <w:r>
        <w:rPr>
          <w:rFonts w:hint="eastAsia" w:ascii="仿宋_GB2312" w:eastAsia="仿宋_GB2312"/>
          <w:b/>
          <w:bCs/>
          <w:color w:val="000000" w:themeColor="text1"/>
          <w:sz w:val="32"/>
          <w:szCs w:val="40"/>
          <w:highlight w:val="none"/>
          <w14:textFill>
            <w14:solidFill>
              <w14:schemeClr w14:val="tx1"/>
            </w14:solidFill>
          </w14:textFill>
        </w:rPr>
        <w:t>38</w:t>
      </w:r>
      <w:r>
        <w:rPr>
          <w:rFonts w:hint="eastAsia" w:ascii="仿宋_GB2312" w:eastAsia="仿宋_GB2312"/>
          <w:b/>
          <w:bCs/>
          <w:color w:val="000000" w:themeColor="text1"/>
          <w:sz w:val="32"/>
          <w:szCs w:val="40"/>
          <w:highlight w:val="none"/>
          <w14:textFill>
            <w14:solidFill>
              <w14:schemeClr w14:val="tx1"/>
            </w14:solidFill>
          </w14:textFill>
        </w:rPr>
        <w:fldChar w:fldCharType="end"/>
      </w:r>
      <w:r>
        <w:rPr>
          <w:rFonts w:hint="eastAsia" w:ascii="仿宋_GB2312" w:eastAsia="仿宋_GB2312"/>
          <w:b/>
          <w:bCs/>
          <w:color w:val="000000" w:themeColor="text1"/>
          <w:sz w:val="32"/>
          <w:szCs w:val="40"/>
          <w:highlight w:val="none"/>
          <w14:textFill>
            <w14:solidFill>
              <w14:schemeClr w14:val="tx1"/>
            </w14:solidFill>
          </w14:textFill>
        </w:rPr>
        <w:fldChar w:fldCharType="end"/>
      </w:r>
    </w:p>
    <w:p>
      <w:pPr>
        <w:rPr>
          <w:rFonts w:hint="default" w:eastAsia="仿宋_GB2312"/>
          <w:color w:val="000000" w:themeColor="text1"/>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fldChar w:fldCharType="end"/>
      </w:r>
    </w:p>
    <w:p>
      <w:pPr>
        <w:spacing w:line="360" w:lineRule="auto"/>
        <w:rPr>
          <w:color w:val="000000" w:themeColor="text1"/>
          <w:highlight w:val="none"/>
          <w14:textFill>
            <w14:solidFill>
              <w14:schemeClr w14:val="tx1"/>
            </w14:solidFill>
          </w14:textFill>
        </w:rPr>
        <w:sectPr>
          <w:headerReference r:id="rId3" w:type="default"/>
          <w:footerReference r:id="rId4" w:type="default"/>
          <w:pgSz w:w="11906" w:h="16838"/>
          <w:pgMar w:top="1247" w:right="1304" w:bottom="1247" w:left="1418" w:header="851" w:footer="851" w:gutter="0"/>
          <w:pgNumType w:start="1"/>
          <w:cols w:space="720" w:num="1"/>
          <w:docGrid w:linePitch="312" w:charSpace="0"/>
        </w:sectPr>
      </w:pPr>
    </w:p>
    <w:p>
      <w:pPr>
        <w:pStyle w:val="2"/>
        <w:pageBreakBefore/>
        <w:spacing w:line="480" w:lineRule="exact"/>
        <w:rPr>
          <w:rFonts w:ascii="仿宋_GB2312" w:eastAsia="仿宋_GB2312"/>
          <w:color w:val="000000" w:themeColor="text1"/>
          <w:highlight w:val="none"/>
          <w14:textFill>
            <w14:solidFill>
              <w14:schemeClr w14:val="tx1"/>
            </w14:solidFill>
          </w14:textFill>
        </w:rPr>
      </w:pPr>
      <w:bookmarkStart w:id="0" w:name="_Toc19899"/>
      <w:bookmarkStart w:id="1" w:name="_Toc421271076"/>
      <w:bookmarkStart w:id="2" w:name="_Toc421107141"/>
      <w:bookmarkStart w:id="3" w:name="_Toc31559"/>
      <w:bookmarkStart w:id="4" w:name="_Toc9436"/>
      <w:bookmarkStart w:id="5" w:name="_Toc109755336"/>
      <w:bookmarkStart w:id="6" w:name="_Toc396135428"/>
      <w:bookmarkStart w:id="7" w:name="_Toc421107143"/>
      <w:bookmarkStart w:id="8" w:name="_Toc421271109"/>
      <w:r>
        <w:rPr>
          <w:rFonts w:hint="eastAsia" w:ascii="仿宋_GB2312" w:eastAsia="仿宋_GB2312"/>
          <w:color w:val="000000" w:themeColor="text1"/>
          <w:highlight w:val="none"/>
          <w14:textFill>
            <w14:solidFill>
              <w14:schemeClr w14:val="tx1"/>
            </w14:solidFill>
          </w14:textFill>
        </w:rPr>
        <w:t>第一章  公开招标采购公告</w:t>
      </w:r>
      <w:bookmarkEnd w:id="0"/>
      <w:bookmarkEnd w:id="1"/>
      <w:bookmarkEnd w:id="2"/>
      <w:bookmarkEnd w:id="3"/>
      <w:bookmarkEnd w:id="4"/>
      <w:bookmarkEnd w:id="5"/>
      <w:bookmarkStart w:id="64" w:name="_GoBack"/>
      <w:bookmarkEnd w:id="64"/>
    </w:p>
    <w:p>
      <w:pPr>
        <w:pStyle w:val="61"/>
        <w:widowControl w:val="0"/>
        <w:spacing w:afterLines="0" w:line="440" w:lineRule="exact"/>
        <w:ind w:firstLine="600"/>
        <w:rPr>
          <w:rFonts w:eastAsia="仿宋_GB2312"/>
          <w:color w:val="000000" w:themeColor="text1"/>
          <w:sz w:val="30"/>
          <w:szCs w:val="30"/>
          <w:highlight w:val="none"/>
          <w14:textFill>
            <w14:solidFill>
              <w14:schemeClr w14:val="tx1"/>
            </w14:solidFill>
          </w14:textFill>
        </w:rPr>
      </w:pPr>
    </w:p>
    <w:p>
      <w:pPr>
        <w:pStyle w:val="61"/>
        <w:widowControl w:val="0"/>
        <w:spacing w:afterLines="0" w:line="460" w:lineRule="exact"/>
        <w:ind w:firstLine="6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根据《中华人民共和国政府采购法》、《中华人民共和国政府采购法实施条例》、《政府采购货物和服务招标投标管理办法》等规定，</w:t>
      </w:r>
      <w:r>
        <w:rPr>
          <w:rFonts w:hint="eastAsia" w:eastAsia="仿宋_GB2312"/>
          <w:color w:val="000000" w:themeColor="text1"/>
          <w:sz w:val="30"/>
          <w:szCs w:val="30"/>
          <w:highlight w:val="none"/>
          <w:lang w:val="en-US" w:eastAsia="zh-CN"/>
          <w14:textFill>
            <w14:solidFill>
              <w14:schemeClr w14:val="tx1"/>
            </w14:solidFill>
          </w14:textFill>
        </w:rPr>
        <w:t>现</w:t>
      </w:r>
      <w:r>
        <w:rPr>
          <w:rFonts w:hint="eastAsia" w:eastAsia="仿宋_GB2312"/>
          <w:color w:val="000000" w:themeColor="text1"/>
          <w:sz w:val="30"/>
          <w:szCs w:val="30"/>
          <w:highlight w:val="none"/>
          <w14:textFill>
            <w14:solidFill>
              <w14:schemeClr w14:val="tx1"/>
            </w14:solidFill>
          </w14:textFill>
        </w:rPr>
        <w:t>就下列项目进行公开招标采购，欢迎提供本国货物、服务的</w:t>
      </w:r>
      <w:r>
        <w:rPr>
          <w:rFonts w:hint="eastAsia" w:ascii="Times New Roman" w:hAnsi="Times New Roman" w:eastAsia="仿宋_GB2312" w:cs="Times New Roman"/>
          <w:color w:val="000000" w:themeColor="text1"/>
          <w:kern w:val="0"/>
          <w:sz w:val="30"/>
          <w:szCs w:val="30"/>
          <w:highlight w:val="none"/>
          <w:lang w:val="en-US" w:eastAsia="zh-CN" w:bidi="ar"/>
          <w14:textFill>
            <w14:solidFill>
              <w14:schemeClr w14:val="tx1"/>
            </w14:solidFill>
          </w14:textFill>
        </w:rPr>
        <w:t>单位或个人</w:t>
      </w:r>
      <w:r>
        <w:rPr>
          <w:rFonts w:hint="eastAsia" w:eastAsia="仿宋_GB2312"/>
          <w:color w:val="000000" w:themeColor="text1"/>
          <w:sz w:val="30"/>
          <w:szCs w:val="30"/>
          <w:highlight w:val="none"/>
          <w14:textFill>
            <w14:solidFill>
              <w14:schemeClr w14:val="tx1"/>
            </w14:solidFill>
          </w14:textFill>
        </w:rPr>
        <w:t>前来投标。</w:t>
      </w:r>
    </w:p>
    <w:p>
      <w:pPr>
        <w:snapToGrid w:val="0"/>
        <w:spacing w:line="46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一、项目基本情况</w:t>
      </w:r>
    </w:p>
    <w:p>
      <w:pPr>
        <w:snapToGrid w:val="0"/>
        <w:spacing w:line="460" w:lineRule="exact"/>
        <w:ind w:firstLine="602" w:firstLineChars="200"/>
        <w:rPr>
          <w:rFonts w:hint="eastAsia" w:eastAsia="仿宋_GB2312"/>
          <w:b/>
          <w:color w:val="000000" w:themeColor="text1"/>
          <w:kern w:val="0"/>
          <w:sz w:val="30"/>
          <w:szCs w:val="30"/>
          <w:highlight w:val="none"/>
          <w:u w:val="single"/>
          <w:lang w:eastAsia="zh-CN"/>
          <w14:textFill>
            <w14:solidFill>
              <w14:schemeClr w14:val="tx1"/>
            </w14:solidFill>
          </w14:textFill>
        </w:rPr>
      </w:pPr>
      <w:r>
        <w:rPr>
          <w:rFonts w:hint="eastAsia" w:eastAsia="仿宋_GB2312" w:cs="Arial"/>
          <w:b/>
          <w:bCs/>
          <w:color w:val="000000" w:themeColor="text1"/>
          <w:sz w:val="30"/>
          <w:szCs w:val="30"/>
          <w:highlight w:val="none"/>
          <w14:textFill>
            <w14:solidFill>
              <w14:schemeClr w14:val="tx1"/>
            </w14:solidFill>
          </w14:textFill>
        </w:rPr>
        <w:t>（一）项目编号：</w:t>
      </w:r>
      <w:r>
        <w:rPr>
          <w:rFonts w:hint="eastAsia" w:eastAsia="仿宋_GB2312"/>
          <w:b/>
          <w:color w:val="000000" w:themeColor="text1"/>
          <w:kern w:val="0"/>
          <w:sz w:val="30"/>
          <w:szCs w:val="30"/>
          <w:highlight w:val="none"/>
          <w:u w:val="single"/>
          <w:lang w:eastAsia="zh-CN"/>
          <w14:textFill>
            <w14:solidFill>
              <w14:schemeClr w14:val="tx1"/>
            </w14:solidFill>
          </w14:textFill>
        </w:rPr>
        <w:t>2024-XXHGC-8</w:t>
      </w:r>
    </w:p>
    <w:p>
      <w:pPr>
        <w:snapToGrid w:val="0"/>
        <w:spacing w:line="460" w:lineRule="exact"/>
        <w:ind w:firstLine="602" w:firstLineChars="200"/>
        <w:rPr>
          <w:rFonts w:hint="eastAsia" w:eastAsia="仿宋_GB2312"/>
          <w:b/>
          <w:color w:val="000000" w:themeColor="text1"/>
          <w:kern w:val="0"/>
          <w:sz w:val="28"/>
          <w:szCs w:val="28"/>
          <w:highlight w:val="none"/>
          <w:lang w:eastAsia="zh-CN"/>
          <w14:textFill>
            <w14:solidFill>
              <w14:schemeClr w14:val="tx1"/>
            </w14:solidFill>
          </w14:textFill>
        </w:rPr>
      </w:pPr>
      <w:r>
        <w:rPr>
          <w:rFonts w:hint="eastAsia" w:eastAsia="仿宋_GB2312"/>
          <w:b/>
          <w:color w:val="000000" w:themeColor="text1"/>
          <w:kern w:val="0"/>
          <w:sz w:val="30"/>
          <w:szCs w:val="30"/>
          <w:highlight w:val="none"/>
          <w14:textFill>
            <w14:solidFill>
              <w14:schemeClr w14:val="tx1"/>
            </w14:solidFill>
          </w14:textFill>
        </w:rPr>
        <w:t>（二）项目名称：</w:t>
      </w:r>
      <w:r>
        <w:rPr>
          <w:rFonts w:hint="eastAsia" w:eastAsia="仿宋_GB2312" w:cs="Arial"/>
          <w:b/>
          <w:bCs/>
          <w:color w:val="000000" w:themeColor="text1"/>
          <w:sz w:val="30"/>
          <w:szCs w:val="30"/>
          <w:highlight w:val="none"/>
          <w:u w:val="single"/>
          <w:lang w:eastAsia="zh-CN"/>
          <w14:textFill>
            <w14:solidFill>
              <w14:schemeClr w14:val="tx1"/>
            </w14:solidFill>
          </w14:textFill>
        </w:rPr>
        <w:t>2024年视频会议室运维服务、计算存储维护服务和网络和安全设备维保维护及网络运维服务项目</w:t>
      </w:r>
    </w:p>
    <w:p>
      <w:pPr>
        <w:snapToGrid w:val="0"/>
        <w:spacing w:line="460" w:lineRule="exact"/>
        <w:ind w:firstLine="600" w:firstLineChars="200"/>
        <w:rPr>
          <w:rFonts w:eastAsia="仿宋_GB2312" w:cs="Arial"/>
          <w:b/>
          <w:bCs/>
          <w:color w:val="000000" w:themeColor="text1"/>
          <w:sz w:val="30"/>
          <w:szCs w:val="30"/>
          <w:highlight w:val="none"/>
          <w:u w:val="single"/>
          <w14:textFill>
            <w14:solidFill>
              <w14:schemeClr w14:val="tx1"/>
            </w14:solidFill>
          </w14:textFill>
        </w:rPr>
      </w:pPr>
      <w:r>
        <w:rPr>
          <w:rFonts w:hint="eastAsia" w:eastAsia="仿宋_GB2312"/>
          <w:color w:val="000000" w:themeColor="text1"/>
          <w:kern w:val="0"/>
          <w:sz w:val="30"/>
          <w:szCs w:val="30"/>
          <w:highlight w:val="none"/>
          <w14:textFill>
            <w14:solidFill>
              <w14:schemeClr w14:val="tx1"/>
            </w14:solidFill>
          </w14:textFill>
        </w:rPr>
        <w:t>（三）</w:t>
      </w:r>
      <w:r>
        <w:rPr>
          <w:rFonts w:hint="eastAsia" w:eastAsia="仿宋_GB2312" w:cs="Arial"/>
          <w:b/>
          <w:bCs/>
          <w:color w:val="000000" w:themeColor="text1"/>
          <w:sz w:val="30"/>
          <w:szCs w:val="30"/>
          <w:highlight w:val="none"/>
          <w14:textFill>
            <w14:solidFill>
              <w14:schemeClr w14:val="tx1"/>
            </w14:solidFill>
          </w14:textFill>
        </w:rPr>
        <w:t>采购类型：</w:t>
      </w:r>
      <w:r>
        <w:rPr>
          <w:rFonts w:hint="eastAsia" w:eastAsia="仿宋_GB2312" w:cs="Arial"/>
          <w:b/>
          <w:bCs/>
          <w:color w:val="000000" w:themeColor="text1"/>
          <w:sz w:val="30"/>
          <w:szCs w:val="30"/>
          <w:highlight w:val="none"/>
          <w:u w:val="single"/>
          <w:lang w:val="en-US" w:eastAsia="zh-CN"/>
          <w14:textFill>
            <w14:solidFill>
              <w14:schemeClr w14:val="tx1"/>
            </w14:solidFill>
          </w14:textFill>
        </w:rPr>
        <w:t>分散采购</w:t>
      </w:r>
    </w:p>
    <w:p>
      <w:pPr>
        <w:snapToGrid w:val="0"/>
        <w:spacing w:line="460" w:lineRule="exact"/>
        <w:ind w:firstLine="602" w:firstLineChars="200"/>
        <w:rPr>
          <w:rFonts w:hint="default" w:eastAsia="仿宋_GB2312" w:cs="Arial"/>
          <w:b/>
          <w:bCs/>
          <w:color w:val="000000" w:themeColor="text1"/>
          <w:sz w:val="30"/>
          <w:szCs w:val="30"/>
          <w:highlight w:val="none"/>
          <w:lang w:val="en-US" w:eastAsia="zh-CN"/>
          <w14:textFill>
            <w14:solidFill>
              <w14:schemeClr w14:val="tx1"/>
            </w14:solidFill>
          </w14:textFill>
        </w:rPr>
      </w:pPr>
      <w:r>
        <w:rPr>
          <w:rFonts w:hint="eastAsia" w:eastAsia="仿宋_GB2312" w:cs="Arial"/>
          <w:b/>
          <w:bCs/>
          <w:color w:val="000000" w:themeColor="text1"/>
          <w:sz w:val="30"/>
          <w:szCs w:val="30"/>
          <w:highlight w:val="none"/>
          <w14:textFill>
            <w14:solidFill>
              <w14:schemeClr w14:val="tx1"/>
            </w14:solidFill>
          </w14:textFill>
        </w:rPr>
        <w:t>（四）采购方式：</w:t>
      </w:r>
      <w:r>
        <w:rPr>
          <w:rFonts w:hint="eastAsia" w:eastAsia="仿宋_GB2312" w:cs="Arial"/>
          <w:b/>
          <w:bCs/>
          <w:color w:val="000000" w:themeColor="text1"/>
          <w:sz w:val="30"/>
          <w:szCs w:val="30"/>
          <w:highlight w:val="none"/>
          <w:u w:val="single"/>
          <w14:textFill>
            <w14:solidFill>
              <w14:schemeClr w14:val="tx1"/>
            </w14:solidFill>
          </w14:textFill>
        </w:rPr>
        <w:t>公开招标</w:t>
      </w:r>
    </w:p>
    <w:p>
      <w:pPr>
        <w:snapToGrid w:val="0"/>
        <w:spacing w:line="460" w:lineRule="exact"/>
        <w:ind w:firstLine="602" w:firstLineChars="200"/>
        <w:rPr>
          <w:rFonts w:hint="default" w:eastAsia="仿宋_GB2312" w:cs="Arial"/>
          <w:b/>
          <w:bCs/>
          <w:color w:val="000000" w:themeColor="text1"/>
          <w:sz w:val="30"/>
          <w:szCs w:val="30"/>
          <w:highlight w:val="none"/>
          <w:lang w:val="en-US" w:eastAsia="zh-CN"/>
          <w14:textFill>
            <w14:solidFill>
              <w14:schemeClr w14:val="tx1"/>
            </w14:solidFill>
          </w14:textFill>
        </w:rPr>
      </w:pPr>
      <w:r>
        <w:rPr>
          <w:rFonts w:hint="eastAsia" w:eastAsia="仿宋_GB2312" w:cs="Arial"/>
          <w:b/>
          <w:bCs/>
          <w:color w:val="000000" w:themeColor="text1"/>
          <w:sz w:val="30"/>
          <w:szCs w:val="30"/>
          <w:highlight w:val="none"/>
          <w14:textFill>
            <w14:solidFill>
              <w14:schemeClr w14:val="tx1"/>
            </w14:solidFill>
          </w14:textFill>
        </w:rPr>
        <w:t>（五）采购内容</w:t>
      </w:r>
      <w:r>
        <w:rPr>
          <w:rFonts w:hint="eastAsia" w:eastAsia="仿宋_GB2312" w:cs="Arial"/>
          <w:b/>
          <w:bCs/>
          <w:color w:val="000000" w:themeColor="text1"/>
          <w:sz w:val="30"/>
          <w:szCs w:val="30"/>
          <w:highlight w:val="none"/>
          <w:lang w:eastAsia="zh-CN"/>
          <w14:textFill>
            <w14:solidFill>
              <w14:schemeClr w14:val="tx1"/>
            </w14:solidFill>
          </w14:textFill>
        </w:rPr>
        <w:t>、</w:t>
      </w:r>
      <w:r>
        <w:rPr>
          <w:rFonts w:hint="eastAsia" w:eastAsia="仿宋_GB2312" w:cs="Arial"/>
          <w:b/>
          <w:bCs/>
          <w:color w:val="000000" w:themeColor="text1"/>
          <w:sz w:val="30"/>
          <w:szCs w:val="30"/>
          <w:highlight w:val="none"/>
          <w14:textFill>
            <w14:solidFill>
              <w14:schemeClr w14:val="tx1"/>
            </w14:solidFill>
          </w14:textFill>
        </w:rPr>
        <w:t>数量</w:t>
      </w:r>
      <w:r>
        <w:rPr>
          <w:rFonts w:hint="eastAsia" w:eastAsia="仿宋_GB2312" w:cs="Arial"/>
          <w:b/>
          <w:bCs/>
          <w:color w:val="000000" w:themeColor="text1"/>
          <w:sz w:val="30"/>
          <w:szCs w:val="30"/>
          <w:highlight w:val="none"/>
          <w:lang w:val="en-US" w:eastAsia="zh-CN"/>
          <w14:textFill>
            <w14:solidFill>
              <w14:schemeClr w14:val="tx1"/>
            </w14:solidFill>
          </w14:textFill>
        </w:rPr>
        <w:t>及预算</w:t>
      </w:r>
    </w:p>
    <w:tbl>
      <w:tblPr>
        <w:tblStyle w:val="36"/>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3033"/>
        <w:gridCol w:w="840"/>
        <w:gridCol w:w="870"/>
        <w:gridCol w:w="1801"/>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标项序号</w:t>
            </w:r>
          </w:p>
        </w:tc>
        <w:tc>
          <w:tcPr>
            <w:tcW w:w="3033"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标项名称</w:t>
            </w:r>
          </w:p>
        </w:tc>
        <w:tc>
          <w:tcPr>
            <w:tcW w:w="84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数量</w:t>
            </w:r>
          </w:p>
        </w:tc>
        <w:tc>
          <w:tcPr>
            <w:tcW w:w="87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单位</w:t>
            </w:r>
          </w:p>
        </w:tc>
        <w:tc>
          <w:tcPr>
            <w:tcW w:w="1801"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采购预算</w:t>
            </w:r>
          </w:p>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24"/>
                <w:szCs w:val="30"/>
                <w:highlight w:val="none"/>
                <w14:textFill>
                  <w14:solidFill>
                    <w14:schemeClr w14:val="tx1"/>
                  </w14:solidFill>
                </w14:textFill>
              </w:rPr>
              <w:t>（人民币万元）</w:t>
            </w:r>
          </w:p>
        </w:tc>
        <w:tc>
          <w:tcPr>
            <w:tcW w:w="1886"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2024年视频会议室运维服务</w:t>
            </w:r>
          </w:p>
        </w:tc>
        <w:tc>
          <w:tcPr>
            <w:tcW w:w="84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_GB2312"/>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17.5</w:t>
            </w:r>
          </w:p>
        </w:tc>
        <w:tc>
          <w:tcPr>
            <w:tcW w:w="1886" w:type="dxa"/>
            <w:vMerge w:val="restart"/>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浙江省教育技术中心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2024年计算存储维护服务</w:t>
            </w:r>
          </w:p>
        </w:tc>
        <w:tc>
          <w:tcPr>
            <w:tcW w:w="84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63</w:t>
            </w:r>
          </w:p>
        </w:tc>
        <w:tc>
          <w:tcPr>
            <w:tcW w:w="1886" w:type="dxa"/>
            <w:vMerge w:val="continue"/>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3</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2024年网络及安全设备维保维护及网络运维服务</w:t>
            </w:r>
          </w:p>
        </w:tc>
        <w:tc>
          <w:tcPr>
            <w:tcW w:w="84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74</w:t>
            </w:r>
          </w:p>
        </w:tc>
        <w:tc>
          <w:tcPr>
            <w:tcW w:w="1886" w:type="dxa"/>
            <w:vMerge w:val="continue"/>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p>
        </w:tc>
      </w:tr>
    </w:tbl>
    <w:p>
      <w:pPr>
        <w:pStyle w:val="61"/>
        <w:spacing w:afterLines="0" w:line="440" w:lineRule="exact"/>
        <w:ind w:firstLine="602"/>
        <w:rPr>
          <w:rFonts w:eastAsia="仿宋_GB2312"/>
          <w:b/>
          <w:bCs/>
          <w:color w:val="000000" w:themeColor="text1"/>
          <w:sz w:val="30"/>
          <w:szCs w:val="30"/>
          <w:highlight w:val="none"/>
          <w14:textFill>
            <w14:solidFill>
              <w14:schemeClr w14:val="tx1"/>
            </w14:solidFill>
          </w14:textFill>
        </w:rPr>
      </w:pPr>
      <w:r>
        <w:rPr>
          <w:rFonts w:hint="eastAsia" w:eastAsia="仿宋_GB2312"/>
          <w:b/>
          <w:bCs/>
          <w:color w:val="000000" w:themeColor="text1"/>
          <w:sz w:val="30"/>
          <w:szCs w:val="30"/>
          <w:highlight w:val="none"/>
          <w14:textFill>
            <w14:solidFill>
              <w14:schemeClr w14:val="tx1"/>
            </w14:solidFill>
          </w14:textFill>
        </w:rPr>
        <w:t>特别说明：</w:t>
      </w:r>
    </w:p>
    <w:p>
      <w:pPr>
        <w:pStyle w:val="61"/>
        <w:spacing w:afterLines="0" w:line="440" w:lineRule="exact"/>
        <w:ind w:firstLine="6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1.本项目属性：货物类/</w:t>
      </w:r>
      <w:r>
        <w:rPr>
          <w:rFonts w:hint="eastAsia" w:eastAsia="仿宋_GB2312"/>
          <w:color w:val="000000" w:themeColor="text1"/>
          <w:sz w:val="30"/>
          <w:szCs w:val="30"/>
          <w:highlight w:val="none"/>
          <w:bdr w:val="single" w:color="auto" w:sz="4" w:space="0"/>
          <w14:textFill>
            <w14:solidFill>
              <w14:schemeClr w14:val="tx1"/>
            </w14:solidFill>
          </w14:textFill>
        </w:rPr>
        <w:t>√</w:t>
      </w:r>
      <w:r>
        <w:rPr>
          <w:rFonts w:hint="eastAsia" w:eastAsia="仿宋_GB2312"/>
          <w:color w:val="000000" w:themeColor="text1"/>
          <w:sz w:val="30"/>
          <w:szCs w:val="30"/>
          <w:highlight w:val="none"/>
          <w14:textFill>
            <w14:solidFill>
              <w14:schemeClr w14:val="tx1"/>
            </w14:solidFill>
          </w14:textFill>
        </w:rPr>
        <w:t>服务类/工程类</w:t>
      </w:r>
    </w:p>
    <w:p>
      <w:pPr>
        <w:spacing w:afterLines="0" w:line="440" w:lineRule="exact"/>
        <w:ind w:firstLine="600"/>
        <w:jc w:val="left"/>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 xml:space="preserve">2.根据《关于印发中小企业划型标准规定的通知》（工信部联企业〔2011〕300号），采购标的对应的中小企业划分标准所属行业：软件和信息技术服务业 </w:t>
      </w:r>
      <w:r>
        <w:rPr>
          <w:rFonts w:hint="eastAsia" w:eastAsia="仿宋_GB2312" w:cs="Times New Roman"/>
          <w:color w:val="000000" w:themeColor="text1"/>
          <w:kern w:val="2"/>
          <w:sz w:val="30"/>
          <w:szCs w:val="30"/>
          <w:highlight w:val="none"/>
          <w:lang w:val="en-US" w:eastAsia="zh-CN" w:bidi="ar"/>
          <w14:textFill>
            <w14:solidFill>
              <w14:schemeClr w14:val="tx1"/>
            </w14:solidFill>
          </w14:textFill>
        </w:rPr>
        <w:t>。</w:t>
      </w:r>
    </w:p>
    <w:p>
      <w:pPr>
        <w:snapToGrid w:val="0"/>
        <w:spacing w:line="44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 xml:space="preserve">3.具体采购内容详见“第四章 </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招标</w:t>
      </w:r>
      <w:r>
        <w:rPr>
          <w:rFonts w:hint="eastAsia" w:ascii="Times New Roman" w:hAnsi="Times New Roman" w:eastAsia="仿宋_GB2312"/>
          <w:color w:val="000000" w:themeColor="text1"/>
          <w:sz w:val="30"/>
          <w:szCs w:val="30"/>
          <w:highlight w:val="none"/>
          <w14:textFill>
            <w14:solidFill>
              <w14:schemeClr w14:val="tx1"/>
            </w14:solidFill>
          </w14:textFill>
        </w:rPr>
        <w:t>需求”。</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二、合格投标人的资格要求</w:t>
      </w:r>
    </w:p>
    <w:p>
      <w:pPr>
        <w:snapToGrid w:val="0"/>
        <w:spacing w:line="440" w:lineRule="exact"/>
        <w:ind w:firstLine="675" w:firstLineChars="225"/>
        <w:rPr>
          <w:rFonts w:ascii="Times New Roman" w:hAnsi="Times New Roman" w:eastAsia="仿宋_GB2312" w:cs="Arial"/>
          <w:color w:val="000000" w:themeColor="text1"/>
          <w:sz w:val="30"/>
          <w:szCs w:val="30"/>
          <w:highlight w:val="none"/>
          <w14:textFill>
            <w14:solidFill>
              <w14:schemeClr w14:val="tx1"/>
            </w14:solidFill>
          </w14:textFill>
        </w:rPr>
      </w:pPr>
      <w:r>
        <w:rPr>
          <w:rFonts w:ascii="Times New Roman" w:hAnsi="Times New Roman" w:eastAsia="仿宋_GB2312" w:cs="Arial"/>
          <w:color w:val="000000" w:themeColor="text1"/>
          <w:sz w:val="30"/>
          <w:szCs w:val="30"/>
          <w:highlight w:val="none"/>
          <w14:textFill>
            <w14:solidFill>
              <w14:schemeClr w14:val="tx1"/>
            </w14:solidFill>
          </w14:textFill>
        </w:rPr>
        <w:t>1.</w:t>
      </w:r>
      <w:r>
        <w:rPr>
          <w:rFonts w:hint="eastAsia" w:ascii="Times New Roman" w:hAnsi="Times New Roman" w:eastAsia="仿宋_GB2312" w:cs="Arial"/>
          <w:color w:val="000000" w:themeColor="text1"/>
          <w:sz w:val="30"/>
          <w:szCs w:val="30"/>
          <w:highlight w:val="none"/>
          <w14:textFill>
            <w14:solidFill>
              <w14:schemeClr w14:val="tx1"/>
            </w14:solidFill>
          </w14:textFill>
        </w:rPr>
        <w:t>符合《中华人民共和国政府采购法》第二十二条规定，且未被“信用中国”（www.creditchina.gov.cn）、中国政府采购网（www.ccgp.gov.cn）列入失信被执行人、重大税收违法案件当事人名单、政府采购严重违法失信行为记录名单。</w:t>
      </w:r>
    </w:p>
    <w:p>
      <w:pPr>
        <w:snapToGrid w:val="0"/>
        <w:spacing w:line="440" w:lineRule="exact"/>
        <w:ind w:firstLine="678" w:firstLineChars="225"/>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b/>
          <w:bCs/>
          <w:color w:val="000000" w:themeColor="text1"/>
          <w:sz w:val="30"/>
          <w:szCs w:val="30"/>
          <w:highlight w:val="none"/>
          <w14:textFill>
            <w14:solidFill>
              <w14:schemeClr w14:val="tx1"/>
            </w14:solidFill>
          </w14:textFill>
        </w:rPr>
        <w:t>2.本项目的特定资格要求：</w:t>
      </w:r>
      <w:r>
        <w:rPr>
          <w:rFonts w:hint="eastAsia" w:ascii="Times New Roman" w:hAnsi="Times New Roman" w:eastAsia="仿宋_GB2312"/>
          <w:color w:val="000000" w:themeColor="text1"/>
          <w:sz w:val="30"/>
          <w:szCs w:val="30"/>
          <w:highlight w:val="none"/>
          <w14:textFill>
            <w14:solidFill>
              <w14:schemeClr w14:val="tx1"/>
            </w14:solidFill>
          </w14:textFill>
        </w:rPr>
        <w:t>无。</w:t>
      </w:r>
    </w:p>
    <w:p>
      <w:pPr>
        <w:snapToGrid w:val="0"/>
        <w:spacing w:line="440" w:lineRule="exact"/>
        <w:ind w:firstLine="678" w:firstLineChars="225"/>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b/>
          <w:bCs/>
          <w:color w:val="000000" w:themeColor="text1"/>
          <w:sz w:val="30"/>
          <w:szCs w:val="30"/>
          <w:highlight w:val="none"/>
          <w14:textFill>
            <w14:solidFill>
              <w14:schemeClr w14:val="tx1"/>
            </w14:solidFill>
          </w14:textFill>
        </w:rPr>
        <w:t>3.落实政府采购政策需满足的资格要求：</w:t>
      </w:r>
      <w:r>
        <w:rPr>
          <w:rFonts w:hint="eastAsia" w:ascii="仿宋_GB2312" w:hAnsi="Times New Roman" w:eastAsia="仿宋_GB2312" w:cs="仿宋_GB2312"/>
          <w:color w:val="000000" w:themeColor="text1"/>
          <w:sz w:val="30"/>
          <w:szCs w:val="30"/>
          <w:highlight w:val="none"/>
          <w:lang w:val="en-US" w:eastAsia="zh-CN" w:bidi="ar"/>
          <w14:textFill>
            <w14:solidFill>
              <w14:schemeClr w14:val="tx1"/>
            </w14:solidFill>
          </w14:textFill>
        </w:rPr>
        <w:t>标项1</w:t>
      </w:r>
      <w:r>
        <w:rPr>
          <w:rFonts w:ascii="仿宋_GB2312" w:hAnsi="Times New Roman" w:eastAsia="仿宋_GB2312" w:cs="仿宋_GB2312"/>
          <w:color w:val="000000" w:themeColor="text1"/>
          <w:sz w:val="30"/>
          <w:szCs w:val="30"/>
          <w:highlight w:val="none"/>
          <w:lang w:bidi="ar"/>
          <w14:textFill>
            <w14:solidFill>
              <w14:schemeClr w14:val="tx1"/>
            </w14:solidFill>
          </w14:textFill>
        </w:rPr>
        <w:t>属于专门面向中小企业采购的项目</w:t>
      </w:r>
      <w:r>
        <w:rPr>
          <w:rFonts w:hint="eastAsia" w:ascii="仿宋_GB2312" w:hAnsi="Times New Roman" w:eastAsia="仿宋_GB2312" w:cs="仿宋_GB2312"/>
          <w:color w:val="000000" w:themeColor="text1"/>
          <w:sz w:val="30"/>
          <w:szCs w:val="30"/>
          <w:highlight w:val="none"/>
          <w:lang w:eastAsia="zh-CN" w:bidi="ar"/>
          <w14:textFill>
            <w14:solidFill>
              <w14:schemeClr w14:val="tx1"/>
            </w14:solidFill>
          </w14:textFill>
        </w:rPr>
        <w:t>，</w:t>
      </w:r>
      <w:r>
        <w:rPr>
          <w:rFonts w:hint="eastAsia" w:ascii="仿宋_GB2312" w:hAnsi="Times New Roman" w:eastAsia="仿宋_GB2312" w:cs="仿宋_GB2312"/>
          <w:color w:val="000000" w:themeColor="text1"/>
          <w:sz w:val="30"/>
          <w:szCs w:val="30"/>
          <w:highlight w:val="none"/>
          <w:lang w:val="en-US" w:eastAsia="zh-CN" w:bidi="ar"/>
          <w14:textFill>
            <w14:solidFill>
              <w14:schemeClr w14:val="tx1"/>
            </w14:solidFill>
          </w14:textFill>
        </w:rPr>
        <w:t>标项2和3不</w:t>
      </w:r>
      <w:r>
        <w:rPr>
          <w:rFonts w:ascii="仿宋_GB2312" w:hAnsi="Times New Roman" w:eastAsia="仿宋_GB2312" w:cs="仿宋_GB2312"/>
          <w:color w:val="000000" w:themeColor="text1"/>
          <w:sz w:val="30"/>
          <w:szCs w:val="30"/>
          <w:highlight w:val="none"/>
          <w:lang w:bidi="ar"/>
          <w14:textFill>
            <w14:solidFill>
              <w14:schemeClr w14:val="tx1"/>
            </w14:solidFill>
          </w14:textFill>
        </w:rPr>
        <w:t>属于专门面向中小企业采购的项目</w:t>
      </w:r>
      <w:r>
        <w:rPr>
          <w:rFonts w:hint="eastAsia" w:ascii="仿宋_GB2312" w:hAnsi="Times New Roman" w:eastAsia="仿宋_GB2312" w:cs="仿宋_GB2312"/>
          <w:color w:val="000000" w:themeColor="text1"/>
          <w:sz w:val="30"/>
          <w:szCs w:val="30"/>
          <w:highlight w:val="none"/>
          <w:lang w:bidi="ar"/>
          <w14:textFill>
            <w14:solidFill>
              <w14:schemeClr w14:val="tx1"/>
            </w14:solidFill>
          </w14:textFill>
        </w:rPr>
        <w:t>。</w:t>
      </w:r>
    </w:p>
    <w:p>
      <w:pPr>
        <w:snapToGrid w:val="0"/>
        <w:spacing w:line="440" w:lineRule="exact"/>
        <w:ind w:firstLine="678" w:firstLineChars="225"/>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b/>
          <w:bCs/>
          <w:color w:val="000000" w:themeColor="text1"/>
          <w:sz w:val="30"/>
          <w:szCs w:val="30"/>
          <w:highlight w:val="none"/>
          <w14:textFill>
            <w14:solidFill>
              <w14:schemeClr w14:val="tx1"/>
            </w14:solidFill>
          </w14:textFill>
        </w:rPr>
        <w:t>4.</w:t>
      </w:r>
      <w:r>
        <w:rPr>
          <w:rFonts w:hint="eastAsia" w:ascii="Times New Roman" w:hAnsi="Times New Roman" w:eastAsia="仿宋_GB2312"/>
          <w:b/>
          <w:bCs/>
          <w:color w:val="000000" w:themeColor="text1"/>
          <w:sz w:val="30"/>
          <w:szCs w:val="30"/>
          <w:highlight w:val="none"/>
          <w14:textFill>
            <w14:solidFill>
              <w14:schemeClr w14:val="tx1"/>
            </w14:solidFill>
          </w14:textFill>
        </w:rPr>
        <w:t>是否允许联合体投标：</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是</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三、获取采购文件</w:t>
      </w:r>
    </w:p>
    <w:p>
      <w:pPr>
        <w:snapToGrid w:val="0"/>
        <w:spacing w:line="440" w:lineRule="exact"/>
        <w:ind w:firstLine="594" w:firstLineChars="198"/>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1.</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获取时间：</w:t>
      </w:r>
      <w:r>
        <w:rPr>
          <w:rFonts w:hint="eastAsia" w:ascii="Times New Roman" w:hAnsi="Times New Roman" w:eastAsia="仿宋_GB2312" w:cs="Arial"/>
          <w:color w:val="000000" w:themeColor="text1"/>
          <w:sz w:val="30"/>
          <w:szCs w:val="30"/>
          <w:highlight w:val="none"/>
          <w14:textFill>
            <w14:solidFill>
              <w14:schemeClr w14:val="tx1"/>
            </w14:solidFill>
          </w14:textFill>
        </w:rPr>
        <w:t>公告发布时间至投标截止时间</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止</w:t>
      </w:r>
      <w:r>
        <w:rPr>
          <w:rFonts w:hint="eastAsia" w:ascii="Times New Roman" w:hAnsi="Times New Roman" w:eastAsia="仿宋_GB2312" w:cs="Arial"/>
          <w:color w:val="000000" w:themeColor="text1"/>
          <w:sz w:val="30"/>
          <w:szCs w:val="30"/>
          <w:highlight w:val="none"/>
          <w14:textFill>
            <w14:solidFill>
              <w14:schemeClr w14:val="tx1"/>
            </w14:solidFill>
          </w14:textFill>
        </w:rPr>
        <w:t>。</w:t>
      </w:r>
    </w:p>
    <w:p>
      <w:pPr>
        <w:snapToGrid w:val="0"/>
        <w:spacing w:line="440" w:lineRule="exact"/>
        <w:ind w:firstLine="594" w:firstLineChars="198"/>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2.获取方式：本项目采购文件实行网上</w:t>
      </w:r>
      <w:r>
        <w:rPr>
          <w:rFonts w:hint="eastAsia" w:ascii="Times New Roman" w:hAnsi="Times New Roman" w:eastAsia="仿宋_GB2312" w:cs="Arial"/>
          <w:b/>
          <w:bCs/>
          <w:color w:val="000000" w:themeColor="text1"/>
          <w:sz w:val="30"/>
          <w:szCs w:val="30"/>
          <w:highlight w:val="none"/>
          <w14:textFill>
            <w14:solidFill>
              <w14:schemeClr w14:val="tx1"/>
            </w14:solidFill>
          </w14:textFill>
        </w:rPr>
        <w:t>免费</w:t>
      </w:r>
      <w:r>
        <w:rPr>
          <w:rFonts w:hint="eastAsia" w:ascii="Times New Roman" w:hAnsi="Times New Roman" w:eastAsia="仿宋_GB2312" w:cs="Arial"/>
          <w:color w:val="000000" w:themeColor="text1"/>
          <w:sz w:val="30"/>
          <w:szCs w:val="30"/>
          <w:highlight w:val="none"/>
          <w14:textFill>
            <w14:solidFill>
              <w14:schemeClr w14:val="tx1"/>
            </w14:solidFill>
          </w14:textFill>
        </w:rPr>
        <w:t>获取。供应商通过账号、密码登录浙江政府采购网（http://www.zjzfcg.gov.cn）进入政采云系统“项目采购”模块“获取采购文件”菜单，自行免费下载采购文件。</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四、提交投标文件截止时间和地点</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1.投标截止时间：</w:t>
      </w:r>
      <w:r>
        <w:rPr>
          <w:rFonts w:ascii="Times New Roman" w:hAnsi="Times New Roman" w:eastAsia="仿宋_GB2312" w:cs="Arial"/>
          <w:color w:val="000000" w:themeColor="text1"/>
          <w:sz w:val="30"/>
          <w:szCs w:val="30"/>
          <w:highlight w:val="none"/>
          <w14:textFill>
            <w14:solidFill>
              <w14:schemeClr w14:val="tx1"/>
            </w14:solidFill>
          </w14:textFill>
        </w:rPr>
        <w:t>2024</w:t>
      </w:r>
      <w:r>
        <w:rPr>
          <w:rFonts w:hint="eastAsia" w:ascii="Times New Roman" w:hAnsi="Times New Roman" w:eastAsia="仿宋_GB2312" w:cs="Arial"/>
          <w:color w:val="000000" w:themeColor="text1"/>
          <w:sz w:val="30"/>
          <w:szCs w:val="30"/>
          <w:highlight w:val="none"/>
          <w14:textFill>
            <w14:solidFill>
              <w14:schemeClr w14:val="tx1"/>
            </w14:solidFill>
          </w14:textFill>
        </w:rPr>
        <w:t>年</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9</w:t>
      </w:r>
      <w:r>
        <w:rPr>
          <w:rFonts w:hint="eastAsia" w:ascii="Times New Roman" w:hAnsi="Times New Roman" w:eastAsia="仿宋_GB2312" w:cs="Arial"/>
          <w:color w:val="000000" w:themeColor="text1"/>
          <w:sz w:val="30"/>
          <w:szCs w:val="30"/>
          <w:highlight w:val="none"/>
          <w14:textFill>
            <w14:solidFill>
              <w14:schemeClr w14:val="tx1"/>
            </w14:solidFill>
          </w14:textFill>
        </w:rPr>
        <w:t>月</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13</w:t>
      </w:r>
      <w:r>
        <w:rPr>
          <w:rFonts w:hint="eastAsia" w:ascii="Times New Roman" w:hAnsi="Times New Roman" w:eastAsia="仿宋_GB2312" w:cs="Arial"/>
          <w:color w:val="000000" w:themeColor="text1"/>
          <w:sz w:val="30"/>
          <w:szCs w:val="30"/>
          <w:highlight w:val="none"/>
          <w14:textFill>
            <w14:solidFill>
              <w14:schemeClr w14:val="tx1"/>
            </w14:solidFill>
          </w14:textFill>
        </w:rPr>
        <w:t>日上午</w:t>
      </w:r>
      <w:r>
        <w:rPr>
          <w:rFonts w:ascii="Times New Roman" w:hAnsi="Times New Roman" w:eastAsia="仿宋_GB2312" w:cs="Arial"/>
          <w:color w:val="000000" w:themeColor="text1"/>
          <w:sz w:val="30"/>
          <w:szCs w:val="30"/>
          <w:highlight w:val="none"/>
          <w14:textFill>
            <w14:solidFill>
              <w14:schemeClr w14:val="tx1"/>
            </w14:solidFill>
          </w14:textFill>
        </w:rPr>
        <w:t>9</w:t>
      </w:r>
      <w:r>
        <w:rPr>
          <w:rFonts w:hint="eastAsia" w:ascii="Times New Roman" w:hAnsi="Times New Roman" w:eastAsia="仿宋_GB2312" w:cs="Arial"/>
          <w:color w:val="000000" w:themeColor="text1"/>
          <w:sz w:val="30"/>
          <w:szCs w:val="30"/>
          <w:highlight w:val="none"/>
          <w14:textFill>
            <w14:solidFill>
              <w14:schemeClr w14:val="tx1"/>
            </w14:solidFill>
          </w14:textFill>
        </w:rPr>
        <w:t>:</w:t>
      </w:r>
      <w:r>
        <w:rPr>
          <w:rFonts w:ascii="Times New Roman" w:hAnsi="Times New Roman" w:eastAsia="仿宋_GB2312" w:cs="Arial"/>
          <w:color w:val="000000" w:themeColor="text1"/>
          <w:sz w:val="30"/>
          <w:szCs w:val="30"/>
          <w:highlight w:val="none"/>
          <w14:textFill>
            <w14:solidFill>
              <w14:schemeClr w14:val="tx1"/>
            </w14:solidFill>
          </w14:textFill>
        </w:rPr>
        <w:t>0</w:t>
      </w:r>
      <w:r>
        <w:rPr>
          <w:rFonts w:hint="eastAsia" w:ascii="Times New Roman" w:hAnsi="Times New Roman" w:eastAsia="仿宋_GB2312" w:cs="Arial"/>
          <w:color w:val="000000" w:themeColor="text1"/>
          <w:sz w:val="30"/>
          <w:szCs w:val="30"/>
          <w:highlight w:val="none"/>
          <w14:textFill>
            <w14:solidFill>
              <w14:schemeClr w14:val="tx1"/>
            </w14:solidFill>
          </w14:textFill>
        </w:rPr>
        <w:t>0止（北京时间）。</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ascii="Times New Roman" w:hAnsi="Times New Roman" w:eastAsia="仿宋_GB2312" w:cs="Arial"/>
          <w:color w:val="000000" w:themeColor="text1"/>
          <w:sz w:val="30"/>
          <w:szCs w:val="30"/>
          <w:highlight w:val="none"/>
          <w14:textFill>
            <w14:solidFill>
              <w14:schemeClr w14:val="tx1"/>
            </w14:solidFill>
          </w14:textFill>
        </w:rPr>
        <w:t>2.</w:t>
      </w:r>
      <w:r>
        <w:rPr>
          <w:rFonts w:hint="eastAsia" w:ascii="Times New Roman" w:hAnsi="Times New Roman" w:eastAsia="仿宋_GB2312" w:cs="Arial"/>
          <w:color w:val="000000" w:themeColor="text1"/>
          <w:sz w:val="30"/>
          <w:szCs w:val="30"/>
          <w:highlight w:val="none"/>
          <w14:textFill>
            <w14:solidFill>
              <w14:schemeClr w14:val="tx1"/>
            </w14:solidFill>
          </w14:textFill>
        </w:rPr>
        <w:t>投标地点（网址）：请登录政采云电子交易客户端投标。</w:t>
      </w:r>
    </w:p>
    <w:p>
      <w:pPr>
        <w:snapToGrid w:val="0"/>
        <w:spacing w:line="440" w:lineRule="exact"/>
        <w:ind w:firstLine="602"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b/>
          <w:bCs/>
          <w:color w:val="000000" w:themeColor="text1"/>
          <w:sz w:val="30"/>
          <w:szCs w:val="30"/>
          <w:highlight w:val="none"/>
          <w14:textFill>
            <w14:solidFill>
              <w14:schemeClr w14:val="tx1"/>
            </w14:solidFill>
          </w14:textFill>
        </w:rPr>
        <w:t>本项目采用电子投标。</w:t>
      </w:r>
      <w:r>
        <w:rPr>
          <w:rFonts w:hint="eastAsia" w:ascii="Times New Roman" w:hAnsi="Times New Roman" w:eastAsia="仿宋_GB2312" w:cs="Arial"/>
          <w:color w:val="000000" w:themeColor="text1"/>
          <w:sz w:val="30"/>
          <w:szCs w:val="30"/>
          <w:highlight w:val="none"/>
          <w14:textFill>
            <w14:solidFill>
              <w14:schemeClr w14:val="tx1"/>
            </w14:solidFill>
          </w14:textFill>
        </w:rPr>
        <w:t>投标文件应按照本项目招标文件和电子交易平台的要求编制、加密，并应当在投标截止时间前通过政采云电子交易平台完成传输递交，投标截止时间后递交的投标文件，将被电子交易平台拒收。</w:t>
      </w:r>
      <w:r>
        <w:rPr>
          <w:rFonts w:hint="eastAsia" w:ascii="Times New Roman" w:hAnsi="Times New Roman" w:eastAsia="仿宋_GB2312" w:cs="Arial"/>
          <w:b/>
          <w:bCs/>
          <w:color w:val="000000" w:themeColor="text1"/>
          <w:sz w:val="30"/>
          <w:szCs w:val="30"/>
          <w:highlight w:val="none"/>
          <w:u w:val="double"/>
          <w14:textFill>
            <w14:solidFill>
              <w14:schemeClr w14:val="tx1"/>
            </w14:solidFill>
          </w14:textFill>
        </w:rPr>
        <w:t>本项目不接收纸质投标文件。</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如有需要，投标人可以选择递交备份投标文件，须采用</w:t>
      </w:r>
      <w:r>
        <w:rPr>
          <w:rFonts w:hint="eastAsia" w:ascii="Times New Roman" w:hAnsi="Times New Roman" w:eastAsia="仿宋_GB2312" w:cs="Arial"/>
          <w:b/>
          <w:bCs/>
          <w:color w:val="000000" w:themeColor="text1"/>
          <w:sz w:val="30"/>
          <w:szCs w:val="30"/>
          <w:highlight w:val="none"/>
          <w:u w:val="double"/>
          <w14:textFill>
            <w14:solidFill>
              <w14:schemeClr w14:val="tx1"/>
            </w14:solidFill>
          </w14:textFill>
        </w:rPr>
        <w:t>不可编辑</w:t>
      </w:r>
      <w:r>
        <w:rPr>
          <w:rFonts w:hint="eastAsia" w:ascii="Times New Roman" w:hAnsi="Times New Roman" w:eastAsia="仿宋_GB2312" w:cs="Arial"/>
          <w:color w:val="000000" w:themeColor="text1"/>
          <w:sz w:val="30"/>
          <w:szCs w:val="30"/>
          <w:highlight w:val="none"/>
          <w14:textFill>
            <w14:solidFill>
              <w14:schemeClr w14:val="tx1"/>
            </w14:solidFill>
          </w14:textFill>
        </w:rPr>
        <w:t>的</w:t>
      </w:r>
      <w:bookmarkStart w:id="9" w:name="_Hlk70415185"/>
      <w:r>
        <w:rPr>
          <w:rFonts w:hint="eastAsia" w:ascii="Times New Roman" w:hAnsi="Times New Roman" w:eastAsia="仿宋_GB2312" w:cs="Arial"/>
          <w:color w:val="000000" w:themeColor="text1"/>
          <w:sz w:val="30"/>
          <w:szCs w:val="30"/>
          <w:highlight w:val="none"/>
          <w14:textFill>
            <w14:solidFill>
              <w14:schemeClr w14:val="tx1"/>
            </w14:solidFill>
          </w14:textFill>
        </w:rPr>
        <w:t>数据电文</w:t>
      </w:r>
      <w:bookmarkEnd w:id="9"/>
      <w:r>
        <w:rPr>
          <w:rFonts w:hint="eastAsia" w:ascii="Times New Roman" w:hAnsi="Times New Roman" w:eastAsia="仿宋_GB2312" w:cs="Arial"/>
          <w:color w:val="000000" w:themeColor="text1"/>
          <w:sz w:val="30"/>
          <w:szCs w:val="30"/>
          <w:highlight w:val="none"/>
          <w14:textFill>
            <w14:solidFill>
              <w14:schemeClr w14:val="tx1"/>
            </w14:solidFill>
          </w14:textFill>
        </w:rPr>
        <w:t>形式，以U盘形式存储，并在投标截止时间前，以邮寄方式送达指定地点，</w:t>
      </w:r>
      <w:r>
        <w:rPr>
          <w:rFonts w:hint="eastAsia" w:ascii="Times New Roman" w:hAnsi="Times New Roman" w:eastAsia="仿宋_GB2312" w:cs="Arial"/>
          <w:b/>
          <w:bCs/>
          <w:color w:val="000000" w:themeColor="text1"/>
          <w:sz w:val="30"/>
          <w:szCs w:val="30"/>
          <w:highlight w:val="none"/>
          <w14:textFill>
            <w14:solidFill>
              <w14:schemeClr w14:val="tx1"/>
            </w14:solidFill>
          </w14:textFill>
        </w:rPr>
        <w:t>逾期送达、到付件或未按照招标文件要求密封的予以拒收</w:t>
      </w:r>
      <w:r>
        <w:rPr>
          <w:rFonts w:hint="eastAsia" w:ascii="Times New Roman" w:hAnsi="Times New Roman" w:eastAsia="仿宋_GB2312" w:cs="Arial"/>
          <w:color w:val="000000" w:themeColor="text1"/>
          <w:sz w:val="30"/>
          <w:szCs w:val="30"/>
          <w:highlight w:val="none"/>
          <w14:textFill>
            <w14:solidFill>
              <w14:schemeClr w14:val="tx1"/>
            </w14:solidFill>
          </w14:textFill>
        </w:rPr>
        <w:t>。</w:t>
      </w:r>
    </w:p>
    <w:p>
      <w:pPr>
        <w:snapToGrid w:val="0"/>
        <w:spacing w:line="440" w:lineRule="exact"/>
        <w:ind w:firstLine="600" w:firstLineChars="200"/>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pPr>
      <w:r>
        <w:rPr>
          <w:rFonts w:hint="eastAsia" w:ascii="Times New Roman" w:hAnsi="Times New Roman" w:eastAsia="仿宋_GB2312" w:cs="Arial"/>
          <w:b w:val="0"/>
          <w:bCs w:val="0"/>
          <w:i w:val="0"/>
          <w:iCs w:val="0"/>
          <w:caps w:val="0"/>
          <w:color w:val="000000" w:themeColor="text1"/>
          <w:spacing w:val="0"/>
          <w:sz w:val="30"/>
          <w:szCs w:val="30"/>
          <w:highlight w:val="none"/>
          <w:shd w:val="clear"/>
          <w:lang w:val="en-US" w:eastAsia="zh-CN"/>
          <w14:textFill>
            <w14:solidFill>
              <w14:schemeClr w14:val="tx1"/>
            </w14:solidFill>
          </w14:textFill>
        </w:rPr>
        <w:t>如有演示要求，</w:t>
      </w:r>
      <w:r>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t>投标人</w:t>
      </w:r>
      <w:r>
        <w:rPr>
          <w:rFonts w:hint="eastAsia" w:ascii="Times New Roman" w:hAnsi="Times New Roman" w:eastAsia="仿宋_GB2312" w:cs="Arial"/>
          <w:b w:val="0"/>
          <w:bCs w:val="0"/>
          <w:i w:val="0"/>
          <w:iCs w:val="0"/>
          <w:caps w:val="0"/>
          <w:color w:val="000000" w:themeColor="text1"/>
          <w:spacing w:val="0"/>
          <w:sz w:val="30"/>
          <w:szCs w:val="30"/>
          <w:highlight w:val="none"/>
          <w:shd w:val="clear"/>
          <w:lang w:val="en-US" w:eastAsia="zh-CN"/>
          <w14:textFill>
            <w14:solidFill>
              <w14:schemeClr w14:val="tx1"/>
            </w14:solidFill>
          </w14:textFill>
        </w:rPr>
        <w:t>须将</w:t>
      </w:r>
      <w:r>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t>演示过程录制成视频存于U盘，U盘需密封并加盖投标人公章，并于开标前寄送至接收人。</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t>若同时递交备份投标文件</w:t>
      </w:r>
      <w:r>
        <w:rPr>
          <w:rFonts w:hint="eastAsia" w:ascii="Times New Roman" w:hAnsi="Times New Roman" w:eastAsia="仿宋_GB2312" w:cs="Arial"/>
          <w:b w:val="0"/>
          <w:bCs w:val="0"/>
          <w:i w:val="0"/>
          <w:iCs w:val="0"/>
          <w:caps w:val="0"/>
          <w:color w:val="000000" w:themeColor="text1"/>
          <w:spacing w:val="0"/>
          <w:sz w:val="30"/>
          <w:szCs w:val="30"/>
          <w:highlight w:val="none"/>
          <w:shd w:val="clear"/>
          <w:lang w:val="en-US" w:eastAsia="zh-CN"/>
          <w14:textFill>
            <w14:solidFill>
              <w14:schemeClr w14:val="tx1"/>
            </w14:solidFill>
          </w14:textFill>
        </w:rPr>
        <w:t>和</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演示文档</w:t>
      </w:r>
      <w:r>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t>的，备份投标文件</w:t>
      </w:r>
      <w:r>
        <w:rPr>
          <w:rFonts w:hint="eastAsia" w:ascii="Times New Roman" w:hAnsi="Times New Roman" w:eastAsia="仿宋_GB2312" w:cs="Arial"/>
          <w:b w:val="0"/>
          <w:bCs w:val="0"/>
          <w:i w:val="0"/>
          <w:iCs w:val="0"/>
          <w:caps w:val="0"/>
          <w:color w:val="000000" w:themeColor="text1"/>
          <w:spacing w:val="0"/>
          <w:sz w:val="30"/>
          <w:szCs w:val="30"/>
          <w:highlight w:val="none"/>
          <w:shd w:val="clear"/>
          <w:lang w:val="en-US" w:eastAsia="zh-CN"/>
          <w14:textFill>
            <w14:solidFill>
              <w14:schemeClr w14:val="tx1"/>
            </w14:solidFill>
          </w14:textFill>
        </w:rPr>
        <w:t>和演示文档可</w:t>
      </w:r>
      <w:r>
        <w:rPr>
          <w:rFonts w:hint="eastAsia" w:ascii="Times New Roman" w:hAnsi="Times New Roman" w:eastAsia="仿宋_GB2312" w:cs="Arial"/>
          <w:b w:val="0"/>
          <w:bCs w:val="0"/>
          <w:i w:val="0"/>
          <w:iCs w:val="0"/>
          <w:caps w:val="0"/>
          <w:color w:val="000000" w:themeColor="text1"/>
          <w:spacing w:val="0"/>
          <w:sz w:val="30"/>
          <w:szCs w:val="30"/>
          <w:highlight w:val="none"/>
          <w:shd w:val="clear"/>
          <w14:textFill>
            <w14:solidFill>
              <w14:schemeClr w14:val="tx1"/>
            </w14:solidFill>
          </w14:textFill>
        </w:rPr>
        <w:t>存放同一U盘并邮寄</w:t>
      </w:r>
      <w:r>
        <w:rPr>
          <w:rFonts w:hint="eastAsia" w:ascii="Times New Roman" w:hAnsi="Times New Roman" w:eastAsia="仿宋_GB2312" w:cs="Arial"/>
          <w:b w:val="0"/>
          <w:bCs w:val="0"/>
          <w:i w:val="0"/>
          <w:iCs w:val="0"/>
          <w:caps w:val="0"/>
          <w:color w:val="000000" w:themeColor="text1"/>
          <w:spacing w:val="0"/>
          <w:sz w:val="30"/>
          <w:szCs w:val="30"/>
          <w:highlight w:val="none"/>
          <w:shd w:val="clear"/>
          <w:lang w:eastAsia="zh-CN"/>
          <w14:textFill>
            <w14:solidFill>
              <w14:schemeClr w14:val="tx1"/>
            </w14:solidFill>
          </w14:textFill>
        </w:rPr>
        <w:t>。</w:t>
      </w:r>
      <w:r>
        <w:rPr>
          <w:rFonts w:hint="eastAsia" w:ascii="Times New Roman" w:hAnsi="Times New Roman" w:eastAsia="仿宋_GB2312" w:cs="Arial"/>
          <w:color w:val="000000" w:themeColor="text1"/>
          <w:sz w:val="30"/>
          <w:szCs w:val="30"/>
          <w:highlight w:val="none"/>
          <w14:textFill>
            <w14:solidFill>
              <w14:schemeClr w14:val="tx1"/>
            </w14:solidFill>
          </w14:textFill>
        </w:rPr>
        <w:t>备份投标文件</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和演示文档</w:t>
      </w:r>
      <w:r>
        <w:rPr>
          <w:rFonts w:hint="eastAsia" w:ascii="Times New Roman" w:hAnsi="Times New Roman" w:eastAsia="仿宋_GB2312" w:cs="Arial"/>
          <w:color w:val="000000" w:themeColor="text1"/>
          <w:sz w:val="30"/>
          <w:szCs w:val="30"/>
          <w:highlight w:val="none"/>
          <w14:textFill>
            <w14:solidFill>
              <w14:schemeClr w14:val="tx1"/>
            </w14:solidFill>
          </w14:textFill>
        </w:rPr>
        <w:t>接收人：雷老师，联系方式：0571-87880802，地址：</w:t>
      </w:r>
      <w:bookmarkStart w:id="10" w:name="_Hlk70411724"/>
      <w:r>
        <w:rPr>
          <w:rFonts w:hint="eastAsia" w:ascii="Times New Roman" w:hAnsi="Times New Roman" w:eastAsia="仿宋_GB2312" w:cs="Arial"/>
          <w:color w:val="000000" w:themeColor="text1"/>
          <w:sz w:val="30"/>
          <w:szCs w:val="30"/>
          <w:highlight w:val="none"/>
          <w14:textFill>
            <w14:solidFill>
              <w14:schemeClr w14:val="tx1"/>
            </w14:solidFill>
          </w14:textFill>
        </w:rPr>
        <w:t>浙江省杭州市西湖区学院路35号浙江教育综合大楼</w:t>
      </w:r>
      <w:bookmarkEnd w:id="10"/>
      <w:r>
        <w:rPr>
          <w:rFonts w:hint="eastAsia" w:ascii="Times New Roman" w:hAnsi="Times New Roman" w:eastAsia="仿宋_GB2312" w:cs="Arial"/>
          <w:color w:val="000000" w:themeColor="text1"/>
          <w:sz w:val="30"/>
          <w:szCs w:val="30"/>
          <w:highlight w:val="none"/>
          <w14:textFill>
            <w14:solidFill>
              <w14:schemeClr w14:val="tx1"/>
            </w14:solidFill>
          </w14:textFill>
        </w:rPr>
        <w:t>1</w:t>
      </w:r>
      <w:r>
        <w:rPr>
          <w:rFonts w:ascii="Times New Roman" w:hAnsi="Times New Roman" w:eastAsia="仿宋_GB2312" w:cs="Arial"/>
          <w:color w:val="000000" w:themeColor="text1"/>
          <w:sz w:val="30"/>
          <w:szCs w:val="30"/>
          <w:highlight w:val="none"/>
          <w14:textFill>
            <w14:solidFill>
              <w14:schemeClr w14:val="tx1"/>
            </w14:solidFill>
          </w14:textFill>
        </w:rPr>
        <w:t>3</w:t>
      </w:r>
      <w:r>
        <w:rPr>
          <w:rFonts w:hint="eastAsia" w:ascii="Times New Roman" w:hAnsi="Times New Roman" w:eastAsia="仿宋_GB2312" w:cs="Arial"/>
          <w:color w:val="000000" w:themeColor="text1"/>
          <w:sz w:val="30"/>
          <w:szCs w:val="30"/>
          <w:highlight w:val="none"/>
          <w14:textFill>
            <w14:solidFill>
              <w14:schemeClr w14:val="tx1"/>
            </w14:solidFill>
          </w14:textFill>
        </w:rPr>
        <w:t>楼</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1304</w:t>
      </w:r>
      <w:r>
        <w:rPr>
          <w:rFonts w:hint="eastAsia" w:ascii="Times New Roman" w:hAnsi="Times New Roman" w:eastAsia="仿宋_GB2312" w:cs="Arial"/>
          <w:color w:val="000000" w:themeColor="text1"/>
          <w:sz w:val="30"/>
          <w:szCs w:val="30"/>
          <w:highlight w:val="none"/>
          <w14:textFill>
            <w14:solidFill>
              <w14:schemeClr w14:val="tx1"/>
            </w14:solidFill>
          </w14:textFill>
        </w:rPr>
        <w:t>室。（收件时间：上午8:30-11:30，下午</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14:00</w:t>
      </w:r>
      <w:r>
        <w:rPr>
          <w:rFonts w:hint="eastAsia" w:ascii="Times New Roman" w:hAnsi="Times New Roman" w:eastAsia="仿宋_GB2312" w:cs="Arial"/>
          <w:color w:val="000000" w:themeColor="text1"/>
          <w:sz w:val="30"/>
          <w:szCs w:val="30"/>
          <w:highlight w:val="none"/>
          <w14:textFill>
            <w14:solidFill>
              <w14:schemeClr w14:val="tx1"/>
            </w14:solidFill>
          </w14:textFill>
        </w:rPr>
        <w:t>-17:</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0</w:t>
      </w:r>
      <w:r>
        <w:rPr>
          <w:rFonts w:hint="eastAsia" w:ascii="Times New Roman" w:hAnsi="Times New Roman" w:eastAsia="仿宋_GB2312" w:cs="Arial"/>
          <w:color w:val="000000" w:themeColor="text1"/>
          <w:sz w:val="30"/>
          <w:szCs w:val="30"/>
          <w:highlight w:val="none"/>
          <w14:textFill>
            <w14:solidFill>
              <w14:schemeClr w14:val="tx1"/>
            </w14:solidFill>
          </w14:textFill>
        </w:rPr>
        <w:t>0，节假日、双休日除外）。</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五、开标时间及地点</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1.开标时间：20</w:t>
      </w:r>
      <w:r>
        <w:rPr>
          <w:rFonts w:ascii="Times New Roman" w:hAnsi="Times New Roman" w:eastAsia="仿宋_GB2312" w:cs="Arial"/>
          <w:color w:val="000000" w:themeColor="text1"/>
          <w:sz w:val="30"/>
          <w:szCs w:val="30"/>
          <w:highlight w:val="none"/>
          <w14:textFill>
            <w14:solidFill>
              <w14:schemeClr w14:val="tx1"/>
            </w14:solidFill>
          </w14:textFill>
        </w:rPr>
        <w:t>24</w:t>
      </w:r>
      <w:r>
        <w:rPr>
          <w:rFonts w:hint="eastAsia" w:ascii="Times New Roman" w:hAnsi="Times New Roman" w:eastAsia="仿宋_GB2312" w:cs="Arial"/>
          <w:color w:val="000000" w:themeColor="text1"/>
          <w:sz w:val="30"/>
          <w:szCs w:val="30"/>
          <w:highlight w:val="none"/>
          <w14:textFill>
            <w14:solidFill>
              <w14:schemeClr w14:val="tx1"/>
            </w14:solidFill>
          </w14:textFill>
        </w:rPr>
        <w:t>年</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9</w:t>
      </w:r>
      <w:r>
        <w:rPr>
          <w:rFonts w:hint="eastAsia" w:ascii="Times New Roman" w:hAnsi="Times New Roman" w:eastAsia="仿宋_GB2312" w:cs="Arial"/>
          <w:color w:val="000000" w:themeColor="text1"/>
          <w:sz w:val="30"/>
          <w:szCs w:val="30"/>
          <w:highlight w:val="none"/>
          <w14:textFill>
            <w14:solidFill>
              <w14:schemeClr w14:val="tx1"/>
            </w14:solidFill>
          </w14:textFill>
        </w:rPr>
        <w:t>月</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13</w:t>
      </w:r>
      <w:r>
        <w:rPr>
          <w:rFonts w:hint="eastAsia" w:ascii="Times New Roman" w:hAnsi="Times New Roman" w:eastAsia="仿宋_GB2312" w:cs="Arial"/>
          <w:color w:val="000000" w:themeColor="text1"/>
          <w:sz w:val="30"/>
          <w:szCs w:val="30"/>
          <w:highlight w:val="none"/>
          <w14:textFill>
            <w14:solidFill>
              <w14:schemeClr w14:val="tx1"/>
            </w14:solidFill>
          </w14:textFill>
        </w:rPr>
        <w:t>日上午</w:t>
      </w:r>
      <w:r>
        <w:rPr>
          <w:rFonts w:ascii="Times New Roman" w:hAnsi="Times New Roman" w:eastAsia="仿宋_GB2312" w:cs="Arial"/>
          <w:color w:val="000000" w:themeColor="text1"/>
          <w:sz w:val="30"/>
          <w:szCs w:val="30"/>
          <w:highlight w:val="none"/>
          <w14:textFill>
            <w14:solidFill>
              <w14:schemeClr w14:val="tx1"/>
            </w14:solidFill>
          </w14:textFill>
        </w:rPr>
        <w:t>9</w:t>
      </w:r>
      <w:r>
        <w:rPr>
          <w:rFonts w:hint="eastAsia" w:ascii="Times New Roman" w:hAnsi="Times New Roman" w:eastAsia="仿宋_GB2312" w:cs="Arial"/>
          <w:color w:val="000000" w:themeColor="text1"/>
          <w:sz w:val="30"/>
          <w:szCs w:val="30"/>
          <w:highlight w:val="none"/>
          <w14:textFill>
            <w14:solidFill>
              <w14:schemeClr w14:val="tx1"/>
            </w14:solidFill>
          </w14:textFill>
        </w:rPr>
        <w:t>:00。</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2.开标地点：浙江省杭州市西湖区学院路35号浙江教育综合大楼</w:t>
      </w:r>
      <w:r>
        <w:rPr>
          <w:rFonts w:ascii="Times New Roman" w:hAnsi="Times New Roman" w:eastAsia="仿宋_GB2312" w:cs="Arial"/>
          <w:color w:val="000000" w:themeColor="text1"/>
          <w:sz w:val="30"/>
          <w:szCs w:val="30"/>
          <w:highlight w:val="none"/>
          <w14:textFill>
            <w14:solidFill>
              <w14:schemeClr w14:val="tx1"/>
            </w14:solidFill>
          </w14:textFill>
        </w:rPr>
        <w:t>14</w:t>
      </w:r>
      <w:r>
        <w:rPr>
          <w:rFonts w:hint="eastAsia" w:ascii="Times New Roman" w:hAnsi="Times New Roman" w:eastAsia="仿宋_GB2312" w:cs="Arial"/>
          <w:color w:val="000000" w:themeColor="text1"/>
          <w:sz w:val="30"/>
          <w:szCs w:val="30"/>
          <w:highlight w:val="none"/>
          <w14:textFill>
            <w14:solidFill>
              <w14:schemeClr w14:val="tx1"/>
            </w14:solidFill>
          </w14:textFill>
        </w:rPr>
        <w:t>楼</w:t>
      </w:r>
      <w:r>
        <w:rPr>
          <w:rFonts w:ascii="Times New Roman" w:hAnsi="Times New Roman" w:eastAsia="仿宋_GB2312" w:cs="Arial"/>
          <w:color w:val="000000" w:themeColor="text1"/>
          <w:sz w:val="30"/>
          <w:szCs w:val="30"/>
          <w:highlight w:val="none"/>
          <w14:textFill>
            <w14:solidFill>
              <w14:schemeClr w14:val="tx1"/>
            </w14:solidFill>
          </w14:textFill>
        </w:rPr>
        <w:t>1408</w:t>
      </w:r>
      <w:r>
        <w:rPr>
          <w:rFonts w:hint="eastAsia" w:ascii="Times New Roman" w:hAnsi="Times New Roman" w:eastAsia="仿宋_GB2312" w:cs="Arial"/>
          <w:color w:val="000000" w:themeColor="text1"/>
          <w:sz w:val="30"/>
          <w:szCs w:val="30"/>
          <w:highlight w:val="none"/>
          <w14:textFill>
            <w14:solidFill>
              <w14:schemeClr w14:val="tx1"/>
            </w14:solidFill>
          </w14:textFill>
        </w:rPr>
        <w:t>室。</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3.项目采用在线开评标，投标人无须派代表到现场出席开标会议。</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六、公告期限</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自本公告发布之日起5个工作日。</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七、其他补充事宜</w:t>
      </w:r>
    </w:p>
    <w:p>
      <w:pPr>
        <w:snapToGrid w:val="0"/>
        <w:spacing w:line="440" w:lineRule="exact"/>
        <w:ind w:firstLine="602" w:firstLineChars="200"/>
        <w:rPr>
          <w:rFonts w:ascii="Times New Roman" w:hAnsi="Times New Roman" w:eastAsia="仿宋_GB2312" w:cs="仿宋_GB2312"/>
          <w:b/>
          <w:color w:val="000000" w:themeColor="text1"/>
          <w:sz w:val="30"/>
          <w:szCs w:val="30"/>
          <w:highlight w:val="none"/>
          <w14:textFill>
            <w14:solidFill>
              <w14:schemeClr w14:val="tx1"/>
            </w14:solidFill>
          </w14:textFill>
        </w:rPr>
      </w:pPr>
      <w:r>
        <w:rPr>
          <w:rFonts w:hint="eastAsia" w:ascii="Times New Roman" w:hAnsi="Times New Roman" w:eastAsia="仿宋_GB2312" w:cs="仿宋_GB2312"/>
          <w:b/>
          <w:color w:val="000000" w:themeColor="text1"/>
          <w:sz w:val="30"/>
          <w:szCs w:val="30"/>
          <w:highlight w:val="none"/>
          <w14:textFill>
            <w14:solidFill>
              <w14:schemeClr w14:val="tx1"/>
            </w14:solidFill>
          </w14:textFill>
        </w:rPr>
        <w:t>《浙江省财政厅关于进一步发挥政府采购政策功能全力推动经济稳进提质的通知》（浙财采监</w:t>
      </w:r>
      <w:r>
        <w:rPr>
          <w:rFonts w:hint="eastAsia" w:ascii="仿宋" w:hAnsi="仿宋" w:eastAsia="仿宋" w:cs="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2022</w:t>
      </w:r>
      <w:r>
        <w:rPr>
          <w:rFonts w:hint="eastAsia" w:ascii="仿宋" w:hAnsi="仿宋" w:eastAsia="仿宋" w:cs="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3号）、《浙江省财政厅关于进一步促进政府采购公平竞争打造最优营商环境的通知》（浙财采监</w:t>
      </w:r>
      <w:bookmarkStart w:id="11" w:name="_Hlk121413947"/>
      <w:r>
        <w:rPr>
          <w:rFonts w:hint="eastAsia" w:ascii="仿宋" w:hAnsi="仿宋" w:eastAsia="仿宋" w:cs="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202</w:t>
      </w:r>
      <w:r>
        <w:rPr>
          <w:rFonts w:ascii="Times New Roman" w:hAnsi="Times New Roman" w:eastAsia="仿宋_GB2312" w:cs="仿宋_GB2312"/>
          <w:b/>
          <w:color w:val="000000" w:themeColor="text1"/>
          <w:sz w:val="30"/>
          <w:szCs w:val="30"/>
          <w:highlight w:val="none"/>
          <w14:textFill>
            <w14:solidFill>
              <w14:schemeClr w14:val="tx1"/>
            </w14:solidFill>
          </w14:textFill>
        </w:rPr>
        <w:t>1</w:t>
      </w:r>
      <w:r>
        <w:rPr>
          <w:rFonts w:hint="eastAsia" w:ascii="仿宋" w:hAnsi="仿宋" w:eastAsia="仿宋" w:cs="仿宋_GB2312"/>
          <w:b/>
          <w:color w:val="000000" w:themeColor="text1"/>
          <w:sz w:val="30"/>
          <w:szCs w:val="30"/>
          <w:highlight w:val="none"/>
          <w14:textFill>
            <w14:solidFill>
              <w14:schemeClr w14:val="tx1"/>
            </w14:solidFill>
          </w14:textFill>
        </w:rPr>
        <w:t>〕</w:t>
      </w:r>
      <w:bookmarkEnd w:id="11"/>
      <w:r>
        <w:rPr>
          <w:rFonts w:hint="eastAsia" w:ascii="Times New Roman" w:hAnsi="Times New Roman" w:eastAsia="仿宋_GB2312" w:cs="仿宋_GB2312"/>
          <w:b/>
          <w:color w:val="000000" w:themeColor="text1"/>
          <w:sz w:val="30"/>
          <w:szCs w:val="30"/>
          <w:highlight w:val="none"/>
          <w14:textFill>
            <w14:solidFill>
              <w14:schemeClr w14:val="tx1"/>
            </w14:solidFill>
          </w14:textFill>
        </w:rPr>
        <w:t>22号）、《浙江省财政厅关于进一步加大政府采购支持中小企业力度助力扎实稳住经济的通知》（浙财采监</w:t>
      </w:r>
      <w:r>
        <w:rPr>
          <w:rFonts w:hint="eastAsia" w:ascii="仿宋" w:hAnsi="仿宋" w:eastAsia="仿宋" w:cs="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2022</w:t>
      </w:r>
      <w:r>
        <w:rPr>
          <w:rFonts w:hint="eastAsia" w:ascii="仿宋" w:hAnsi="仿宋" w:eastAsia="仿宋" w:cs="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8号）已分别于2022年1月29日、2022年2月1日和2022年7月1日开始实施，此前有关规定与上述文件内容不一致的，按上述文件要求执行。</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八、对本次采购提出询问、质疑、投诉，请按以下方式联系</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1.采购人</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名    称：浙江省教育技术中心</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地    址：浙江省杭州市西湖区学院路35号</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传    真：</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0571-87880816</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项目联系人（询问）：</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于渊（标项1）  刘向东（标项2、3）</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项目联系方式（询问）：0571-</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81903020   0571-88887059</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质疑联系人：丁老师</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质疑联系方式：0571-87025953</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2.采购代理机构</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名    称：浙江省教育技术中心</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地    址：浙江省杭州市西湖区学院路35号</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传    真：</w:t>
      </w:r>
      <w:r>
        <w:rPr>
          <w:rFonts w:ascii="Times New Roman" w:hAnsi="Times New Roman" w:eastAsia="仿宋_GB2312" w:cs="Arial"/>
          <w:color w:val="000000" w:themeColor="text1"/>
          <w:sz w:val="30"/>
          <w:szCs w:val="30"/>
          <w:highlight w:val="none"/>
          <w14:textFill>
            <w14:solidFill>
              <w14:schemeClr w14:val="tx1"/>
            </w14:solidFill>
          </w14:textFill>
        </w:rPr>
        <w:t>0571-87880802</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项目联系人（询问）：</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代魏</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项目联系方式（询问）：0571-</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87880819</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质疑联系人：</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雷</w:t>
      </w:r>
      <w:r>
        <w:rPr>
          <w:rFonts w:hint="eastAsia" w:ascii="Times New Roman" w:hAnsi="Times New Roman" w:eastAsia="仿宋_GB2312" w:cs="Arial"/>
          <w:color w:val="000000" w:themeColor="text1"/>
          <w:sz w:val="30"/>
          <w:szCs w:val="30"/>
          <w:highlight w:val="none"/>
          <w14:textFill>
            <w14:solidFill>
              <w14:schemeClr w14:val="tx1"/>
            </w14:solidFill>
          </w14:textFill>
        </w:rPr>
        <w:t>老师</w:t>
      </w:r>
    </w:p>
    <w:p>
      <w:pPr>
        <w:tabs>
          <w:tab w:val="left" w:pos="3015"/>
        </w:tabs>
        <w:snapToGrid w:val="0"/>
        <w:spacing w:line="440" w:lineRule="exact"/>
        <w:ind w:firstLine="600" w:firstLineChars="200"/>
        <w:rPr>
          <w:rFonts w:hint="default" w:ascii="Times New Roman" w:hAnsi="Times New Roman" w:eastAsia="仿宋_GB2312" w:cs="Arial"/>
          <w:color w:val="000000" w:themeColor="text1"/>
          <w:sz w:val="30"/>
          <w:szCs w:val="30"/>
          <w:highlight w:val="none"/>
          <w:lang w:val="en-US" w:eastAsia="zh-CN"/>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质疑联系方式：</w:t>
      </w:r>
      <w:r>
        <w:rPr>
          <w:rFonts w:ascii="Times New Roman" w:hAnsi="Times New Roman" w:eastAsia="仿宋_GB2312" w:cs="Arial"/>
          <w:color w:val="000000" w:themeColor="text1"/>
          <w:sz w:val="30"/>
          <w:szCs w:val="30"/>
          <w:highlight w:val="none"/>
          <w14:textFill>
            <w14:solidFill>
              <w14:schemeClr w14:val="tx1"/>
            </w14:solidFill>
          </w14:textFill>
        </w:rPr>
        <w:t>0571-878808</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02</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ascii="Times New Roman" w:hAnsi="Times New Roman" w:eastAsia="仿宋_GB2312" w:cs="Arial"/>
          <w:color w:val="000000" w:themeColor="text1"/>
          <w:sz w:val="30"/>
          <w:szCs w:val="30"/>
          <w:highlight w:val="none"/>
          <w14:textFill>
            <w14:solidFill>
              <w14:schemeClr w14:val="tx1"/>
            </w14:solidFill>
          </w14:textFill>
        </w:rPr>
        <w:t>3.</w:t>
      </w:r>
      <w:r>
        <w:rPr>
          <w:rFonts w:hint="eastAsia" w:ascii="Times New Roman" w:hAnsi="Times New Roman" w:eastAsia="仿宋_GB2312" w:cs="Arial"/>
          <w:color w:val="000000" w:themeColor="text1"/>
          <w:sz w:val="30"/>
          <w:szCs w:val="30"/>
          <w:highlight w:val="none"/>
          <w14:textFill>
            <w14:solidFill>
              <w14:schemeClr w14:val="tx1"/>
            </w14:solidFill>
          </w14:textFill>
        </w:rPr>
        <w:t>同级政府采购监督管理部门</w:t>
      </w:r>
    </w:p>
    <w:p>
      <w:pPr>
        <w:tabs>
          <w:tab w:val="left" w:pos="3015"/>
        </w:tabs>
        <w:snapToGrid w:val="0"/>
        <w:spacing w:line="440" w:lineRule="exact"/>
        <w:ind w:left="637" w:leftChars="285" w:hanging="39" w:hangingChars="13"/>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名</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 xml:space="preserve">  </w:t>
      </w:r>
      <w:r>
        <w:rPr>
          <w:rFonts w:hint="eastAsia" w:ascii="Times New Roman" w:hAnsi="Times New Roman" w:eastAsia="仿宋_GB2312" w:cs="Arial"/>
          <w:color w:val="000000" w:themeColor="text1"/>
          <w:sz w:val="30"/>
          <w:szCs w:val="30"/>
          <w:highlight w:val="none"/>
          <w14:textFill>
            <w14:solidFill>
              <w14:schemeClr w14:val="tx1"/>
            </w14:solidFill>
          </w14:textFill>
        </w:rPr>
        <w:t>称：浙江省财政厅政府采购监管处、浙江省政府采购行政裁决服务中心（杭州）</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地</w:t>
      </w:r>
      <w:r>
        <w:rPr>
          <w:rFonts w:hint="eastAsia" w:ascii="Times New Roman" w:hAnsi="Times New Roman" w:eastAsia="仿宋_GB2312" w:cs="Arial"/>
          <w:color w:val="000000" w:themeColor="text1"/>
          <w:sz w:val="30"/>
          <w:szCs w:val="30"/>
          <w:highlight w:val="none"/>
          <w:lang w:val="en-US" w:eastAsia="zh-CN"/>
          <w14:textFill>
            <w14:solidFill>
              <w14:schemeClr w14:val="tx1"/>
            </w14:solidFill>
          </w14:textFill>
        </w:rPr>
        <w:t xml:space="preserve">  </w:t>
      </w:r>
      <w:r>
        <w:rPr>
          <w:rFonts w:hint="eastAsia" w:ascii="Times New Roman" w:hAnsi="Times New Roman" w:eastAsia="仿宋_GB2312" w:cs="Arial"/>
          <w:color w:val="000000" w:themeColor="text1"/>
          <w:sz w:val="30"/>
          <w:szCs w:val="30"/>
          <w:highlight w:val="none"/>
          <w14:textFill>
            <w14:solidFill>
              <w14:schemeClr w14:val="tx1"/>
            </w14:solidFill>
          </w14:textFill>
        </w:rPr>
        <w:t>址：杭州市上城区四季青街道新业路市民之家G03办公室</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联系人：朱女士、王女士</w:t>
      </w:r>
    </w:p>
    <w:p>
      <w:pPr>
        <w:tabs>
          <w:tab w:val="left" w:pos="3015"/>
        </w:tabs>
        <w:snapToGrid w:val="0"/>
        <w:spacing w:line="440" w:lineRule="exact"/>
        <w:ind w:firstLine="600" w:firstLineChars="200"/>
        <w:rPr>
          <w:rFonts w:hint="eastAsia"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监督投诉电话：0571-85252453</w:t>
      </w:r>
    </w:p>
    <w:p>
      <w:pPr>
        <w:tabs>
          <w:tab w:val="left" w:pos="3015"/>
        </w:tabs>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政策咨询：何一平、冯华，</w:t>
      </w:r>
      <w:r>
        <w:rPr>
          <w:rFonts w:ascii="Times New Roman" w:hAnsi="Times New Roman" w:eastAsia="仿宋_GB2312" w:cs="Arial"/>
          <w:color w:val="000000" w:themeColor="text1"/>
          <w:sz w:val="30"/>
          <w:szCs w:val="30"/>
          <w:highlight w:val="none"/>
          <w14:textFill>
            <w14:solidFill>
              <w14:schemeClr w14:val="tx1"/>
            </w14:solidFill>
          </w14:textFill>
        </w:rPr>
        <w:t>0571-87058424</w:t>
      </w:r>
      <w:r>
        <w:rPr>
          <w:rFonts w:hint="eastAsia" w:ascii="Times New Roman" w:hAnsi="Times New Roman" w:eastAsia="仿宋_GB2312" w:cs="Arial"/>
          <w:color w:val="000000" w:themeColor="text1"/>
          <w:sz w:val="30"/>
          <w:szCs w:val="30"/>
          <w:highlight w:val="none"/>
          <w14:textFill>
            <w14:solidFill>
              <w14:schemeClr w14:val="tx1"/>
            </w14:solidFill>
          </w14:textFill>
        </w:rPr>
        <w:t>、</w:t>
      </w:r>
      <w:r>
        <w:rPr>
          <w:rFonts w:ascii="Times New Roman" w:hAnsi="Times New Roman" w:eastAsia="仿宋_GB2312" w:cs="Arial"/>
          <w:color w:val="000000" w:themeColor="text1"/>
          <w:sz w:val="30"/>
          <w:szCs w:val="30"/>
          <w:highlight w:val="none"/>
          <w14:textFill>
            <w14:solidFill>
              <w14:schemeClr w14:val="tx1"/>
            </w14:solidFill>
          </w14:textFill>
        </w:rPr>
        <w:t>87055741</w:t>
      </w:r>
    </w:p>
    <w:p>
      <w:pPr>
        <w:snapToGrid w:val="0"/>
        <w:spacing w:line="440" w:lineRule="exact"/>
        <w:ind w:firstLine="600" w:firstLineChars="200"/>
        <w:rPr>
          <w:rFonts w:ascii="黑体" w:hAnsi="黑体" w:eastAsia="黑体" w:cs="Arial"/>
          <w:color w:val="000000" w:themeColor="text1"/>
          <w:sz w:val="30"/>
          <w:szCs w:val="30"/>
          <w:highlight w:val="none"/>
          <w14:textFill>
            <w14:solidFill>
              <w14:schemeClr w14:val="tx1"/>
            </w14:solidFill>
          </w14:textFill>
        </w:rPr>
      </w:pPr>
      <w:r>
        <w:rPr>
          <w:rFonts w:hint="eastAsia" w:ascii="黑体" w:hAnsi="黑体" w:eastAsia="黑体" w:cs="Arial"/>
          <w:color w:val="000000" w:themeColor="text1"/>
          <w:sz w:val="30"/>
          <w:szCs w:val="30"/>
          <w:highlight w:val="none"/>
          <w14:textFill>
            <w14:solidFill>
              <w14:schemeClr w14:val="tx1"/>
            </w14:solidFill>
          </w14:textFill>
        </w:rPr>
        <w:t>九、电子交易平台网络地址和登录方法</w:t>
      </w:r>
    </w:p>
    <w:p>
      <w:pPr>
        <w:snapToGrid w:val="0"/>
        <w:spacing w:line="440" w:lineRule="exact"/>
        <w:ind w:firstLine="600" w:firstLineChars="200"/>
        <w:rPr>
          <w:rFonts w:ascii="Times New Roman" w:hAnsi="Times New Roman" w:eastAsia="仿宋_GB2312" w:cs="仿宋_GB2312"/>
          <w:bCs/>
          <w:color w:val="000000" w:themeColor="text1"/>
          <w:sz w:val="30"/>
          <w:szCs w:val="30"/>
          <w:highlight w:val="none"/>
          <w14:textFill>
            <w14:solidFill>
              <w14:schemeClr w14:val="tx1"/>
            </w14:solidFill>
          </w14:textFill>
        </w:rPr>
      </w:pPr>
      <w:r>
        <w:rPr>
          <w:rFonts w:hint="eastAsia" w:ascii="Times New Roman" w:hAnsi="Times New Roman" w:eastAsia="仿宋_GB2312" w:cs="仿宋_GB2312"/>
          <w:bCs/>
          <w:color w:val="000000" w:themeColor="text1"/>
          <w:sz w:val="30"/>
          <w:szCs w:val="30"/>
          <w:highlight w:val="none"/>
          <w14:textFill>
            <w14:solidFill>
              <w14:schemeClr w14:val="tx1"/>
            </w14:solidFill>
          </w14:textFill>
        </w:rPr>
        <w:t>（一）网络地址：浙江政府采购网（</w:t>
      </w:r>
      <w:bookmarkStart w:id="12" w:name="_Hlk84584723"/>
      <w:r>
        <w:rPr>
          <w:color w:val="000000" w:themeColor="text1"/>
          <w:highlight w:val="none"/>
          <w14:textFill>
            <w14:solidFill>
              <w14:schemeClr w14:val="tx1"/>
            </w14:solidFill>
          </w14:textFill>
        </w:rPr>
        <w:fldChar w:fldCharType="begin"/>
      </w:r>
      <w:r>
        <w:rPr>
          <w:bCs/>
          <w:color w:val="000000" w:themeColor="text1"/>
          <w:highlight w:val="none"/>
          <w14:textFill>
            <w14:solidFill>
              <w14:schemeClr w14:val="tx1"/>
            </w14:solidFill>
          </w14:textFill>
        </w:rPr>
        <w:instrText xml:space="preserve"> HYPERLINK "http://zfcg.czt.zj.gov.cn/" </w:instrText>
      </w:r>
      <w:r>
        <w:rPr>
          <w:color w:val="000000" w:themeColor="text1"/>
          <w:highlight w:val="none"/>
          <w14:textFill>
            <w14:solidFill>
              <w14:schemeClr w14:val="tx1"/>
            </w14:solidFill>
          </w14:textFill>
        </w:rPr>
        <w:fldChar w:fldCharType="separate"/>
      </w:r>
      <w:r>
        <w:rPr>
          <w:rStyle w:val="41"/>
          <w:rFonts w:hint="eastAsia" w:ascii="Times New Roman" w:hAnsi="Times New Roman" w:eastAsia="仿宋_GB2312" w:cs="仿宋_GB2312"/>
          <w:bCs/>
          <w:color w:val="000000" w:themeColor="text1"/>
          <w:sz w:val="30"/>
          <w:szCs w:val="30"/>
          <w:highlight w:val="none"/>
          <w14:textFill>
            <w14:solidFill>
              <w14:schemeClr w14:val="tx1"/>
            </w14:solidFill>
          </w14:textFill>
        </w:rPr>
        <w:t>http://zfcg.czt.zj.gov.cn/</w:t>
      </w:r>
      <w:r>
        <w:rPr>
          <w:rStyle w:val="44"/>
          <w:rFonts w:ascii="Times New Roman" w:hAnsi="Times New Roman" w:eastAsia="仿宋_GB2312" w:cs="仿宋_GB2312"/>
          <w:bCs/>
          <w:color w:val="000000" w:themeColor="text1"/>
          <w:sz w:val="30"/>
          <w:szCs w:val="30"/>
          <w:highlight w:val="none"/>
          <w14:textFill>
            <w14:solidFill>
              <w14:schemeClr w14:val="tx1"/>
            </w14:solidFill>
          </w14:textFill>
        </w:rPr>
        <w:fldChar w:fldCharType="end"/>
      </w:r>
      <w:bookmarkEnd w:id="12"/>
      <w:r>
        <w:rPr>
          <w:rFonts w:hint="eastAsia" w:ascii="Times New Roman" w:hAnsi="Times New Roman" w:eastAsia="仿宋_GB2312" w:cs="仿宋_GB2312"/>
          <w:bCs/>
          <w:color w:val="000000" w:themeColor="text1"/>
          <w:sz w:val="30"/>
          <w:szCs w:val="30"/>
          <w:highlight w:val="none"/>
          <w14:textFill>
            <w14:solidFill>
              <w14:schemeClr w14:val="tx1"/>
            </w14:solidFill>
          </w14:textFill>
        </w:rPr>
        <w:t>）。</w:t>
      </w:r>
    </w:p>
    <w:p>
      <w:pPr>
        <w:snapToGrid w:val="0"/>
        <w:spacing w:line="440" w:lineRule="exact"/>
        <w:ind w:firstLine="600" w:firstLineChars="200"/>
        <w:rPr>
          <w:rFonts w:ascii="Times New Roman" w:hAnsi="Times New Roman" w:eastAsia="仿宋_GB2312" w:cs="仿宋_GB2312"/>
          <w:bCs/>
          <w:color w:val="000000" w:themeColor="text1"/>
          <w:sz w:val="30"/>
          <w:szCs w:val="30"/>
          <w:highlight w:val="none"/>
          <w14:textFill>
            <w14:solidFill>
              <w14:schemeClr w14:val="tx1"/>
            </w14:solidFill>
          </w14:textFill>
        </w:rPr>
      </w:pPr>
      <w:r>
        <w:rPr>
          <w:rFonts w:hint="eastAsia" w:ascii="Times New Roman" w:hAnsi="Times New Roman" w:eastAsia="仿宋_GB2312" w:cs="仿宋_GB2312"/>
          <w:bCs/>
          <w:color w:val="000000" w:themeColor="text1"/>
          <w:sz w:val="30"/>
          <w:szCs w:val="30"/>
          <w:highlight w:val="none"/>
          <w14:textFill>
            <w14:solidFill>
              <w14:schemeClr w14:val="tx1"/>
            </w14:solidFill>
          </w14:textFill>
        </w:rPr>
        <w:t>（二）登录方法：供应商须先完成供应商注册并申请CA（CA管理学习专题：</w:t>
      </w:r>
      <w:r>
        <w:rPr>
          <w:rFonts w:ascii="Times New Roman" w:hAnsi="Times New Roman" w:eastAsia="仿宋_GB2312" w:cs="仿宋_GB2312"/>
          <w:bCs/>
          <w:color w:val="000000" w:themeColor="text1"/>
          <w:sz w:val="30"/>
          <w:szCs w:val="30"/>
          <w:highlight w:val="none"/>
          <w14:textFill>
            <w14:solidFill>
              <w14:schemeClr w14:val="tx1"/>
            </w14:solidFill>
          </w14:textFill>
        </w:rPr>
        <w:fldChar w:fldCharType="begin"/>
      </w:r>
      <w:r>
        <w:rPr>
          <w:rFonts w:ascii="Times New Roman" w:hAnsi="Times New Roman" w:eastAsia="仿宋_GB2312" w:cs="仿宋_GB2312"/>
          <w:bCs/>
          <w:color w:val="000000" w:themeColor="text1"/>
          <w:sz w:val="30"/>
          <w:szCs w:val="30"/>
          <w:highlight w:val="none"/>
          <w14:textFill>
            <w14:solidFill>
              <w14:schemeClr w14:val="tx1"/>
            </w14:solidFill>
          </w14:textFill>
        </w:rPr>
        <w:instrText xml:space="preserve"> HYPERLINK "https://edu.zcygov.cn/luban/ca" </w:instrText>
      </w:r>
      <w:r>
        <w:rPr>
          <w:rFonts w:ascii="Times New Roman" w:hAnsi="Times New Roman" w:eastAsia="仿宋_GB2312" w:cs="仿宋_GB2312"/>
          <w:bCs/>
          <w:color w:val="000000" w:themeColor="text1"/>
          <w:sz w:val="30"/>
          <w:szCs w:val="30"/>
          <w:highlight w:val="none"/>
          <w14:textFill>
            <w14:solidFill>
              <w14:schemeClr w14:val="tx1"/>
            </w14:solidFill>
          </w14:textFill>
        </w:rPr>
        <w:fldChar w:fldCharType="separate"/>
      </w:r>
      <w:r>
        <w:rPr>
          <w:rStyle w:val="41"/>
          <w:rFonts w:ascii="Times New Roman" w:hAnsi="Times New Roman" w:eastAsia="仿宋_GB2312" w:cs="仿宋_GB2312"/>
          <w:bCs/>
          <w:color w:val="000000" w:themeColor="text1"/>
          <w:sz w:val="30"/>
          <w:szCs w:val="30"/>
          <w:highlight w:val="none"/>
          <w14:textFill>
            <w14:solidFill>
              <w14:schemeClr w14:val="tx1"/>
            </w14:solidFill>
          </w14:textFill>
        </w:rPr>
        <w:t>https://edu.zcygov.cn/luban/ca</w:t>
      </w:r>
      <w:r>
        <w:rPr>
          <w:rFonts w:ascii="Times New Roman" w:hAnsi="Times New Roman" w:eastAsia="仿宋_GB2312" w:cs="仿宋_GB2312"/>
          <w:bCs/>
          <w:color w:val="000000" w:themeColor="text1"/>
          <w:sz w:val="30"/>
          <w:szCs w:val="30"/>
          <w:highlight w:val="none"/>
          <w14:textFill>
            <w14:solidFill>
              <w14:schemeClr w14:val="tx1"/>
            </w14:solidFill>
          </w14:textFill>
        </w:rPr>
        <w:fldChar w:fldCharType="end"/>
      </w:r>
      <w:r>
        <w:rPr>
          <w:rFonts w:hint="eastAsia" w:ascii="Times New Roman" w:hAnsi="Times New Roman" w:eastAsia="仿宋_GB2312" w:cs="仿宋_GB2312"/>
          <w:bCs/>
          <w:color w:val="000000" w:themeColor="text1"/>
          <w:sz w:val="30"/>
          <w:szCs w:val="30"/>
          <w:highlight w:val="none"/>
          <w:lang w:val="en-US" w:eastAsia="zh-CN"/>
          <w14:textFill>
            <w14:solidFill>
              <w14:schemeClr w14:val="tx1"/>
            </w14:solidFill>
          </w14:textFill>
        </w:rPr>
        <w:t xml:space="preserve"> </w:t>
      </w:r>
      <w:r>
        <w:rPr>
          <w:rFonts w:hint="eastAsia" w:ascii="Times New Roman" w:hAnsi="Times New Roman" w:eastAsia="仿宋_GB2312" w:cs="仿宋_GB2312"/>
          <w:bCs/>
          <w:color w:val="000000" w:themeColor="text1"/>
          <w:sz w:val="30"/>
          <w:szCs w:val="30"/>
          <w:highlight w:val="none"/>
          <w14:textFill>
            <w14:solidFill>
              <w14:schemeClr w14:val="tx1"/>
            </w14:solidFill>
          </w14:textFill>
        </w:rPr>
        <w:t xml:space="preserve">），再下载客户端编制、加密电子响应文件，最后应在浙江政府采购网政采云用户登录窗口登录，完成电子响应文件传输递交（具体详见“第二章 </w:t>
      </w:r>
      <w:r>
        <w:rPr>
          <w:rFonts w:hint="eastAsia" w:ascii="Times New Roman" w:hAnsi="Times New Roman" w:eastAsia="仿宋_GB2312" w:cs="仿宋_GB2312"/>
          <w:bCs/>
          <w:color w:val="000000" w:themeColor="text1"/>
          <w:sz w:val="30"/>
          <w:szCs w:val="30"/>
          <w:highlight w:val="none"/>
          <w:lang w:val="en-US" w:eastAsia="zh-CN"/>
          <w14:textFill>
            <w14:solidFill>
              <w14:schemeClr w14:val="tx1"/>
            </w14:solidFill>
          </w14:textFill>
        </w:rPr>
        <w:t>投标人</w:t>
      </w:r>
      <w:r>
        <w:rPr>
          <w:rFonts w:hint="eastAsia" w:ascii="Times New Roman" w:hAnsi="Times New Roman" w:eastAsia="仿宋_GB2312" w:cs="仿宋_GB2312"/>
          <w:bCs/>
          <w:color w:val="000000" w:themeColor="text1"/>
          <w:sz w:val="30"/>
          <w:szCs w:val="30"/>
          <w:highlight w:val="none"/>
          <w14:textFill>
            <w14:solidFill>
              <w14:schemeClr w14:val="tx1"/>
            </w14:solidFill>
          </w14:textFill>
        </w:rPr>
        <w:t>须知”）。</w:t>
      </w:r>
    </w:p>
    <w:p>
      <w:pPr>
        <w:wordWrap w:val="0"/>
        <w:snapToGrid w:val="0"/>
        <w:spacing w:line="440" w:lineRule="exact"/>
        <w:ind w:firstLine="602" w:firstLineChars="200"/>
        <w:rPr>
          <w:rFonts w:ascii="Times New Roman" w:hAnsi="Times New Roman" w:eastAsia="仿宋_GB2312" w:cs="Arial"/>
          <w:b/>
          <w:color w:val="000000" w:themeColor="text1"/>
          <w:sz w:val="30"/>
          <w:szCs w:val="30"/>
          <w:highlight w:val="none"/>
          <w14:textFill>
            <w14:solidFill>
              <w14:schemeClr w14:val="tx1"/>
            </w14:solidFill>
          </w14:textFill>
        </w:rPr>
      </w:pPr>
      <w:r>
        <w:rPr>
          <w:rFonts w:hint="eastAsia" w:ascii="Times New Roman" w:hAnsi="Times New Roman" w:eastAsia="仿宋_GB2312" w:cs="仿宋_GB2312"/>
          <w:b/>
          <w:color w:val="000000" w:themeColor="text1"/>
          <w:sz w:val="30"/>
          <w:szCs w:val="30"/>
          <w:highlight w:val="none"/>
          <w14:textFill>
            <w14:solidFill>
              <w14:schemeClr w14:val="tx1"/>
            </w14:solidFill>
          </w14:textFill>
        </w:rPr>
        <w:t>（三）特别提示：本项目采用在线开评标，供应商可进入电子卖场服务中心采云学院（</w:t>
      </w:r>
      <w:r>
        <w:rPr>
          <w:rFonts w:ascii="Times New Roman" w:hAnsi="Times New Roman" w:eastAsia="仿宋_GB2312" w:cs="仿宋_GB2312"/>
          <w:b/>
          <w:color w:val="000000" w:themeColor="text1"/>
          <w:sz w:val="30"/>
          <w:szCs w:val="30"/>
          <w:highlight w:val="none"/>
          <w14:textFill>
            <w14:solidFill>
              <w14:schemeClr w14:val="tx1"/>
            </w14:solidFill>
          </w14:textFill>
        </w:rPr>
        <w:t>https://e-learning.zcygov.cn/</w:t>
      </w:r>
      <w:r>
        <w:rPr>
          <w:rFonts w:hint="eastAsia" w:ascii="Times New Roman" w:hAnsi="Times New Roman" w:eastAsia="仿宋_GB2312" w:cs="仿宋_GB2312"/>
          <w:b/>
          <w:color w:val="000000" w:themeColor="text1"/>
          <w:sz w:val="30"/>
          <w:szCs w:val="30"/>
          <w:highlight w:val="none"/>
          <w14:textFill>
            <w14:solidFill>
              <w14:schemeClr w14:val="tx1"/>
            </w14:solidFill>
          </w14:textFill>
        </w:rPr>
        <w:t>）自行提前学习。</w:t>
      </w:r>
    </w:p>
    <w:p>
      <w:pPr>
        <w:tabs>
          <w:tab w:val="left" w:pos="3015"/>
        </w:tabs>
        <w:snapToGrid w:val="0"/>
        <w:spacing w:line="440" w:lineRule="exact"/>
        <w:ind w:firstLine="600" w:firstLineChars="200"/>
        <w:rPr>
          <w:rFonts w:ascii="Times New Roman" w:hAnsi="Times New Roman" w:eastAsia="仿宋_GB2312" w:cs="Arial"/>
          <w:bCs/>
          <w:color w:val="000000" w:themeColor="text1"/>
          <w:sz w:val="30"/>
          <w:szCs w:val="30"/>
          <w:highlight w:val="none"/>
          <w14:textFill>
            <w14:solidFill>
              <w14:schemeClr w14:val="tx1"/>
            </w14:solidFill>
          </w14:textFill>
        </w:rPr>
      </w:pPr>
      <w:r>
        <w:rPr>
          <w:rFonts w:hint="eastAsia" w:ascii="Times New Roman" w:hAnsi="Times New Roman" w:eastAsia="仿宋_GB2312" w:cs="Arial"/>
          <w:bCs/>
          <w:color w:val="000000" w:themeColor="text1"/>
          <w:sz w:val="30"/>
          <w:szCs w:val="30"/>
          <w:highlight w:val="none"/>
          <w14:textFill>
            <w14:solidFill>
              <w14:schemeClr w14:val="tx1"/>
            </w14:solidFill>
          </w14:textFill>
        </w:rPr>
        <w:t>（四）网站系统问题（注册、账号、系统操作等）咨询电话：400-881-7190</w:t>
      </w:r>
    </w:p>
    <w:p>
      <w:pPr>
        <w:spacing w:line="440" w:lineRule="exact"/>
        <w:ind w:firstLine="600" w:firstLineChars="200"/>
        <w:rPr>
          <w:rFonts w:ascii="Times New Roman" w:hAnsi="Times New Roman" w:eastAsia="仿宋_GB2312" w:cs="Arial"/>
          <w:bCs/>
          <w:color w:val="000000" w:themeColor="text1"/>
          <w:sz w:val="30"/>
          <w:szCs w:val="30"/>
          <w:highlight w:val="none"/>
          <w14:textFill>
            <w14:solidFill>
              <w14:schemeClr w14:val="tx1"/>
            </w14:solidFill>
          </w14:textFill>
        </w:rPr>
      </w:pPr>
      <w:r>
        <w:rPr>
          <w:rFonts w:hint="eastAsia" w:ascii="Times New Roman" w:hAnsi="Times New Roman" w:eastAsia="仿宋_GB2312" w:cs="Arial"/>
          <w:bCs/>
          <w:color w:val="000000" w:themeColor="text1"/>
          <w:sz w:val="30"/>
          <w:szCs w:val="30"/>
          <w:highlight w:val="none"/>
          <w14:textFill>
            <w14:solidFill>
              <w14:schemeClr w14:val="tx1"/>
            </w14:solidFill>
          </w14:textFill>
        </w:rPr>
        <w:t>（五）CA问题联系电话（人工）：汇信CA 400-888-4636；天谷CA 400-087-8198。</w:t>
      </w: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p>
    <w:p>
      <w:pPr>
        <w:snapToGrid w:val="0"/>
        <w:spacing w:line="440" w:lineRule="exact"/>
        <w:ind w:firstLine="600" w:firstLineChars="200"/>
        <w:rPr>
          <w:rFonts w:ascii="Times New Roman" w:hAnsi="Times New Roman" w:eastAsia="仿宋_GB2312" w:cs="Arial"/>
          <w:color w:val="000000" w:themeColor="text1"/>
          <w:sz w:val="30"/>
          <w:szCs w:val="30"/>
          <w:highlight w:val="none"/>
          <w14:textFill>
            <w14:solidFill>
              <w14:schemeClr w14:val="tx1"/>
            </w14:solidFill>
          </w14:textFill>
        </w:rPr>
      </w:pPr>
    </w:p>
    <w:p>
      <w:pPr>
        <w:snapToGrid w:val="0"/>
        <w:spacing w:line="440" w:lineRule="exact"/>
        <w:ind w:firstLine="5160" w:firstLineChars="172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s="Arial"/>
          <w:color w:val="000000" w:themeColor="text1"/>
          <w:sz w:val="30"/>
          <w:szCs w:val="30"/>
          <w:highlight w:val="none"/>
          <w14:textFill>
            <w14:solidFill>
              <w14:schemeClr w14:val="tx1"/>
            </w14:solidFill>
          </w14:textFill>
        </w:rPr>
        <w:t>浙江省教育技术中心</w:t>
      </w:r>
    </w:p>
    <w:p>
      <w:pPr>
        <w:pageBreakBefore w:val="0"/>
        <w:snapToGrid w:val="0"/>
        <w:spacing w:line="440" w:lineRule="exact"/>
        <w:ind w:firstLine="5400" w:firstLineChars="1800"/>
        <w:jc w:val="left"/>
        <w:outlineLvl w:val="9"/>
        <w:rPr>
          <w:rFonts w:hint="eastAsia" w:ascii="Times New Roman" w:hAnsi="Times New Roman" w:eastAsia="仿宋_GB2312"/>
          <w:color w:val="000000" w:themeColor="text1"/>
          <w:sz w:val="30"/>
          <w:szCs w:val="30"/>
          <w:highlight w:val="none"/>
          <w:lang w:eastAsia="zh-CN"/>
          <w14:textFill>
            <w14:solidFill>
              <w14:schemeClr w14:val="tx1"/>
            </w14:solidFill>
          </w14:textFill>
        </w:rPr>
      </w:pPr>
      <w:bookmarkStart w:id="13" w:name="_Toc15177"/>
      <w:bookmarkStart w:id="14" w:name="_Toc15689"/>
      <w:bookmarkStart w:id="15" w:name="_Toc109755337"/>
      <w:r>
        <w:rPr>
          <w:rFonts w:hint="eastAsia" w:ascii="Times New Roman" w:hAnsi="Times New Roman" w:eastAsia="仿宋_GB2312"/>
          <w:color w:val="000000" w:themeColor="text1"/>
          <w:sz w:val="30"/>
          <w:szCs w:val="30"/>
          <w:highlight w:val="none"/>
          <w:lang w:eastAsia="zh-CN"/>
          <w14:textFill>
            <w14:solidFill>
              <w14:schemeClr w14:val="tx1"/>
            </w14:solidFill>
          </w14:textFill>
        </w:rPr>
        <w:t>2024年</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8</w:t>
      </w:r>
      <w:r>
        <w:rPr>
          <w:rFonts w:hint="eastAsia" w:ascii="Times New Roman" w:hAnsi="Times New Roman" w:eastAsia="仿宋_GB2312"/>
          <w:color w:val="000000" w:themeColor="text1"/>
          <w:sz w:val="30"/>
          <w:szCs w:val="30"/>
          <w:highlight w:val="none"/>
          <w:lang w:eastAsia="zh-CN"/>
          <w14:textFill>
            <w14:solidFill>
              <w14:schemeClr w14:val="tx1"/>
            </w14:solidFill>
          </w14:textFill>
        </w:rPr>
        <w:t>月</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23</w:t>
      </w:r>
      <w:r>
        <w:rPr>
          <w:rFonts w:hint="eastAsia" w:ascii="Times New Roman" w:hAnsi="Times New Roman" w:eastAsia="仿宋_GB2312"/>
          <w:color w:val="000000" w:themeColor="text1"/>
          <w:sz w:val="30"/>
          <w:szCs w:val="30"/>
          <w:highlight w:val="none"/>
          <w:lang w:eastAsia="zh-CN"/>
          <w14:textFill>
            <w14:solidFill>
              <w14:schemeClr w14:val="tx1"/>
            </w14:solidFill>
          </w14:textFill>
        </w:rPr>
        <w:t>日</w:t>
      </w:r>
      <w:bookmarkStart w:id="16" w:name="_Toc9030"/>
    </w:p>
    <w:p>
      <w:pPr>
        <w:pageBreakBefore w:val="0"/>
        <w:snapToGrid/>
        <w:spacing w:line="240" w:lineRule="auto"/>
        <w:jc w:val="left"/>
        <w:outlineLvl w:val="9"/>
        <w:rPr>
          <w:rFonts w:hint="eastAsia" w:ascii="Times New Roman" w:hAnsi="Times New Roman" w:eastAsia="仿宋_GB2312"/>
          <w:color w:val="000000" w:themeColor="text1"/>
          <w:sz w:val="30"/>
          <w:szCs w:val="30"/>
          <w:highlight w:val="none"/>
          <w:lang w:eastAsia="zh-CN"/>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br w:type="page"/>
      </w:r>
    </w:p>
    <w:p>
      <w:pPr>
        <w:pageBreakBefore w:val="0"/>
        <w:numPr>
          <w:ilvl w:val="-1"/>
          <w:numId w:val="0"/>
        </w:numPr>
        <w:snapToGrid w:val="0"/>
        <w:spacing w:line="440" w:lineRule="exact"/>
        <w:ind w:firstLine="0" w:firstLineChars="0"/>
        <w:jc w:val="center"/>
        <w:outlineLvl w:val="0"/>
        <w:rPr>
          <w:rFonts w:hint="eastAsia" w:ascii="仿宋_GB2312" w:hAnsi="仿宋" w:eastAsia="仿宋_GB2312"/>
          <w:b/>
          <w:color w:val="000000" w:themeColor="text1"/>
          <w:kern w:val="0"/>
          <w:sz w:val="36"/>
          <w:szCs w:val="36"/>
          <w:highlight w:val="none"/>
          <w14:textFill>
            <w14:solidFill>
              <w14:schemeClr w14:val="tx1"/>
            </w14:solidFill>
          </w14:textFill>
        </w:rPr>
      </w:pPr>
      <w:r>
        <w:rPr>
          <w:rFonts w:hint="eastAsia" w:ascii="仿宋_GB2312" w:hAnsi="仿宋" w:eastAsia="仿宋_GB2312"/>
          <w:b/>
          <w:color w:val="000000" w:themeColor="text1"/>
          <w:kern w:val="0"/>
          <w:sz w:val="36"/>
          <w:szCs w:val="36"/>
          <w:highlight w:val="none"/>
          <w:lang w:val="en-US" w:eastAsia="zh-CN"/>
          <w14:textFill>
            <w14:solidFill>
              <w14:schemeClr w14:val="tx1"/>
            </w14:solidFill>
          </w14:textFill>
        </w:rPr>
        <w:t xml:space="preserve">第二章 </w:t>
      </w:r>
      <w:r>
        <w:rPr>
          <w:rFonts w:hint="eastAsia" w:ascii="仿宋_GB2312" w:hAnsi="仿宋" w:eastAsia="仿宋_GB2312"/>
          <w:b/>
          <w:color w:val="000000" w:themeColor="text1"/>
          <w:kern w:val="0"/>
          <w:sz w:val="36"/>
          <w:szCs w:val="36"/>
          <w:highlight w:val="none"/>
          <w14:textFill>
            <w14:solidFill>
              <w14:schemeClr w14:val="tx1"/>
            </w14:solidFill>
          </w14:textFill>
        </w:rPr>
        <w:t>投标人须知</w:t>
      </w:r>
      <w:bookmarkEnd w:id="6"/>
      <w:bookmarkEnd w:id="13"/>
      <w:bookmarkEnd w:id="14"/>
      <w:bookmarkEnd w:id="15"/>
      <w:bookmarkEnd w:id="16"/>
    </w:p>
    <w:p>
      <w:pPr>
        <w:pageBreakBefore w:val="0"/>
        <w:numPr>
          <w:ilvl w:val="-1"/>
          <w:numId w:val="0"/>
        </w:numPr>
        <w:snapToGrid w:val="0"/>
        <w:spacing w:line="440" w:lineRule="exact"/>
        <w:ind w:firstLine="0" w:firstLineChars="0"/>
        <w:jc w:val="both"/>
        <w:outlineLvl w:val="9"/>
        <w:rPr>
          <w:rFonts w:hint="eastAsia" w:ascii="仿宋_GB2312" w:hAnsi="仿宋" w:eastAsia="仿宋_GB2312"/>
          <w:b/>
          <w:color w:val="000000" w:themeColor="text1"/>
          <w:kern w:val="0"/>
          <w:sz w:val="36"/>
          <w:szCs w:val="36"/>
          <w:highlight w:val="none"/>
          <w14:textFill>
            <w14:solidFill>
              <w14:schemeClr w14:val="tx1"/>
            </w14:solidFill>
          </w14:textFill>
        </w:rPr>
      </w:pPr>
    </w:p>
    <w:p>
      <w:pPr>
        <w:snapToGrid w:val="0"/>
        <w:spacing w:line="360" w:lineRule="exact"/>
        <w:rPr>
          <w:rFonts w:ascii="仿宋_GB2312" w:hAnsi="仿宋" w:eastAsia="仿宋_GB2312"/>
          <w:color w:val="000000" w:themeColor="text1"/>
          <w:sz w:val="28"/>
          <w:szCs w:val="28"/>
          <w:highlight w:val="none"/>
          <w14:textFill>
            <w14:solidFill>
              <w14:schemeClr w14:val="tx1"/>
            </w14:solidFill>
          </w14:textFill>
        </w:rPr>
      </w:pPr>
    </w:p>
    <w:p>
      <w:pPr>
        <w:snapToGrid w:val="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前附表</w:t>
      </w:r>
    </w:p>
    <w:tbl>
      <w:tblPr>
        <w:tblStyle w:val="36"/>
        <w:tblW w:w="9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683"/>
        <w:gridCol w:w="7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38" w:type="dxa"/>
            <w:vAlign w:val="center"/>
          </w:tcPr>
          <w:p>
            <w:pPr>
              <w:snapToGrid w:val="0"/>
              <w:spacing w:line="320" w:lineRule="exact"/>
              <w:jc w:val="center"/>
              <w:rPr>
                <w:rFonts w:ascii="黑体" w:hAnsi="黑体" w:eastAsia="黑体"/>
                <w:color w:val="000000" w:themeColor="text1"/>
                <w:sz w:val="28"/>
                <w:szCs w:val="28"/>
                <w:highlight w:val="none"/>
                <w14:textFill>
                  <w14:solidFill>
                    <w14:schemeClr w14:val="tx1"/>
                  </w14:solidFill>
                </w14:textFill>
              </w:rPr>
            </w:pPr>
            <w:r>
              <w:rPr>
                <w:rFonts w:hint="eastAsia" w:ascii="黑体" w:hAnsi="黑体" w:eastAsia="黑体"/>
                <w:color w:val="000000" w:themeColor="text1"/>
                <w:sz w:val="28"/>
                <w:szCs w:val="28"/>
                <w:highlight w:val="none"/>
                <w14:textFill>
                  <w14:solidFill>
                    <w14:schemeClr w14:val="tx1"/>
                  </w14:solidFill>
                </w14:textFill>
              </w:rPr>
              <w:t>序号</w:t>
            </w:r>
          </w:p>
        </w:tc>
        <w:tc>
          <w:tcPr>
            <w:tcW w:w="1683" w:type="dxa"/>
            <w:vAlign w:val="center"/>
          </w:tcPr>
          <w:p>
            <w:pPr>
              <w:snapToGrid w:val="0"/>
              <w:spacing w:line="320" w:lineRule="exact"/>
              <w:jc w:val="center"/>
              <w:rPr>
                <w:rFonts w:ascii="黑体" w:hAnsi="黑体" w:eastAsia="黑体"/>
                <w:color w:val="000000" w:themeColor="text1"/>
                <w:sz w:val="28"/>
                <w:szCs w:val="28"/>
                <w:highlight w:val="none"/>
                <w14:textFill>
                  <w14:solidFill>
                    <w14:schemeClr w14:val="tx1"/>
                  </w14:solidFill>
                </w14:textFill>
              </w:rPr>
            </w:pPr>
            <w:r>
              <w:rPr>
                <w:rFonts w:hint="eastAsia" w:ascii="黑体" w:hAnsi="黑体" w:eastAsia="黑体"/>
                <w:color w:val="000000" w:themeColor="text1"/>
                <w:sz w:val="28"/>
                <w:szCs w:val="28"/>
                <w:highlight w:val="none"/>
                <w14:textFill>
                  <w14:solidFill>
                    <w14:schemeClr w14:val="tx1"/>
                  </w14:solidFill>
                </w14:textFill>
              </w:rPr>
              <w:t>内容</w:t>
            </w:r>
          </w:p>
        </w:tc>
        <w:tc>
          <w:tcPr>
            <w:tcW w:w="7404" w:type="dxa"/>
            <w:vAlign w:val="center"/>
          </w:tcPr>
          <w:p>
            <w:pPr>
              <w:snapToGrid w:val="0"/>
              <w:spacing w:line="320" w:lineRule="exact"/>
              <w:jc w:val="center"/>
              <w:rPr>
                <w:rFonts w:ascii="黑体" w:hAnsi="黑体" w:eastAsia="黑体"/>
                <w:color w:val="000000" w:themeColor="text1"/>
                <w:sz w:val="28"/>
                <w:szCs w:val="28"/>
                <w:highlight w:val="none"/>
                <w14:textFill>
                  <w14:solidFill>
                    <w14:schemeClr w14:val="tx1"/>
                  </w14:solidFill>
                </w14:textFill>
              </w:rPr>
            </w:pPr>
            <w:r>
              <w:rPr>
                <w:rFonts w:hint="eastAsia" w:ascii="黑体" w:hAnsi="黑体" w:eastAsia="黑体"/>
                <w:color w:val="000000" w:themeColor="text1"/>
                <w:sz w:val="28"/>
                <w:szCs w:val="28"/>
                <w:highlight w:val="none"/>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项目名称及数量</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bCs/>
                <w:color w:val="000000" w:themeColor="text1"/>
                <w:sz w:val="28"/>
                <w:szCs w:val="28"/>
                <w:highlight w:val="none"/>
                <w14:textFill>
                  <w14:solidFill>
                    <w14:schemeClr w14:val="tx1"/>
                  </w14:solidFill>
                </w14:textFill>
              </w:rPr>
              <w:t>详见“第四章 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2</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信用记录</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根据财库[2016]125号文件，通过“信用中国”网站（www.creditchina.gov.cn）、中国政府采购网（www.ccgp.gov.cn）查询供应商信用记录（以开标当日网页查询记录为准）。对列入失信被执行人、重大税收违法案件当事人名单、政府采购严重违法失信行为记录名单的供应商，</w:t>
            </w:r>
            <w:r>
              <w:rPr>
                <w:rFonts w:hint="eastAsia" w:ascii="Times New Roman" w:hAnsi="Times New Roman" w:eastAsia="楷体_GB2312"/>
                <w:b/>
                <w:color w:val="000000" w:themeColor="text1"/>
                <w:sz w:val="28"/>
                <w:szCs w:val="28"/>
                <w:highlight w:val="none"/>
                <w14:textFill>
                  <w14:solidFill>
                    <w14:schemeClr w14:val="tx1"/>
                  </w14:solidFill>
                </w14:textFill>
              </w:rPr>
              <w:t>其投标将作无效投标处理</w:t>
            </w:r>
            <w:r>
              <w:rPr>
                <w:rFonts w:hint="eastAsia" w:ascii="Times New Roman" w:hAnsi="Times New Roman" w:eastAsia="楷体_GB2312"/>
                <w:color w:val="000000" w:themeColor="text1"/>
                <w:sz w:val="28"/>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3</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中小企业预留份额情况</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根据《政府采购促进中小企业发展管理办法》（财库〔2020〕46号文件的规定），本项目是否属于预留份额专门面向中小企业采购的项目</w:t>
            </w:r>
            <w:r>
              <w:rPr>
                <w:rFonts w:hint="eastAsia" w:ascii="楷体_GB2312" w:hAnsi="Times New Roman" w:eastAsia="楷体_GB2312"/>
                <w:b/>
                <w:bCs/>
                <w:color w:val="000000" w:themeColor="text1"/>
                <w:sz w:val="28"/>
                <w:szCs w:val="28"/>
                <w:highlight w:val="none"/>
                <w14:textFill>
                  <w14:solidFill>
                    <w14:schemeClr w14:val="tx1"/>
                  </w14:solidFill>
                </w14:textFill>
              </w:rPr>
              <w:t>：</w:t>
            </w:r>
            <w:r>
              <w:rPr>
                <w:rFonts w:hint="eastAsia" w:ascii="楷体_GB2312" w:hAnsi="Times New Roman" w:eastAsia="楷体_GB2312"/>
                <w:b/>
                <w:bCs/>
                <w:color w:val="000000" w:themeColor="text1"/>
                <w:sz w:val="28"/>
                <w:szCs w:val="28"/>
                <w:highlight w:val="none"/>
                <w:lang w:val="en-US" w:eastAsia="zh-CN"/>
                <w14:textFill>
                  <w14:solidFill>
                    <w14:schemeClr w14:val="tx1"/>
                  </w14:solidFill>
                </w14:textFill>
              </w:rPr>
              <w:t>标项1</w:t>
            </w:r>
            <w:r>
              <w:rPr>
                <w:rFonts w:hint="eastAsia" w:ascii="楷体_GB2312" w:hAnsi="Times New Roman" w:eastAsia="楷体_GB2312"/>
                <w:b/>
                <w:bCs/>
                <w:color w:val="000000" w:themeColor="text1"/>
                <w:sz w:val="28"/>
                <w:szCs w:val="28"/>
                <w:highlight w:val="none"/>
                <w:lang w:val="en-US" w:eastAsia="zh-CN" w:bidi="ar"/>
                <w14:textFill>
                  <w14:solidFill>
                    <w14:schemeClr w14:val="tx1"/>
                  </w14:solidFill>
                </w14:textFill>
              </w:rPr>
              <w:t>是，标项2和3否</w:t>
            </w:r>
            <w:r>
              <w:rPr>
                <w:rFonts w:hint="eastAsia" w:ascii="楷体_GB2312" w:hAnsi="Times New Roman" w:eastAsia="楷体_GB2312"/>
                <w:b/>
                <w:bCs/>
                <w:color w:val="000000" w:themeColor="text1"/>
                <w:sz w:val="28"/>
                <w:szCs w:val="28"/>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4</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中小企业优惠政策</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财政部、工业和信息化部制定的《政府采购促进中小企业发展管理办法》（财库〔20</w:t>
            </w:r>
            <w:r>
              <w:rPr>
                <w:rFonts w:ascii="Times New Roman" w:hAnsi="Times New Roman" w:eastAsia="楷体_GB2312"/>
                <w:color w:val="000000" w:themeColor="text1"/>
                <w:sz w:val="28"/>
                <w:szCs w:val="28"/>
                <w:highlight w:val="none"/>
                <w14:textFill>
                  <w14:solidFill>
                    <w14:schemeClr w14:val="tx1"/>
                  </w14:solidFill>
                </w14:textFill>
              </w:rPr>
              <w:t>20</w:t>
            </w:r>
            <w:r>
              <w:rPr>
                <w:rFonts w:hint="eastAsia" w:ascii="Times New Roman" w:hAnsi="Times New Roman" w:eastAsia="楷体_GB2312"/>
                <w:color w:val="000000" w:themeColor="text1"/>
                <w:sz w:val="28"/>
                <w:szCs w:val="28"/>
                <w:highlight w:val="none"/>
                <w14:textFill>
                  <w14:solidFill>
                    <w14:schemeClr w14:val="tx1"/>
                  </w14:solidFill>
                </w14:textFill>
              </w:rPr>
              <w:t>〕46 号）。</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财政部、民政部和中国残疾人联合会《关于促进残疾人就业政府采购政策的通知》（财库〔2017〕141号）。</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财政部和司法部《关于政府采购支持监狱企业发展有关问题的通知》（〔201</w:t>
            </w:r>
            <w:r>
              <w:rPr>
                <w:rFonts w:ascii="Times New Roman" w:hAnsi="Times New Roman" w:eastAsia="楷体_GB2312"/>
                <w:color w:val="000000" w:themeColor="text1"/>
                <w:sz w:val="28"/>
                <w:szCs w:val="28"/>
                <w:highlight w:val="none"/>
                <w14:textFill>
                  <w14:solidFill>
                    <w14:schemeClr w14:val="tx1"/>
                  </w14:solidFill>
                </w14:textFill>
              </w:rPr>
              <w:t>4</w:t>
            </w:r>
            <w:r>
              <w:rPr>
                <w:rFonts w:hint="eastAsia" w:ascii="Times New Roman" w:hAnsi="Times New Roman" w:eastAsia="楷体_GB2312"/>
                <w:color w:val="000000" w:themeColor="text1"/>
                <w:sz w:val="28"/>
                <w:szCs w:val="28"/>
                <w:highlight w:val="none"/>
                <w14:textFill>
                  <w14:solidFill>
                    <w14:schemeClr w14:val="tx1"/>
                  </w14:solidFill>
                </w14:textFill>
              </w:rPr>
              <w:t>〕68号）。</w:t>
            </w:r>
          </w:p>
          <w:p>
            <w:pPr>
              <w:snapToGrid w:val="0"/>
              <w:spacing w:line="320" w:lineRule="exact"/>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详见“第三章 评审办法及评审标准”。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5</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政府采购节能环保产品</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产品属于政府强制采购节能品目的（详见《关于印发节能产品政府采购品目清单的通知》财库〔2019〕19号），投标人须按上款要求提供节能产品认证证书或规定网站证书查询截图。产品属于政府强制采购节能产品品目的，投标人未提供节能产品的，其投标将作无效标处理；本文件“第四章招标需求”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6</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促进绿色发展有关政策</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涉及商品包装和快递包装的，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7</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首台套政策</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优先推荐专精特新中小企业、创新产品参加政府采购活动。对省级以上主管部门认定的首台套产品，自纳入《省推广应用指导目录》起三年内参加政府采购活动，视同已具备相应销售业绩，业绩分为满分。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8</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质疑</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9</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是否允许采购进口产品</w:t>
            </w:r>
          </w:p>
        </w:tc>
        <w:tc>
          <w:tcPr>
            <w:tcW w:w="7404" w:type="dxa"/>
            <w:vAlign w:val="center"/>
          </w:tcPr>
          <w:p>
            <w:pPr>
              <w:snapToGrid w:val="0"/>
              <w:spacing w:line="320" w:lineRule="exact"/>
              <w:rPr>
                <w:rFonts w:hint="eastAsia" w:ascii="Times New Roman" w:hAnsi="Times New Roman" w:eastAsia="楷体_GB2312"/>
                <w:color w:val="000000" w:themeColor="text1"/>
                <w:sz w:val="28"/>
                <w:szCs w:val="28"/>
                <w:highlight w:val="none"/>
                <w:lang w:eastAsia="zh-CN"/>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否</w:t>
            </w:r>
            <w:r>
              <w:rPr>
                <w:rFonts w:hint="eastAsia" w:ascii="Times New Roman" w:hAnsi="Times New Roman" w:eastAsia="楷体_GB2312"/>
                <w:color w:val="000000" w:themeColor="text1"/>
                <w:sz w:val="28"/>
                <w:szCs w:val="28"/>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10</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是否接受联合体投标</w:t>
            </w:r>
          </w:p>
        </w:tc>
        <w:tc>
          <w:tcPr>
            <w:tcW w:w="7404" w:type="dxa"/>
            <w:vAlign w:val="center"/>
          </w:tcPr>
          <w:p>
            <w:pPr>
              <w:snapToGrid w:val="0"/>
              <w:spacing w:line="320" w:lineRule="exact"/>
              <w:rPr>
                <w:rFonts w:hint="eastAsia"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1.业绩证明材料</w:t>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br w:type="textWrapping"/>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联合体投标的，按联合体协议约定的分工内容出具相应的业绩证明材料。承担相同工作的各方或工作内容存在部分相同的，业绩数量就低为准。</w:t>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br w:type="textWrapping"/>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2.其他证明材料</w:t>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br w:type="textWrapping"/>
            </w: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联合体投标的，需按招标文件第三章评分标准要求提供证明文件的，证明材料就低为准。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11</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是否允许转包与分包</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转包：否。</w:t>
            </w:r>
          </w:p>
          <w:p>
            <w:pPr>
              <w:snapToGrid w:val="0"/>
              <w:spacing w:line="320" w:lineRule="exact"/>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分包：是，投标人根据招标文件的规定和采购项目的实际情况，拟在中标后将中标项目的非主体、非关键性工作分包的，应当在投标文件中载明分包承担主体，分包承担主体应当具备相应资质条件且不得再次分包。</w:t>
            </w:r>
          </w:p>
          <w:p>
            <w:pPr>
              <w:snapToGrid w:val="0"/>
              <w:spacing w:line="320" w:lineRule="exact"/>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说明：当分包份额占到合同总金额100%时，视为转包。此情况根据《中华人民共和国政府采购法实施条例》（国务院令第658号）文件第七十二条规定，将依照政府采购法第七十七条第一款的规定追究相应法律责任。</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依据《政府采购促进中小企业发展管理办法》（财库〔2020〕46 号）规定享受扶持政策获得政府采购合同的，小微企业不得将合同分包给大中型企业，中型企业不得将合同分包给大型企业。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12</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是否现场踏勘</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13</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是否提供演示或讲解</w:t>
            </w:r>
          </w:p>
        </w:tc>
        <w:tc>
          <w:tcPr>
            <w:tcW w:w="7404" w:type="dxa"/>
            <w:vAlign w:val="center"/>
          </w:tcPr>
          <w:p>
            <w:pPr>
              <w:snapToGrid w:val="0"/>
              <w:spacing w:line="320" w:lineRule="exact"/>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是。演示顺序原则上按投标文件“解密时间从早到晚”顺序，演示要求详见招标需求。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14</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是否提供样品</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w:t>
            </w:r>
            <w:r>
              <w:rPr>
                <w:rFonts w:ascii="Times New Roman" w:hAnsi="Times New Roman" w:eastAsia="楷体_GB2312"/>
                <w:color w:val="000000" w:themeColor="text1"/>
                <w:sz w:val="28"/>
                <w:szCs w:val="28"/>
                <w:highlight w:val="none"/>
                <w14:textFill>
                  <w14:solidFill>
                    <w14:schemeClr w14:val="tx1"/>
                  </w14:solidFill>
                </w14:textFill>
              </w:rPr>
              <w:t>5</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投标文件组成</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本项目采用电子投标。电子投标文件由资质文件、技术及商务文件、报价文件组成，通过电子交易平台上传。</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投标人提供备份投标文件的，数量为1份。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16</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电子交易平台登录方法</w:t>
            </w:r>
          </w:p>
        </w:tc>
        <w:tc>
          <w:tcPr>
            <w:tcW w:w="7404" w:type="dxa"/>
            <w:vAlign w:val="center"/>
          </w:tcPr>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第一步：供应商注册</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投标人应在投标前注册成为浙江政府采购网的正式供应商（注册网址：</w:t>
            </w:r>
            <w:r>
              <w:rPr>
                <w:rFonts w:hint="eastAsia" w:ascii="Times New Roman" w:hAnsi="Times New Roman" w:eastAsia="楷体_GB2312"/>
                <w:color w:val="000000" w:themeColor="text1"/>
                <w:sz w:val="28"/>
                <w:szCs w:val="28"/>
                <w:highlight w:val="none"/>
                <w14:textFill>
                  <w14:solidFill>
                    <w14:schemeClr w14:val="tx1"/>
                  </w14:solidFill>
                </w14:textFill>
              </w:rPr>
              <w:fldChar w:fldCharType="begin"/>
            </w:r>
            <w:r>
              <w:rPr>
                <w:rFonts w:hint="eastAsia" w:ascii="Times New Roman" w:hAnsi="Times New Roman" w:eastAsia="楷体_GB2312"/>
                <w:color w:val="000000" w:themeColor="text1"/>
                <w:sz w:val="28"/>
                <w:szCs w:val="28"/>
                <w:highlight w:val="none"/>
                <w14:textFill>
                  <w14:solidFill>
                    <w14:schemeClr w14:val="tx1"/>
                  </w14:solidFill>
                </w14:textFill>
              </w:rPr>
              <w:instrText xml:space="preserve"> HYPERLINK "https://middle.zcygov.cn/v-settle-front/registry" </w:instrText>
            </w:r>
            <w:r>
              <w:rPr>
                <w:rFonts w:hint="eastAsia" w:ascii="Times New Roman" w:hAnsi="Times New Roman" w:eastAsia="楷体_GB2312"/>
                <w:color w:val="000000" w:themeColor="text1"/>
                <w:sz w:val="28"/>
                <w:szCs w:val="28"/>
                <w:highlight w:val="none"/>
                <w14:textFill>
                  <w14:solidFill>
                    <w14:schemeClr w14:val="tx1"/>
                  </w14:solidFill>
                </w14:textFill>
              </w:rPr>
              <w:fldChar w:fldCharType="separate"/>
            </w:r>
            <w:r>
              <w:rPr>
                <w:rStyle w:val="44"/>
                <w:rFonts w:hint="eastAsia" w:ascii="Times New Roman" w:hAnsi="Times New Roman" w:eastAsia="楷体_GB2312"/>
                <w:color w:val="000000" w:themeColor="text1"/>
                <w:sz w:val="28"/>
                <w:szCs w:val="28"/>
                <w:highlight w:val="none"/>
                <w14:textFill>
                  <w14:solidFill>
                    <w14:schemeClr w14:val="tx1"/>
                  </w14:solidFill>
                </w14:textFill>
              </w:rPr>
              <w:t>https://middle.zcygov.cn/v-settle-front/registry</w:t>
            </w:r>
            <w:r>
              <w:rPr>
                <w:rFonts w:hint="eastAsia" w:ascii="Times New Roman" w:hAnsi="Times New Roman" w:eastAsia="楷体_GB2312"/>
                <w:color w:val="000000" w:themeColor="text1"/>
                <w:sz w:val="28"/>
                <w:szCs w:val="28"/>
                <w:highlight w:val="none"/>
                <w14:textFill>
                  <w14:solidFill>
                    <w14:schemeClr w14:val="tx1"/>
                  </w14:solidFill>
                </w14:textFill>
              </w:rPr>
              <w:fldChar w:fldCharType="end"/>
            </w:r>
            <w:r>
              <w:rPr>
                <w:rFonts w:hint="eastAsia" w:ascii="Times New Roman" w:hAnsi="Times New Roman" w:eastAsia="楷体_GB2312"/>
                <w:color w:val="000000" w:themeColor="text1"/>
                <w:sz w:val="28"/>
                <w:szCs w:val="28"/>
                <w:highlight w:val="none"/>
                <w:lang w:val="en-US" w:eastAsia="zh-CN"/>
                <w14:textFill>
                  <w14:solidFill>
                    <w14:schemeClr w14:val="tx1"/>
                  </w14:solidFill>
                </w14:textFill>
              </w:rPr>
              <w:t xml:space="preserve"> </w:t>
            </w:r>
            <w:r>
              <w:rPr>
                <w:rFonts w:hint="eastAsia" w:ascii="Times New Roman" w:hAnsi="Times New Roman" w:eastAsia="楷体_GB2312"/>
                <w:color w:val="000000" w:themeColor="text1"/>
                <w:sz w:val="28"/>
                <w:szCs w:val="28"/>
                <w:highlight w:val="none"/>
                <w14:textFill>
                  <w14:solidFill>
                    <w14:schemeClr w14:val="tx1"/>
                  </w14:solidFill>
                </w14:textFill>
              </w:rPr>
              <w:t>）；</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第二步：申请CA</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投标人应在投标前完成CA数字证书办理（办理流程详见</w:t>
            </w:r>
            <w:r>
              <w:rPr>
                <w:rFonts w:ascii="Times New Roman" w:hAnsi="Times New Roman" w:eastAsia="楷体_GB2312"/>
                <w:color w:val="000000" w:themeColor="text1"/>
                <w:sz w:val="28"/>
                <w:szCs w:val="28"/>
                <w:highlight w:val="none"/>
                <w14:textFill>
                  <w14:solidFill>
                    <w14:schemeClr w14:val="tx1"/>
                  </w14:solidFill>
                </w14:textFill>
              </w:rPr>
              <w:t>https://helpcenter.zcygov.cn/document/#/document/detail?siteCode=beijing&amp;manualId=795&amp;topicId=4083</w:t>
            </w:r>
            <w:r>
              <w:rPr>
                <w:rFonts w:hint="eastAsia" w:ascii="Times New Roman" w:hAnsi="Times New Roman" w:eastAsia="楷体_GB2312"/>
                <w:color w:val="000000" w:themeColor="text1"/>
                <w:sz w:val="28"/>
                <w:szCs w:val="28"/>
                <w:highlight w:val="none"/>
                <w14:textFill>
                  <w14:solidFill>
                    <w14:schemeClr w14:val="tx1"/>
                  </w14:solidFill>
                </w14:textFill>
              </w:rPr>
              <w:t>）。完成CA数字证书办理预计一周左右，建议各投标人抓紧时间办理；</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第三步：下载客户端</w:t>
            </w:r>
          </w:p>
          <w:p>
            <w:pPr>
              <w:wordWrap/>
              <w:autoSpaceDE w:val="0"/>
              <w:autoSpaceDN w:val="0"/>
              <w:snapToGrid w:val="0"/>
              <w:spacing w:line="320" w:lineRule="exact"/>
              <w:textAlignment w:val="bottom"/>
              <w:rPr>
                <w:rFonts w:ascii="Times New Roman" w:hAnsi="Times New Roman" w:eastAsia="楷体_GB2312"/>
                <w:b w:val="0"/>
                <w:bCs w:val="0"/>
                <w:color w:val="000000" w:themeColor="text1"/>
                <w:sz w:val="28"/>
                <w:szCs w:val="28"/>
                <w:highlight w:val="none"/>
                <w14:textFill>
                  <w14:solidFill>
                    <w14:schemeClr w14:val="tx1"/>
                  </w14:solidFill>
                </w14:textFill>
              </w:rPr>
            </w:pPr>
            <w:r>
              <w:rPr>
                <w:rFonts w:hint="default" w:ascii="Times New Roman" w:hAnsi="Times New Roman" w:eastAsia="楷体_GB2312"/>
                <w:b w:val="0"/>
                <w:bCs w:val="0"/>
                <w:color w:val="000000" w:themeColor="text1"/>
                <w:sz w:val="28"/>
                <w:szCs w:val="28"/>
                <w:highlight w:val="none"/>
                <w14:textFill>
                  <w14:solidFill>
                    <w14:schemeClr w14:val="tx1"/>
                  </w14:solidFill>
                </w14:textFill>
              </w:rPr>
              <w:t>投标人通过政采云电子交易客户端制作投标文件，请在浙江政府采购网（https://zfcg.czt.zj.gov.cn/）下载专区</w:t>
            </w:r>
            <w:r>
              <w:rPr>
                <w:rFonts w:hint="default" w:ascii="Times New Roman" w:hAnsi="Times New Roman" w:eastAsia="楷体_GB2312"/>
                <w:b w:val="0"/>
                <w:bCs w:val="0"/>
                <w:color w:val="000000" w:themeColor="text1"/>
                <w:sz w:val="28"/>
                <w:szCs w:val="28"/>
                <w:highlight w:val="none"/>
                <w:lang w:eastAsia="zh-CN"/>
                <w14:textFill>
                  <w14:solidFill>
                    <w14:schemeClr w14:val="tx1"/>
                  </w14:solidFill>
                </w14:textFill>
              </w:rPr>
              <w:t>（</w:t>
            </w:r>
            <w:r>
              <w:rPr>
                <w:rFonts w:hint="default" w:ascii="Times New Roman" w:hAnsi="Times New Roman" w:eastAsia="楷体_GB2312" w:cs="Times New Roman"/>
                <w:b w:val="0"/>
                <w:bCs w:val="0"/>
                <w:i w:val="0"/>
                <w:iCs w:val="0"/>
                <w:caps w:val="0"/>
                <w:color w:val="000000" w:themeColor="text1"/>
                <w:spacing w:val="0"/>
                <w:sz w:val="28"/>
                <w:szCs w:val="28"/>
                <w:highlight w:val="none"/>
                <w:shd w:val="clear"/>
                <w14:textFill>
                  <w14:solidFill>
                    <w14:schemeClr w14:val="tx1"/>
                  </w14:solidFill>
                </w14:textFill>
              </w:rPr>
              <w:t>下载专区</w:t>
            </w:r>
            <w:r>
              <w:rPr>
                <w:rFonts w:hint="default" w:ascii="Times New Roman" w:hAnsi="Times New Roman" w:eastAsia="楷体_GB2312" w:cs="Times New Roman"/>
                <w:b w:val="0"/>
                <w:bCs w:val="0"/>
                <w:i w:val="0"/>
                <w:iCs w:val="0"/>
                <w:caps w:val="0"/>
                <w:color w:val="000000" w:themeColor="text1"/>
                <w:spacing w:val="0"/>
                <w:sz w:val="28"/>
                <w:szCs w:val="28"/>
                <w:highlight w:val="none"/>
                <w:shd w:val="clear"/>
                <w:lang w:val="en-US" w:eastAsia="zh-CN"/>
                <w14:textFill>
                  <w14:solidFill>
                    <w14:schemeClr w14:val="tx1"/>
                  </w14:solidFill>
                </w14:textFill>
              </w:rPr>
              <w:t>→</w:t>
            </w:r>
            <w:r>
              <w:rPr>
                <w:rFonts w:hint="default" w:ascii="Times New Roman" w:hAnsi="Times New Roman" w:eastAsia="楷体_GB2312" w:cs="Times New Roman"/>
                <w:b w:val="0"/>
                <w:bCs w:val="0"/>
                <w:i w:val="0"/>
                <w:iCs w:val="0"/>
                <w:caps w:val="0"/>
                <w:color w:val="000000" w:themeColor="text1"/>
                <w:spacing w:val="0"/>
                <w:sz w:val="28"/>
                <w:szCs w:val="28"/>
                <w:highlight w:val="none"/>
                <w:shd w:val="clear"/>
                <w14:textFill>
                  <w14:solidFill>
                    <w14:schemeClr w14:val="tx1"/>
                  </w14:solidFill>
                </w14:textFill>
              </w:rPr>
              <w:t> 电子交易客户端</w:t>
            </w:r>
            <w:r>
              <w:rPr>
                <w:rFonts w:hint="default" w:ascii="Times New Roman" w:hAnsi="Times New Roman" w:eastAsia="楷体_GB2312" w:cs="Times New Roman"/>
                <w:b w:val="0"/>
                <w:bCs w:val="0"/>
                <w:i w:val="0"/>
                <w:iCs w:val="0"/>
                <w:caps w:val="0"/>
                <w:color w:val="000000" w:themeColor="text1"/>
                <w:spacing w:val="0"/>
                <w:sz w:val="28"/>
                <w:szCs w:val="28"/>
                <w:highlight w:val="none"/>
                <w:shd w:val="clear"/>
                <w:lang w:val="en-US" w:eastAsia="zh-CN"/>
                <w14:textFill>
                  <w14:solidFill>
                    <w14:schemeClr w14:val="tx1"/>
                  </w14:solidFill>
                </w14:textFill>
              </w:rPr>
              <w:t>→</w:t>
            </w:r>
            <w:r>
              <w:rPr>
                <w:rFonts w:hint="default" w:ascii="Times New Roman" w:hAnsi="Times New Roman" w:eastAsia="楷体_GB2312" w:cs="Times New Roman"/>
                <w:b w:val="0"/>
                <w:bCs w:val="0"/>
                <w:i w:val="0"/>
                <w:iCs w:val="0"/>
                <w:caps w:val="0"/>
                <w:color w:val="000000" w:themeColor="text1"/>
                <w:spacing w:val="0"/>
                <w:sz w:val="28"/>
                <w:szCs w:val="28"/>
                <w:highlight w:val="none"/>
                <w:shd w:val="clear"/>
                <w14:textFill>
                  <w14:solidFill>
                    <w14:schemeClr w14:val="tx1"/>
                  </w14:solidFill>
                </w14:textFill>
              </w:rPr>
              <w:t>政采云电子交易客户端</w:t>
            </w:r>
            <w:r>
              <w:rPr>
                <w:rFonts w:hint="default" w:ascii="Times New Roman" w:hAnsi="Times New Roman" w:eastAsia="楷体_GB2312"/>
                <w:b w:val="0"/>
                <w:bCs w:val="0"/>
                <w:color w:val="000000" w:themeColor="text1"/>
                <w:sz w:val="28"/>
                <w:szCs w:val="28"/>
                <w:highlight w:val="none"/>
                <w:lang w:eastAsia="zh-CN"/>
                <w14:textFill>
                  <w14:solidFill>
                    <w14:schemeClr w14:val="tx1"/>
                  </w14:solidFill>
                </w14:textFill>
              </w:rPr>
              <w:t>）</w:t>
            </w:r>
            <w:r>
              <w:rPr>
                <w:rFonts w:hint="default" w:ascii="Times New Roman" w:hAnsi="Times New Roman" w:eastAsia="楷体_GB2312"/>
                <w:b w:val="0"/>
                <w:bCs w:val="0"/>
                <w:color w:val="000000" w:themeColor="text1"/>
                <w:sz w:val="28"/>
                <w:szCs w:val="28"/>
                <w:highlight w:val="none"/>
                <w14:textFill>
                  <w14:solidFill>
                    <w14:schemeClr w14:val="tx1"/>
                  </w14:solidFill>
                </w14:textFill>
              </w:rPr>
              <w:t>；</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第四步：具体流程</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详见浙江省“电子交易/不见面开评标”学习专题（https://edu.zcygov.cn/luban/e-biding）。</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提醒：</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ascii="Times New Roman" w:hAnsi="Times New Roman" w:eastAsia="楷体_GB2312"/>
                <w:b/>
                <w:bCs/>
                <w:color w:val="000000" w:themeColor="text1"/>
                <w:sz w:val="28"/>
                <w:szCs w:val="28"/>
                <w:highlight w:val="none"/>
                <w14:textFill>
                  <w14:solidFill>
                    <w14:schemeClr w14:val="tx1"/>
                  </w14:solidFill>
                </w14:textFill>
              </w:rPr>
              <w:t>1.</w:t>
            </w:r>
            <w:r>
              <w:rPr>
                <w:rFonts w:hint="eastAsia" w:ascii="Times New Roman" w:hAnsi="Times New Roman" w:eastAsia="楷体_GB2312"/>
                <w:b/>
                <w:bCs/>
                <w:color w:val="000000" w:themeColor="text1"/>
                <w:sz w:val="28"/>
                <w:szCs w:val="28"/>
                <w:highlight w:val="none"/>
                <w14:textFill>
                  <w14:solidFill>
                    <w14:schemeClr w14:val="tx1"/>
                  </w14:solidFill>
                </w14:textFill>
              </w:rPr>
              <w:t>请各投标人合理安排时间，尽快完成第一、二、三步骤，避免影响投标。</w:t>
            </w:r>
          </w:p>
          <w:p>
            <w:pPr>
              <w:autoSpaceDE w:val="0"/>
              <w:autoSpaceDN w:val="0"/>
              <w:snapToGrid w:val="0"/>
              <w:spacing w:line="320" w:lineRule="exact"/>
              <w:textAlignment w:val="bottom"/>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2</w:t>
            </w:r>
            <w:r>
              <w:rPr>
                <w:rFonts w:ascii="Times New Roman" w:hAnsi="Times New Roman" w:eastAsia="楷体_GB2312"/>
                <w:b/>
                <w:bCs/>
                <w:color w:val="000000" w:themeColor="text1"/>
                <w:sz w:val="28"/>
                <w:szCs w:val="28"/>
                <w:highlight w:val="none"/>
                <w14:textFill>
                  <w14:solidFill>
                    <w14:schemeClr w14:val="tx1"/>
                  </w14:solidFill>
                </w14:textFill>
              </w:rPr>
              <w:t>.</w:t>
            </w:r>
            <w:r>
              <w:rPr>
                <w:rFonts w:hint="eastAsia" w:ascii="Times New Roman" w:hAnsi="Times New Roman" w:eastAsia="楷体_GB2312"/>
                <w:b/>
                <w:bCs/>
                <w:color w:val="000000" w:themeColor="text1"/>
                <w:sz w:val="28"/>
                <w:szCs w:val="28"/>
                <w:highlight w:val="none"/>
                <w14:textFill>
                  <w14:solidFill>
                    <w14:schemeClr w14:val="tx1"/>
                  </w14:solidFill>
                </w14:textFill>
              </w:rPr>
              <w:t>为避免页面存在兼容性等问题，投标人使用谷歌Chrome浏览器或360浏览器极速模式，涉及视频会议等功能的，还应安装摄像头和麦克风。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17</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投标文件的递交与接收</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人应当在投标截止时间前完成电子投标文件的传输递交，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投标文件的接收以本项目公告规定的时间、地点和“第二章”的“投标文件的编制”等要求为准。</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投标人递交备份投标文件，出现下列情况之一的，将被拒收：</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1.未按招标文件规定密封或标记的；</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2.由于包装不妥，在送交途中严重破损或失散的；</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3.超过投标截止时间送达的；</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4.通过邮寄方式送达的到付件。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w:t>
            </w:r>
            <w:r>
              <w:rPr>
                <w:rFonts w:ascii="Times New Roman" w:hAnsi="Times New Roman" w:eastAsia="楷体_GB2312"/>
                <w:color w:val="000000" w:themeColor="text1"/>
                <w:sz w:val="28"/>
                <w:szCs w:val="28"/>
                <w:highlight w:val="none"/>
                <w14:textFill>
                  <w14:solidFill>
                    <w14:schemeClr w14:val="tx1"/>
                  </w14:solidFill>
                </w14:textFill>
              </w:rPr>
              <w:t>8</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投标撤销（撤回）</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1</w:t>
            </w:r>
            <w:r>
              <w:rPr>
                <w:rFonts w:ascii="Times New Roman" w:hAnsi="Times New Roman" w:eastAsia="楷体_GB2312"/>
                <w:color w:val="000000" w:themeColor="text1"/>
                <w:sz w:val="28"/>
                <w:szCs w:val="28"/>
                <w:highlight w:val="none"/>
                <w14:textFill>
                  <w14:solidFill>
                    <w14:schemeClr w14:val="tx1"/>
                  </w14:solidFill>
                </w14:textFill>
              </w:rPr>
              <w:t>.</w:t>
            </w:r>
            <w:r>
              <w:rPr>
                <w:rFonts w:hint="eastAsia" w:ascii="Times New Roman" w:hAnsi="Times New Roman" w:eastAsia="楷体_GB2312"/>
                <w:color w:val="000000" w:themeColor="text1"/>
                <w:sz w:val="28"/>
                <w:szCs w:val="28"/>
                <w:highlight w:val="none"/>
                <w14:textFill>
                  <w14:solidFill>
                    <w14:schemeClr w14:val="tx1"/>
                  </w14:solidFill>
                </w14:textFill>
              </w:rPr>
              <w:t>在投标截止时间起至投标有效期届满，供应商投标文件不可撤销。</w:t>
            </w:r>
          </w:p>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2.</w:t>
            </w:r>
            <w:r>
              <w:rPr>
                <w:rFonts w:hint="eastAsia" w:ascii="Times New Roman" w:hAnsi="Times New Roman" w:eastAsia="楷体_GB2312"/>
                <w:color w:val="000000" w:themeColor="text1"/>
                <w:sz w:val="28"/>
                <w:szCs w:val="28"/>
                <w:highlight w:val="none"/>
                <w14:textFill>
                  <w14:solidFill>
                    <w14:schemeClr w14:val="tx1"/>
                  </w14:solidFill>
                </w14:textFill>
              </w:rPr>
              <w:t>供应商撤销（撤回）投标不得损害国家利益、社会公共利益、采购人利益、代理机构利益、其他供应商利益，否则，供应商撤销（撤回）投标无效。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19</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中标结果公告</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中标</w:t>
            </w:r>
            <w:r>
              <w:rPr>
                <w:rFonts w:hint="eastAsia" w:ascii="Times New Roman" w:hAnsi="Times New Roman" w:eastAsia="楷体_GB2312"/>
                <w:color w:val="000000" w:themeColor="text1"/>
                <w:sz w:val="28"/>
                <w:szCs w:val="28"/>
                <w:highlight w:val="none"/>
                <w:lang w:val="en-US" w:eastAsia="zh-CN"/>
                <w14:textFill>
                  <w14:solidFill>
                    <w14:schemeClr w14:val="tx1"/>
                  </w14:solidFill>
                </w14:textFill>
              </w:rPr>
              <w:t>供应商</w:t>
            </w:r>
            <w:r>
              <w:rPr>
                <w:rFonts w:hint="eastAsia" w:ascii="Times New Roman" w:hAnsi="Times New Roman" w:eastAsia="楷体_GB2312"/>
                <w:color w:val="000000" w:themeColor="text1"/>
                <w:sz w:val="28"/>
                <w:szCs w:val="28"/>
                <w:highlight w:val="none"/>
                <w14:textFill>
                  <w14:solidFill>
                    <w14:schemeClr w14:val="tx1"/>
                  </w14:solidFill>
                </w14:textFill>
              </w:rPr>
              <w:t>确定之日起2个工作日内，将在浙江政府采购网(https://zfcg.czt.zj.gov.cn/)发布中标公告</w:t>
            </w:r>
            <w:r>
              <w:rPr>
                <w:rFonts w:hint="eastAsia" w:ascii="Times New Roman" w:hAnsi="Times New Roman" w:eastAsia="楷体_GB2312"/>
                <w:b/>
                <w:bCs/>
                <w:color w:val="000000" w:themeColor="text1"/>
                <w:sz w:val="28"/>
                <w:szCs w:val="28"/>
                <w:highlight w:val="none"/>
                <w14:textFill>
                  <w14:solidFill>
                    <w14:schemeClr w14:val="tx1"/>
                  </w14:solidFill>
                </w14:textFill>
              </w:rPr>
              <w:t>（中标人为中小企业的，其声明函将随中标结果同时公告）</w:t>
            </w:r>
            <w:r>
              <w:rPr>
                <w:rFonts w:hint="eastAsia" w:ascii="Times New Roman" w:hAnsi="Times New Roman" w:eastAsia="楷体_GB2312"/>
                <w:color w:val="000000" w:themeColor="text1"/>
                <w:sz w:val="28"/>
                <w:szCs w:val="28"/>
                <w:highlight w:val="none"/>
                <w14:textFill>
                  <w14:solidFill>
                    <w14:schemeClr w14:val="tx1"/>
                  </w14:solidFill>
                </w14:textFill>
              </w:rPr>
              <w:t>，公告期限为1个工作日。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20</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签订合同时间</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21</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放弃中标赔偿责任</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中标供应商放弃中标资格导致重新采购的，应当承担支付专家评审费等费用在内的赔偿责任（不可抗力除外）。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22</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履约保证金</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采购人按《中华人民共和国政府采购法实施条例》、《浙江省财政厅关于进一步发挥政府采购政策功能全力推进经济稳进提质的通知》、《浙江省人民政府关于印发浙江省贯彻落实国务院扎实稳住经济一揽子政策措施实施方案的通知》有关规定自行收取项目履约保证金。</w:t>
            </w:r>
            <w:bookmarkStart w:id="17" w:name="_Hlk70417381"/>
            <w:r>
              <w:rPr>
                <w:rFonts w:hint="eastAsia" w:ascii="Times New Roman" w:hAnsi="Times New Roman" w:eastAsia="楷体_GB2312"/>
                <w:color w:val="000000" w:themeColor="text1"/>
                <w:sz w:val="28"/>
                <w:szCs w:val="28"/>
                <w:highlight w:val="none"/>
                <w14:textFill>
                  <w14:solidFill>
                    <w14:schemeClr w14:val="tx1"/>
                  </w14:solidFill>
                </w14:textFill>
              </w:rPr>
              <w:t>采购人要求中标供应商提交履约保证金的，供应商应当以支票、汇票、本票等非现金形式提交，也可以以银行、保险公司出具保函形式提交。履约保证金的数额不得超过政府采购合同金额的</w:t>
            </w:r>
            <w:r>
              <w:rPr>
                <w:rFonts w:ascii="Times New Roman" w:hAnsi="Times New Roman" w:eastAsia="楷体_GB2312"/>
                <w:color w:val="000000" w:themeColor="text1"/>
                <w:sz w:val="28"/>
                <w:szCs w:val="28"/>
                <w:highlight w:val="none"/>
                <w14:textFill>
                  <w14:solidFill>
                    <w14:schemeClr w14:val="tx1"/>
                  </w14:solidFill>
                </w14:textFill>
              </w:rPr>
              <w:t>1</w:t>
            </w:r>
            <w:r>
              <w:rPr>
                <w:rFonts w:hint="eastAsia" w:ascii="Times New Roman" w:hAnsi="Times New Roman" w:eastAsia="楷体_GB2312"/>
                <w:color w:val="000000" w:themeColor="text1"/>
                <w:sz w:val="28"/>
                <w:szCs w:val="28"/>
                <w:highlight w:val="none"/>
                <w14:textFill>
                  <w14:solidFill>
                    <w14:schemeClr w14:val="tx1"/>
                  </w14:solidFill>
                </w14:textFill>
              </w:rPr>
              <w:t>%。</w:t>
            </w:r>
            <w:bookmarkEnd w:id="17"/>
            <w:r>
              <w:rPr>
                <w:rFonts w:hint="eastAsia" w:ascii="Times New Roman" w:hAnsi="Times New Roman" w:eastAsia="楷体_GB2312"/>
                <w:color w:val="000000" w:themeColor="text1"/>
                <w:sz w:val="28"/>
                <w:szCs w:val="28"/>
                <w:highlight w:val="none"/>
                <w14:textFill>
                  <w14:solidFill>
                    <w14:schemeClr w14:val="tx1"/>
                  </w14:solidFill>
                </w14:textFill>
              </w:rPr>
              <w:t>履约完毕，采购人及时办理履约保证金退还手续。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ascii="Times New Roman" w:hAnsi="Times New Roman" w:eastAsia="楷体_GB2312"/>
                <w:color w:val="000000" w:themeColor="text1"/>
                <w:sz w:val="28"/>
                <w:szCs w:val="28"/>
                <w:highlight w:val="none"/>
                <w14:textFill>
                  <w14:solidFill>
                    <w14:schemeClr w14:val="tx1"/>
                  </w14:solidFill>
                </w14:textFill>
              </w:rPr>
              <w:t>23</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付款方式</w:t>
            </w:r>
          </w:p>
        </w:tc>
        <w:tc>
          <w:tcPr>
            <w:tcW w:w="7404" w:type="dxa"/>
            <w:vAlign w:val="center"/>
          </w:tcPr>
          <w:p>
            <w:pPr>
              <w:keepNext w:val="0"/>
              <w:keepLines w:val="0"/>
              <w:widowControl w:val="0"/>
              <w:suppressLineNumbers w:val="0"/>
              <w:autoSpaceDE w:val="0"/>
              <w:autoSpaceDN w:val="0"/>
              <w:snapToGrid w:val="0"/>
              <w:spacing w:before="0" w:beforeAutospacing="0" w:after="0" w:afterAutospacing="0"/>
              <w:ind w:left="0" w:right="0"/>
              <w:jc w:val="left"/>
              <w:textAlignment w:val="bottom"/>
              <w:rPr>
                <w:rFonts w:hint="eastAsia" w:ascii="仿宋_GB2312" w:hAnsi="仿宋" w:eastAsia="仿宋_GB2312" w:cs="仿宋_GB2312"/>
                <w:color w:val="000000" w:themeColor="text1"/>
                <w:sz w:val="24"/>
                <w:szCs w:val="24"/>
                <w:highlight w:val="none"/>
                <w:lang w:val="en-US"/>
                <w14:textFill>
                  <w14:solidFill>
                    <w14:schemeClr w14:val="tx1"/>
                  </w14:solidFill>
                </w14:textFill>
              </w:rPr>
            </w:pPr>
            <w:r>
              <w:rPr>
                <w:rFonts w:hint="eastAsia" w:ascii="Times New Roman" w:hAnsi="Times New Roman" w:eastAsia="楷体_GB2312" w:cs="Times New Roman"/>
                <w:color w:val="000000" w:themeColor="text1"/>
                <w:kern w:val="2"/>
                <w:sz w:val="28"/>
                <w:szCs w:val="28"/>
                <w:highlight w:val="none"/>
                <w:lang w:val="en-US" w:eastAsia="zh-CN" w:bidi="ar"/>
                <w14:textFill>
                  <w14:solidFill>
                    <w14:schemeClr w14:val="tx1"/>
                  </w14:solidFill>
                </w14:textFill>
              </w:rPr>
              <w:t>国库集中支付（采购人自行支付）详见各标项的商务要求表</w:t>
            </w:r>
            <w:r>
              <w:rPr>
                <w:rFonts w:hint="eastAsia" w:ascii="仿宋_GB2312" w:hAnsi="仿宋" w:eastAsia="仿宋_GB2312" w:cs="仿宋_GB2312"/>
                <w:color w:val="000000" w:themeColor="text1"/>
                <w:kern w:val="2"/>
                <w:sz w:val="24"/>
                <w:szCs w:val="24"/>
                <w:highlight w:val="none"/>
                <w:lang w:val="en-US" w:eastAsia="zh-CN" w:bidi="ar"/>
                <w14:textFill>
                  <w14:solidFill>
                    <w14:schemeClr w14:val="tx1"/>
                  </w14:solidFill>
                </w14:textFill>
              </w:rPr>
              <w:t>。</w:t>
            </w:r>
          </w:p>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根据《中华人民共和国中小企业促进法》《保障中小企业款项支付条例》《浙江省财政厅关于进一步发挥政府采购政策功能全力推动经济稳进提质的通知》等规定要求，采购人认为符合条件的，在“第四章 招标需求”资信及商务要求表的付款条件中，明确对相关企业在</w:t>
            </w:r>
            <w:bookmarkStart w:id="18" w:name="_Hlk70426726"/>
            <w:r>
              <w:rPr>
                <w:rFonts w:hint="eastAsia" w:ascii="Times New Roman" w:hAnsi="Times New Roman" w:eastAsia="楷体_GB2312"/>
                <w:color w:val="000000" w:themeColor="text1"/>
                <w:sz w:val="28"/>
                <w:szCs w:val="28"/>
                <w:highlight w:val="none"/>
                <w14:textFill>
                  <w14:solidFill>
                    <w14:schemeClr w14:val="tx1"/>
                  </w14:solidFill>
                </w14:textFill>
              </w:rPr>
              <w:t>资金支付期限、预付款比例</w:t>
            </w:r>
            <w:bookmarkEnd w:id="18"/>
            <w:r>
              <w:rPr>
                <w:rFonts w:hint="eastAsia" w:ascii="Times New Roman" w:hAnsi="Times New Roman" w:eastAsia="楷体_GB2312"/>
                <w:color w:val="000000" w:themeColor="text1"/>
                <w:sz w:val="28"/>
                <w:szCs w:val="28"/>
                <w:highlight w:val="none"/>
                <w14:textFill>
                  <w14:solidFill>
                    <w14:schemeClr w14:val="tx1"/>
                  </w14:solidFill>
                </w14:textFill>
              </w:rPr>
              <w:t>等方面的优惠措施。</w:t>
            </w:r>
          </w:p>
          <w:p>
            <w:pPr>
              <w:snapToGrid w:val="0"/>
              <w:spacing w:line="320" w:lineRule="exact"/>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2</w:t>
            </w:r>
            <w:r>
              <w:rPr>
                <w:rFonts w:ascii="Times New Roman" w:hAnsi="Times New Roman" w:eastAsia="楷体_GB2312"/>
                <w:color w:val="000000" w:themeColor="text1"/>
                <w:sz w:val="28"/>
                <w:szCs w:val="28"/>
                <w:highlight w:val="none"/>
                <w14:textFill>
                  <w14:solidFill>
                    <w14:schemeClr w14:val="tx1"/>
                  </w14:solidFill>
                </w14:textFill>
              </w:rPr>
              <w:t>4</w:t>
            </w:r>
          </w:p>
        </w:tc>
        <w:tc>
          <w:tcPr>
            <w:tcW w:w="1683"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投标文件有效期</w:t>
            </w:r>
          </w:p>
        </w:tc>
        <w:tc>
          <w:tcPr>
            <w:tcW w:w="7404" w:type="dxa"/>
            <w:vAlign w:val="center"/>
          </w:tcPr>
          <w:p>
            <w:pPr>
              <w:snapToGrid w:val="0"/>
              <w:spacing w:line="320" w:lineRule="exac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s="Arial"/>
                <w:color w:val="000000" w:themeColor="text1"/>
                <w:sz w:val="28"/>
                <w:szCs w:val="28"/>
                <w:highlight w:val="none"/>
                <w14:textFill>
                  <w14:solidFill>
                    <w14:schemeClr w14:val="tx1"/>
                  </w14:solidFill>
                </w14:textFill>
              </w:rPr>
              <w:t>从递交投标文件的截止之日起90日。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2</w:t>
            </w:r>
            <w:r>
              <w:rPr>
                <w:rFonts w:ascii="Times New Roman" w:hAnsi="Times New Roman" w:eastAsia="楷体_GB2312"/>
                <w:color w:val="000000" w:themeColor="text1"/>
                <w:sz w:val="28"/>
                <w:szCs w:val="28"/>
                <w:highlight w:val="none"/>
                <w14:textFill>
                  <w14:solidFill>
                    <w14:schemeClr w14:val="tx1"/>
                  </w14:solidFill>
                </w14:textFill>
              </w:rPr>
              <w:t>5</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招标方代理费用</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pPr>
              <w:snapToGrid w:val="0"/>
              <w:spacing w:line="320" w:lineRule="exact"/>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2</w:t>
            </w:r>
            <w:r>
              <w:rPr>
                <w:rFonts w:ascii="Times New Roman" w:hAnsi="Times New Roman" w:eastAsia="楷体_GB2312"/>
                <w:color w:val="000000" w:themeColor="text1"/>
                <w:sz w:val="28"/>
                <w:szCs w:val="28"/>
                <w:highlight w:val="none"/>
                <w14:textFill>
                  <w14:solidFill>
                    <w14:schemeClr w14:val="tx1"/>
                  </w14:solidFill>
                </w14:textFill>
              </w:rPr>
              <w:t>6</w:t>
            </w:r>
          </w:p>
        </w:tc>
        <w:tc>
          <w:tcPr>
            <w:tcW w:w="1683" w:type="dxa"/>
            <w:vAlign w:val="center"/>
          </w:tcPr>
          <w:p>
            <w:pPr>
              <w:autoSpaceDE w:val="0"/>
              <w:autoSpaceDN w:val="0"/>
              <w:snapToGrid w:val="0"/>
              <w:spacing w:line="320" w:lineRule="exact"/>
              <w:jc w:val="center"/>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特别说明</w:t>
            </w:r>
          </w:p>
        </w:tc>
        <w:tc>
          <w:tcPr>
            <w:tcW w:w="7404" w:type="dxa"/>
            <w:vAlign w:val="center"/>
          </w:tcPr>
          <w:p>
            <w:pPr>
              <w:autoSpaceDE w:val="0"/>
              <w:autoSpaceDN w:val="0"/>
              <w:snapToGrid w:val="0"/>
              <w:spacing w:line="320" w:lineRule="exact"/>
              <w:textAlignment w:val="bottom"/>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公益一类事业单位不属于政府购买服务的承接主体，不得参与承接购买服务。</w:t>
            </w:r>
          </w:p>
        </w:tc>
      </w:tr>
    </w:tbl>
    <w:p>
      <w:pPr>
        <w:pageBreakBefore/>
        <w:spacing w:line="440" w:lineRule="exact"/>
        <w:ind w:firstLine="600" w:firstLineChars="200"/>
        <w:outlineLvl w:val="1"/>
        <w:rPr>
          <w:rFonts w:ascii="黑体" w:hAnsi="黑体" w:eastAsia="黑体"/>
          <w:color w:val="000000" w:themeColor="text1"/>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一、总则</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（一）适用范围</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仅适用于本次招标文件中采购项目的招标、投标、评标、定标、验收、合同履约、付款等行为（法律、法规另有规定的，从其规定）。</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（二）定义</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1.“招标方”：指组织本次招标的浙江省教育技术中心。</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2.“投标人”：指响应招标、参加投标竞争的法人、其他组织或者自然人。</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3.“采购人”：指委托招标方采购本次项目的国家机关、事业单位和团体组织。</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rFonts w:hint="eastAsia" w:ascii="Times New Roman" w:hAnsi="Times New Roman" w:eastAsia="仿宋_GB2312"/>
          <w:color w:val="000000" w:themeColor="text1"/>
          <w:sz w:val="30"/>
          <w:highlight w:val="none"/>
          <w14:textFill>
            <w14:solidFill>
              <w14:schemeClr w14:val="tx1"/>
            </w14:solidFill>
          </w14:textFill>
        </w:rPr>
        <w:t>货物：指招标文件规定投标人须向采购人提供的一切材料、设备、机械、仪器仪表、工具及其它有关技术资料和文字材料。</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5.“服务”：指招标文件规定投标人须承担</w:t>
      </w:r>
      <w:r>
        <w:rPr>
          <w:rFonts w:hint="eastAsia" w:ascii="Times New Roman" w:hAnsi="Times New Roman" w:eastAsia="仿宋_GB2312"/>
          <w:color w:val="000000" w:themeColor="text1"/>
          <w:sz w:val="30"/>
          <w:highlight w:val="none"/>
          <w:lang w:val="en-US" w:eastAsia="zh-CN"/>
          <w14:textFill>
            <w14:solidFill>
              <w14:schemeClr w14:val="tx1"/>
            </w14:solidFill>
          </w14:textFill>
        </w:rPr>
        <w:t>的</w:t>
      </w:r>
      <w:r>
        <w:rPr>
          <w:rFonts w:hint="eastAsia" w:ascii="仿宋_GB2312" w:hAnsi="仿宋" w:eastAsia="仿宋_GB2312" w:cs="Arial"/>
          <w:color w:val="000000" w:themeColor="text1"/>
          <w:sz w:val="30"/>
          <w:szCs w:val="30"/>
          <w:highlight w:val="none"/>
          <w14:textFill>
            <w14:solidFill>
              <w14:schemeClr w14:val="tx1"/>
            </w14:solidFill>
          </w14:textFill>
        </w:rPr>
        <w:t>安装、调试、技术协助、校准、培训、技术指导</w:t>
      </w:r>
      <w:r>
        <w:rPr>
          <w:rFonts w:hint="eastAsia" w:ascii="Times New Roman" w:hAnsi="Times New Roman" w:eastAsia="仿宋_GB2312"/>
          <w:color w:val="000000" w:themeColor="text1"/>
          <w:sz w:val="30"/>
          <w:highlight w:val="none"/>
          <w:lang w:val="en-US" w:eastAsia="zh-CN"/>
          <w14:textFill>
            <w14:solidFill>
              <w14:schemeClr w14:val="tx1"/>
            </w14:solidFill>
          </w14:textFill>
        </w:rPr>
        <w:t>等</w:t>
      </w:r>
      <w:r>
        <w:rPr>
          <w:rFonts w:hint="eastAsia" w:ascii="Times New Roman" w:hAnsi="Times New Roman" w:eastAsia="仿宋_GB2312"/>
          <w:color w:val="000000" w:themeColor="text1"/>
          <w:sz w:val="30"/>
          <w:highlight w:val="none"/>
          <w14:textFill>
            <w14:solidFill>
              <w14:schemeClr w14:val="tx1"/>
            </w14:solidFill>
          </w14:textFill>
        </w:rPr>
        <w:t>劳务以及其他类似的义务。</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6.“项目”：指投标人按招标文件规定向采购人提供的需求总称。</w:t>
      </w:r>
    </w:p>
    <w:p>
      <w:pPr>
        <w:spacing w:line="440" w:lineRule="exact"/>
        <w:ind w:firstLine="600"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7.</w:t>
      </w:r>
      <w:r>
        <w:rPr>
          <w:rFonts w:hint="eastAsia" w:ascii="Times New Roman" w:hAnsi="Times New Roman" w:eastAsia="仿宋_GB2312"/>
          <w:b/>
          <w:bCs/>
          <w:color w:val="000000" w:themeColor="text1"/>
          <w:sz w:val="30"/>
          <w:highlight w:val="none"/>
          <w14:textFill>
            <w14:solidFill>
              <w14:schemeClr w14:val="tx1"/>
            </w14:solidFill>
          </w14:textFill>
        </w:rPr>
        <w:t>中小企业：指在中华人民共和国境内依法设立，依据国务院批准的中小企业划分标准确定的中型企业、小型企业和微型企业，但与大企业的负责人为同一人，或者与大企业存在直接控股、管理关系的除外。</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符合中小企业划分标准的个体工商户，在政府采购活动中视同中小企业。</w:t>
      </w:r>
    </w:p>
    <w:p>
      <w:pPr>
        <w:spacing w:line="440" w:lineRule="exact"/>
        <w:ind w:firstLine="600" w:firstLineChars="200"/>
        <w:outlineLvl w:val="2"/>
        <w:rPr>
          <w:rFonts w:hint="eastAsia"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8.电子交易平台：指政府采购项目电子交易平台，即政采云平台。</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（三）投标人及委托有关说明</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如授权代表不是法定代表人，须有法定代表人出具的授权委托书（格式见附件）。投标人委派不在本单位缴纳社保的人员作为授权代表的，应当在投标文件中，说明具体原因、授权代表缴纳社保的单位，并附列该授权代表缴纳社保清单。</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2</w:t>
      </w:r>
      <w:r>
        <w:rPr>
          <w:rFonts w:hint="eastAsia" w:ascii="Times New Roman" w:hAnsi="Times New Roman" w:eastAsia="仿宋_GB2312"/>
          <w:color w:val="000000" w:themeColor="text1"/>
          <w:sz w:val="30"/>
          <w:highlight w:val="none"/>
          <w14:textFill>
            <w14:solidFill>
              <w14:schemeClr w14:val="tx1"/>
            </w14:solidFill>
          </w14:textFill>
        </w:rPr>
        <w:t>.投标人投标所使用的资格、信誉、荣誉、业绩与企业认证必须为本法人所拥有。投标人投标所使用的采购项目实施人员必须为本法人员工（或必须为本法人或控股公司正式员工）。</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3</w:t>
      </w:r>
      <w:r>
        <w:rPr>
          <w:rFonts w:hint="eastAsia" w:ascii="Times New Roman" w:hAnsi="Times New Roman" w:eastAsia="仿宋_GB2312"/>
          <w:color w:val="000000" w:themeColor="text1"/>
          <w:sz w:val="30"/>
          <w:highlight w:val="none"/>
          <w14:textFill>
            <w14:solidFill>
              <w14:schemeClr w14:val="tx1"/>
            </w14:solidFill>
          </w14:textFill>
        </w:rPr>
        <w:t>.单位负责人为同一人或者存在直接控股、管理关系的不同供应商，不得参加同一合同项下的政府采购活动。</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4</w:t>
      </w:r>
      <w:r>
        <w:rPr>
          <w:rFonts w:hint="eastAsia" w:ascii="Times New Roman" w:hAnsi="Times New Roman" w:eastAsia="仿宋_GB2312"/>
          <w:color w:val="000000" w:themeColor="text1"/>
          <w:sz w:val="30"/>
          <w:highlight w:val="none"/>
          <w14:textFill>
            <w14:solidFill>
              <w14:schemeClr w14:val="tx1"/>
            </w14:solidFill>
          </w14:textFill>
        </w:rPr>
        <w:t>.投标人应仔细阅读招标文件的所有内容，按照招标文件的要求提交投标文件，并对所提供的全部资料的真实性承担法律责任。</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（四）投标费用</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不论投标结果如何，投标人均应自行承担所有与投标有关的全部费用（招标文件有其他相反规定除外）。</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（五）质疑</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1.投标人认为采购文件使自己的权益受到损害的，可以自获取采购文件之日或者采购公告期限届满之日（公告期限届满后获取采购文件的，以公告期限届满之日为准）起7个工作日内，对采购文件需求</w:t>
      </w: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及评分标准</w:t>
      </w:r>
      <w:r>
        <w:rPr>
          <w:rFonts w:hint="eastAsia" w:ascii="Times New Roman" w:hAnsi="Times New Roman" w:eastAsia="仿宋_GB2312"/>
          <w:bCs w:val="0"/>
          <w:color w:val="000000" w:themeColor="text1"/>
          <w:sz w:val="30"/>
          <w:szCs w:val="22"/>
          <w:highlight w:val="none"/>
          <w14:textFill>
            <w14:solidFill>
              <w14:schemeClr w14:val="tx1"/>
            </w14:solidFill>
          </w14:textFill>
        </w:rPr>
        <w:t>的以书面形式向采购人提出质疑，对其他内容的以书面形式向采购人和招标方提出质疑。</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2.投标人认为招标过程或中标结果使自己的合法权益受到损害的，可以在中标结果公告期限届满之日起七个工作日内，对“资格审查”等由采购人负责的环节的以书面形式向采购人提出质疑，对其他内容的以书面形式向采购人和招标方提出质疑。</w:t>
      </w:r>
    </w:p>
    <w:p>
      <w:pPr>
        <w:snapToGrid w:val="0"/>
        <w:spacing w:beforeLines="0" w:after="156" w:line="440" w:lineRule="exact"/>
        <w:ind w:left="2" w:leftChars="1"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3.质疑应当以书面形式提出，格式见《政府采购质疑和投诉办法》（财政部令第94号）附件范本，下载网址：浙江政府采购网(</w:t>
      </w:r>
      <w:r>
        <w:rPr>
          <w:rFonts w:hint="eastAsia" w:ascii="Times New Roman" w:hAnsi="Times New Roman" w:eastAsia="仿宋_GB2312"/>
          <w:color w:val="000000" w:themeColor="text1"/>
          <w:sz w:val="30"/>
          <w:highlight w:val="none"/>
          <w14:textFill>
            <w14:solidFill>
              <w14:schemeClr w14:val="tx1"/>
            </w14:solidFill>
          </w14:textFill>
        </w:rPr>
        <w:fldChar w:fldCharType="begin"/>
      </w:r>
      <w:r>
        <w:rPr>
          <w:rFonts w:hint="eastAsia" w:ascii="Times New Roman" w:hAnsi="Times New Roman" w:eastAsia="仿宋_GB2312"/>
          <w:color w:val="000000" w:themeColor="text1"/>
          <w:sz w:val="30"/>
          <w:highlight w:val="none"/>
          <w14:textFill>
            <w14:solidFill>
              <w14:schemeClr w14:val="tx1"/>
            </w14:solidFill>
          </w14:textFill>
        </w:rPr>
        <w:instrText xml:space="preserve"> HYPERLINK "http://zfcg.czt.zj.gov.cn/" </w:instrText>
      </w:r>
      <w:r>
        <w:rPr>
          <w:rFonts w:hint="eastAsia" w:ascii="Times New Roman" w:hAnsi="Times New Roman" w:eastAsia="仿宋_GB2312"/>
          <w:color w:val="000000" w:themeColor="text1"/>
          <w:sz w:val="30"/>
          <w:highlight w:val="none"/>
          <w14:textFill>
            <w14:solidFill>
              <w14:schemeClr w14:val="tx1"/>
            </w14:solidFill>
          </w14:textFill>
        </w:rPr>
        <w:fldChar w:fldCharType="separate"/>
      </w:r>
      <w:r>
        <w:rPr>
          <w:rStyle w:val="38"/>
          <w:rFonts w:hint="eastAsia" w:ascii="Times New Roman" w:hAnsi="Times New Roman" w:eastAsia="仿宋_GB2312"/>
          <w:bCs w:val="0"/>
          <w:color w:val="000000" w:themeColor="text1"/>
          <w:sz w:val="30"/>
          <w:szCs w:val="22"/>
          <w:highlight w:val="none"/>
          <w14:textFill>
            <w14:solidFill>
              <w14:schemeClr w14:val="tx1"/>
            </w14:solidFill>
          </w14:textFill>
        </w:rPr>
        <w:t>http://zfcg.czt.zj.gov.cn/</w:t>
      </w:r>
      <w:r>
        <w:rPr>
          <w:rStyle w:val="38"/>
          <w:rFonts w:hint="eastAsia" w:ascii="Times New Roman" w:hAnsi="Times New Roman" w:eastAsia="仿宋_GB2312"/>
          <w:bCs w:val="0"/>
          <w:color w:val="000000" w:themeColor="text1"/>
          <w:sz w:val="30"/>
          <w:szCs w:val="22"/>
          <w:highlight w:val="none"/>
          <w14:textFill>
            <w14:solidFill>
              <w14:schemeClr w14:val="tx1"/>
            </w14:solidFill>
          </w14:textFill>
        </w:rPr>
        <w:fldChar w:fldCharType="end"/>
      </w:r>
      <w:r>
        <w:rPr>
          <w:rFonts w:hint="eastAsia" w:ascii="Times New Roman" w:hAnsi="Times New Roman" w:eastAsia="仿宋_GB2312"/>
          <w:bCs w:val="0"/>
          <w:color w:val="000000" w:themeColor="text1"/>
          <w:sz w:val="30"/>
          <w:szCs w:val="22"/>
          <w:highlight w:val="none"/>
          <w14:textFill>
            <w14:solidFill>
              <w14:schemeClr w14:val="tx1"/>
            </w14:solidFill>
          </w14:textFill>
        </w:rPr>
        <w:t>)，位置：“首页-下载专区-质疑投诉模板”。供应商提出质疑应当提交质疑函和必要的证明材料。供应商应当在法定质疑期内一次性提出针对同一采购程序环节的质疑。</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质疑函应当包括下列内容：</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a.供应商的姓名或者名称、地址、邮编、联系人及联系电话；</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b.质疑项目的名称、编号；</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c.具体、明确的质疑事项和与质疑事项相关的请求；</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d.事实依据；</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e.必要的法律依据；</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f.提出质疑的日期。</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spacing w:line="440" w:lineRule="exact"/>
        <w:ind w:firstLine="600" w:firstLineChars="200"/>
        <w:jc w:val="left"/>
        <w:outlineLvl w:val="9"/>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4. 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（六）招标文件的澄清与修改</w:t>
      </w:r>
    </w:p>
    <w:p>
      <w:pPr>
        <w:spacing w:line="440" w:lineRule="exact"/>
        <w:ind w:firstLine="600"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投标人应认真阅读本招标文件，发现其中表述不清楚、有错误或有不合理要求的，投标人应当在获取招标文件或者招标文件公告期限届满之日起7个工作日内以书面形式向采购人、招标方提出。采购人、招标方将在规定的时间内，在财政部门指定的政府采购信息发布媒体上发布更正公告，并以书面形式通知所有招标文件收受人。</w:t>
      </w:r>
      <w:r>
        <w:rPr>
          <w:rFonts w:hint="eastAsia" w:ascii="Times New Roman" w:hAnsi="Times New Roman" w:eastAsia="仿宋_GB2312"/>
          <w:b/>
          <w:bCs/>
          <w:color w:val="000000" w:themeColor="text1"/>
          <w:sz w:val="30"/>
          <w:highlight w:val="none"/>
          <w14:textFill>
            <w14:solidFill>
              <w14:schemeClr w14:val="tx1"/>
            </w14:solidFill>
          </w14:textFill>
        </w:rPr>
        <w:t>逾期提出的采购人、招标方将不予受理。</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2.采购人、招标方无论出于何种原因，均可主动对招标文件中的相关事项，用补充文件等方式进行澄清和修改。</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3.招标文件澄清、答复、修改、补充的内容为招标文件的组成部分。当招标文件与招标文件的答复、澄清、修改、补充通知就同一内容的表述不一致时，以最后发出的书面文件为准。</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二、投标文件的编制</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（一）投标文件编制工具</w:t>
      </w:r>
    </w:p>
    <w:p>
      <w:pPr>
        <w:wordWrap w:val="0"/>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投标文件编制工具为政采云电子交易客户端，请在浙江政府采购网（https://zfcg.czt.zj.gov.cn/）下载专区</w:t>
      </w:r>
      <w:r>
        <w:rPr>
          <w:rFonts w:hint="eastAsia" w:ascii="Times New Roman" w:hAnsi="Times New Roman" w:eastAsia="仿宋_GB2312"/>
          <w:color w:val="000000" w:themeColor="text1"/>
          <w:sz w:val="30"/>
          <w:highlight w:val="none"/>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0"/>
          <w:szCs w:val="22"/>
          <w:highlight w:val="none"/>
          <w:shd w:val="clear" w:fill="auto"/>
          <w14:textFill>
            <w14:solidFill>
              <w14:schemeClr w14:val="tx1"/>
            </w14:solidFill>
          </w14:textFill>
        </w:rPr>
        <w:t>下载专区</w:t>
      </w:r>
      <w:r>
        <w:rPr>
          <w:rFonts w:hint="eastAsia" w:ascii="Times New Roman" w:hAnsi="Times New Roman" w:eastAsia="仿宋_GB2312" w:cs="Times New Roman"/>
          <w:i w:val="0"/>
          <w:iCs w:val="0"/>
          <w:caps w:val="0"/>
          <w:color w:val="000000" w:themeColor="text1"/>
          <w:spacing w:val="0"/>
          <w:sz w:val="30"/>
          <w:szCs w:val="22"/>
          <w:highlight w:val="none"/>
          <w:shd w:val="clear"/>
          <w:lang w:val="en-US"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0"/>
          <w:szCs w:val="22"/>
          <w:highlight w:val="none"/>
          <w:shd w:val="clear" w:fill="auto"/>
          <w14:textFill>
            <w14:solidFill>
              <w14:schemeClr w14:val="tx1"/>
            </w14:solidFill>
          </w14:textFill>
        </w:rPr>
        <w:t> 电子交易客户端</w:t>
      </w:r>
      <w:r>
        <w:rPr>
          <w:rFonts w:hint="eastAsia" w:ascii="Times New Roman" w:hAnsi="Times New Roman" w:eastAsia="仿宋_GB2312" w:cs="Times New Roman"/>
          <w:i w:val="0"/>
          <w:iCs w:val="0"/>
          <w:caps w:val="0"/>
          <w:color w:val="000000" w:themeColor="text1"/>
          <w:spacing w:val="0"/>
          <w:sz w:val="30"/>
          <w:szCs w:val="22"/>
          <w:highlight w:val="none"/>
          <w:shd w:val="clear"/>
          <w:lang w:val="en-US"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0"/>
          <w:szCs w:val="22"/>
          <w:highlight w:val="none"/>
          <w:shd w:val="clear" w:fill="auto"/>
          <w14:textFill>
            <w14:solidFill>
              <w14:schemeClr w14:val="tx1"/>
            </w14:solidFill>
          </w14:textFill>
        </w:rPr>
        <w:t>政采云电子交易客户端</w:t>
      </w:r>
      <w:r>
        <w:rPr>
          <w:rFonts w:hint="eastAsia" w:ascii="Times New Roman" w:hAnsi="Times New Roman" w:eastAsia="仿宋_GB2312"/>
          <w:color w:val="000000" w:themeColor="text1"/>
          <w:sz w:val="30"/>
          <w:highlight w:val="none"/>
          <w:lang w:eastAsia="zh-CN"/>
          <w14:textFill>
            <w14:solidFill>
              <w14:schemeClr w14:val="tx1"/>
            </w14:solidFill>
          </w14:textFill>
        </w:rPr>
        <w:t>）</w:t>
      </w:r>
      <w:r>
        <w:rPr>
          <w:rFonts w:hint="eastAsia" w:ascii="Times New Roman" w:hAnsi="Times New Roman" w:eastAsia="仿宋_GB2312"/>
          <w:color w:val="000000" w:themeColor="text1"/>
          <w:sz w:val="30"/>
          <w:highlight w:val="none"/>
          <w14:textFill>
            <w14:solidFill>
              <w14:schemeClr w14:val="tx1"/>
            </w14:solidFill>
          </w14:textFill>
        </w:rPr>
        <w:t>自行下载并安装。</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（二）投标文件的组成</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本项目所称投标文件系指电子投标文件或备份投标文件。投标文件需按照本招标文件和电子交易平台的要求制作、加密并递交。</w:t>
      </w:r>
    </w:p>
    <w:p>
      <w:pPr>
        <w:spacing w:line="440" w:lineRule="exact"/>
        <w:ind w:firstLine="602" w:firstLineChars="200"/>
        <w:rPr>
          <w:rFonts w:ascii="仿宋_GB2312" w:hAnsi="Times New Roman"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bookmarkStart w:id="19" w:name="_Hlk75944613"/>
      <w:r>
        <w:rPr>
          <w:rFonts w:hint="eastAsia" w:ascii="Times New Roman" w:hAnsi="Times New Roman" w:eastAsia="仿宋_GB2312"/>
          <w:b/>
          <w:bCs/>
          <w:color w:val="000000" w:themeColor="text1"/>
          <w:sz w:val="30"/>
          <w:highlight w:val="none"/>
          <w14:textFill>
            <w14:solidFill>
              <w14:schemeClr w14:val="tx1"/>
            </w14:solidFill>
          </w14:textFill>
        </w:rPr>
        <w:t>每个标项的电子投标文件由资质文件、技术商务文件、投标报价文件三部</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分</w:t>
      </w:r>
      <w:r>
        <w:rPr>
          <w:rFonts w:hint="eastAsia" w:ascii="Times New Roman" w:hAnsi="Times New Roman" w:eastAsia="仿宋_GB2312"/>
          <w:b/>
          <w:bCs/>
          <w:color w:val="000000" w:themeColor="text1"/>
          <w:sz w:val="30"/>
          <w:highlight w:val="none"/>
          <w14:textFill>
            <w14:solidFill>
              <w14:schemeClr w14:val="tx1"/>
            </w14:solidFill>
          </w14:textFill>
        </w:rPr>
        <w:t>组成，具体详见“第六章  投标文件格式附件”。备份投标文件的组成和内容等同电子投标文件。</w:t>
      </w:r>
    </w:p>
    <w:bookmarkEnd w:id="19"/>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注：法定代表人授权委托书、投标声明书、投标报价明细表必须按招标文件格式要求正确签署并加盖投标人公章。投标文件中所须加盖公章部分均采用CA签章。</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（三）投标文件的效力</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电子投标文件未按时解密，投标人提供了备份投标文件的，以备份投标文件作为依据，否则视为投标文件撤回。电子投标文件已按时解密的，备份投标文件自动失效。</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（四）投标文件的语言及计量</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1.投标文件以及投标人与招标方就有关投标事宜的所有来往函电，均应以中文汉语简体字书写。除签字、盖章、专用名称等特殊情形外，以中文汉语以外的文字表述的投标文件视同未提供。</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2.投标计量单位，招标文件已有明确规定的，使用招标文件规定的计量单位；招标文件没有规定的，应采用中华人民共和国法定计量单位（货币单位：人民币元），否则视同未响应。</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（五）投标报价</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w:t>
      </w:r>
      <w:r>
        <w:rPr>
          <w:rFonts w:hint="eastAsia" w:ascii="Times New Roman" w:hAnsi="Times New Roman" w:eastAsia="仿宋_GB2312"/>
          <w:color w:val="000000" w:themeColor="text1"/>
          <w:sz w:val="30"/>
          <w:highlight w:val="none"/>
          <w14:textFill>
            <w14:solidFill>
              <w14:schemeClr w14:val="tx1"/>
            </w14:solidFill>
          </w14:textFill>
        </w:rPr>
        <w:t>投标报价应包含项目所需全部产品和（或）服务，不得缺漏，是履行合同的最终价格，包括货款</w:t>
      </w:r>
      <w:bookmarkStart w:id="20" w:name="_Hlk104205459"/>
      <w:r>
        <w:rPr>
          <w:rFonts w:hint="eastAsia" w:ascii="Times New Roman" w:hAnsi="Times New Roman" w:eastAsia="仿宋_GB2312"/>
          <w:color w:val="000000" w:themeColor="text1"/>
          <w:sz w:val="30"/>
          <w:highlight w:val="none"/>
          <w14:textFill>
            <w14:solidFill>
              <w14:schemeClr w14:val="tx1"/>
            </w14:solidFill>
          </w14:textFill>
        </w:rPr>
        <w:t>和（或）</w:t>
      </w:r>
      <w:bookmarkEnd w:id="20"/>
      <w:r>
        <w:rPr>
          <w:rFonts w:hint="eastAsia" w:ascii="Times New Roman" w:hAnsi="Times New Roman" w:eastAsia="仿宋_GB2312"/>
          <w:color w:val="000000" w:themeColor="text1"/>
          <w:sz w:val="30"/>
          <w:highlight w:val="none"/>
          <w14:textFill>
            <w14:solidFill>
              <w14:schemeClr w14:val="tx1"/>
            </w14:solidFill>
          </w14:textFill>
        </w:rPr>
        <w:t>服务费、标准附件、备品备件、专用工具、包装、运输、装卸、保险、货到就位以及安装、调试、培训、保修、税费等一切费用。</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3.投标报价单位金额到元为止，如投标报价总价出现角、分，将被抹除。</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4.资格文件、技术商务文件中不得出现投标报价信息，否则按无效标处理。</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5.投标人不得进行影响产品质量或者诚信履约的恶意报价。投标人在项目评审前准备好报价核算、报价明细、报价说明等材料，以备评审专家核查。</w:t>
      </w:r>
      <w:r>
        <w:rPr>
          <w:rFonts w:hint="eastAsia" w:ascii="Times New Roman" w:hAnsi="Times New Roman" w:eastAsia="仿宋_GB2312"/>
          <w:b/>
          <w:bCs/>
          <w:color w:val="000000" w:themeColor="text1"/>
          <w:sz w:val="30"/>
          <w:highlight w:val="none"/>
          <w:lang w:eastAsia="zh-CN"/>
          <w14:textFill>
            <w14:solidFill>
              <w14:schemeClr w14:val="tx1"/>
            </w14:solidFill>
          </w14:textFill>
        </w:rPr>
        <w:t>投标人</w:t>
      </w:r>
      <w:r>
        <w:rPr>
          <w:rFonts w:hint="eastAsia" w:ascii="Times New Roman" w:hAnsi="Times New Roman" w:eastAsia="仿宋_GB2312"/>
          <w:b/>
          <w:bCs/>
          <w:color w:val="000000" w:themeColor="text1"/>
          <w:sz w:val="30"/>
          <w:highlight w:val="none"/>
          <w14:textFill>
            <w14:solidFill>
              <w14:schemeClr w14:val="tx1"/>
            </w14:solidFill>
          </w14:textFill>
        </w:rPr>
        <w:t>报价低于项目预算50%的，应当在报价文件中详细阐述不影响产品质量或者诚信履约的具体原因。</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（六）投标文件的有效期</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1.自投标截止日起90日内投标文件应保持有效。有效期不足的投标文件将被拒绝。</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2.中标供应商的投标文件自开标之日起至合同履行完毕止均应保持有效。</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（七）投标文件的签署和包装</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1.电子投标文件</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1）投标人应根据本项目招标文件和电子交易平台规定的格式和顺序编制电子投标文件并进行关联定位，投标文件内容不完整、编排混乱、关联错误导致投标文件被误读、漏读或者查找不到相关内容的，是投标人的责任。</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（2）投标文件须由投标人在规定位置盖章并由法定代表人或法定代表人的授权委托人签署，投标人应写全称。</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（3）投标文件不得涂改，若有修改错漏处，须加盖投标人公章或者法定代表人或授权委托人签名或盖章。投标文件因字迹潦草或表达不清所引起的后果由投标人负责。</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2.投标人选择递交备份投标文件的，备份投标文件另须满足以下条件：</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（1）储存形式：以不可编辑的数据电文存入U盘；</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2）密封要求：外包装封面上应注明投标人名称、投标人地址、投标人联系方式（授权代表手机号码）、投标文件名称（备份投标文件）、投标项目名称、项目编号、标项及“开标时启封”字样，并加盖投标人公章。</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（八）串通投标认定</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有下列情形之一的，视为投标人串通投标，其投标无效：</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1.不同投标人的投标文件由同一单位或者个人编制</w:t>
      </w:r>
      <w:r>
        <w:rPr>
          <w:rFonts w:hint="eastAsia" w:ascii="仿宋" w:hAnsi="仿宋" w:eastAsia="仿宋" w:cs="仿宋"/>
          <w:color w:val="000000" w:themeColor="text1"/>
          <w:kern w:val="2"/>
          <w:sz w:val="28"/>
          <w:szCs w:val="28"/>
          <w:highlight w:val="none"/>
          <w:lang w:val="en-US" w:eastAsia="zh-CN" w:bidi="ar"/>
          <w14:textFill>
            <w14:solidFill>
              <w14:schemeClr w14:val="tx1"/>
            </w14:solidFill>
          </w14:textFill>
        </w:rPr>
        <w:t>或同一IP地址上传</w:t>
      </w:r>
      <w:r>
        <w:rPr>
          <w:rFonts w:hint="eastAsia" w:ascii="Times New Roman" w:hAnsi="Times New Roman" w:eastAsia="仿宋_GB2312"/>
          <w:color w:val="000000" w:themeColor="text1"/>
          <w:sz w:val="30"/>
          <w:highlight w:val="none"/>
          <w14:textFill>
            <w14:solidFill>
              <w14:schemeClr w14:val="tx1"/>
            </w14:solidFill>
          </w14:textFill>
        </w:rPr>
        <w:t>；</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2.不同投标人委托同一单位或者个人办理投标事宜；</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3.不同投标人的投标文件载明的项目管理成员或者联系人员为同一人；</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4.不同投标人的投标文件异常一致或者投标报价呈规律性差异；</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5.不同投标人的投标文件相互混装。</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（九）投标无效的情形</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在评审时，如发现下列情形之一的，投标文件将被视为无效：</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1.投标人未能提供合格的资格文件、投标有效期不足的；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2.投标人被列入失信被执行人、重大税收违法案件当事人名单、政府采购严重违法失信行为记录名单的；</w:t>
      </w:r>
    </w:p>
    <w:p>
      <w:pPr>
        <w:snapToGrid/>
        <w:spacing w:line="440" w:lineRule="exact"/>
        <w:ind w:firstLine="602" w:firstLineChars="200"/>
        <w:rPr>
          <w:rFonts w:hint="eastAsia" w:ascii="Times New Roman" w:hAnsi="Times New Roman" w:eastAsia="仿宋_GB2312"/>
          <w:b/>
          <w:bCs/>
          <w:color w:val="000000" w:themeColor="text1"/>
          <w:sz w:val="30"/>
          <w:szCs w:val="22"/>
          <w:highlight w:val="none"/>
          <w14:textFill>
            <w14:solidFill>
              <w14:schemeClr w14:val="tx1"/>
            </w14:solidFill>
          </w14:textFill>
        </w:rPr>
      </w:pPr>
      <w:r>
        <w:rPr>
          <w:rFonts w:hint="eastAsia" w:ascii="Times New Roman" w:hAnsi="Times New Roman" w:eastAsia="仿宋_GB2312"/>
          <w:b/>
          <w:bCs/>
          <w:color w:val="000000" w:themeColor="text1"/>
          <w:sz w:val="30"/>
          <w:szCs w:val="22"/>
          <w:highlight w:val="none"/>
          <w14:textFill>
            <w14:solidFill>
              <w14:schemeClr w14:val="tx1"/>
            </w14:solidFill>
          </w14:textFill>
        </w:rPr>
        <w:t>3.仅提供备份投标文件的；</w:t>
      </w:r>
    </w:p>
    <w:p>
      <w:pPr>
        <w:spacing w:line="440" w:lineRule="exact"/>
        <w:ind w:firstLine="602" w:firstLineChars="200"/>
        <w:rPr>
          <w:rFonts w:hint="eastAsia" w:ascii="Times New Roman" w:hAnsi="Times New Roman" w:eastAsia="仿宋_GB2312"/>
          <w:b/>
          <w:bCs/>
          <w:color w:val="000000" w:themeColor="text1"/>
          <w:sz w:val="30"/>
          <w:szCs w:val="22"/>
          <w:highlight w:val="none"/>
          <w14:textFill>
            <w14:solidFill>
              <w14:schemeClr w14:val="tx1"/>
            </w14:solidFill>
          </w14:textFill>
        </w:rPr>
      </w:pPr>
      <w:r>
        <w:rPr>
          <w:rFonts w:hint="eastAsia" w:ascii="Times New Roman" w:hAnsi="Times New Roman" w:eastAsia="仿宋_GB2312"/>
          <w:b/>
          <w:bCs/>
          <w:color w:val="000000" w:themeColor="text1"/>
          <w:sz w:val="30"/>
          <w:szCs w:val="22"/>
          <w:highlight w:val="none"/>
          <w14:textFill>
            <w14:solidFill>
              <w14:schemeClr w14:val="tx1"/>
            </w14:solidFill>
          </w14:textFill>
        </w:rPr>
        <w:t>4.电子投标文件解密失败，且未在规定时间内提交备份投标文件的；</w:t>
      </w:r>
    </w:p>
    <w:p>
      <w:pPr>
        <w:spacing w:line="440" w:lineRule="exact"/>
        <w:ind w:firstLine="602" w:firstLineChars="200"/>
        <w:rPr>
          <w:rFonts w:hint="eastAsia" w:ascii="Times New Roman" w:hAnsi="Times New Roman" w:eastAsia="仿宋_GB2312"/>
          <w:b/>
          <w:bCs/>
          <w:color w:val="000000" w:themeColor="text1"/>
          <w:sz w:val="30"/>
          <w:szCs w:val="22"/>
          <w:highlight w:val="none"/>
          <w14:textFill>
            <w14:solidFill>
              <w14:schemeClr w14:val="tx1"/>
            </w14:solidFill>
          </w14:textFill>
        </w:rPr>
      </w:pPr>
      <w:r>
        <w:rPr>
          <w:rFonts w:hint="eastAsia" w:ascii="Times New Roman" w:hAnsi="Times New Roman" w:eastAsia="仿宋_GB2312"/>
          <w:b/>
          <w:bCs/>
          <w:color w:val="000000" w:themeColor="text1"/>
          <w:sz w:val="30"/>
          <w:szCs w:val="22"/>
          <w:highlight w:val="none"/>
          <w14:textFill>
            <w14:solidFill>
              <w14:schemeClr w14:val="tx1"/>
            </w14:solidFill>
          </w14:textFill>
        </w:rPr>
        <w:t>5.电子投标文件解密失败，虽然在规定时间内提交了备份投标文件，但是备份投标文件无法导入或者无法读取或者不符合本招标文件和电子交易平台要求的；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6.投标文件未按招标文件要求签署、盖章的；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7.与招标文件有重大偏离、未满足带“▲”号实质性指标的投标文件；</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8.招标需求中要求提供的产品属于节能清单中政府强制采购节能产品品目的，投标人未提供该清单内产品的；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 w:val="0"/>
          <w:bCs w:val="0"/>
          <w:color w:val="000000" w:themeColor="text1"/>
          <w:sz w:val="30"/>
          <w:szCs w:val="22"/>
          <w:highlight w:val="none"/>
          <w14:textFill>
            <w14:solidFill>
              <w14:schemeClr w14:val="tx1"/>
            </w14:solidFill>
          </w14:textFill>
        </w:rPr>
        <w:t>9.</w:t>
      </w:r>
      <w:r>
        <w:rPr>
          <w:rFonts w:hint="eastAsia" w:ascii="Times New Roman" w:hAnsi="Times New Roman" w:eastAsia="仿宋_GB2312"/>
          <w:bCs w:val="0"/>
          <w:color w:val="000000" w:themeColor="text1"/>
          <w:sz w:val="30"/>
          <w:szCs w:val="22"/>
          <w:highlight w:val="none"/>
          <w14:textFill>
            <w14:solidFill>
              <w14:schemeClr w14:val="tx1"/>
            </w14:solidFill>
          </w14:textFill>
        </w:rPr>
        <w:t>投标报价超出招标文件中规定的预算金额或者最高限价的；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14:textFill>
            <w14:solidFill>
              <w14:schemeClr w14:val="tx1"/>
            </w14:solidFill>
          </w14:textFill>
        </w:rPr>
        <w:t>10.标项以赠送方式投标的、对一个标项提供两个投标方案或两个报价的；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11.</w:t>
      </w:r>
      <w:r>
        <w:rPr>
          <w:rFonts w:hint="eastAsia" w:ascii="Times New Roman" w:hAnsi="Times New Roman" w:eastAsia="仿宋_GB2312"/>
          <w:bCs w:val="0"/>
          <w:color w:val="000000" w:themeColor="text1"/>
          <w:sz w:val="30"/>
          <w:szCs w:val="22"/>
          <w:highlight w:val="none"/>
          <w14:textFill>
            <w14:solidFill>
              <w14:schemeClr w14:val="tx1"/>
            </w14:solidFill>
          </w14:textFill>
        </w:rPr>
        <w:t>评标委员会认为投标人的报价明显低于其他通过符合性审查投标人的报价，有可能影响产品质量或者不能诚信履约，且不能证明其报价合理性的；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12</w:t>
      </w:r>
      <w:r>
        <w:rPr>
          <w:rFonts w:hint="eastAsia" w:ascii="Times New Roman" w:hAnsi="Times New Roman" w:eastAsia="仿宋_GB2312"/>
          <w:bCs w:val="0"/>
          <w:color w:val="000000" w:themeColor="text1"/>
          <w:sz w:val="30"/>
          <w:szCs w:val="22"/>
          <w:highlight w:val="none"/>
          <w14:textFill>
            <w14:solidFill>
              <w14:schemeClr w14:val="tx1"/>
            </w14:solidFill>
          </w14:textFill>
        </w:rPr>
        <w:t>.投标人不接受报价文件中修正后的报价的；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13</w:t>
      </w:r>
      <w:r>
        <w:rPr>
          <w:rFonts w:hint="eastAsia" w:ascii="Times New Roman" w:hAnsi="Times New Roman" w:eastAsia="仿宋_GB2312"/>
          <w:bCs w:val="0"/>
          <w:color w:val="000000" w:themeColor="text1"/>
          <w:sz w:val="30"/>
          <w:szCs w:val="22"/>
          <w:highlight w:val="none"/>
          <w14:textFill>
            <w14:solidFill>
              <w14:schemeClr w14:val="tx1"/>
            </w14:solidFill>
          </w14:textFill>
        </w:rPr>
        <w:t>.未按本章“二、投标文件的编制”第七点投标报价要求报价的；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14</w:t>
      </w:r>
      <w:r>
        <w:rPr>
          <w:rFonts w:hint="eastAsia" w:ascii="Times New Roman" w:hAnsi="Times New Roman" w:eastAsia="仿宋_GB2312"/>
          <w:bCs w:val="0"/>
          <w:color w:val="000000" w:themeColor="text1"/>
          <w:sz w:val="30"/>
          <w:szCs w:val="22"/>
          <w:highlight w:val="none"/>
          <w14:textFill>
            <w14:solidFill>
              <w14:schemeClr w14:val="tx1"/>
            </w14:solidFill>
          </w14:textFill>
        </w:rPr>
        <w:t>.投标文件含有采购人不能接受的附加条件的；</w:t>
      </w:r>
    </w:p>
    <w:p>
      <w:pPr>
        <w:snapToGrid/>
        <w:spacing w:line="440" w:lineRule="exact"/>
        <w:ind w:firstLine="600" w:firstLineChars="200"/>
        <w:rPr>
          <w:rFonts w:hint="eastAsia" w:ascii="Times New Roman" w:hAnsi="Times New Roman" w:eastAsia="仿宋_GB2312"/>
          <w:bCs w:val="0"/>
          <w:color w:val="000000" w:themeColor="text1"/>
          <w:sz w:val="30"/>
          <w:szCs w:val="22"/>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15</w:t>
      </w:r>
      <w:r>
        <w:rPr>
          <w:rFonts w:hint="eastAsia" w:ascii="Times New Roman" w:hAnsi="Times New Roman" w:eastAsia="仿宋_GB2312"/>
          <w:bCs w:val="0"/>
          <w:color w:val="000000" w:themeColor="text1"/>
          <w:sz w:val="30"/>
          <w:szCs w:val="22"/>
          <w:highlight w:val="none"/>
          <w14:textFill>
            <w14:solidFill>
              <w14:schemeClr w14:val="tx1"/>
            </w14:solidFill>
          </w14:textFill>
        </w:rPr>
        <w:t>.投标人被视为串通投标的；</w:t>
      </w:r>
    </w:p>
    <w:p>
      <w:pPr>
        <w:spacing w:line="440" w:lineRule="exact"/>
        <w:ind w:firstLine="600" w:firstLineChars="200"/>
        <w:outlineLvl w:val="2"/>
        <w:rPr>
          <w:rFonts w:hint="eastAsia"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Cs w:val="0"/>
          <w:color w:val="000000" w:themeColor="text1"/>
          <w:sz w:val="30"/>
          <w:szCs w:val="22"/>
          <w:highlight w:val="none"/>
          <w:lang w:val="en-US" w:eastAsia="zh-CN"/>
          <w14:textFill>
            <w14:solidFill>
              <w14:schemeClr w14:val="tx1"/>
            </w14:solidFill>
          </w14:textFill>
        </w:rPr>
        <w:t>16</w:t>
      </w:r>
      <w:r>
        <w:rPr>
          <w:rFonts w:hint="eastAsia" w:ascii="Times New Roman" w:hAnsi="Times New Roman" w:eastAsia="仿宋_GB2312"/>
          <w:bCs w:val="0"/>
          <w:color w:val="000000" w:themeColor="text1"/>
          <w:sz w:val="30"/>
          <w:szCs w:val="22"/>
          <w:highlight w:val="none"/>
          <w14:textFill>
            <w14:solidFill>
              <w14:schemeClr w14:val="tx1"/>
            </w14:solidFill>
          </w14:textFill>
        </w:rPr>
        <w:t>.不符合法律、法规和本招标文件规定的其他实质性要求的。</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（十）错误修正</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电子交易平台客户端里开标一览表录入的投标报价信息与扫描上传的报价文件不一致的，以扫描上传的报价文件为准。</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投标文件报价出现前后不一致的，除招标文件另有规定外，按照下列规定修正：</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1.投标文件中开标一览表（报价表）内容与投标文件中相应内容不一致的，以开标一览表（报价表）为准；</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2.大写金额和小写金额不一致的，以大写金额为准；</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3.单价金额小数点或者百分比有明显错位的，以开标一览表的总价为准，并修改单价；</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4.总价金额与按单价汇总金额不一致的，以单价金额计算结果为准。</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同时出现两种以上不一致的，按照前款规定的顺序修正。修正后的报价经投标人加盖公章后产生约束力，投标人不确认的，其投标无效。</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bookmarkStart w:id="21" w:name="_Toc421271096"/>
      <w:r>
        <w:rPr>
          <w:rFonts w:hint="eastAsia" w:ascii="Times New Roman" w:hAnsi="Times New Roman" w:eastAsia="仿宋_GB2312"/>
          <w:b/>
          <w:bCs/>
          <w:color w:val="000000" w:themeColor="text1"/>
          <w:sz w:val="30"/>
          <w:highlight w:val="none"/>
          <w14:textFill>
            <w14:solidFill>
              <w14:schemeClr w14:val="tx1"/>
            </w14:solidFill>
          </w14:textFill>
        </w:rPr>
        <w:t>（十一）采购过程中的异常情况及处理措施</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采购过程中出现以下情形，导致电子交易平台无法正常运行，或者无法保证电子交易的公平、公正和安全时，招标方可中止电子交易活动：</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1.电子交易平台发生故障而无法登录访问的；</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2.电子交易平台应用或数据库出现错误，不能进行正常操作的；</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3.电子交易平台发现严重安全漏洞，有潜在泄密危险的；</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4.病毒等情况导致不能进行正常操作的；</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5.其他无法保证电子交易的公平、公正和安全的情况。</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出现前款规定情形，不影响采购公平、公正性的，招标方可以待上述情形消除后继续组织电子交易活动，也可以决定某些环节以纸质形式进行；影响或可能影响采购公平、公正性的，应当重新组织采购活动。</w:t>
      </w:r>
    </w:p>
    <w:bookmarkEnd w:id="21"/>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三、组织开评标程序及</w:t>
      </w:r>
      <w:r>
        <w:rPr>
          <w:rFonts w:hint="eastAsia" w:ascii="黑体" w:hAnsi="黑体" w:eastAsia="黑体"/>
          <w:color w:val="000000" w:themeColor="text1"/>
          <w:sz w:val="30"/>
          <w:szCs w:val="30"/>
          <w:highlight w:val="none"/>
          <w:lang w:eastAsia="zh-CN"/>
          <w14:textFill>
            <w14:solidFill>
              <w14:schemeClr w14:val="tx1"/>
            </w14:solidFill>
          </w14:textFill>
        </w:rPr>
        <w:t>评标委员会</w:t>
      </w:r>
      <w:r>
        <w:rPr>
          <w:rFonts w:hint="eastAsia" w:ascii="黑体" w:hAnsi="黑体" w:eastAsia="黑体"/>
          <w:color w:val="000000" w:themeColor="text1"/>
          <w:sz w:val="30"/>
          <w:szCs w:val="30"/>
          <w:highlight w:val="none"/>
          <w14:textFill>
            <w14:solidFill>
              <w14:schemeClr w14:val="tx1"/>
            </w14:solidFill>
          </w14:textFill>
        </w:rPr>
        <w:t>的评审程序</w:t>
      </w:r>
    </w:p>
    <w:p>
      <w:pPr>
        <w:spacing w:line="440" w:lineRule="exact"/>
        <w:ind w:firstLine="602" w:firstLineChars="200"/>
        <w:outlineLvl w:val="2"/>
        <w:rPr>
          <w:rFonts w:hint="eastAsia" w:ascii="Times New Roman" w:hAnsi="Times New Roman" w:eastAsia="仿宋_GB2312"/>
          <w:b/>
          <w:bCs/>
          <w:color w:val="000000" w:themeColor="text1"/>
          <w:sz w:val="30"/>
          <w:highlight w:val="none"/>
          <w:lang w:val="en-US" w:eastAsia="zh-CN"/>
          <w14:textFill>
            <w14:solidFill>
              <w14:schemeClr w14:val="tx1"/>
            </w14:solidFill>
          </w14:textFill>
        </w:rPr>
      </w:pPr>
      <w:r>
        <w:rPr>
          <w:rFonts w:hint="eastAsia" w:ascii="Times New Roman" w:hAnsi="Times New Roman" w:eastAsia="仿宋_GB2312"/>
          <w:b/>
          <w:bCs/>
          <w:color w:val="000000" w:themeColor="text1"/>
          <w:sz w:val="30"/>
          <w:highlight w:val="none"/>
          <w:lang w:eastAsia="zh-CN"/>
          <w14:textFill>
            <w14:solidFill>
              <w14:schemeClr w14:val="tx1"/>
            </w14:solidFill>
          </w14:textFill>
        </w:rPr>
        <w:t>（</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一</w:t>
      </w:r>
      <w:r>
        <w:rPr>
          <w:rFonts w:hint="eastAsia" w:ascii="Times New Roman" w:hAnsi="Times New Roman" w:eastAsia="仿宋_GB2312"/>
          <w:b/>
          <w:bCs/>
          <w:color w:val="000000" w:themeColor="text1"/>
          <w:sz w:val="30"/>
          <w:highlight w:val="none"/>
          <w:lang w:eastAsia="zh-CN"/>
          <w14:textFill>
            <w14:solidFill>
              <w14:schemeClr w14:val="tx1"/>
            </w14:solidFill>
          </w14:textFill>
        </w:rPr>
        <w:t>）</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组建评标委员会</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本项目评标委员会由政府采购评审专家或政府采购评审专家和采购人代表按《中华人民共和国政府采购法》相关要求组成，政府采购评审专家在专家库中依法抽取，评标委员会成员由5人（含）以上奇数组成。</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二</w:t>
      </w:r>
      <w:r>
        <w:rPr>
          <w:rFonts w:hint="eastAsia" w:ascii="Times New Roman" w:hAnsi="Times New Roman" w:eastAsia="仿宋_GB2312"/>
          <w:b/>
          <w:bCs/>
          <w:color w:val="000000" w:themeColor="text1"/>
          <w:sz w:val="30"/>
          <w:highlight w:val="none"/>
          <w14:textFill>
            <w14:solidFill>
              <w14:schemeClr w14:val="tx1"/>
            </w14:solidFill>
          </w14:textFill>
        </w:rPr>
        <w:t>）组织开标程序</w:t>
      </w:r>
    </w:p>
    <w:p>
      <w:pPr>
        <w:spacing w:line="440" w:lineRule="exact"/>
        <w:ind w:firstLine="600"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lang w:val="en-US"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将按照招标文件规定的时间、地点和程序组织开标，</w:t>
      </w:r>
      <w:r>
        <w:rPr>
          <w:rFonts w:hint="eastAsia" w:ascii="Times New Roman" w:hAnsi="Times New Roman" w:eastAsia="仿宋_GB2312"/>
          <w:b/>
          <w:bCs/>
          <w:color w:val="000000" w:themeColor="text1"/>
          <w:sz w:val="30"/>
          <w:highlight w:val="none"/>
          <w14:textFill>
            <w14:solidFill>
              <w14:schemeClr w14:val="tx1"/>
            </w14:solidFill>
          </w14:textFill>
        </w:rPr>
        <w:t>各投标人授权代表及相关人员均应当准时在线参加</w:t>
      </w:r>
      <w:r>
        <w:rPr>
          <w:rFonts w:hint="eastAsia" w:ascii="Times New Roman" w:hAnsi="Times New Roman" w:eastAsia="仿宋_GB2312"/>
          <w:color w:val="000000" w:themeColor="text1"/>
          <w:sz w:val="30"/>
          <w:highlight w:val="none"/>
          <w14:textFill>
            <w14:solidFill>
              <w14:schemeClr w14:val="tx1"/>
            </w14:solidFill>
          </w14:textFill>
        </w:rPr>
        <w:t>，无关人员不得进入开标现场。</w:t>
      </w:r>
      <w:r>
        <w:rPr>
          <w:rFonts w:hint="eastAsia" w:ascii="Times New Roman" w:hAnsi="Times New Roman" w:eastAsia="仿宋_GB2312"/>
          <w:b/>
          <w:bCs/>
          <w:color w:val="000000" w:themeColor="text1"/>
          <w:sz w:val="30"/>
          <w:highlight w:val="none"/>
          <w14:textFill>
            <w14:solidFill>
              <w14:schemeClr w14:val="tx1"/>
            </w14:solidFill>
          </w14:textFill>
        </w:rPr>
        <w:t>投标人如未准时在线参加的，事后不得对采购相关人员、开标过程和开标结果提出异议。</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1.落实工作场地、设施，检查录音录像采集设备运行情况，验证电子交易平台是否能正常登录。</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2.开标会由</w:t>
      </w:r>
      <w:r>
        <w:rPr>
          <w:rFonts w:hint="eastAsia" w:ascii="Times New Roman" w:hAnsi="Times New Roman" w:eastAsia="仿宋_GB2312"/>
          <w:color w:val="000000" w:themeColor="text1"/>
          <w:sz w:val="30"/>
          <w:highlight w:val="none"/>
          <w:lang w:val="en-US"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主持，主持人介绍开标现场的人员情况，宣读递交投标文件的供应商名单、开标纪律、应当回避的情形等注意事项。</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3.投标截止时，电子交易平台自动提取所有电子投标文件。招标方点击[开始解密]按钮后，投标人可以在线解密，解密时限为30分钟。</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4.投标人应当在解密时限内完成解密，如所有投标人的电子投标文件都已经解密完成的，则电子交易平台自动结束解密。如有任一投标人未解密，电子交易平台会在解密时限截止时自动结束解密。</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解密时限内未完成解密且按规定提供了备份投标文件的，</w:t>
      </w:r>
      <w:r>
        <w:rPr>
          <w:rFonts w:hint="eastAsia" w:ascii="Times New Roman" w:hAnsi="Times New Roman" w:eastAsia="仿宋_GB2312"/>
          <w:color w:val="000000" w:themeColor="text1"/>
          <w:sz w:val="30"/>
          <w:highlight w:val="none"/>
          <w:lang w:val="en-US"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将拆封其备份投标文件，并导入电子交易平台。</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5.资信及商务、技术评审结束后，主持人通过电子交易平台宣告资信及商务、技术评审无效供应商名称及理由，有效供应商的资信及商务、技术得分情况。</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default" w:ascii="Times New Roman" w:hAnsi="Times New Roman" w:eastAsia="仿宋_GB2312"/>
          <w:color w:val="000000" w:themeColor="text1"/>
          <w:sz w:val="30"/>
          <w:highlight w:val="none"/>
          <w:lang w:val="en-US"/>
          <w14:textFill>
            <w14:solidFill>
              <w14:schemeClr w14:val="tx1"/>
            </w14:solidFill>
          </w14:textFill>
        </w:rPr>
        <w:t>6</w:t>
      </w:r>
      <w:r>
        <w:rPr>
          <w:rFonts w:hint="eastAsia" w:ascii="Times New Roman" w:hAnsi="Times New Roman" w:eastAsia="仿宋_GB2312"/>
          <w:color w:val="000000" w:themeColor="text1"/>
          <w:sz w:val="30"/>
          <w:highlight w:val="none"/>
          <w14:textFill>
            <w14:solidFill>
              <w14:schemeClr w14:val="tx1"/>
            </w14:solidFill>
          </w14:textFill>
        </w:rPr>
        <w:t>.招标方在电子交易平台开启供应商报价文件，投标人对报价信息进行确认。投标人对报价信息不予确认的不影响后续评标过程。</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default" w:ascii="Times New Roman" w:hAnsi="Times New Roman" w:eastAsia="仿宋_GB2312"/>
          <w:color w:val="000000" w:themeColor="text1"/>
          <w:sz w:val="30"/>
          <w:highlight w:val="none"/>
          <w:lang w:val="en-US"/>
          <w14:textFill>
            <w14:solidFill>
              <w14:schemeClr w14:val="tx1"/>
            </w14:solidFill>
          </w14:textFill>
        </w:rPr>
        <w:t>7</w:t>
      </w:r>
      <w:r>
        <w:rPr>
          <w:rFonts w:hint="eastAsia" w:ascii="Times New Roman" w:hAnsi="Times New Roman" w:eastAsia="仿宋_GB2312"/>
          <w:color w:val="000000" w:themeColor="text1"/>
          <w:sz w:val="30"/>
          <w:highlight w:val="none"/>
          <w14:textFill>
            <w14:solidFill>
              <w14:schemeClr w14:val="tx1"/>
            </w14:solidFill>
          </w14:textFill>
        </w:rPr>
        <w:t>.评标委员会经商议认为需要投标人作出必要澄清或说明的</w:t>
      </w:r>
      <w:bookmarkStart w:id="22" w:name="_Hlk68599606"/>
      <w:r>
        <w:rPr>
          <w:rFonts w:hint="eastAsia" w:ascii="Times New Roman" w:hAnsi="Times New Roman" w:eastAsia="仿宋_GB2312"/>
          <w:color w:val="000000" w:themeColor="text1"/>
          <w:sz w:val="30"/>
          <w:highlight w:val="none"/>
          <w14:textFill>
            <w14:solidFill>
              <w14:schemeClr w14:val="tx1"/>
            </w14:solidFill>
          </w14:textFill>
        </w:rPr>
        <w:t>，应当通过电子交易平台交换数据电文</w:t>
      </w:r>
      <w:bookmarkEnd w:id="22"/>
      <w:r>
        <w:rPr>
          <w:rFonts w:hint="eastAsia" w:ascii="Times New Roman" w:hAnsi="Times New Roman" w:eastAsia="仿宋_GB2312"/>
          <w:color w:val="000000" w:themeColor="text1"/>
          <w:sz w:val="30"/>
          <w:highlight w:val="none"/>
          <w14:textFill>
            <w14:solidFill>
              <w14:schemeClr w14:val="tx1"/>
            </w14:solidFill>
          </w14:textFill>
        </w:rPr>
        <w:t>。评标委员会给予投标人提交澄清或说明的时间为半小时，投标人已经明确表示澄清或说明完毕的除外。</w:t>
      </w:r>
      <w:r>
        <w:rPr>
          <w:rFonts w:hint="eastAsia" w:ascii="Times New Roman" w:hAnsi="Times New Roman" w:eastAsia="仿宋_GB2312"/>
          <w:b w:val="0"/>
          <w:bCs w:val="0"/>
          <w:color w:val="000000" w:themeColor="text1"/>
          <w:sz w:val="30"/>
          <w:szCs w:val="22"/>
          <w:highlight w:val="none"/>
          <w14:textFill>
            <w14:solidFill>
              <w14:schemeClr w14:val="tx1"/>
            </w14:solidFill>
          </w14:textFill>
        </w:rPr>
        <w:t>澄清说明环节评标委员会可以通过电子交易平台发出“视频会议”邀请，与相关供应商以视频会议形式进行，并在平台“讨论”组件中进行数据电文交换。如若评审过程中，电子交易平台出现视频会议连接失败等情况，按原方式在电子交易平台与供应商交换数据电文。</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default" w:ascii="Times New Roman" w:hAnsi="Times New Roman" w:eastAsia="仿宋_GB2312"/>
          <w:color w:val="000000" w:themeColor="text1"/>
          <w:sz w:val="30"/>
          <w:highlight w:val="none"/>
          <w:lang w:val="en-US"/>
          <w14:textFill>
            <w14:solidFill>
              <w14:schemeClr w14:val="tx1"/>
            </w14:solidFill>
          </w14:textFill>
        </w:rPr>
        <w:t>8</w:t>
      </w:r>
      <w:r>
        <w:rPr>
          <w:rFonts w:hint="eastAsia" w:ascii="Times New Roman" w:hAnsi="Times New Roman" w:eastAsia="仿宋_GB2312"/>
          <w:color w:val="000000" w:themeColor="text1"/>
          <w:sz w:val="30"/>
          <w:highlight w:val="none"/>
          <w14:textFill>
            <w14:solidFill>
              <w14:schemeClr w14:val="tx1"/>
            </w14:solidFill>
          </w14:textFill>
        </w:rPr>
        <w:t>.在电子交易平台上公布评审结果。</w:t>
      </w:r>
    </w:p>
    <w:p>
      <w:pPr>
        <w:spacing w:line="440" w:lineRule="exact"/>
        <w:ind w:firstLine="602" w:firstLineChars="200"/>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特别说明：政采云公司如对电子化开标及评审程序有调整的，按调整后的程序操作。</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三</w:t>
      </w:r>
      <w:r>
        <w:rPr>
          <w:rFonts w:hint="eastAsia" w:ascii="Times New Roman" w:hAnsi="Times New Roman" w:eastAsia="仿宋_GB2312"/>
          <w:b/>
          <w:bCs/>
          <w:color w:val="000000" w:themeColor="text1"/>
          <w:sz w:val="30"/>
          <w:highlight w:val="none"/>
          <w14:textFill>
            <w14:solidFill>
              <w14:schemeClr w14:val="tx1"/>
            </w14:solidFill>
          </w14:textFill>
        </w:rPr>
        <w:t>）组织评标程序</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lang w:val="en-US"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将按照招标文件规定的时间、地点和程序组织评标，各评审专家及相关人员应参加评审活动并接受核验、签到，无关人员不得进入评审现场。</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w:t>
      </w:r>
      <w:r>
        <w:rPr>
          <w:rFonts w:ascii="Times New Roman" w:hAnsi="Times New Roman" w:eastAsia="仿宋_GB2312"/>
          <w:color w:val="000000" w:themeColor="text1"/>
          <w:sz w:val="30"/>
          <w:highlight w:val="none"/>
          <w14:textFill>
            <w14:solidFill>
              <w14:schemeClr w14:val="tx1"/>
            </w14:solidFill>
          </w14:textFill>
        </w:rPr>
        <w:t>.</w:t>
      </w:r>
      <w:r>
        <w:rPr>
          <w:rFonts w:hint="eastAsia" w:ascii="Times New Roman" w:hAnsi="Times New Roman" w:eastAsia="仿宋_GB2312"/>
          <w:color w:val="000000" w:themeColor="text1"/>
          <w:sz w:val="30"/>
          <w:highlight w:val="none"/>
          <w14:textFill>
            <w14:solidFill>
              <w14:schemeClr w14:val="tx1"/>
            </w14:solidFill>
          </w14:textFill>
        </w:rPr>
        <w:t>开启评标场地录音录像采集设备，并确保正常运行。</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2</w:t>
      </w:r>
      <w:r>
        <w:rPr>
          <w:rFonts w:hint="eastAsia" w:ascii="Times New Roman" w:hAnsi="Times New Roman" w:eastAsia="仿宋_GB2312"/>
          <w:color w:val="000000" w:themeColor="text1"/>
          <w:sz w:val="30"/>
          <w:highlight w:val="none"/>
          <w14:textFill>
            <w14:solidFill>
              <w14:schemeClr w14:val="tx1"/>
            </w14:solidFill>
          </w14:textFill>
        </w:rPr>
        <w:t>.核验出席评审活动现场的</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各成员和相关监督人员身份，并要求其分别登记、签到，按规定统一收缴、保存其通讯工具，无关人员一律拒绝其进入评审现场。</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3</w:t>
      </w:r>
      <w:r>
        <w:rPr>
          <w:rFonts w:hint="eastAsia" w:ascii="Times New Roman" w:hAnsi="Times New Roman" w:eastAsia="仿宋_GB2312"/>
          <w:color w:val="000000" w:themeColor="text1"/>
          <w:sz w:val="30"/>
          <w:highlight w:val="none"/>
          <w14:textFill>
            <w14:solidFill>
              <w14:schemeClr w14:val="tx1"/>
            </w14:solidFill>
          </w14:textFill>
        </w:rPr>
        <w:t>.介绍评审现场的人员情况，宣布评审工作纪律，告知评审人员应当回避情形；组织推选组长。</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4</w:t>
      </w:r>
      <w:r>
        <w:rPr>
          <w:rFonts w:hint="eastAsia" w:ascii="Times New Roman" w:hAnsi="Times New Roman" w:eastAsia="仿宋_GB2312"/>
          <w:color w:val="000000" w:themeColor="text1"/>
          <w:sz w:val="30"/>
          <w:highlight w:val="none"/>
          <w14:textFill>
            <w14:solidFill>
              <w14:schemeClr w14:val="tx1"/>
            </w14:solidFill>
          </w14:textFill>
        </w:rPr>
        <w:t>.宣读提交投标文件的供应商名单，组织</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各位成员签订《政府采购评审人员廉洁自律承诺书》。</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5</w:t>
      </w:r>
      <w:r>
        <w:rPr>
          <w:rFonts w:hint="eastAsia" w:ascii="Times New Roman" w:hAnsi="Times New Roman" w:eastAsia="仿宋_GB2312"/>
          <w:color w:val="000000" w:themeColor="text1"/>
          <w:sz w:val="30"/>
          <w:highlight w:val="none"/>
          <w14:textFill>
            <w14:solidFill>
              <w14:schemeClr w14:val="tx1"/>
            </w14:solidFill>
          </w14:textFill>
        </w:rPr>
        <w:t>.采购人可以在评标前说明项目背景和采购需求，说明内容不得含有歧视性、倾向性意见，不得超出招标文件所述范围。说明应当提交书面材料，并随采购文件一并存档。</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6</w:t>
      </w:r>
      <w:r>
        <w:rPr>
          <w:rFonts w:hint="eastAsia" w:ascii="Times New Roman" w:hAnsi="Times New Roman" w:eastAsia="仿宋_GB2312"/>
          <w:color w:val="000000" w:themeColor="text1"/>
          <w:sz w:val="30"/>
          <w:highlight w:val="none"/>
          <w14:textFill>
            <w14:solidFill>
              <w14:schemeClr w14:val="tx1"/>
            </w14:solidFill>
          </w14:textFill>
        </w:rPr>
        <w:t>.根据需要简要介绍招标文件（含补充文件）制定及质疑答复情况、按书面陈述项目基本情况及评审工作需注意事项等，让评审专家尽快知悉和了解所评审项目的采购需求、评审依据、评审标准、工作程序等；提醒</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对客观评审项目应统一评审依据和评审标准，对主观评审项目应确定大致的评审要求和评审尺度；对评审人员提出的有关招标文件、投标文件的问题进行必要的说明、解释或讨论。</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7</w:t>
      </w:r>
      <w:r>
        <w:rPr>
          <w:rFonts w:hint="eastAsia" w:ascii="Times New Roman" w:hAnsi="Times New Roman" w:eastAsia="仿宋_GB2312"/>
          <w:color w:val="000000" w:themeColor="text1"/>
          <w:sz w:val="30"/>
          <w:highlight w:val="none"/>
          <w14:textFill>
            <w14:solidFill>
              <w14:schemeClr w14:val="tx1"/>
            </w14:solidFill>
          </w14:textFill>
        </w:rPr>
        <w:t>.采购人代表对投标人资格文件进行审查并以开标当日为准对投标人“信用中国”网站（www.creditchina.gov.cn）、中国政府采购网（www.ccgp.gov.cn）信用记录情况进行核实，资格不符合的，应组织相关投标人代表进行陈述、澄清或申辩。</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8</w:t>
      </w:r>
      <w:r>
        <w:rPr>
          <w:rFonts w:hint="eastAsia" w:ascii="Times New Roman" w:hAnsi="Times New Roman" w:eastAsia="仿宋_GB2312"/>
          <w:color w:val="000000" w:themeColor="text1"/>
          <w:sz w:val="30"/>
          <w:highlight w:val="none"/>
          <w14:textFill>
            <w14:solidFill>
              <w14:schemeClr w14:val="tx1"/>
            </w14:solidFill>
          </w14:textFill>
        </w:rPr>
        <w:t>.</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组长组织评审人员独立评审。</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对拟认定为投标文件无效、供应商资格不符合的，应组织相关供应商代表进行陈述、澄清或申辩；</w:t>
      </w:r>
      <w:r>
        <w:rPr>
          <w:rFonts w:hint="eastAsia" w:ascii="Times New Roman" w:hAnsi="Times New Roman" w:eastAsia="仿宋_GB2312"/>
          <w:color w:val="000000" w:themeColor="text1"/>
          <w:sz w:val="30"/>
          <w:highlight w:val="none"/>
          <w:lang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可协助</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组长对打分结果进行校对、核对并汇总统计；对明显畸高、畸低的评分（其总评分偏离平均分30%以上的），</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组长应提醒相关评审人员进行复核或书面说明理由，评审人员拒绝说明的，由现场监督员据实记录；评审人员的评审、修改记录应保留原件，随项目其他资料一并存档。</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9</w:t>
      </w:r>
      <w:r>
        <w:rPr>
          <w:rFonts w:hint="eastAsia" w:ascii="Times New Roman" w:hAnsi="Times New Roman" w:eastAsia="仿宋_GB2312"/>
          <w:color w:val="000000" w:themeColor="text1"/>
          <w:sz w:val="30"/>
          <w:highlight w:val="none"/>
          <w14:textFill>
            <w14:solidFill>
              <w14:schemeClr w14:val="tx1"/>
            </w14:solidFill>
          </w14:textFill>
        </w:rPr>
        <w:t>.做好评审现场相关记录，协助</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组长做好评审报告起草、有关内容电脑文字录入等工作，并要求</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各成员签字确认。</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ascii="Times New Roman" w:hAnsi="Times New Roman" w:eastAsia="仿宋_GB2312"/>
          <w:color w:val="000000" w:themeColor="text1"/>
          <w:sz w:val="30"/>
          <w:highlight w:val="none"/>
          <w14:textFill>
            <w14:solidFill>
              <w14:schemeClr w14:val="tx1"/>
            </w14:solidFill>
          </w14:textFill>
        </w:rPr>
        <w:t>10</w:t>
      </w:r>
      <w:r>
        <w:rPr>
          <w:rFonts w:hint="eastAsia" w:ascii="Times New Roman" w:hAnsi="Times New Roman" w:eastAsia="仿宋_GB2312"/>
          <w:color w:val="000000" w:themeColor="text1"/>
          <w:sz w:val="30"/>
          <w:highlight w:val="none"/>
          <w14:textFill>
            <w14:solidFill>
              <w14:schemeClr w14:val="tx1"/>
            </w14:solidFill>
          </w14:textFill>
        </w:rPr>
        <w:t>.评审结束后，</w:t>
      </w:r>
      <w:r>
        <w:rPr>
          <w:rFonts w:hint="eastAsia" w:ascii="Times New Roman" w:hAnsi="Times New Roman" w:eastAsia="仿宋_GB2312"/>
          <w:color w:val="000000" w:themeColor="text1"/>
          <w:sz w:val="30"/>
          <w:highlight w:val="none"/>
          <w:lang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应对</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各成员的专业水平、职业道德、遵纪守法等情况进行评价；同时按规定向评审专家发放评审费，并交还评审人员及其他现场相关人员的通讯工具。</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11.</w:t>
      </w:r>
      <w:r>
        <w:rPr>
          <w:rFonts w:hint="eastAsia" w:ascii="Times New Roman" w:hAnsi="Times New Roman" w:eastAsia="仿宋_GB2312"/>
          <w:color w:val="000000" w:themeColor="text1"/>
          <w:sz w:val="30"/>
          <w:highlight w:val="none"/>
          <w:lang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将在《中标公告》中，公开评标委员会对每个投标人的《评分明细》以及《得分汇总表》情况。</w:t>
      </w:r>
    </w:p>
    <w:p>
      <w:pPr>
        <w:spacing w:line="440" w:lineRule="exact"/>
        <w:ind w:firstLine="602" w:firstLineChars="200"/>
        <w:outlineLvl w:val="2"/>
        <w:rPr>
          <w:rFonts w:ascii="Times New Roman" w:hAnsi="Times New Roman" w:eastAsia="仿宋_GB2312"/>
          <w:b/>
          <w:bCs/>
          <w:color w:val="000000" w:themeColor="text1"/>
          <w:sz w:val="30"/>
          <w:highlight w:val="none"/>
          <w14:textFill>
            <w14:solidFill>
              <w14:schemeClr w14:val="tx1"/>
            </w14:solidFill>
          </w14:textFill>
        </w:rPr>
      </w:pPr>
      <w:r>
        <w:rPr>
          <w:rFonts w:hint="eastAsia" w:ascii="Times New Roman" w:hAnsi="Times New Roman" w:eastAsia="仿宋_GB2312"/>
          <w:b/>
          <w:bCs/>
          <w:color w:val="000000" w:themeColor="text1"/>
          <w:sz w:val="30"/>
          <w:highlight w:val="none"/>
          <w14:textFill>
            <w14:solidFill>
              <w14:schemeClr w14:val="tx1"/>
            </w14:solidFill>
          </w14:textFill>
        </w:rPr>
        <w:t>（</w:t>
      </w:r>
      <w:r>
        <w:rPr>
          <w:rFonts w:hint="eastAsia" w:ascii="Times New Roman" w:hAnsi="Times New Roman" w:eastAsia="仿宋_GB2312"/>
          <w:b/>
          <w:bCs/>
          <w:color w:val="000000" w:themeColor="text1"/>
          <w:sz w:val="30"/>
          <w:highlight w:val="none"/>
          <w:lang w:val="en-US" w:eastAsia="zh-CN"/>
          <w14:textFill>
            <w14:solidFill>
              <w14:schemeClr w14:val="tx1"/>
            </w14:solidFill>
          </w14:textFill>
        </w:rPr>
        <w:t>四</w:t>
      </w:r>
      <w:r>
        <w:rPr>
          <w:rFonts w:hint="eastAsia" w:ascii="Times New Roman" w:hAnsi="Times New Roman" w:eastAsia="仿宋_GB2312"/>
          <w:b/>
          <w:bCs/>
          <w:color w:val="000000" w:themeColor="text1"/>
          <w:sz w:val="30"/>
          <w:highlight w:val="none"/>
          <w14:textFill>
            <w14:solidFill>
              <w14:schemeClr w14:val="tx1"/>
            </w14:solidFill>
          </w14:textFill>
        </w:rPr>
        <w:t>）</w:t>
      </w:r>
      <w:r>
        <w:rPr>
          <w:rFonts w:hint="eastAsia" w:ascii="Times New Roman" w:hAnsi="Times New Roman" w:eastAsia="仿宋_GB2312"/>
          <w:b/>
          <w:bCs/>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b/>
          <w:bCs/>
          <w:color w:val="000000" w:themeColor="text1"/>
          <w:sz w:val="30"/>
          <w:highlight w:val="none"/>
          <w14:textFill>
            <w14:solidFill>
              <w14:schemeClr w14:val="tx1"/>
            </w14:solidFill>
          </w14:textFill>
        </w:rPr>
        <w:t>评审程序</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1.在评审专家中推选</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2.</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3.评审人员对各供应商投标文件的有效性、完整性和响应程度进行审查，确定是否对招标文件作出实质性响应。</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4.评审人员按招标文件规定的评审方法和评审标准，依法独立对供应商投标文件进行评估、比较，并给予评价或打分，不受任何单位和个人的干预。</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5.评审人员对各供应商投标文件非实质性内容有疑议或异议，或者审查发现明显的文字或计算错误等，及时向</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组长提出。经</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经商议认为需要供应商作出必要澄清或说明的，</w:t>
      </w:r>
      <w:r>
        <w:rPr>
          <w:rFonts w:hint="eastAsia" w:ascii="Times New Roman" w:hAnsi="Times New Roman" w:eastAsia="仿宋_GB2312"/>
          <w:color w:val="000000" w:themeColor="text1"/>
          <w:sz w:val="30"/>
          <w:highlight w:val="none"/>
          <w:lang w:val="en-US" w:eastAsia="zh-CN"/>
          <w14:textFill>
            <w14:solidFill>
              <w14:schemeClr w14:val="tx1"/>
            </w14:solidFill>
          </w14:textFill>
        </w:rPr>
        <w:t>通知投标人以书面形式（</w:t>
      </w:r>
      <w:r>
        <w:rPr>
          <w:rFonts w:hint="eastAsia" w:ascii="Times New Roman" w:hAnsi="Times New Roman" w:eastAsia="仿宋_GB2312"/>
          <w:color w:val="000000" w:themeColor="text1"/>
          <w:sz w:val="30"/>
          <w:highlight w:val="none"/>
          <w14:textFill>
            <w14:solidFill>
              <w14:schemeClr w14:val="tx1"/>
            </w14:solidFill>
          </w14:textFill>
        </w:rPr>
        <w:t>通过电子交易平台交换数据电文</w:t>
      </w:r>
      <w:r>
        <w:rPr>
          <w:rFonts w:hint="eastAsia" w:ascii="Times New Roman" w:hAnsi="Times New Roman" w:eastAsia="仿宋_GB2312"/>
          <w:color w:val="000000" w:themeColor="text1"/>
          <w:sz w:val="30"/>
          <w:highlight w:val="none"/>
          <w:lang w:val="en-US" w:eastAsia="zh-CN"/>
          <w14:textFill>
            <w14:solidFill>
              <w14:schemeClr w14:val="tx1"/>
            </w14:solidFill>
          </w14:textFill>
        </w:rPr>
        <w:t>）作出澄清或说明。</w:t>
      </w:r>
      <w:r>
        <w:rPr>
          <w:rFonts w:hint="eastAsia" w:ascii="Times New Roman" w:hAnsi="Times New Roman" w:eastAsia="仿宋_GB2312"/>
          <w:color w:val="000000" w:themeColor="text1"/>
          <w:sz w:val="30"/>
          <w:highlight w:val="none"/>
          <w14:textFill>
            <w14:solidFill>
              <w14:schemeClr w14:val="tx1"/>
            </w14:solidFill>
          </w14:textFill>
        </w:rPr>
        <w:t>澄清或说明有关的数据电文应作为政府采购项目档案归档留存。授权代表未按时确认或拒绝澄清说明或澄清说明的内容改变了投标文件的实质性内容的，评标委员会有权对该投标文件作出不利于投标人的评判。</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6.评审人员需对</w:t>
      </w:r>
      <w:r>
        <w:rPr>
          <w:rFonts w:hint="eastAsia" w:ascii="Times New Roman" w:hAnsi="Times New Roman" w:eastAsia="仿宋_GB2312"/>
          <w:color w:val="000000" w:themeColor="text1"/>
          <w:sz w:val="30"/>
          <w:highlight w:val="none"/>
          <w:lang w:eastAsia="zh-CN"/>
          <w14:textFill>
            <w14:solidFill>
              <w14:schemeClr w14:val="tx1"/>
            </w14:solidFill>
          </w14:textFill>
        </w:rPr>
        <w:t>招标方</w:t>
      </w:r>
      <w:r>
        <w:rPr>
          <w:rFonts w:hint="eastAsia" w:ascii="Times New Roman" w:hAnsi="Times New Roman" w:eastAsia="仿宋_GB2312"/>
          <w:color w:val="000000" w:themeColor="text1"/>
          <w:sz w:val="30"/>
          <w:highlight w:val="none"/>
          <w14:textFill>
            <w14:solidFill>
              <w14:schemeClr w14:val="tx1"/>
            </w14:solidFill>
          </w14:textFill>
        </w:rPr>
        <w:t>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7.</w:t>
      </w:r>
      <w:r>
        <w:rPr>
          <w:rFonts w:hint="eastAsia" w:ascii="Times New Roman" w:hAnsi="Times New Roman" w:eastAsia="仿宋_GB2312"/>
          <w:color w:val="000000" w:themeColor="text1"/>
          <w:sz w:val="30"/>
          <w:highlight w:val="none"/>
          <w:lang w:eastAsia="zh-CN"/>
          <w14:textFill>
            <w14:solidFill>
              <w14:schemeClr w14:val="tx1"/>
            </w14:solidFill>
          </w14:textFill>
        </w:rPr>
        <w:t>评标委员会</w:t>
      </w:r>
      <w:r>
        <w:rPr>
          <w:rFonts w:hint="eastAsia" w:ascii="Times New Roman" w:hAnsi="Times New Roman" w:eastAsia="仿宋_GB2312"/>
          <w:color w:val="000000" w:themeColor="text1"/>
          <w:sz w:val="30"/>
          <w:highlight w:val="none"/>
          <w14:textFill>
            <w14:solidFill>
              <w14:schemeClr w14:val="tx1"/>
            </w14:solidFill>
          </w14:textFill>
        </w:rPr>
        <w:t>根据评审汇总情况和招标文件规定确定中标候选供应商排序名单。</w:t>
      </w:r>
    </w:p>
    <w:p>
      <w:pPr>
        <w:spacing w:line="440" w:lineRule="exact"/>
        <w:ind w:firstLine="600" w:firstLineChars="200"/>
        <w:rPr>
          <w:rFonts w:ascii="Times New Roman" w:hAnsi="Times New Roman" w:eastAsia="仿宋_GB2312"/>
          <w:color w:val="000000" w:themeColor="text1"/>
          <w:sz w:val="30"/>
          <w:highlight w:val="none"/>
          <w14:textFill>
            <w14:solidFill>
              <w14:schemeClr w14:val="tx1"/>
            </w14:solidFill>
          </w14:textFill>
        </w:rPr>
      </w:pPr>
      <w:r>
        <w:rPr>
          <w:rFonts w:hint="eastAsia" w:ascii="Times New Roman" w:hAnsi="Times New Roman" w:eastAsia="仿宋_GB2312"/>
          <w:color w:val="000000" w:themeColor="text1"/>
          <w:sz w:val="30"/>
          <w:highlight w:val="none"/>
          <w14:textFill>
            <w14:solidFill>
              <w14:schemeClr w14:val="tx1"/>
            </w14:solidFill>
          </w14:textFill>
        </w:rPr>
        <w:t>8.起草评审报告，所有评审人员须在评审报告上签字确认。</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四、评审原则</w:t>
      </w:r>
    </w:p>
    <w:p>
      <w:pPr>
        <w:snapToGrid w:val="0"/>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1.评标委员会必须公平、公正、客观，不带任何倾向性和启发性；不得向外界透露任何与评标有关的内容；评标委员会及有关工作人员不得私下与投标人接触；任何单位和个人不得干扰、影响评标的正常进行。</w:t>
      </w:r>
    </w:p>
    <w:p>
      <w:pPr>
        <w:snapToGrid w:val="0"/>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2.评审</w:t>
      </w:r>
      <w:r>
        <w:rPr>
          <w:rFonts w:hint="eastAsia" w:ascii="仿宋_GB2312" w:hAnsi="仿宋" w:eastAsia="仿宋_GB2312"/>
          <w:bCs/>
          <w:color w:val="000000" w:themeColor="text1"/>
          <w:kern w:val="0"/>
          <w:sz w:val="30"/>
          <w:szCs w:val="30"/>
          <w:highlight w:val="none"/>
          <w:lang w:val="en-US" w:eastAsia="zh-CN"/>
          <w14:textFill>
            <w14:solidFill>
              <w14:schemeClr w14:val="tx1"/>
            </w14:solidFill>
          </w14:textFill>
        </w:rPr>
        <w:t>人员</w:t>
      </w:r>
      <w:r>
        <w:rPr>
          <w:rFonts w:hint="eastAsia" w:ascii="仿宋_GB2312" w:hAnsi="仿宋" w:eastAsia="仿宋_GB2312"/>
          <w:bCs/>
          <w:color w:val="000000" w:themeColor="text1"/>
          <w:kern w:val="0"/>
          <w:sz w:val="30"/>
          <w:szCs w:val="30"/>
          <w:highlight w:val="none"/>
          <w14:textFill>
            <w14:solidFill>
              <w14:schemeClr w14:val="tx1"/>
            </w14:solidFill>
          </w14:textFill>
        </w:rPr>
        <w:t>因回避、临时缺席或健康原因等特殊情况不能继续参加评审工作的，应按规定更换评审</w:t>
      </w:r>
      <w:r>
        <w:rPr>
          <w:rFonts w:hint="eastAsia" w:ascii="仿宋_GB2312" w:hAnsi="仿宋" w:eastAsia="仿宋_GB2312"/>
          <w:bCs/>
          <w:color w:val="000000" w:themeColor="text1"/>
          <w:kern w:val="0"/>
          <w:sz w:val="30"/>
          <w:szCs w:val="30"/>
          <w:highlight w:val="none"/>
          <w:lang w:val="en-US" w:eastAsia="zh-CN"/>
          <w14:textFill>
            <w14:solidFill>
              <w14:schemeClr w14:val="tx1"/>
            </w14:solidFill>
          </w14:textFill>
        </w:rPr>
        <w:t>人员</w:t>
      </w:r>
      <w:r>
        <w:rPr>
          <w:rFonts w:hint="eastAsia" w:ascii="仿宋_GB2312" w:hAnsi="仿宋" w:eastAsia="仿宋_GB2312"/>
          <w:bCs/>
          <w:color w:val="000000" w:themeColor="text1"/>
          <w:kern w:val="0"/>
          <w:sz w:val="30"/>
          <w:szCs w:val="30"/>
          <w:highlight w:val="none"/>
          <w14:textFill>
            <w14:solidFill>
              <w14:schemeClr w14:val="tx1"/>
            </w14:solidFill>
          </w14:textFill>
        </w:rPr>
        <w:t>,被更换的评审人员之前所作出的评审意见不再予以采纳，由更换后的评审人员重新进行评审。无法及时更换专家的，要立即停止评审工作、封存评审资料，并告知供应商择期重新评审的时间和地点。</w:t>
      </w:r>
    </w:p>
    <w:p>
      <w:pPr>
        <w:snapToGrid w:val="0"/>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3.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pPr>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588" w:firstLineChars="196"/>
        <w:rPr>
          <w:rFonts w:ascii="仿宋_GB2312" w:hAnsi="仿宋" w:eastAsia="仿宋_GB2312"/>
          <w:bCs/>
          <w:color w:val="000000" w:themeColor="text1"/>
          <w:kern w:val="0"/>
          <w:sz w:val="30"/>
          <w:szCs w:val="30"/>
          <w:highlight w:val="none"/>
          <w14:textFill>
            <w14:solidFill>
              <w14:schemeClr w14:val="tx1"/>
            </w14:solidFill>
          </w14:textFill>
        </w:rPr>
      </w:pPr>
      <w:r>
        <w:rPr>
          <w:rFonts w:hint="eastAsia" w:ascii="仿宋_GB2312" w:hAnsi="仿宋" w:eastAsia="仿宋_GB2312"/>
          <w:bCs/>
          <w:color w:val="000000" w:themeColor="text1"/>
          <w:kern w:val="0"/>
          <w:sz w:val="30"/>
          <w:szCs w:val="30"/>
          <w:highlight w:val="none"/>
          <w14:textFill>
            <w14:solidFill>
              <w14:schemeClr w14:val="tx1"/>
            </w14:solidFill>
          </w14:textFill>
        </w:rPr>
        <w:t>5.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五、确定中标供应商的原则</w:t>
      </w:r>
    </w:p>
    <w:p>
      <w:pPr>
        <w:snapToGrid w:val="0"/>
        <w:spacing w:line="440" w:lineRule="exact"/>
        <w:ind w:firstLine="600" w:firstLineChars="200"/>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1.项目由评标委员会根据第三章《评标办法与评分标准》规定提出中标候选人排序。</w:t>
      </w:r>
    </w:p>
    <w:p>
      <w:pPr>
        <w:snapToGrid w:val="0"/>
        <w:spacing w:line="440" w:lineRule="exact"/>
        <w:ind w:firstLine="600" w:firstLineChars="200"/>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2.采购人应当自收到评标报告之日起5个工作日内，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在采购结果确认环节，中标候选人撤销投标文件不能成为采购人不确认采购结果的正当理由。</w:t>
      </w:r>
    </w:p>
    <w:p>
      <w:pPr>
        <w:spacing w:line="440" w:lineRule="exact"/>
        <w:ind w:firstLine="600" w:firstLineChars="200"/>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3.采购结果经采购人确认后，招标方将于2个工作日内在浙江省政府采购网上发布中标公告</w:t>
      </w:r>
      <w:r>
        <w:rPr>
          <w:rFonts w:hint="eastAsia" w:ascii="仿宋_GB2312" w:hAnsi="仿宋" w:eastAsia="仿宋_GB2312"/>
          <w:b/>
          <w:bCs/>
          <w:color w:val="000000" w:themeColor="text1"/>
          <w:kern w:val="0"/>
          <w:sz w:val="30"/>
          <w:szCs w:val="30"/>
          <w:highlight w:val="none"/>
          <w14:textFill>
            <w14:solidFill>
              <w14:schemeClr w14:val="tx1"/>
            </w14:solidFill>
          </w14:textFill>
        </w:rPr>
        <w:t>（中标人为中小企业的，其声明函将随中标结果同时公告）</w:t>
      </w:r>
      <w:r>
        <w:rPr>
          <w:rFonts w:hint="eastAsia" w:ascii="仿宋_GB2312" w:hAnsi="仿宋" w:eastAsia="仿宋_GB2312"/>
          <w:color w:val="000000" w:themeColor="text1"/>
          <w:kern w:val="0"/>
          <w:sz w:val="30"/>
          <w:szCs w:val="30"/>
          <w:highlight w:val="none"/>
          <w14:textFill>
            <w14:solidFill>
              <w14:schemeClr w14:val="tx1"/>
            </w14:solidFill>
          </w14:textFill>
        </w:rPr>
        <w:t>，并向中标人签发书面《中标通知书》，</w:t>
      </w:r>
      <w:r>
        <w:rPr>
          <w:rFonts w:hint="eastAsia" w:ascii="仿宋_GB2312" w:eastAsia="仿宋_GB2312"/>
          <w:color w:val="000000" w:themeColor="text1"/>
          <w:sz w:val="30"/>
          <w:szCs w:val="30"/>
          <w:highlight w:val="none"/>
          <w14:textFill>
            <w14:solidFill>
              <w14:schemeClr w14:val="tx1"/>
            </w14:solidFill>
          </w14:textFill>
        </w:rPr>
        <w:t>根据获取采购文件时预留地址寄送或以其他方式提供中标通知书。</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六、合同授予</w:t>
      </w:r>
    </w:p>
    <w:p>
      <w:pPr>
        <w:snapToGrid w:val="0"/>
        <w:spacing w:line="440" w:lineRule="exact"/>
        <w:ind w:firstLine="602" w:firstLineChars="200"/>
        <w:contextualSpacing/>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1.采购人与中标人应当在《中标通知书》发出之日起</w:t>
      </w:r>
      <w:r>
        <w:rPr>
          <w:rFonts w:ascii="仿宋_GB2312" w:hAnsi="仿宋" w:eastAsia="仿宋_GB2312"/>
          <w:b/>
          <w:bCs/>
          <w:color w:val="000000" w:themeColor="text1"/>
          <w:sz w:val="30"/>
          <w:szCs w:val="30"/>
          <w:highlight w:val="none"/>
          <w14:textFill>
            <w14:solidFill>
              <w14:schemeClr w14:val="tx1"/>
            </w14:solidFill>
          </w14:textFill>
        </w:rPr>
        <w:t>30</w:t>
      </w:r>
      <w:r>
        <w:rPr>
          <w:rFonts w:hint="eastAsia" w:ascii="仿宋_GB2312" w:hAnsi="仿宋" w:eastAsia="仿宋_GB2312"/>
          <w:b/>
          <w:bCs/>
          <w:color w:val="000000" w:themeColor="text1"/>
          <w:sz w:val="30"/>
          <w:szCs w:val="30"/>
          <w:highlight w:val="none"/>
          <w14:textFill>
            <w14:solidFill>
              <w14:schemeClr w14:val="tx1"/>
            </w14:solidFill>
          </w14:textFill>
        </w:rPr>
        <w:t>日内，按照政府采购文件确定的事项签订政府采购合同。</w:t>
      </w:r>
      <w:r>
        <w:rPr>
          <w:rFonts w:hint="eastAsia" w:ascii="仿宋_GB2312" w:hAnsi="仿宋" w:eastAsia="仿宋_GB2312"/>
          <w:color w:val="000000" w:themeColor="text1"/>
          <w:sz w:val="30"/>
          <w:szCs w:val="30"/>
          <w:highlight w:val="none"/>
          <w14:textFill>
            <w14:solidFill>
              <w14:schemeClr w14:val="tx1"/>
            </w14:solidFill>
          </w14:textFill>
        </w:rPr>
        <w:t>政府采购合同不得对政府采购文件作出实质性修改。</w:t>
      </w:r>
    </w:p>
    <w:p>
      <w:pPr>
        <w:snapToGrid w:val="0"/>
        <w:spacing w:line="440" w:lineRule="exact"/>
        <w:ind w:firstLine="600" w:firstLineChars="200"/>
        <w:contextualSpacing/>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2.采购人不得向中标人提出任何不合理的要求作为签订政府采购合同的条件，不得与中标人签订背离合同实质性内容的其他协议。</w:t>
      </w:r>
    </w:p>
    <w:p>
      <w:pPr>
        <w:snapToGrid w:val="0"/>
        <w:spacing w:line="440" w:lineRule="exact"/>
        <w:ind w:firstLine="600" w:firstLineChars="200"/>
        <w:contextualSpacing/>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3.中标人不得向他人转让中标项目，也不得将中标项目肢解后分别向他人转让。采购人不得同意中标人将中标项目全部或者部分向他人转让。</w:t>
      </w:r>
    </w:p>
    <w:p>
      <w:pPr>
        <w:spacing w:line="440" w:lineRule="exact"/>
        <w:ind w:firstLine="600" w:firstLineChars="200"/>
        <w:contextualSpacing/>
        <w:rPr>
          <w:rFonts w:ascii="仿宋_GB2312" w:hAnsi="仿宋" w:eastAsia="仿宋_GB2312"/>
          <w:color w:val="000000" w:themeColor="text1"/>
          <w:sz w:val="30"/>
          <w:szCs w:val="30"/>
          <w:highlight w:val="none"/>
          <w14:textFill>
            <w14:solidFill>
              <w14:schemeClr w14:val="tx1"/>
            </w14:solidFill>
          </w14:textFill>
        </w:rPr>
      </w:pPr>
      <w:r>
        <w:rPr>
          <w:rFonts w:ascii="仿宋_GB2312" w:hAnsi="仿宋" w:eastAsia="仿宋_GB2312"/>
          <w:color w:val="000000" w:themeColor="text1"/>
          <w:sz w:val="30"/>
          <w:szCs w:val="30"/>
          <w:highlight w:val="none"/>
          <w14:textFill>
            <w14:solidFill>
              <w14:schemeClr w14:val="tx1"/>
            </w14:solidFill>
          </w14:textFill>
        </w:rPr>
        <w:t>4</w:t>
      </w:r>
      <w:r>
        <w:rPr>
          <w:rFonts w:hint="eastAsia" w:ascii="仿宋_GB2312" w:hAnsi="仿宋" w:eastAsia="仿宋_GB2312"/>
          <w:color w:val="000000" w:themeColor="text1"/>
          <w:sz w:val="30"/>
          <w:szCs w:val="30"/>
          <w:highlight w:val="none"/>
          <w14:textFill>
            <w14:solidFill>
              <w14:schemeClr w14:val="tx1"/>
            </w14:solidFill>
          </w14:textFill>
        </w:rPr>
        <w:t>.中标人拖延、拒签合同的,将被取消中标资格。</w:t>
      </w:r>
    </w:p>
    <w:p>
      <w:pPr>
        <w:spacing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ascii="仿宋_GB2312" w:hAnsi="仿宋" w:eastAsia="仿宋_GB2312"/>
          <w:b/>
          <w:bCs/>
          <w:color w:val="000000" w:themeColor="text1"/>
          <w:sz w:val="30"/>
          <w:szCs w:val="30"/>
          <w:highlight w:val="none"/>
          <w14:textFill>
            <w14:solidFill>
              <w14:schemeClr w14:val="tx1"/>
            </w14:solidFill>
          </w14:textFill>
        </w:rPr>
        <w:t>5</w:t>
      </w:r>
      <w:r>
        <w:rPr>
          <w:rFonts w:hint="eastAsia" w:ascii="仿宋_GB2312" w:hAnsi="仿宋" w:eastAsia="仿宋_GB2312"/>
          <w:b/>
          <w:bCs/>
          <w:color w:val="000000" w:themeColor="text1"/>
          <w:sz w:val="30"/>
          <w:szCs w:val="30"/>
          <w:highlight w:val="none"/>
          <w14:textFill>
            <w14:solidFill>
              <w14:schemeClr w14:val="tx1"/>
            </w14:solidFill>
          </w14:textFill>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七、货款的结算</w:t>
      </w:r>
    </w:p>
    <w:p>
      <w:pPr>
        <w:pStyle w:val="31"/>
        <w:keepNext w:val="0"/>
        <w:keepLines w:val="0"/>
        <w:widowControl w:val="0"/>
        <w:suppressLineNumbers w:val="0"/>
        <w:snapToGrid w:val="0"/>
        <w:spacing w:before="120" w:beforeLines="50" w:beforeAutospacing="0" w:after="0" w:afterAutospacing="0" w:line="360" w:lineRule="auto"/>
        <w:ind w:left="0" w:right="0" w:firstLine="602" w:firstLineChars="200"/>
        <w:jc w:val="both"/>
        <w:rPr>
          <w:rFonts w:hint="eastAsia" w:ascii="仿宋_GB2312" w:hAnsi="仿宋" w:eastAsia="仿宋_GB2312" w:cs="Times New Roman"/>
          <w:b/>
          <w:bCs/>
          <w:color w:val="000000" w:themeColor="text1"/>
          <w:kern w:val="2"/>
          <w:sz w:val="30"/>
          <w:szCs w:val="30"/>
          <w:highlight w:val="none"/>
          <w:lang w:val="en-US"/>
          <w14:textFill>
            <w14:solidFill>
              <w14:schemeClr w14:val="tx1"/>
            </w14:solidFill>
          </w14:textFill>
        </w:rPr>
      </w:pPr>
      <w:r>
        <w:rPr>
          <w:rFonts w:hint="eastAsia" w:ascii="仿宋_GB2312" w:hAnsi="仿宋" w:eastAsia="仿宋_GB2312" w:cs="Times New Roman"/>
          <w:b/>
          <w:bCs/>
          <w:color w:val="000000" w:themeColor="text1"/>
          <w:kern w:val="2"/>
          <w:sz w:val="30"/>
          <w:szCs w:val="30"/>
          <w:highlight w:val="none"/>
          <w:lang w:val="en-US" w:eastAsia="zh-CN" w:bidi="ar-SA"/>
          <w14:textFill>
            <w14:solidFill>
              <w14:schemeClr w14:val="tx1"/>
            </w14:solidFill>
          </w14:textFill>
        </w:rPr>
        <w:t>货款由采购人按采购文件规定的付款方式自行支付。纳入国库集中支付的，按照国库集中支付有关规定付款。</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bookmarkStart w:id="23" w:name="_Toc28078"/>
      <w:r>
        <w:rPr>
          <w:rFonts w:hint="eastAsia" w:ascii="仿宋_GB2312" w:hAnsi="仿宋" w:eastAsia="仿宋_GB2312"/>
          <w:b/>
          <w:bCs/>
          <w:color w:val="000000" w:themeColor="text1"/>
          <w:sz w:val="30"/>
          <w:szCs w:val="30"/>
          <w:highlight w:val="none"/>
          <w14:textFill>
            <w14:solidFill>
              <w14:schemeClr w14:val="tx1"/>
            </w14:solidFill>
          </w14:textFill>
        </w:rPr>
        <w:t>（一）资金支付进度：采购人对于满足合同约定支付条件的，自收到发票后7个工作日内将资金支付到合同约定的供应商账户。迟延支付中小企业款项的，供应商可要求采购人支付逾期利息。</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二）预付款：根据《中华人民共和国中小企业促进法》《保障中小企业款项支付条例》《浙江省财政厅关于坚决打赢疫情防控阻击战进一步做好政府采购资金支持企业发展工作的通知》《浙江省财政厅关于进一步发挥政府采购政策功能全力推进经济稳进提质的通知》等相关规范，对预付款支付要求如下：</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1.对中小企业合同预付款比例原则上不低于合同金额的40％，不高于合同金额的70%；</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2.项目分年安排预算的，每年预付款比例不低于项目年度计划支付资金额的40％，不高于年度计划支付资金额的70%；</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3.采购项目实施以人工投入为主的，可适当降低预付款比例，但不得低于20%。</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4.对供应商为大型企业的项目或者以人工投入为主且实行按月定期结算支付款项的项目，预付款可低于上述比例或者不约定预付款。</w:t>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b/>
          <w:bCs/>
          <w:color w:val="000000" w:themeColor="text1"/>
          <w:sz w:val="30"/>
          <w:szCs w:val="30"/>
          <w:highlight w:val="none"/>
          <w14:textFill>
            <w14:solidFill>
              <w14:schemeClr w14:val="tx1"/>
            </w14:solidFill>
          </w14:textFill>
        </w:rPr>
        <w:t>说明：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w:t>
      </w:r>
      <w:r>
        <w:rPr>
          <w:rFonts w:ascii="仿宋_GB2312" w:hAnsi="仿宋" w:eastAsia="仿宋_GB2312"/>
          <w:b/>
          <w:bCs/>
          <w:color w:val="000000" w:themeColor="text1"/>
          <w:sz w:val="30"/>
          <w:szCs w:val="30"/>
          <w:highlight w:val="none"/>
          <w14:textFill>
            <w14:solidFill>
              <w14:schemeClr w14:val="tx1"/>
            </w14:solidFill>
          </w14:textFill>
        </w:rPr>
        <w:cr/>
      </w:r>
    </w:p>
    <w:p>
      <w:pPr>
        <w:spacing w:before="240" w:beforeLines="100" w:line="440" w:lineRule="exact"/>
        <w:ind w:firstLine="602" w:firstLineChars="200"/>
        <w:contextualSpacing/>
        <w:rPr>
          <w:rFonts w:ascii="仿宋_GB2312" w:hAnsi="仿宋" w:eastAsia="仿宋_GB2312"/>
          <w:b/>
          <w:bCs/>
          <w:color w:val="000000" w:themeColor="text1"/>
          <w:sz w:val="30"/>
          <w:szCs w:val="30"/>
          <w:highlight w:val="none"/>
          <w14:textFill>
            <w14:solidFill>
              <w14:schemeClr w14:val="tx1"/>
            </w14:solidFill>
          </w14:textFill>
        </w:rPr>
      </w:pPr>
    </w:p>
    <w:p>
      <w:pPr>
        <w:spacing w:before="240" w:beforeLines="100" w:line="460" w:lineRule="exact"/>
        <w:jc w:val="center"/>
        <w:outlineLvl w:val="0"/>
        <w:rPr>
          <w:rFonts w:ascii="仿宋_GB2312" w:eastAsia="仿宋_GB2312"/>
          <w:color w:val="000000" w:themeColor="text1"/>
          <w:highlight w:val="none"/>
          <w14:textFill>
            <w14:solidFill>
              <w14:schemeClr w14:val="tx1"/>
            </w14:solidFill>
          </w14:textFill>
        </w:rPr>
      </w:pPr>
      <w:r>
        <w:rPr>
          <w:rFonts w:hint="eastAsia" w:ascii="仿宋_GB2312" w:eastAsia="仿宋_GB2312"/>
          <w:color w:val="000000" w:themeColor="text1"/>
          <w:highlight w:val="none"/>
          <w14:textFill>
            <w14:solidFill>
              <w14:schemeClr w14:val="tx1"/>
            </w14:solidFill>
          </w14:textFill>
        </w:rPr>
        <w:br w:type="page"/>
      </w:r>
      <w:bookmarkStart w:id="24" w:name="_Toc5881"/>
      <w:bookmarkStart w:id="25" w:name="_Toc109755338"/>
      <w:bookmarkStart w:id="26" w:name="_Toc13041"/>
      <w:r>
        <w:rPr>
          <w:rFonts w:hint="eastAsia" w:ascii="仿宋_GB2312" w:eastAsia="仿宋_GB2312"/>
          <w:b/>
          <w:bCs/>
          <w:color w:val="000000" w:themeColor="text1"/>
          <w:kern w:val="0"/>
          <w:sz w:val="36"/>
          <w:szCs w:val="36"/>
          <w:highlight w:val="none"/>
          <w14:textFill>
            <w14:solidFill>
              <w14:schemeClr w14:val="tx1"/>
            </w14:solidFill>
          </w14:textFill>
        </w:rPr>
        <w:t>第三章  评标办法及评分标准</w:t>
      </w:r>
      <w:bookmarkEnd w:id="7"/>
      <w:bookmarkEnd w:id="8"/>
      <w:bookmarkEnd w:id="23"/>
      <w:bookmarkEnd w:id="24"/>
      <w:bookmarkEnd w:id="25"/>
      <w:bookmarkEnd w:id="26"/>
    </w:p>
    <w:p>
      <w:pPr>
        <w:spacing w:line="480" w:lineRule="exact"/>
        <w:ind w:firstLine="600" w:firstLineChars="200"/>
        <w:rPr>
          <w:rFonts w:eastAsia="仿宋_GB2312"/>
          <w:color w:val="000000" w:themeColor="text1"/>
          <w:sz w:val="30"/>
          <w:szCs w:val="30"/>
          <w:highlight w:val="none"/>
          <w14:textFill>
            <w14:solidFill>
              <w14:schemeClr w14:val="tx1"/>
            </w14:solidFill>
          </w14:textFill>
        </w:rPr>
      </w:pPr>
    </w:p>
    <w:p>
      <w:pPr>
        <w:spacing w:line="440" w:lineRule="exact"/>
        <w:ind w:firstLine="600" w:firstLineChars="2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根据《中华人民共和国政府采购法》、《政府采购货物和服务招标投标管理办法》、《中华人民共和国政府采购法实施条例》等有关法律法规，结合本项目的实际需求，制定本办法。</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bookmarkStart w:id="27" w:name="_Toc421271110"/>
      <w:r>
        <w:rPr>
          <w:rFonts w:hint="eastAsia" w:ascii="黑体" w:hAnsi="黑体" w:eastAsia="黑体"/>
          <w:color w:val="000000" w:themeColor="text1"/>
          <w:sz w:val="30"/>
          <w:szCs w:val="30"/>
          <w:highlight w:val="none"/>
          <w14:textFill>
            <w14:solidFill>
              <w14:schemeClr w14:val="tx1"/>
            </w14:solidFill>
          </w14:textFill>
        </w:rPr>
        <w:t>一、总则</w:t>
      </w:r>
      <w:bookmarkEnd w:id="27"/>
    </w:p>
    <w:p>
      <w:pPr>
        <w:spacing w:line="440" w:lineRule="exact"/>
        <w:ind w:firstLine="600" w:firstLineChars="200"/>
        <w:rPr>
          <w:rFonts w:eastAsia="仿宋_GB2312"/>
          <w:color w:val="000000" w:themeColor="text1"/>
          <w:sz w:val="30"/>
          <w:szCs w:val="30"/>
          <w:highlight w:val="none"/>
          <w14:textFill>
            <w14:solidFill>
              <w14:schemeClr w14:val="tx1"/>
            </w14:solidFill>
          </w14:textFill>
        </w:rPr>
      </w:pPr>
      <w:bookmarkStart w:id="28" w:name="_Toc421271111"/>
      <w:r>
        <w:rPr>
          <w:rFonts w:hint="eastAsia" w:eastAsia="仿宋_GB2312"/>
          <w:color w:val="000000" w:themeColor="text1"/>
          <w:sz w:val="30"/>
          <w:szCs w:val="30"/>
          <w:highlight w:val="none"/>
          <w14:textFill>
            <w14:solidFill>
              <w14:schemeClr w14:val="tx1"/>
            </w14:solidFill>
          </w14:textFill>
        </w:rPr>
        <w:t>本项目评标采用综合评分法，总分为100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w:t>
      </w:r>
    </w:p>
    <w:p>
      <w:pPr>
        <w:spacing w:line="44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二、分值的计算</w:t>
      </w:r>
      <w:bookmarkEnd w:id="28"/>
    </w:p>
    <w:p>
      <w:pPr>
        <w:spacing w:line="440" w:lineRule="exact"/>
        <w:ind w:firstLine="600" w:firstLineChars="2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商务、技术分按照评标委员会成员的独立评分结果汇总后的算术平均分计算，计算公式为：</w:t>
      </w:r>
    </w:p>
    <w:p>
      <w:pPr>
        <w:spacing w:line="440" w:lineRule="exact"/>
        <w:ind w:firstLine="600" w:firstLineChars="2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商务、技术分=评标委员会所有成员商务、技术分评分合计数/评标委员会组成人员数</w:t>
      </w:r>
    </w:p>
    <w:p>
      <w:pPr>
        <w:spacing w:line="440" w:lineRule="exact"/>
        <w:ind w:firstLine="600" w:firstLineChars="200"/>
        <w:rPr>
          <w:rFonts w:eastAsia="仿宋_GB2312"/>
          <w:bCs/>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评标</w:t>
      </w:r>
      <w:r>
        <w:rPr>
          <w:rFonts w:hint="eastAsia" w:eastAsia="仿宋_GB2312"/>
          <w:bCs/>
          <w:color w:val="000000" w:themeColor="text1"/>
          <w:sz w:val="30"/>
          <w:szCs w:val="30"/>
          <w:highlight w:val="none"/>
          <w14:textFill>
            <w14:solidFill>
              <w14:schemeClr w14:val="tx1"/>
            </w14:solidFill>
          </w14:textFill>
        </w:rPr>
        <w:t>综合得分=商务、技术分+价格分</w:t>
      </w:r>
    </w:p>
    <w:p>
      <w:pPr>
        <w:spacing w:line="440" w:lineRule="exact"/>
        <w:ind w:firstLine="602" w:firstLineChars="200"/>
        <w:rPr>
          <w:rFonts w:eastAsia="仿宋_GB2312"/>
          <w:bCs/>
          <w:color w:val="000000" w:themeColor="text1"/>
          <w:sz w:val="30"/>
          <w:szCs w:val="30"/>
          <w:highlight w:val="none"/>
          <w14:textFill>
            <w14:solidFill>
              <w14:schemeClr w14:val="tx1"/>
            </w14:solidFill>
          </w14:textFill>
        </w:rPr>
      </w:pPr>
      <w:r>
        <w:rPr>
          <w:rFonts w:hint="eastAsia" w:eastAsia="仿宋_GB2312"/>
          <w:b/>
          <w:color w:val="000000" w:themeColor="text1"/>
          <w:sz w:val="30"/>
          <w:szCs w:val="30"/>
          <w:highlight w:val="none"/>
          <w14:textFill>
            <w14:solidFill>
              <w14:schemeClr w14:val="tx1"/>
            </w14:solidFill>
          </w14:textFill>
        </w:rPr>
        <w:t>特别提醒：</w:t>
      </w:r>
      <w:r>
        <w:rPr>
          <w:rFonts w:hint="eastAsia" w:eastAsia="仿宋_GB2312"/>
          <w:bCs/>
          <w:color w:val="000000" w:themeColor="text1"/>
          <w:sz w:val="30"/>
          <w:szCs w:val="30"/>
          <w:highlight w:val="none"/>
          <w14:textFill>
            <w14:solidFill>
              <w14:schemeClr w14:val="tx1"/>
            </w14:solidFill>
          </w14:textFill>
        </w:rPr>
        <w:t>评标委员会对每个投标人的评分明细以及得分汇总表情况在中标公告中公布。</w:t>
      </w:r>
    </w:p>
    <w:p>
      <w:pPr>
        <w:spacing w:line="440" w:lineRule="exact"/>
        <w:ind w:firstLine="600" w:firstLineChars="200"/>
        <w:rPr>
          <w:rFonts w:eastAsia="仿宋_GB2312"/>
          <w:bCs/>
          <w:color w:val="000000" w:themeColor="text1"/>
          <w:sz w:val="30"/>
          <w:szCs w:val="30"/>
          <w:highlight w:val="none"/>
          <w14:textFill>
            <w14:solidFill>
              <w14:schemeClr w14:val="tx1"/>
            </w14:solidFill>
          </w14:textFill>
        </w:rPr>
      </w:pPr>
    </w:p>
    <w:p>
      <w:pPr>
        <w:spacing w:line="440" w:lineRule="exact"/>
        <w:ind w:firstLine="602" w:firstLineChars="200"/>
        <w:rPr>
          <w:rFonts w:ascii="Times New Roman" w:hAnsi="Times New Roman" w:eastAsia="仿宋_GB2312"/>
          <w:b/>
          <w:color w:val="000000" w:themeColor="text1"/>
          <w:sz w:val="30"/>
          <w:szCs w:val="30"/>
          <w:highlight w:val="none"/>
          <w:u w:val="double"/>
          <w14:textFill>
            <w14:solidFill>
              <w14:schemeClr w14:val="tx1"/>
            </w14:solidFill>
          </w14:textFill>
        </w:rPr>
      </w:pPr>
      <w:r>
        <w:rPr>
          <w:rFonts w:hint="eastAsia" w:ascii="Times New Roman" w:hAnsi="Times New Roman" w:eastAsia="仿宋_GB2312"/>
          <w:b/>
          <w:color w:val="000000" w:themeColor="text1"/>
          <w:sz w:val="30"/>
          <w:szCs w:val="30"/>
          <w:highlight w:val="none"/>
          <w:u w:val="double"/>
          <w14:textFill>
            <w14:solidFill>
              <w14:schemeClr w14:val="tx1"/>
            </w14:solidFill>
          </w14:textFill>
        </w:rPr>
        <w:t>落实扶持中小企业政府采购政策：</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1</w:t>
      </w:r>
      <w:r>
        <w:rPr>
          <w:rFonts w:ascii="Times New Roman" w:hAnsi="Times New Roman" w:eastAsia="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b/>
          <w:color w:val="000000" w:themeColor="text1"/>
          <w:sz w:val="30"/>
          <w:szCs w:val="30"/>
          <w:highlight w:val="none"/>
          <w14:textFill>
            <w14:solidFill>
              <w14:schemeClr w14:val="tx1"/>
            </w14:solidFill>
          </w14:textFill>
        </w:rPr>
        <w:t>根据财政部、工业和信息化部制定的《政府采购促进中小企业发展管理办法》（财库</w:t>
      </w:r>
      <w:bookmarkStart w:id="29" w:name="_Hlk67320848"/>
      <w:r>
        <w:rPr>
          <w:rFonts w:hint="eastAsia" w:ascii="Times New Roman" w:hAnsi="Times New Roman" w:eastAsia="仿宋_GB2312"/>
          <w:b/>
          <w:color w:val="000000" w:themeColor="text1"/>
          <w:sz w:val="30"/>
          <w:szCs w:val="30"/>
          <w:highlight w:val="none"/>
          <w14:textFill>
            <w14:solidFill>
              <w14:schemeClr w14:val="tx1"/>
            </w14:solidFill>
          </w14:textFill>
        </w:rPr>
        <w:t>〔20</w:t>
      </w:r>
      <w:r>
        <w:rPr>
          <w:rFonts w:ascii="Times New Roman" w:hAnsi="Times New Roman" w:eastAsia="仿宋_GB2312"/>
          <w:b/>
          <w:color w:val="000000" w:themeColor="text1"/>
          <w:sz w:val="30"/>
          <w:szCs w:val="30"/>
          <w:highlight w:val="none"/>
          <w14:textFill>
            <w14:solidFill>
              <w14:schemeClr w14:val="tx1"/>
            </w14:solidFill>
          </w14:textFill>
        </w:rPr>
        <w:t>20</w:t>
      </w:r>
      <w:r>
        <w:rPr>
          <w:rFonts w:hint="eastAsia" w:ascii="Times New Roman" w:hAnsi="Times New Roman" w:eastAsia="仿宋_GB2312"/>
          <w:b/>
          <w:color w:val="000000" w:themeColor="text1"/>
          <w:sz w:val="30"/>
          <w:szCs w:val="30"/>
          <w:highlight w:val="none"/>
          <w14:textFill>
            <w14:solidFill>
              <w14:schemeClr w14:val="tx1"/>
            </w14:solidFill>
          </w14:textFill>
        </w:rPr>
        <w:t>〕</w:t>
      </w:r>
      <w:bookmarkEnd w:id="29"/>
      <w:r>
        <w:rPr>
          <w:rFonts w:hint="eastAsia" w:ascii="Times New Roman" w:hAnsi="Times New Roman" w:eastAsia="仿宋_GB2312"/>
          <w:b/>
          <w:color w:val="000000" w:themeColor="text1"/>
          <w:sz w:val="30"/>
          <w:szCs w:val="30"/>
          <w:highlight w:val="none"/>
          <w14:textFill>
            <w14:solidFill>
              <w14:schemeClr w14:val="tx1"/>
            </w14:solidFill>
          </w14:textFill>
        </w:rPr>
        <w:t>46 号）</w:t>
      </w:r>
      <w:r>
        <w:rPr>
          <w:rFonts w:hint="eastAsia" w:ascii="Times New Roman" w:hAnsi="Times New Roman" w:eastAsia="仿宋_GB2312"/>
          <w:b/>
          <w:color w:val="000000" w:themeColor="text1"/>
          <w:sz w:val="30"/>
          <w:szCs w:val="30"/>
          <w:highlight w:val="none"/>
          <w:lang w:eastAsia="zh-CN"/>
          <w14:textFill>
            <w14:solidFill>
              <w14:schemeClr w14:val="tx1"/>
            </w14:solidFill>
          </w14:textFill>
        </w:rPr>
        <w:t>、《</w:t>
      </w:r>
      <w:r>
        <w:rPr>
          <w:rFonts w:hint="eastAsia" w:ascii="Times New Roman" w:hAnsi="Times New Roman" w:eastAsia="仿宋_GB2312" w:cs="Times New Roman"/>
          <w:b/>
          <w:bCs w:val="0"/>
          <w:i w:val="0"/>
          <w:iCs w:val="0"/>
          <w:caps w:val="0"/>
          <w:color w:val="000000" w:themeColor="text1"/>
          <w:spacing w:val="0"/>
          <w:sz w:val="30"/>
          <w:szCs w:val="30"/>
          <w:highlight w:val="none"/>
          <w:shd w:val="clear" w:color="auto" w:fill="auto"/>
          <w14:textFill>
            <w14:solidFill>
              <w14:schemeClr w14:val="tx1"/>
            </w14:solidFill>
          </w14:textFill>
        </w:rPr>
        <w:t>关于进一步加大政府采购支持中小企业力度的通知</w:t>
      </w:r>
      <w:r>
        <w:rPr>
          <w:rFonts w:hint="eastAsia" w:ascii="Times New Roman" w:hAnsi="Times New Roman" w:eastAsia="仿宋_GB2312"/>
          <w:b/>
          <w:color w:val="000000" w:themeColor="text1"/>
          <w:sz w:val="30"/>
          <w:szCs w:val="30"/>
          <w:highlight w:val="none"/>
          <w:lang w:eastAsia="zh-CN"/>
          <w14:textFill>
            <w14:solidFill>
              <w14:schemeClr w14:val="tx1"/>
            </w14:solidFill>
          </w14:textFill>
        </w:rPr>
        <w:t>》（</w:t>
      </w:r>
      <w:r>
        <w:rPr>
          <w:rFonts w:hint="eastAsia" w:ascii="Times New Roman" w:hAnsi="Times New Roman" w:eastAsia="仿宋_GB2312" w:cs="Times New Roman"/>
          <w:b/>
          <w:i w:val="0"/>
          <w:iCs w:val="0"/>
          <w:caps w:val="0"/>
          <w:color w:val="000000" w:themeColor="text1"/>
          <w:spacing w:val="0"/>
          <w:sz w:val="30"/>
          <w:szCs w:val="30"/>
          <w:highlight w:val="none"/>
          <w:shd w:val="clear" w:color="auto" w:fill="auto"/>
          <w14:textFill>
            <w14:solidFill>
              <w14:schemeClr w14:val="tx1"/>
            </w14:solidFill>
          </w14:textFill>
        </w:rPr>
        <w:t>财库〔2022〕19号</w:t>
      </w:r>
      <w:r>
        <w:rPr>
          <w:rFonts w:hint="eastAsia" w:ascii="Times New Roman" w:hAnsi="Times New Roman" w:eastAsia="仿宋_GB2312" w:cs="Times New Roman"/>
          <w:b/>
          <w:i w:val="0"/>
          <w:iCs w:val="0"/>
          <w:caps w:val="0"/>
          <w:color w:val="000000" w:themeColor="text1"/>
          <w:spacing w:val="0"/>
          <w:sz w:val="30"/>
          <w:szCs w:val="30"/>
          <w:highlight w:val="none"/>
          <w:shd w:val="clear" w:color="auto" w:fill="auto"/>
          <w:lang w:eastAsia="zh-CN"/>
          <w14:textFill>
            <w14:solidFill>
              <w14:schemeClr w14:val="tx1"/>
            </w14:solidFill>
          </w14:textFill>
        </w:rPr>
        <w:t>）</w:t>
      </w:r>
      <w:r>
        <w:rPr>
          <w:rFonts w:hint="eastAsia" w:ascii="Times New Roman" w:hAnsi="Times New Roman" w:eastAsia="仿宋_GB2312"/>
          <w:b/>
          <w:color w:val="000000" w:themeColor="text1"/>
          <w:sz w:val="30"/>
          <w:szCs w:val="30"/>
          <w:highlight w:val="none"/>
          <w14:textFill>
            <w14:solidFill>
              <w14:schemeClr w14:val="tx1"/>
            </w14:solidFill>
          </w14:textFill>
        </w:rPr>
        <w:t>的相关规定，在货物政府采购项目中，货物均为小型或微型企业生产的，在服务政府采购项目中，服务均由小型或微型企业承接的，投标人的投标报价给予</w:t>
      </w:r>
      <w:r>
        <w:rPr>
          <w:rFonts w:hint="eastAsia" w:ascii="Times New Roman" w:hAnsi="Times New Roman" w:eastAsia="仿宋_GB2312"/>
          <w:b/>
          <w:color w:val="000000" w:themeColor="text1"/>
          <w:sz w:val="30"/>
          <w:szCs w:val="30"/>
          <w:highlight w:val="none"/>
          <w:u w:val="none"/>
          <w:lang w:val="en-US" w:eastAsia="zh-CN"/>
          <w14:textFill>
            <w14:solidFill>
              <w14:schemeClr w14:val="tx1"/>
            </w14:solidFill>
          </w14:textFill>
        </w:rPr>
        <w:t>10</w:t>
      </w:r>
      <w:r>
        <w:rPr>
          <w:rFonts w:hint="eastAsia" w:ascii="Times New Roman" w:hAnsi="Times New Roman" w:eastAsia="仿宋_GB2312"/>
          <w:b/>
          <w:color w:val="000000" w:themeColor="text1"/>
          <w:sz w:val="30"/>
          <w:szCs w:val="30"/>
          <w:highlight w:val="none"/>
          <w:u w:val="none"/>
          <w14:textFill>
            <w14:solidFill>
              <w14:schemeClr w14:val="tx1"/>
            </w14:solidFill>
          </w14:textFill>
        </w:rPr>
        <w:t>%</w:t>
      </w:r>
      <w:r>
        <w:rPr>
          <w:rFonts w:hint="eastAsia" w:ascii="Times New Roman" w:hAnsi="Times New Roman" w:eastAsia="仿宋_GB2312"/>
          <w:b/>
          <w:color w:val="000000" w:themeColor="text1"/>
          <w:sz w:val="30"/>
          <w:szCs w:val="30"/>
          <w:highlight w:val="none"/>
          <w14:textFill>
            <w14:solidFill>
              <w14:schemeClr w14:val="tx1"/>
            </w14:solidFill>
          </w14:textFill>
        </w:rPr>
        <w:t>的扣除，并用扣除后的价格作为价格分计算。属于小型或微型企业的，投标人应在投标文件中出具《中小企业声明函》（见附件），否则不得享受相关中小企业扶持政策。</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Times New Roman" w:hAnsi="Times New Roman" w:eastAsia="仿宋_GB2312"/>
          <w:b/>
          <w:color w:val="000000" w:themeColor="text1"/>
          <w:sz w:val="30"/>
          <w:szCs w:val="30"/>
          <w:highlight w:val="none"/>
          <w:u w:val="none"/>
          <w14:textFill>
            <w14:solidFill>
              <w14:schemeClr w14:val="tx1"/>
            </w14:solidFill>
          </w14:textFill>
        </w:rPr>
        <w:t>4%</w:t>
      </w:r>
      <w:r>
        <w:rPr>
          <w:rFonts w:hint="eastAsia" w:ascii="Times New Roman" w:hAnsi="Times New Roman" w:eastAsia="仿宋_GB2312"/>
          <w:b/>
          <w:color w:val="000000" w:themeColor="text1"/>
          <w:sz w:val="30"/>
          <w:szCs w:val="30"/>
          <w:highlight w:val="none"/>
          <w14:textFill>
            <w14:solidFill>
              <w14:schemeClr w14:val="tx1"/>
            </w14:solidFill>
          </w14:textFill>
        </w:rPr>
        <w:t>的扣除，用扣除后的价格参加评审。</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组成联合体或者接受分包的小微企业与联合体内其他企业、分包企业之间存在直接控股、管理关系的，不享受价格扣除优惠政策。</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其中小型或微型企业，是指按《中小企业划型标准规定》的所属行业规定为小型、微型企业。</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bookmarkStart w:id="30" w:name="_Hlk73369921"/>
      <w:r>
        <w:rPr>
          <w:rFonts w:hint="eastAsia" w:ascii="Times New Roman" w:hAnsi="Times New Roman" w:eastAsia="仿宋_GB2312"/>
          <w:b/>
          <w:color w:val="000000" w:themeColor="text1"/>
          <w:sz w:val="30"/>
          <w:szCs w:val="30"/>
          <w:highlight w:val="none"/>
          <w14:textFill>
            <w14:solidFill>
              <w14:schemeClr w14:val="tx1"/>
            </w14:solidFill>
          </w14:textFill>
        </w:rPr>
        <w:t>注意：专门面向中小企业采购的项目，不再执行价格评审优惠的扶持政策。</w:t>
      </w:r>
    </w:p>
    <w:bookmarkEnd w:id="30"/>
    <w:p>
      <w:pPr>
        <w:spacing w:line="440" w:lineRule="exact"/>
        <w:ind w:firstLine="602" w:firstLineChars="200"/>
        <w:rPr>
          <w:rFonts w:ascii="Times New Roman" w:hAnsi="Times New Roman" w:eastAsia="仿宋_GB2312"/>
          <w:b/>
          <w:color w:val="000000" w:themeColor="text1"/>
          <w:sz w:val="30"/>
          <w:szCs w:val="30"/>
          <w:highlight w:val="none"/>
          <w:u w:val="singl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2</w:t>
      </w:r>
      <w:r>
        <w:rPr>
          <w:rFonts w:ascii="Times New Roman" w:hAnsi="Times New Roman" w:eastAsia="仿宋_GB2312"/>
          <w:b/>
          <w:color w:val="000000" w:themeColor="text1"/>
          <w:sz w:val="30"/>
          <w:szCs w:val="30"/>
          <w:highlight w:val="none"/>
          <w14:textFill>
            <w14:solidFill>
              <w14:schemeClr w14:val="tx1"/>
            </w14:solidFill>
          </w14:textFill>
        </w:rPr>
        <w:t>.</w:t>
      </w:r>
      <w:r>
        <w:rPr>
          <w:rFonts w:hint="eastAsia" w:ascii="Times New Roman" w:hAnsi="Times New Roman" w:eastAsia="仿宋_GB2312"/>
          <w:b/>
          <w:color w:val="000000" w:themeColor="text1"/>
          <w:sz w:val="30"/>
          <w:szCs w:val="30"/>
          <w:highlight w:val="none"/>
          <w14:textFill>
            <w14:solidFill>
              <w14:schemeClr w14:val="tx1"/>
            </w14:solidFill>
          </w14:textFill>
        </w:rPr>
        <w:t>根据财政部、民政部和中国残疾人联合会《关于促进残疾人就业政府采购政策的通知》（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r>
        <w:rPr>
          <w:rFonts w:hint="eastAsia" w:ascii="Times New Roman" w:hAnsi="Times New Roman" w:eastAsia="仿宋_GB2312"/>
          <w:b/>
          <w:color w:val="000000" w:themeColor="text1"/>
          <w:sz w:val="30"/>
          <w:szCs w:val="30"/>
          <w:highlight w:val="none"/>
          <w:u w:val="single"/>
          <w14:textFill>
            <w14:solidFill>
              <w14:schemeClr w14:val="tx1"/>
            </w14:solidFill>
          </w14:textFill>
        </w:rPr>
        <w:t>残疾人福利性单位属于小型、微型企业的，不重复享受政策。</w:t>
      </w:r>
    </w:p>
    <w:p>
      <w:pPr>
        <w:spacing w:line="440" w:lineRule="exact"/>
        <w:ind w:firstLine="602" w:firstLineChars="200"/>
        <w:rPr>
          <w:rFonts w:ascii="Times New Roman" w:hAnsi="Times New Roman" w:eastAsia="仿宋_GB2312"/>
          <w:b/>
          <w:color w:val="000000" w:themeColor="text1"/>
          <w:sz w:val="30"/>
          <w:szCs w:val="30"/>
          <w:highlight w:val="none"/>
          <w:u w:val="singl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3.根据财政部和司法部《关于政府采购支持监狱企业发展有关问题的通知》（〔2014〕68号）的相关规定，在政府采购活动中，监狱企业视同小型、微型企业，享受评审中价格扣除政策，并在投标文件中提供由省级以上监狱管理局、戒毒管理局（含新疆生产建设兵团）出具的属于监狱企业的声明函（格式自拟）。</w:t>
      </w:r>
      <w:r>
        <w:rPr>
          <w:rFonts w:hint="eastAsia" w:ascii="Times New Roman" w:hAnsi="Times New Roman" w:eastAsia="仿宋_GB2312"/>
          <w:b/>
          <w:color w:val="000000" w:themeColor="text1"/>
          <w:sz w:val="30"/>
          <w:szCs w:val="30"/>
          <w:highlight w:val="none"/>
          <w:u w:val="single"/>
          <w14:textFill>
            <w14:solidFill>
              <w14:schemeClr w14:val="tx1"/>
            </w14:solidFill>
          </w14:textFill>
        </w:rPr>
        <w:t>监狱企业属于小型、微型企业的，不重复享受政策。</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4</w:t>
      </w:r>
      <w:r>
        <w:rPr>
          <w:rFonts w:ascii="Times New Roman" w:hAnsi="Times New Roman" w:eastAsia="仿宋_GB2312"/>
          <w:b/>
          <w:color w:val="000000" w:themeColor="text1"/>
          <w:sz w:val="30"/>
          <w:szCs w:val="30"/>
          <w:highlight w:val="none"/>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Times New Roman" w:hAnsi="Times New Roman" w:eastAsia="仿宋_GB2312"/>
          <w:b/>
          <w:color w:val="000000" w:themeColor="text1"/>
          <w:sz w:val="30"/>
          <w:szCs w:val="30"/>
          <w:highlight w:val="none"/>
          <w14:textFill>
            <w14:solidFill>
              <w14:schemeClr w14:val="tx1"/>
            </w14:solidFill>
          </w14:textFill>
        </w:rPr>
        <w:t>符合中小企业划分标准的个体工商户，在政府采购活动中视同中小企业。</w:t>
      </w:r>
    </w:p>
    <w:p>
      <w:pPr>
        <w:spacing w:line="440" w:lineRule="exact"/>
        <w:ind w:firstLine="602" w:firstLineChars="200"/>
        <w:rPr>
          <w:rFonts w:ascii="Times New Roman" w:hAnsi="Times New Roman" w:eastAsia="仿宋_GB2312"/>
          <w:b/>
          <w:color w:val="000000" w:themeColor="text1"/>
          <w:sz w:val="30"/>
          <w:szCs w:val="30"/>
          <w:highlight w:val="none"/>
          <w:u w:val="double"/>
          <w14:textFill>
            <w14:solidFill>
              <w14:schemeClr w14:val="tx1"/>
            </w14:solidFill>
          </w14:textFill>
        </w:rPr>
      </w:pPr>
      <w:r>
        <w:rPr>
          <w:rFonts w:ascii="Times New Roman" w:hAnsi="Times New Roman" w:eastAsia="仿宋_GB2312"/>
          <w:b/>
          <w:color w:val="000000" w:themeColor="text1"/>
          <w:sz w:val="30"/>
          <w:szCs w:val="30"/>
          <w:highlight w:val="none"/>
          <w:u w:val="double"/>
          <w14:textFill>
            <w14:solidFill>
              <w14:schemeClr w14:val="tx1"/>
            </w14:solidFill>
          </w14:textFill>
        </w:rPr>
        <w:t>5.</w:t>
      </w:r>
      <w:r>
        <w:rPr>
          <w:rFonts w:hint="eastAsia" w:ascii="Times New Roman" w:hAnsi="Times New Roman" w:eastAsia="仿宋_GB2312"/>
          <w:b/>
          <w:color w:val="000000" w:themeColor="text1"/>
          <w:sz w:val="30"/>
          <w:szCs w:val="30"/>
          <w:highlight w:val="none"/>
          <w:u w:val="double"/>
          <w14:textFill>
            <w14:solidFill>
              <w14:schemeClr w14:val="tx1"/>
            </w14:solidFill>
          </w14:textFill>
        </w:rPr>
        <w:t>特别说明：</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（1）未提供以上声明函的，均不给予价格扣除。供应商按照规定提供声明函内容不实的，属于提供虚假材料谋取中标、成交，依照《中华人民共和国政府采购法》等国家有关规定追究相应责任。</w:t>
      </w:r>
    </w:p>
    <w:p>
      <w:pPr>
        <w:spacing w:line="440" w:lineRule="exact"/>
        <w:ind w:firstLine="602" w:firstLineChars="200"/>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（2）依据《政府采购促进中小企业发展管理办法》（财库〔2020〕46 号）规定享受扶持政策获得政府采购合同的，小微企业不得将合同分包给大中型企业，中型企业不得将合同分包给大型企业。</w:t>
      </w:r>
    </w:p>
    <w:p>
      <w:pPr>
        <w:pageBreakBefore/>
        <w:spacing w:line="460" w:lineRule="exact"/>
        <w:ind w:firstLine="600" w:firstLineChars="200"/>
        <w:outlineLvl w:val="1"/>
        <w:rPr>
          <w:rFonts w:ascii="黑体" w:hAnsi="黑体" w:eastAsia="黑体"/>
          <w:color w:val="000000" w:themeColor="text1"/>
          <w:sz w:val="30"/>
          <w:szCs w:val="30"/>
          <w:highlight w:val="none"/>
          <w14:textFill>
            <w14:solidFill>
              <w14:schemeClr w14:val="tx1"/>
            </w14:solidFill>
          </w14:textFill>
        </w:rPr>
      </w:pPr>
      <w:bookmarkStart w:id="31" w:name="_Toc421271112"/>
      <w:r>
        <w:rPr>
          <w:rFonts w:hint="eastAsia" w:ascii="黑体" w:hAnsi="黑体" w:eastAsia="黑体"/>
          <w:color w:val="000000" w:themeColor="text1"/>
          <w:sz w:val="30"/>
          <w:szCs w:val="30"/>
          <w:highlight w:val="none"/>
          <w14:textFill>
            <w14:solidFill>
              <w14:schemeClr w14:val="tx1"/>
            </w14:solidFill>
          </w14:textFill>
        </w:rPr>
        <w:t>三、评标内容及标准</w:t>
      </w:r>
      <w:bookmarkEnd w:id="31"/>
    </w:p>
    <w:p>
      <w:pPr>
        <w:spacing w:before="120" w:beforeLines="50" w:after="120" w:afterLines="50" w:line="320" w:lineRule="exact"/>
        <w:rPr>
          <w:rFonts w:hint="eastAsia" w:eastAsia="仿宋_GB2312"/>
          <w:b/>
          <w:color w:val="000000" w:themeColor="text1"/>
          <w:sz w:val="28"/>
          <w:highlight w:val="none"/>
          <w14:textFill>
            <w14:solidFill>
              <w14:schemeClr w14:val="tx1"/>
            </w14:solidFill>
          </w14:textFill>
        </w:rPr>
      </w:pPr>
      <w:r>
        <w:rPr>
          <w:rFonts w:hint="eastAsia" w:eastAsia="仿宋_GB2312"/>
          <w:b/>
          <w:color w:val="000000" w:themeColor="text1"/>
          <w:sz w:val="28"/>
          <w:highlight w:val="none"/>
          <w:lang w:val="en-US" w:eastAsia="zh-CN"/>
          <w14:textFill>
            <w14:solidFill>
              <w14:schemeClr w14:val="tx1"/>
            </w14:solidFill>
          </w14:textFill>
        </w:rPr>
        <w:t>项目编号：</w:t>
      </w:r>
      <w:r>
        <w:rPr>
          <w:rFonts w:hint="eastAsia" w:ascii="仿宋_GB2312" w:hAnsi="Times New Roman" w:eastAsia="仿宋_GB2312"/>
          <w:b/>
          <w:bCs/>
          <w:snapToGrid w:val="0"/>
          <w:color w:val="000000" w:themeColor="text1"/>
          <w:kern w:val="0"/>
          <w:sz w:val="30"/>
          <w:szCs w:val="30"/>
          <w:highlight w:val="none"/>
          <w:u w:val="single"/>
          <w:lang w:eastAsia="zh-CN"/>
          <w14:textFill>
            <w14:solidFill>
              <w14:schemeClr w14:val="tx1"/>
            </w14:solidFill>
          </w14:textFill>
        </w:rPr>
        <w:t>2024-XXHGC-8</w:t>
      </w:r>
      <w:r>
        <w:rPr>
          <w:rFonts w:eastAsia="仿宋_GB2312"/>
          <w:b/>
          <w:color w:val="000000" w:themeColor="text1"/>
          <w:sz w:val="28"/>
          <w:highlight w:val="none"/>
          <w14:textFill>
            <w14:solidFill>
              <w14:schemeClr w14:val="tx1"/>
            </w14:solidFill>
          </w14:textFill>
        </w:rPr>
        <w:t xml:space="preserve"> </w:t>
      </w:r>
      <w:r>
        <w:rPr>
          <w:rFonts w:hint="eastAsia" w:eastAsia="仿宋_GB2312"/>
          <w:b/>
          <w:color w:val="000000" w:themeColor="text1"/>
          <w:sz w:val="28"/>
          <w:highlight w:val="none"/>
          <w14:textFill>
            <w14:solidFill>
              <w14:schemeClr w14:val="tx1"/>
            </w14:solidFill>
          </w14:textFill>
        </w:rPr>
        <w:t xml:space="preserve">                               总分:100</w:t>
      </w:r>
    </w:p>
    <w:tbl>
      <w:tblPr>
        <w:tblStyle w:val="36"/>
        <w:tblW w:w="10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850"/>
        <w:gridCol w:w="851"/>
        <w:gridCol w:w="7034"/>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21" w:type="dxa"/>
            <w:vAlign w:val="center"/>
          </w:tcPr>
          <w:p>
            <w:pPr>
              <w:spacing w:line="320" w:lineRule="exact"/>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序号</w:t>
            </w:r>
          </w:p>
        </w:tc>
        <w:tc>
          <w:tcPr>
            <w:tcW w:w="850" w:type="dxa"/>
            <w:vAlign w:val="center"/>
          </w:tcPr>
          <w:p>
            <w:pPr>
              <w:spacing w:line="320" w:lineRule="exact"/>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评分类型</w:t>
            </w:r>
          </w:p>
        </w:tc>
        <w:tc>
          <w:tcPr>
            <w:tcW w:w="851" w:type="dxa"/>
            <w:vAlign w:val="center"/>
          </w:tcPr>
          <w:p>
            <w:pPr>
              <w:spacing w:line="320" w:lineRule="exact"/>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分值</w:t>
            </w:r>
          </w:p>
        </w:tc>
        <w:tc>
          <w:tcPr>
            <w:tcW w:w="7034" w:type="dxa"/>
            <w:vAlign w:val="center"/>
          </w:tcPr>
          <w:p>
            <w:pPr>
              <w:spacing w:line="320" w:lineRule="exact"/>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评标要点及说明</w:t>
            </w:r>
          </w:p>
        </w:tc>
        <w:tc>
          <w:tcPr>
            <w:tcW w:w="980" w:type="dxa"/>
            <w:vAlign w:val="center"/>
          </w:tcPr>
          <w:p>
            <w:pPr>
              <w:spacing w:line="320" w:lineRule="exact"/>
              <w:jc w:val="center"/>
              <w:rPr>
                <w:rFonts w:hint="eastAsia"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分值</w:t>
            </w:r>
          </w:p>
          <w:p>
            <w:pPr>
              <w:spacing w:line="320" w:lineRule="exact"/>
              <w:jc w:val="center"/>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报价</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20</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满足招标文件要求且报价最低的投标报价为评标基准价，其价格分为满分。其他投标人的价格分统一按照下列公式计算：投标报价得分=（评标基准价/投标报价）×20。</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商务</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2</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2</w:t>
            </w:r>
            <w:r>
              <w:rPr>
                <w:rFonts w:asciiTheme="minorEastAsia" w:hAnsiTheme="minorEastAsia" w:eastAsiaTheme="minorEastAsia"/>
                <w:color w:val="000000" w:themeColor="text1"/>
                <w:sz w:val="24"/>
                <w:szCs w:val="24"/>
                <w:highlight w:val="none"/>
                <w14:textFill>
                  <w14:solidFill>
                    <w14:schemeClr w14:val="tx1"/>
                  </w14:solidFill>
                </w14:textFill>
              </w:rPr>
              <w:t>02</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年1月1日以来类似项目经验。提供合同复印件及验收回单（或用户使用报告），每</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个项目</w:t>
            </w:r>
            <w:r>
              <w:rPr>
                <w:rFonts w:hint="eastAsia" w:asciiTheme="minorEastAsia" w:hAnsiTheme="minorEastAsia" w:eastAsiaTheme="minorEastAsia"/>
                <w:color w:val="000000" w:themeColor="text1"/>
                <w:sz w:val="24"/>
                <w:szCs w:val="24"/>
                <w:highlight w:val="none"/>
                <w14:textFill>
                  <w14:solidFill>
                    <w14:schemeClr w14:val="tx1"/>
                  </w14:solidFill>
                </w14:textFill>
              </w:rPr>
              <w:t>得1分，最高得</w:t>
            </w:r>
            <w:r>
              <w:rPr>
                <w:rFonts w:asciiTheme="minorEastAsia" w:hAnsiTheme="minorEastAsia" w:eastAsiaTheme="minorEastAsia"/>
                <w:color w:val="000000" w:themeColor="text1"/>
                <w:sz w:val="24"/>
                <w:szCs w:val="24"/>
                <w:highlight w:val="none"/>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3</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商务</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3</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具有ISO90</w:t>
            </w:r>
            <w:r>
              <w:rPr>
                <w:rFonts w:asciiTheme="minorEastAsia" w:hAnsiTheme="minorEastAsia" w:eastAsiaTheme="minorEastAsia"/>
                <w:color w:val="000000" w:themeColor="text1"/>
                <w:sz w:val="24"/>
                <w:szCs w:val="24"/>
                <w:highlight w:val="none"/>
                <w14:textFill>
                  <w14:solidFill>
                    <w14:schemeClr w14:val="tx1"/>
                  </w14:solidFill>
                </w14:textFill>
              </w:rPr>
              <w:t>0</w:t>
            </w:r>
            <w:r>
              <w:rPr>
                <w:rFonts w:hint="eastAsia" w:asciiTheme="minorEastAsia" w:hAnsiTheme="minorEastAsia" w:eastAsiaTheme="minorEastAsia"/>
                <w:color w:val="000000" w:themeColor="text1"/>
                <w:sz w:val="24"/>
                <w:szCs w:val="24"/>
                <w:highlight w:val="none"/>
                <w14:textFill>
                  <w14:solidFill>
                    <w14:schemeClr w14:val="tx1"/>
                  </w14:solidFill>
                </w14:textFill>
              </w:rPr>
              <w:t>1质量管理体系认证证书或ISO27001信息安全管理体系认证证书或音视频系统集成资质，提供证书复印件加盖投标人公章的得1分，否则不得分；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具有ISO20000信息技术服务管理体系认证证书</w:t>
            </w:r>
            <w:r>
              <w:rPr>
                <w:rFonts w:asciiTheme="minorEastAsia" w:hAnsiTheme="minorEastAsia" w:eastAsiaTheme="minorEastAsia"/>
                <w:color w:val="000000" w:themeColor="text1"/>
                <w:sz w:val="24"/>
                <w:szCs w:val="24"/>
                <w:highlight w:val="none"/>
                <w14:textFill>
                  <w14:solidFill>
                    <w14:schemeClr w14:val="tx1"/>
                  </w14:solidFill>
                </w14:textFill>
              </w:rPr>
              <w:t>或</w:t>
            </w:r>
            <w:r>
              <w:rPr>
                <w:rFonts w:hint="eastAsia" w:asciiTheme="minorEastAsia" w:hAnsiTheme="minorEastAsia" w:eastAsiaTheme="minorEastAsia"/>
                <w:color w:val="000000" w:themeColor="text1"/>
                <w:sz w:val="24"/>
                <w:szCs w:val="24"/>
                <w:highlight w:val="none"/>
                <w14:textFill>
                  <w14:solidFill>
                    <w14:schemeClr w14:val="tx1"/>
                  </w14:solidFill>
                </w14:textFill>
              </w:rPr>
              <w:t>安全技术防范系统集成与服务资质，提供证书复印件加盖投标人公章的得1分，否则不得分；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具有ITSS信息技术服务运行维护标准符合性证书</w:t>
            </w:r>
            <w:r>
              <w:rPr>
                <w:rFonts w:asciiTheme="minorEastAsia" w:hAnsiTheme="minorEastAsia" w:eastAsiaTheme="minorEastAsia"/>
                <w:color w:val="000000" w:themeColor="text1"/>
                <w:sz w:val="24"/>
                <w:szCs w:val="24"/>
                <w:highlight w:val="none"/>
                <w14:textFill>
                  <w14:solidFill>
                    <w14:schemeClr w14:val="tx1"/>
                  </w14:solidFill>
                </w14:textFill>
              </w:rPr>
              <w:t>或</w:t>
            </w:r>
            <w:r>
              <w:rPr>
                <w:rFonts w:hint="eastAsia" w:asciiTheme="minorEastAsia" w:hAnsiTheme="minorEastAsia" w:eastAsiaTheme="minorEastAsia"/>
                <w:color w:val="000000" w:themeColor="text1"/>
                <w:sz w:val="24"/>
                <w:szCs w:val="24"/>
                <w:highlight w:val="none"/>
                <w14:textFill>
                  <w14:solidFill>
                    <w14:schemeClr w14:val="tx1"/>
                  </w14:solidFill>
                </w14:textFill>
              </w:rPr>
              <w:t>电子与智能化工程专业承包资质或I</w:t>
            </w:r>
            <w:r>
              <w:rPr>
                <w:rFonts w:asciiTheme="minorEastAsia" w:hAnsiTheme="minorEastAsia" w:eastAsiaTheme="minorEastAsia"/>
                <w:color w:val="000000" w:themeColor="text1"/>
                <w:sz w:val="24"/>
                <w:szCs w:val="24"/>
                <w:highlight w:val="none"/>
                <w14:textFill>
                  <w14:solidFill>
                    <w14:schemeClr w14:val="tx1"/>
                  </w14:solidFill>
                </w14:textFill>
              </w:rPr>
              <w:t>TSS</w:t>
            </w:r>
            <w:r>
              <w:rPr>
                <w:rFonts w:hint="eastAsia" w:asciiTheme="minorEastAsia" w:hAnsiTheme="minorEastAsia" w:eastAsiaTheme="minorEastAsia"/>
                <w:color w:val="000000" w:themeColor="text1"/>
                <w:sz w:val="24"/>
                <w:szCs w:val="24"/>
                <w:highlight w:val="none"/>
                <w14:textFill>
                  <w14:solidFill>
                    <w14:schemeClr w14:val="tx1"/>
                  </w14:solidFill>
                </w14:textFill>
              </w:rPr>
              <w:t>数据中心服务能力成熟度符合性证书，提供证书复印件加盖投标人公章的得1分，否则不得分。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4</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商务</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培训方案的可行性及合理性。投标人应提供相应的培训方案，提供软件系统、硬件设备的使用培训和相关业务知识培训，详细说明培训的方式、地点、人数、时间等实质性内容。</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对本项目背景、项目目标、项目运维需求等方面的理解程度。</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理解全面、透彻、到位，完全符合实际情况得</w:t>
            </w:r>
            <w:r>
              <w:rPr>
                <w:rFonts w:asciiTheme="minorEastAsia" w:hAnsiTheme="minorEastAsia" w:eastAsiaTheme="minorEastAsia"/>
                <w:color w:val="000000" w:themeColor="text1"/>
                <w:sz w:val="24"/>
                <w:szCs w:val="24"/>
                <w:highlight w:val="none"/>
                <w14:textFill>
                  <w14:solidFill>
                    <w14:schemeClr w14:val="tx1"/>
                  </w14:solidFill>
                </w14:textFill>
              </w:rPr>
              <w:t>5</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理解基本到位，基本符合实际情况得</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理解一般，与实际情况有一定偏离得1分；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未提供相关内容不得分。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6</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分析本项目运维的重点、难点并提出对应的解决措施和建议。</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分析准确到位，措施方案科学合理，可实施性强得5分；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分析基本合理，措施方案基本科学合理，可实施性一般得3分；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分析欠缺，措施方案不够科学合理，可实施性差得1分；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未提供相关内容不得分。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7</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整体运维方案合理性且能落实到实处。要求整体运维方案全面完整，对本项目的风险预见、风险应对措施完善，有完善的质量控制体系、质量控制点明确、措施有力。日常巡检运维、安全保障、应急响应、重要时期保障、流程制度落实、预案编制等无漏项。</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8</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日常巡检方案（巡检人员、巡检内容、时间安排等）合理性且能落实到实处。要求日常巡检方案全面完整、流程合理规范、文档齐全详细、管理制度完善、巡检人员配置合理。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9</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系统性能调优配置，软硬件缺陷修复升级更新优化方案。</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0</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应急处理方案（响应时间、人员配备、处理流程措施等）合理性且能落实到实处。各种突发事件的应急流程和措施合理规范、应急管理制度完善、应急人员配备齐全，响应时间等完全符合招标文件要求。</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w:t>
            </w:r>
            <w:r>
              <w:rPr>
                <w:rFonts w:asciiTheme="minorEastAsia" w:hAnsiTheme="minorEastAsia" w:eastAsiaTheme="minorEastAsia"/>
                <w:color w:val="000000" w:themeColor="text1"/>
                <w:sz w:val="24"/>
                <w:szCs w:val="24"/>
                <w:highlight w:val="none"/>
                <w14:textFill>
                  <w14:solidFill>
                    <w14:schemeClr w14:val="tx1"/>
                  </w14:solidFill>
                </w14:textFill>
              </w:rPr>
              <w:t>5</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1</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重大活动、节假日保障方案（保障时间、人员配备、保障措施流程等）合理性且能落实到实处。保障人员配备齐全、保障时间满足要求、保障流程和措施合理规范、保障制度完善。</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方案内容详实，科学合理，具有针对性，可实施性强的得5分；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方案内容基本合理，针对性、可实施性一般的得3分；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方案不够科学合理，针对性或可实施性差得1分；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2</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运维质量管理和流程规范程度（管理制度、流程图、记录、表单）。运维质量管理措施到位、流程清晰规范、管理制度齐全科学、记录完整齐全，符合运维服务的标准、招标文件要求。</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保障运维质量和流程规范的措施、制度、记录等到位，符合运维标准和招标要求的</w:t>
            </w:r>
            <w:r>
              <w:rPr>
                <w:rFonts w:asciiTheme="minorEastAsia" w:hAnsiTheme="minorEastAsia" w:eastAsiaTheme="minorEastAsia"/>
                <w:color w:val="000000" w:themeColor="text1"/>
                <w:sz w:val="24"/>
                <w:szCs w:val="24"/>
                <w:highlight w:val="none"/>
                <w14:textFill>
                  <w14:solidFill>
                    <w14:schemeClr w14:val="tx1"/>
                  </w14:solidFill>
                </w14:textFill>
              </w:rPr>
              <w:t>5</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保障运维质量和流程规范的措施、制度、记录等较为到位，符合运维标准和招标要求的</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保障运维质量和流程规范的措施、制度、记录等不太到位，不太符合运维标准和招标要求的</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未提供相关方案不得分。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3</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备品备件情况。要求说明备品库情况，提供与本项目运维相关的备品备件清单（规格型号、数量）等，并且在招标文件规定的时间内提供到位并能正常使用。</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备品备件齐全、先进、可靠的，能及时到位的</w:t>
            </w:r>
            <w:r>
              <w:rPr>
                <w:rFonts w:asciiTheme="minorEastAsia" w:hAnsiTheme="minorEastAsia" w:eastAsiaTheme="minorEastAsia"/>
                <w:color w:val="000000" w:themeColor="text1"/>
                <w:sz w:val="24"/>
                <w:szCs w:val="24"/>
                <w:highlight w:val="none"/>
                <w14:textFill>
                  <w14:solidFill>
                    <w14:schemeClr w14:val="tx1"/>
                  </w14:solidFill>
                </w14:textFill>
              </w:rPr>
              <w:t>5</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备品备件较为齐全、先进、可靠的，能及时到位的</w:t>
            </w:r>
            <w:r>
              <w:rPr>
                <w:rFonts w:asciiTheme="minorEastAsia" w:hAnsiTheme="minorEastAsia" w:eastAsiaTheme="minorEastAsia"/>
                <w:color w:val="000000" w:themeColor="text1"/>
                <w:sz w:val="24"/>
                <w:szCs w:val="24"/>
                <w:highlight w:val="none"/>
                <w14:textFill>
                  <w14:solidFill>
                    <w14:schemeClr w14:val="tx1"/>
                  </w14:solidFill>
                </w14:textFill>
              </w:rPr>
              <w:t>3</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备品备件一般齐全、先进、可靠的，能及时到位的</w:t>
            </w:r>
            <w:r>
              <w:rPr>
                <w:rFonts w:asciiTheme="minorEastAsia" w:hAnsiTheme="minorEastAsia" w:eastAsia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未提供不得分。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4</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5</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在规定时间内不能解决故障，采购人有权寻求第三方协助，由此产生费用由投标人承担的承诺5分。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5</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12</w:t>
            </w:r>
          </w:p>
        </w:tc>
        <w:tc>
          <w:tcPr>
            <w:tcW w:w="7034" w:type="dxa"/>
            <w:vAlign w:val="center"/>
          </w:tcPr>
          <w:p>
            <w:pPr>
              <w:spacing w:line="300" w:lineRule="exact"/>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投标人项目团队人员与第四章招标需求的项目团队人员组成的符合程度，每不符合</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1项</w:t>
            </w:r>
            <w:r>
              <w:rPr>
                <w:rFonts w:hint="eastAsia" w:asciiTheme="minorEastAsia" w:hAnsiTheme="minorEastAsia" w:eastAsiaTheme="minorEastAsia"/>
                <w:color w:val="000000" w:themeColor="text1"/>
                <w:sz w:val="24"/>
                <w:szCs w:val="24"/>
                <w:highlight w:val="none"/>
                <w14:textFill>
                  <w14:solidFill>
                    <w14:schemeClr w14:val="tx1"/>
                  </w14:solidFill>
                </w14:textFill>
              </w:rPr>
              <w:t>扣</w:t>
            </w:r>
            <w:r>
              <w:rPr>
                <w:rFonts w:hint="eastAsia" w:asciiTheme="minorEastAsia" w:hAnsiTheme="minorEastAsia" w:eastAsia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4"/>
                <w:highlight w:val="none"/>
                <w14:textFill>
                  <w14:solidFill>
                    <w14:schemeClr w14:val="tx1"/>
                  </w14:solidFill>
                </w14:textFill>
              </w:rPr>
              <w:t>分，扣完为止</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2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1</w:t>
            </w:r>
            <w:r>
              <w:rPr>
                <w:rFonts w:asciiTheme="minorEastAsia" w:hAnsiTheme="minorEastAsia" w:eastAsiaTheme="minorEastAsia"/>
                <w:color w:val="000000" w:themeColor="text1"/>
                <w:sz w:val="24"/>
                <w:szCs w:val="24"/>
                <w:highlight w:val="none"/>
                <w14:textFill>
                  <w14:solidFill>
                    <w14:schemeClr w14:val="tx1"/>
                  </w14:solidFill>
                </w14:textFill>
              </w:rPr>
              <w:t>6</w:t>
            </w:r>
          </w:p>
        </w:tc>
        <w:tc>
          <w:tcPr>
            <w:tcW w:w="85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技术</w:t>
            </w:r>
          </w:p>
        </w:tc>
        <w:tc>
          <w:tcPr>
            <w:tcW w:w="851"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8</w:t>
            </w:r>
          </w:p>
        </w:tc>
        <w:tc>
          <w:tcPr>
            <w:tcW w:w="7034" w:type="dxa"/>
            <w:vAlign w:val="center"/>
          </w:tcPr>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演示或讲解。演示或PPT讲解日常维护服务方案。</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演示或讲解清晰、科学，符合招标文件要求</w:t>
            </w:r>
            <w:r>
              <w:rPr>
                <w:rFonts w:asciiTheme="minorEastAsia" w:hAnsiTheme="minorEastAsia" w:eastAsiaTheme="minorEastAsia"/>
                <w:color w:val="000000" w:themeColor="text1"/>
                <w:sz w:val="24"/>
                <w:szCs w:val="24"/>
                <w:highlight w:val="none"/>
                <w14:textFill>
                  <w14:solidFill>
                    <w14:schemeClr w14:val="tx1"/>
                  </w14:solidFill>
                </w14:textFill>
              </w:rPr>
              <w:t>8</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演示或讲解较为清晰、科学，符合招标文件要求</w:t>
            </w:r>
            <w:r>
              <w:rPr>
                <w:rFonts w:asciiTheme="minorEastAsia" w:hAnsiTheme="minorEastAsia" w:eastAsiaTheme="minorEastAsia"/>
                <w:color w:val="000000" w:themeColor="text1"/>
                <w:sz w:val="24"/>
                <w:szCs w:val="24"/>
                <w:highlight w:val="none"/>
                <w14:textFill>
                  <w14:solidFill>
                    <w14:schemeClr w14:val="tx1"/>
                  </w14:solidFill>
                </w14:textFill>
              </w:rPr>
              <w:t>6</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p>
          <w:p>
            <w:pPr>
              <w:spacing w:line="320" w:lineRule="exact"/>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演示或讲解模糊，不太符合招标文件要求</w:t>
            </w:r>
            <w:r>
              <w:rPr>
                <w:rFonts w:asciiTheme="minorEastAsia" w:hAnsiTheme="minorEastAsia" w:eastAsiaTheme="minorEastAsia"/>
                <w:color w:val="000000" w:themeColor="text1"/>
                <w:sz w:val="24"/>
                <w:szCs w:val="24"/>
                <w:highlight w:val="none"/>
                <w14:textFill>
                  <w14:solidFill>
                    <w14:schemeClr w14:val="tx1"/>
                  </w14:solidFill>
                </w14:textFill>
              </w:rPr>
              <w:t>4</w:t>
            </w:r>
            <w:r>
              <w:rPr>
                <w:rFonts w:hint="eastAsia" w:asciiTheme="minorEastAsia" w:hAnsiTheme="minorEastAsia" w:eastAsia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olor w:val="000000" w:themeColor="text1"/>
                <w:sz w:val="24"/>
                <w:szCs w:val="24"/>
                <w:highlight w:val="none"/>
                <w:lang w:eastAsia="zh-CN"/>
                <w14:textFill>
                  <w14:solidFill>
                    <w14:schemeClr w14:val="tx1"/>
                  </w14:solidFill>
                </w14:textFill>
              </w:rPr>
              <w:t>；</w:t>
            </w:r>
          </w:p>
          <w:p>
            <w:pPr>
              <w:spacing w:line="320" w:lineRule="exact"/>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未</w:t>
            </w:r>
            <w:r>
              <w:rPr>
                <w:rFonts w:asciiTheme="minorEastAsia" w:hAnsiTheme="minorEastAsia" w:eastAsiaTheme="minorEastAsia"/>
                <w:color w:val="000000" w:themeColor="text1"/>
                <w:sz w:val="24"/>
                <w:szCs w:val="24"/>
                <w:highlight w:val="none"/>
                <w14:textFill>
                  <w14:solidFill>
                    <w14:schemeClr w14:val="tx1"/>
                  </w14:solidFill>
                </w14:textFill>
              </w:rPr>
              <w:t>演示或</w:t>
            </w:r>
            <w:r>
              <w:rPr>
                <w:rFonts w:hint="eastAsia" w:asciiTheme="minorEastAsia" w:hAnsiTheme="minorEastAsia" w:eastAsiaTheme="minorEastAsia"/>
                <w:color w:val="000000" w:themeColor="text1"/>
                <w:sz w:val="24"/>
                <w:szCs w:val="24"/>
                <w:highlight w:val="none"/>
                <w14:textFill>
                  <w14:solidFill>
                    <w14:schemeClr w14:val="tx1"/>
                  </w14:solidFill>
                </w14:textFill>
              </w:rPr>
              <w:t>未</w:t>
            </w:r>
            <w:r>
              <w:rPr>
                <w:rFonts w:asciiTheme="minorEastAsia" w:hAnsiTheme="minorEastAsia" w:eastAsiaTheme="minorEastAsia"/>
                <w:color w:val="000000" w:themeColor="text1"/>
                <w:sz w:val="24"/>
                <w:szCs w:val="24"/>
                <w:highlight w:val="none"/>
                <w14:textFill>
                  <w14:solidFill>
                    <w14:schemeClr w14:val="tx1"/>
                  </w14:solidFill>
                </w14:textFill>
              </w:rPr>
              <w:t>讲解的</w:t>
            </w:r>
            <w:r>
              <w:rPr>
                <w:rFonts w:hint="eastAsia" w:asciiTheme="minorEastAsia" w:hAnsiTheme="minorEastAsia" w:eastAsiaTheme="minorEastAsia"/>
                <w:color w:val="000000" w:themeColor="text1"/>
                <w:sz w:val="24"/>
                <w:szCs w:val="24"/>
                <w:highlight w:val="none"/>
                <w14:textFill>
                  <w14:solidFill>
                    <w14:schemeClr w14:val="tx1"/>
                  </w14:solidFill>
                </w14:textFill>
              </w:rPr>
              <w:t>不</w:t>
            </w:r>
            <w:r>
              <w:rPr>
                <w:rFonts w:asciiTheme="minorEastAsia" w:hAnsiTheme="minorEastAsia" w:eastAsiaTheme="minorEastAsia"/>
                <w:color w:val="000000" w:themeColor="text1"/>
                <w:sz w:val="24"/>
                <w:szCs w:val="24"/>
                <w:highlight w:val="none"/>
                <w14:textFill>
                  <w14:solidFill>
                    <w14:schemeClr w14:val="tx1"/>
                  </w14:solidFill>
                </w14:textFill>
              </w:rPr>
              <w:t>得分。</w:t>
            </w:r>
          </w:p>
        </w:tc>
        <w:tc>
          <w:tcPr>
            <w:tcW w:w="980" w:type="dxa"/>
            <w:vAlign w:val="center"/>
          </w:tcPr>
          <w:p>
            <w:pPr>
              <w:spacing w:line="320" w:lineRule="exact"/>
              <w:jc w:val="center"/>
              <w:rPr>
                <w:rFonts w:asciiTheme="minorEastAsia" w:hAnsiTheme="minorEastAsia" w:eastAsia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olor w:val="000000" w:themeColor="text1"/>
                <w:sz w:val="24"/>
                <w:szCs w:val="24"/>
                <w:highlight w:val="none"/>
                <w14:textFill>
                  <w14:solidFill>
                    <w14:schemeClr w14:val="tx1"/>
                  </w14:solidFill>
                </w14:textFill>
              </w:rPr>
              <w:t>主观分</w:t>
            </w:r>
          </w:p>
        </w:tc>
      </w:tr>
    </w:tbl>
    <w:p>
      <w:pPr>
        <w:pStyle w:val="35"/>
        <w:ind w:left="0" w:leftChars="0" w:firstLine="0" w:firstLineChars="0"/>
        <w:rPr>
          <w:rFonts w:hint="eastAsia" w:eastAsia="仿宋_GB2312"/>
          <w:b/>
          <w:color w:val="000000" w:themeColor="text1"/>
          <w:sz w:val="28"/>
          <w:highlight w:val="none"/>
          <w14:textFill>
            <w14:solidFill>
              <w14:schemeClr w14:val="tx1"/>
            </w14:solidFill>
          </w14:textFill>
        </w:rPr>
      </w:pPr>
    </w:p>
    <w:p>
      <w:pPr>
        <w:pStyle w:val="2"/>
        <w:pageBreakBefore/>
        <w:spacing w:before="240" w:beforeLines="100"/>
        <w:rPr>
          <w:rFonts w:ascii="仿宋_GB2312" w:eastAsia="仿宋_GB2312"/>
          <w:color w:val="000000" w:themeColor="text1"/>
          <w:highlight w:val="none"/>
          <w14:textFill>
            <w14:solidFill>
              <w14:schemeClr w14:val="tx1"/>
            </w14:solidFill>
          </w14:textFill>
        </w:rPr>
      </w:pPr>
      <w:bookmarkStart w:id="32" w:name="_Toc7870"/>
      <w:bookmarkStart w:id="33" w:name="_Toc109755339"/>
      <w:bookmarkStart w:id="34" w:name="_Toc8643"/>
      <w:bookmarkStart w:id="35" w:name="_Toc421271113"/>
      <w:bookmarkStart w:id="36" w:name="_Toc403051095"/>
      <w:bookmarkStart w:id="37" w:name="_Toc30684"/>
      <w:r>
        <w:rPr>
          <w:rFonts w:hint="eastAsia" w:ascii="仿宋_GB2312" w:eastAsia="仿宋_GB2312"/>
          <w:color w:val="000000" w:themeColor="text1"/>
          <w:highlight w:val="none"/>
          <w14:textFill>
            <w14:solidFill>
              <w14:schemeClr w14:val="tx1"/>
            </w14:solidFill>
          </w14:textFill>
        </w:rPr>
        <w:t>第四章  招标需求</w:t>
      </w:r>
      <w:bookmarkEnd w:id="32"/>
    </w:p>
    <w:bookmarkEnd w:id="33"/>
    <w:bookmarkEnd w:id="34"/>
    <w:bookmarkEnd w:id="35"/>
    <w:bookmarkEnd w:id="36"/>
    <w:bookmarkEnd w:id="37"/>
    <w:p>
      <w:pPr>
        <w:snapToGrid w:val="0"/>
        <w:spacing w:before="156" w:beforeLines="50" w:after="156" w:afterLines="50" w:line="560" w:lineRule="exact"/>
        <w:jc w:val="both"/>
        <w:outlineLvl w:val="1"/>
        <w:rPr>
          <w:rFonts w:hint="eastAsia" w:ascii="黑体" w:hAnsi="黑体" w:eastAsia="黑体"/>
          <w:b w:val="0"/>
          <w:bCs w:val="0"/>
          <w:color w:val="000000" w:themeColor="text1"/>
          <w:kern w:val="2"/>
          <w:sz w:val="30"/>
          <w:szCs w:val="30"/>
          <w:highlight w:val="none"/>
          <w:lang w:val="en-US" w:eastAsia="zh-CN"/>
          <w14:textFill>
            <w14:solidFill>
              <w14:schemeClr w14:val="tx1"/>
            </w14:solidFill>
          </w14:textFill>
        </w:rPr>
      </w:pPr>
      <w:bookmarkStart w:id="38" w:name="_Toc421271117"/>
      <w:bookmarkStart w:id="39" w:name="_Toc403051096"/>
      <w:bookmarkStart w:id="40" w:name="_Toc20327"/>
      <w:bookmarkStart w:id="41" w:name="_Toc11874"/>
      <w:bookmarkStart w:id="42" w:name="_Toc109755340"/>
      <w:r>
        <w:rPr>
          <w:rFonts w:hint="eastAsia" w:ascii="黑体" w:hAnsi="黑体" w:eastAsia="黑体"/>
          <w:b w:val="0"/>
          <w:bCs w:val="0"/>
          <w:color w:val="000000" w:themeColor="text1"/>
          <w:kern w:val="2"/>
          <w:sz w:val="30"/>
          <w:szCs w:val="30"/>
          <w:highlight w:val="none"/>
          <w:lang w:val="en-US" w:eastAsia="zh-CN"/>
          <w14:textFill>
            <w14:solidFill>
              <w14:schemeClr w14:val="tx1"/>
            </w14:solidFill>
          </w14:textFill>
        </w:rPr>
        <w:t>一、采购内容</w:t>
      </w:r>
    </w:p>
    <w:tbl>
      <w:tblPr>
        <w:tblStyle w:val="36"/>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3033"/>
        <w:gridCol w:w="840"/>
        <w:gridCol w:w="870"/>
        <w:gridCol w:w="1801"/>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8"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标项序号</w:t>
            </w:r>
          </w:p>
        </w:tc>
        <w:tc>
          <w:tcPr>
            <w:tcW w:w="3033"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标项名称</w:t>
            </w:r>
          </w:p>
        </w:tc>
        <w:tc>
          <w:tcPr>
            <w:tcW w:w="84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数量</w:t>
            </w:r>
          </w:p>
        </w:tc>
        <w:tc>
          <w:tcPr>
            <w:tcW w:w="87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单位</w:t>
            </w:r>
          </w:p>
        </w:tc>
        <w:tc>
          <w:tcPr>
            <w:tcW w:w="1801"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采购预算</w:t>
            </w:r>
          </w:p>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24"/>
                <w:szCs w:val="30"/>
                <w:highlight w:val="none"/>
                <w14:textFill>
                  <w14:solidFill>
                    <w14:schemeClr w14:val="tx1"/>
                  </w14:solidFill>
                </w14:textFill>
              </w:rPr>
              <w:t>（人民币万元）</w:t>
            </w:r>
          </w:p>
        </w:tc>
        <w:tc>
          <w:tcPr>
            <w:tcW w:w="1886"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2024年视频会议室运维服务</w:t>
            </w:r>
          </w:p>
        </w:tc>
        <w:tc>
          <w:tcPr>
            <w:tcW w:w="84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_GB2312"/>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17.5</w:t>
            </w:r>
          </w:p>
        </w:tc>
        <w:tc>
          <w:tcPr>
            <w:tcW w:w="1886" w:type="dxa"/>
            <w:vMerge w:val="restart"/>
            <w:vAlign w:val="center"/>
          </w:tcPr>
          <w:p>
            <w:pPr>
              <w:spacing w:line="300" w:lineRule="exact"/>
              <w:jc w:val="center"/>
              <w:rPr>
                <w:rFonts w:ascii="仿宋" w:hAnsi="仿宋" w:eastAsia="仿宋"/>
                <w:b/>
                <w:color w:val="000000" w:themeColor="text1"/>
                <w:sz w:val="30"/>
                <w:szCs w:val="30"/>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浙江省教育技术中心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2024年计算存储维护服务</w:t>
            </w:r>
          </w:p>
        </w:tc>
        <w:tc>
          <w:tcPr>
            <w:tcW w:w="84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63</w:t>
            </w:r>
          </w:p>
        </w:tc>
        <w:tc>
          <w:tcPr>
            <w:tcW w:w="1886" w:type="dxa"/>
            <w:vMerge w:val="continue"/>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78"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3</w:t>
            </w:r>
          </w:p>
        </w:tc>
        <w:tc>
          <w:tcPr>
            <w:tcW w:w="3033" w:type="dxa"/>
            <w:vAlign w:val="center"/>
          </w:tcPr>
          <w:p>
            <w:pPr>
              <w:spacing w:line="300" w:lineRule="exact"/>
              <w:jc w:val="cente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pPr>
            <w:r>
              <w:rPr>
                <w:rFonts w:hint="eastAsia" w:ascii="仿宋_GB2312" w:hAnsi="仿宋" w:eastAsia="仿宋_GB2312" w:cs="Arial"/>
                <w:color w:val="000000" w:themeColor="text1"/>
                <w:sz w:val="28"/>
                <w:szCs w:val="28"/>
                <w:highlight w:val="none"/>
                <w:lang w:val="en-US" w:eastAsia="zh-CN"/>
                <w14:textFill>
                  <w14:solidFill>
                    <w14:schemeClr w14:val="tx1"/>
                  </w14:solidFill>
                </w14:textFill>
              </w:rPr>
              <w:t>2024年网络及安全设备维保维护及网络运维服务</w:t>
            </w:r>
          </w:p>
        </w:tc>
        <w:tc>
          <w:tcPr>
            <w:tcW w:w="84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1</w:t>
            </w:r>
          </w:p>
        </w:tc>
        <w:tc>
          <w:tcPr>
            <w:tcW w:w="870" w:type="dxa"/>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r>
              <w:rPr>
                <w:rFonts w:hint="eastAsia" w:ascii="仿宋_GB2312" w:hAnsi="仿宋" w:eastAsia="仿宋_GB2312" w:cs="Arial"/>
                <w:color w:val="000000" w:themeColor="text1"/>
                <w:sz w:val="28"/>
                <w:szCs w:val="28"/>
                <w:highlight w:val="none"/>
                <w14:textFill>
                  <w14:solidFill>
                    <w14:schemeClr w14:val="tx1"/>
                  </w14:solidFill>
                </w14:textFill>
              </w:rPr>
              <w:t>批</w:t>
            </w:r>
          </w:p>
        </w:tc>
        <w:tc>
          <w:tcPr>
            <w:tcW w:w="1801" w:type="dxa"/>
            <w:vAlign w:val="center"/>
          </w:tcPr>
          <w:p>
            <w:pPr>
              <w:spacing w:line="300" w:lineRule="exact"/>
              <w:jc w:val="center"/>
              <w:rPr>
                <w:rFonts w:hint="default" w:ascii="仿宋" w:hAnsi="仿宋" w:eastAsia="仿宋"/>
                <w:b w:val="0"/>
                <w:bCs/>
                <w:color w:val="000000" w:themeColor="text1"/>
                <w:sz w:val="30"/>
                <w:szCs w:val="30"/>
                <w:highlight w:val="none"/>
                <w:lang w:val="en-US" w:eastAsia="zh-CN"/>
                <w14:textFill>
                  <w14:solidFill>
                    <w14:schemeClr w14:val="tx1"/>
                  </w14:solidFill>
                </w14:textFill>
              </w:rPr>
            </w:pPr>
            <w:r>
              <w:rPr>
                <w:rFonts w:hint="eastAsia" w:ascii="仿宋" w:hAnsi="仿宋" w:eastAsia="仿宋"/>
                <w:b w:val="0"/>
                <w:bCs/>
                <w:color w:val="000000" w:themeColor="text1"/>
                <w:sz w:val="30"/>
                <w:szCs w:val="30"/>
                <w:highlight w:val="none"/>
                <w:lang w:val="en-US" w:eastAsia="zh-CN"/>
                <w14:textFill>
                  <w14:solidFill>
                    <w14:schemeClr w14:val="tx1"/>
                  </w14:solidFill>
                </w14:textFill>
              </w:rPr>
              <w:t>74</w:t>
            </w:r>
          </w:p>
        </w:tc>
        <w:tc>
          <w:tcPr>
            <w:tcW w:w="1886" w:type="dxa"/>
            <w:vMerge w:val="continue"/>
            <w:vAlign w:val="center"/>
          </w:tcPr>
          <w:p>
            <w:pPr>
              <w:spacing w:line="300" w:lineRule="exact"/>
              <w:jc w:val="center"/>
              <w:rPr>
                <w:rFonts w:hint="eastAsia" w:ascii="仿宋_GB2312" w:hAnsi="仿宋" w:eastAsia="仿宋_GB2312" w:cs="Arial"/>
                <w:color w:val="000000" w:themeColor="text1"/>
                <w:sz w:val="28"/>
                <w:szCs w:val="28"/>
                <w:highlight w:val="none"/>
                <w14:textFill>
                  <w14:solidFill>
                    <w14:schemeClr w14:val="tx1"/>
                  </w14:solidFill>
                </w14:textFill>
              </w:rPr>
            </w:pPr>
          </w:p>
        </w:tc>
      </w:tr>
    </w:tbl>
    <w:p>
      <w:pPr>
        <w:rPr>
          <w:rFonts w:hint="eastAsia"/>
          <w:color w:val="000000" w:themeColor="text1"/>
          <w:highlight w:val="none"/>
          <w:lang w:val="en-US" w:eastAsia="zh-CN"/>
          <w14:textFill>
            <w14:solidFill>
              <w14:schemeClr w14:val="tx1"/>
            </w14:solidFill>
          </w14:textFill>
        </w:rPr>
      </w:pPr>
    </w:p>
    <w:p>
      <w:pPr>
        <w:numPr>
          <w:ilvl w:val="-1"/>
          <w:numId w:val="0"/>
        </w:numPr>
        <w:snapToGrid w:val="0"/>
        <w:spacing w:before="156" w:beforeLines="50" w:after="156" w:afterLines="50" w:line="560" w:lineRule="exact"/>
        <w:ind w:firstLine="0" w:firstLineChars="0"/>
        <w:outlineLvl w:val="1"/>
        <w:rPr>
          <w:rFonts w:hint="eastAsia" w:ascii="黑体" w:hAnsi="黑体" w:eastAsia="黑体" w:cs="Times New Roman"/>
          <w:b w:val="0"/>
          <w:bCs w:val="0"/>
          <w:color w:val="000000" w:themeColor="text1"/>
          <w:kern w:val="2"/>
          <w:sz w:val="30"/>
          <w:szCs w:val="30"/>
          <w:highlight w:val="none"/>
          <w:lang w:val="en-US" w:eastAsia="zh-CN"/>
          <w14:textFill>
            <w14:solidFill>
              <w14:schemeClr w14:val="tx1"/>
            </w14:solidFill>
          </w14:textFill>
        </w:rPr>
      </w:pPr>
      <w:r>
        <w:rPr>
          <w:rFonts w:hint="eastAsia" w:ascii="黑体" w:hAnsi="黑体" w:eastAsia="黑体" w:cs="Times New Roman"/>
          <w:b w:val="0"/>
          <w:bCs w:val="0"/>
          <w:color w:val="000000" w:themeColor="text1"/>
          <w:kern w:val="2"/>
          <w:sz w:val="30"/>
          <w:szCs w:val="30"/>
          <w:highlight w:val="none"/>
          <w:lang w:val="en-US" w:eastAsia="zh-CN"/>
          <w14:textFill>
            <w14:solidFill>
              <w14:schemeClr w14:val="tx1"/>
            </w14:solidFill>
          </w14:textFill>
        </w:rPr>
        <w:t>二、采购需求</w:t>
      </w:r>
    </w:p>
    <w:p>
      <w:pPr>
        <w:numPr>
          <w:ilvl w:val="0"/>
          <w:numId w:val="0"/>
        </w:numPr>
        <w:snapToGrid w:val="0"/>
        <w:spacing w:before="156" w:beforeLines="50" w:after="156" w:afterLines="50" w:line="560" w:lineRule="exact"/>
        <w:ind w:firstLine="0" w:firstLineChars="0"/>
        <w:outlineLvl w:val="1"/>
        <w:rPr>
          <w:rFonts w:hint="eastAsia" w:ascii="黑体" w:hAnsi="黑体" w:eastAsia="黑体"/>
          <w:color w:val="000000" w:themeColor="text1"/>
          <w:sz w:val="32"/>
          <w:szCs w:val="32"/>
          <w:highlight w:val="none"/>
          <w:lang w:eastAsia="zh-CN"/>
          <w14:textFill>
            <w14:solidFill>
              <w14:schemeClr w14:val="tx1"/>
            </w14:solidFill>
          </w14:textFill>
        </w:rPr>
      </w:pPr>
      <w:bookmarkStart w:id="43" w:name="_Toc10106"/>
      <w:bookmarkEnd w:id="43"/>
      <w:r>
        <w:rPr>
          <w:rFonts w:hint="eastAsia" w:ascii="黑体" w:hAnsi="黑体" w:eastAsia="黑体"/>
          <w:color w:val="000000" w:themeColor="text1"/>
          <w:sz w:val="32"/>
          <w:szCs w:val="32"/>
          <w:highlight w:val="none"/>
          <w:lang w:eastAsia="zh-CN"/>
          <w14:textFill>
            <w14:solidFill>
              <w14:schemeClr w14:val="tx1"/>
            </w14:solidFill>
          </w14:textFill>
        </w:rPr>
        <w:t>（</w:t>
      </w:r>
      <w:r>
        <w:rPr>
          <w:rFonts w:hint="eastAsia" w:ascii="黑体" w:hAnsi="黑体" w:eastAsia="黑体"/>
          <w:color w:val="000000" w:themeColor="text1"/>
          <w:sz w:val="32"/>
          <w:szCs w:val="32"/>
          <w:highlight w:val="none"/>
          <w:lang w:val="en-US" w:eastAsia="zh-CN"/>
          <w14:textFill>
            <w14:solidFill>
              <w14:schemeClr w14:val="tx1"/>
            </w14:solidFill>
          </w14:textFill>
        </w:rPr>
        <w:t>一）标项1：2024年视频会议室运维服务</w:t>
      </w:r>
    </w:p>
    <w:p>
      <w:pPr>
        <w:tabs>
          <w:tab w:val="left" w:pos="-3060"/>
        </w:tabs>
        <w:snapToGrid w:val="0"/>
        <w:spacing w:line="560" w:lineRule="exact"/>
        <w:ind w:firstLine="640" w:firstLineChars="200"/>
        <w:outlineLvl w:val="2"/>
        <w:rPr>
          <w:rFonts w:eastAsia="黑体"/>
          <w:color w:val="000000" w:themeColor="text1"/>
          <w:sz w:val="32"/>
          <w:szCs w:val="32"/>
          <w:highlight w:val="none"/>
          <w14:textFill>
            <w14:solidFill>
              <w14:schemeClr w14:val="tx1"/>
            </w14:solidFill>
          </w14:textFill>
        </w:rPr>
      </w:pPr>
      <w:r>
        <w:rPr>
          <w:rFonts w:hint="eastAsia" w:eastAsia="黑体"/>
          <w:color w:val="000000" w:themeColor="text1"/>
          <w:sz w:val="32"/>
          <w:szCs w:val="32"/>
          <w:highlight w:val="none"/>
          <w14:textFill>
            <w14:solidFill>
              <w14:schemeClr w14:val="tx1"/>
            </w14:solidFill>
          </w14:textFill>
        </w:rPr>
        <w:t>1.概况</w:t>
      </w:r>
    </w:p>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省教育技术中心在2010年建成了视频会议室，近年来又分别对显示系统、视音频信号采集系统、集中控制系统等进行了升级改造，作为全省教育系统视频会议主会场、教育部视频会议分会场，每年通过该会议室召开的各类视频会议约50多场。由于视频会议建成已13年，设备设施均已过保，且部分设备存在老化风险，已连续多年通过政府采购委托第三方机构承担视频会议室运维服务，2024年拟继续通过政府采购方式购买</w:t>
      </w:r>
      <w:r>
        <w:rPr>
          <w:rFonts w:hint="eastAsia" w:ascii="仿宋_GB2312" w:eastAsia="仿宋_GB2312"/>
          <w:color w:val="000000" w:themeColor="text1"/>
          <w:sz w:val="32"/>
          <w:szCs w:val="32"/>
          <w:highlight w:val="none"/>
          <w:lang w:val="en-US" w:eastAsia="zh-CN"/>
          <w14:textFill>
            <w14:solidFill>
              <w14:schemeClr w14:val="tx1"/>
            </w14:solidFill>
          </w14:textFill>
        </w:rPr>
        <w:t>10个月的</w:t>
      </w:r>
      <w:r>
        <w:rPr>
          <w:rFonts w:hint="eastAsia" w:ascii="仿宋_GB2312" w:eastAsia="仿宋_GB2312"/>
          <w:color w:val="000000" w:themeColor="text1"/>
          <w:sz w:val="32"/>
          <w:szCs w:val="32"/>
          <w:highlight w:val="none"/>
          <w14:textFill>
            <w14:solidFill>
              <w14:schemeClr w14:val="tx1"/>
            </w14:solidFill>
          </w14:textFill>
        </w:rPr>
        <w:t>维护服务。</w:t>
      </w:r>
    </w:p>
    <w:p>
      <w:pPr>
        <w:tabs>
          <w:tab w:val="left" w:pos="-3060"/>
        </w:tabs>
        <w:snapToGrid w:val="0"/>
        <w:spacing w:line="560" w:lineRule="exact"/>
        <w:ind w:firstLine="640" w:firstLineChars="200"/>
        <w:outlineLvl w:val="2"/>
        <w:rPr>
          <w:rFonts w:eastAsia="黑体"/>
          <w:color w:val="000000" w:themeColor="text1"/>
          <w:sz w:val="32"/>
          <w:szCs w:val="32"/>
          <w:highlight w:val="none"/>
          <w14:textFill>
            <w14:solidFill>
              <w14:schemeClr w14:val="tx1"/>
            </w14:solidFill>
          </w14:textFill>
        </w:rPr>
      </w:pPr>
      <w:r>
        <w:rPr>
          <w:rFonts w:hint="eastAsia" w:eastAsia="黑体"/>
          <w:color w:val="000000" w:themeColor="text1"/>
          <w:sz w:val="32"/>
          <w:szCs w:val="32"/>
          <w:highlight w:val="none"/>
          <w14:textFill>
            <w14:solidFill>
              <w14:schemeClr w14:val="tx1"/>
            </w14:solidFill>
          </w14:textFill>
        </w:rPr>
        <w:t>2.服务目标</w:t>
      </w:r>
    </w:p>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按照省教育技术中心视频会议室相关管理制度，通过规范化运维、标准化管理，提升视频会议室的运维及管理水平。对视频会议室的设备设施购置第三方维护维保服务并对部分设备进行更新。</w:t>
      </w:r>
    </w:p>
    <w:p>
      <w:pPr>
        <w:tabs>
          <w:tab w:val="left" w:pos="-3060"/>
        </w:tabs>
        <w:snapToGrid w:val="0"/>
        <w:spacing w:line="560" w:lineRule="exact"/>
        <w:ind w:firstLine="640" w:firstLineChars="200"/>
        <w:outlineLvl w:val="2"/>
        <w:rPr>
          <w:rFonts w:eastAsia="黑体"/>
          <w:color w:val="000000" w:themeColor="text1"/>
          <w:sz w:val="32"/>
          <w:szCs w:val="32"/>
          <w:highlight w:val="none"/>
          <w14:textFill>
            <w14:solidFill>
              <w14:schemeClr w14:val="tx1"/>
            </w14:solidFill>
          </w14:textFill>
        </w:rPr>
      </w:pPr>
      <w:r>
        <w:rPr>
          <w:rFonts w:hint="eastAsia" w:eastAsia="黑体"/>
          <w:color w:val="000000" w:themeColor="text1"/>
          <w:sz w:val="32"/>
          <w:szCs w:val="32"/>
          <w:highlight w:val="none"/>
          <w14:textFill>
            <w14:solidFill>
              <w14:schemeClr w14:val="tx1"/>
            </w14:solidFill>
          </w14:textFill>
        </w:rPr>
        <w:t>3.服务内容及要求</w:t>
      </w:r>
    </w:p>
    <w:p>
      <w:pPr>
        <w:pStyle w:val="56"/>
        <w:ind w:left="424" w:leftChars="202" w:firstLine="160" w:firstLineChars="50"/>
        <w:outlineLvl w:val="1"/>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3.1主要维护内容</w:t>
      </w:r>
    </w:p>
    <w:tbl>
      <w:tblPr>
        <w:tblStyle w:val="36"/>
        <w:tblW w:w="8662" w:type="dxa"/>
        <w:tblInd w:w="93" w:type="dxa"/>
        <w:tblLayout w:type="fixed"/>
        <w:tblCellMar>
          <w:top w:w="0" w:type="dxa"/>
          <w:left w:w="108" w:type="dxa"/>
          <w:bottom w:w="0" w:type="dxa"/>
          <w:right w:w="108" w:type="dxa"/>
        </w:tblCellMar>
      </w:tblPr>
      <w:tblGrid>
        <w:gridCol w:w="866"/>
        <w:gridCol w:w="2268"/>
        <w:gridCol w:w="3685"/>
        <w:gridCol w:w="1843"/>
      </w:tblGrid>
      <w:tr>
        <w:tblPrEx>
          <w:tblCellMar>
            <w:top w:w="0" w:type="dxa"/>
            <w:left w:w="108" w:type="dxa"/>
            <w:bottom w:w="0" w:type="dxa"/>
            <w:right w:w="108" w:type="dxa"/>
          </w:tblCellMar>
        </w:tblPrEx>
        <w:trPr>
          <w:trHeight w:val="360" w:hRule="atLeast"/>
        </w:trPr>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序号</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设备（系统）分类</w:t>
            </w:r>
          </w:p>
        </w:tc>
        <w:tc>
          <w:tcPr>
            <w:tcW w:w="368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检查及工作内容</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b/>
                <w:bCs/>
                <w:color w:val="000000" w:themeColor="text1"/>
                <w:kern w:val="0"/>
                <w:szCs w:val="21"/>
                <w:highlight w:val="none"/>
                <w14:textFill>
                  <w14:solidFill>
                    <w14:schemeClr w14:val="tx1"/>
                  </w14:solidFill>
                </w14:textFill>
              </w:rPr>
              <w:t>备注</w:t>
            </w:r>
          </w:p>
        </w:tc>
      </w:tr>
      <w:tr>
        <w:tblPrEx>
          <w:tblCellMar>
            <w:top w:w="0" w:type="dxa"/>
            <w:left w:w="108" w:type="dxa"/>
            <w:bottom w:w="0" w:type="dxa"/>
            <w:right w:w="108" w:type="dxa"/>
          </w:tblCellMar>
        </w:tblPrEx>
        <w:trPr>
          <w:trHeight w:val="360" w:hRule="atLeast"/>
        </w:trPr>
        <w:tc>
          <w:tcPr>
            <w:tcW w:w="866" w:type="dxa"/>
            <w:vMerge w:val="restart"/>
            <w:tcBorders>
              <w:top w:val="nil"/>
              <w:left w:val="single" w:color="auto" w:sz="4" w:space="0"/>
              <w:bottom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w:t>
            </w:r>
          </w:p>
        </w:tc>
        <w:tc>
          <w:tcPr>
            <w:tcW w:w="2268" w:type="dxa"/>
            <w:vMerge w:val="restart"/>
            <w:tcBorders>
              <w:top w:val="nil"/>
              <w:left w:val="single" w:color="auto" w:sz="4" w:space="0"/>
              <w:bottom w:val="single" w:color="auto" w:sz="4" w:space="0"/>
              <w:right w:val="single" w:color="auto" w:sz="4" w:space="0"/>
            </w:tcBorders>
            <w:shd w:val="clear" w:color="auto" w:fill="auto"/>
            <w:vAlign w:val="center"/>
          </w:tcPr>
          <w:p>
            <w:pPr>
              <w:pStyle w:val="56"/>
              <w:ind w:firstLine="0" w:firstLineChars="0"/>
              <w:jc w:val="center"/>
              <w:outlineLvl w:val="2"/>
              <w:rPr>
                <w:rFonts w:asciiTheme="minorEastAsia" w:hAnsiTheme="minorEastAsia" w:eastAsiaTheme="minorEastAsia"/>
                <w:color w:val="000000" w:themeColor="text1"/>
                <w:szCs w:val="21"/>
                <w:highlight w:val="none"/>
                <w14:textFill>
                  <w14:solidFill>
                    <w14:schemeClr w14:val="tx1"/>
                  </w14:solidFill>
                </w14:textFill>
              </w:rPr>
            </w:pPr>
            <w:r>
              <w:rPr>
                <w:rFonts w:hint="eastAsia" w:cs="宋体" w:asciiTheme="minorEastAsia" w:hAnsiTheme="minorEastAsia" w:eastAsiaTheme="minorEastAsia"/>
                <w:bCs/>
                <w:color w:val="000000" w:themeColor="text1"/>
                <w:szCs w:val="21"/>
                <w:highlight w:val="none"/>
                <w14:textFill>
                  <w14:solidFill>
                    <w14:schemeClr w14:val="tx1"/>
                  </w14:solidFill>
                </w14:textFill>
              </w:rPr>
              <w:t>显示系统</w:t>
            </w: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检查调试设备</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包括设备故障维修。</w:t>
            </w:r>
            <w:r>
              <w:rPr>
                <w:rFonts w:cs="宋体" w:asciiTheme="minorEastAsia" w:hAnsiTheme="minorEastAsia" w:eastAsiaTheme="minorEastAsia"/>
                <w:color w:val="000000" w:themeColor="text1"/>
                <w:kern w:val="0"/>
                <w:szCs w:val="21"/>
                <w:highlight w:val="none"/>
                <w14:textFill>
                  <w14:solidFill>
                    <w14:schemeClr w14:val="tx1"/>
                  </w14:solidFill>
                </w14:textFill>
              </w:rPr>
              <w:t>其中</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LED大</w:t>
            </w:r>
            <w:r>
              <w:rPr>
                <w:rFonts w:cs="宋体" w:asciiTheme="minorEastAsia" w:hAnsiTheme="minorEastAsia" w:eastAsiaTheme="minorEastAsia"/>
                <w:color w:val="000000" w:themeColor="text1"/>
                <w:kern w:val="0"/>
                <w:szCs w:val="21"/>
                <w:highlight w:val="none"/>
                <w14:textFill>
                  <w14:solidFill>
                    <w14:schemeClr w14:val="tx1"/>
                  </w14:solidFill>
                </w14:textFill>
              </w:rPr>
              <w:t>屏幕要求</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同时包括原厂商7*24小时全免维保</w:t>
            </w: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检查线路情况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检测软件情况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检查供电情况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专业清洁</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restart"/>
            <w:tcBorders>
              <w:top w:val="nil"/>
              <w:left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2</w:t>
            </w:r>
          </w:p>
        </w:tc>
        <w:tc>
          <w:tcPr>
            <w:tcW w:w="2268" w:type="dxa"/>
            <w:vMerge w:val="restart"/>
            <w:tcBorders>
              <w:top w:val="nil"/>
              <w:left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r>
              <w:rPr>
                <w:rFonts w:hint="eastAsia" w:cs="宋体" w:asciiTheme="minorEastAsia" w:hAnsiTheme="minorEastAsia" w:eastAsiaTheme="minorEastAsia"/>
                <w:bCs/>
                <w:color w:val="000000" w:themeColor="text1"/>
                <w:szCs w:val="21"/>
                <w:highlight w:val="none"/>
                <w14:textFill>
                  <w14:solidFill>
                    <w14:schemeClr w14:val="tx1"/>
                  </w14:solidFill>
                </w14:textFill>
              </w:rPr>
              <w:t>视音频信号采集系统</w:t>
            </w: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检查调试设备</w:t>
            </w:r>
          </w:p>
        </w:tc>
        <w:tc>
          <w:tcPr>
            <w:tcW w:w="1843" w:type="dxa"/>
            <w:vMerge w:val="restart"/>
            <w:tcBorders>
              <w:top w:val="nil"/>
              <w:left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包括设备故障维修</w:t>
            </w:r>
          </w:p>
        </w:tc>
      </w:tr>
      <w:tr>
        <w:tblPrEx>
          <w:tblCellMar>
            <w:top w:w="0" w:type="dxa"/>
            <w:left w:w="108" w:type="dxa"/>
            <w:bottom w:w="0" w:type="dxa"/>
            <w:right w:w="108" w:type="dxa"/>
          </w:tblCellMar>
        </w:tblPrEx>
        <w:trPr>
          <w:trHeight w:val="360" w:hRule="atLeast"/>
        </w:trPr>
        <w:tc>
          <w:tcPr>
            <w:tcW w:w="866" w:type="dxa"/>
            <w:vMerge w:val="continue"/>
            <w:tcBorders>
              <w:left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left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检查线路情况</w:t>
            </w:r>
          </w:p>
        </w:tc>
        <w:tc>
          <w:tcPr>
            <w:tcW w:w="1843" w:type="dxa"/>
            <w:vMerge w:val="continue"/>
            <w:tcBorders>
              <w:left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left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left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检测软件情况</w:t>
            </w:r>
          </w:p>
        </w:tc>
        <w:tc>
          <w:tcPr>
            <w:tcW w:w="1843" w:type="dxa"/>
            <w:vMerge w:val="continue"/>
            <w:tcBorders>
              <w:left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left w:val="single" w:color="auto" w:sz="4" w:space="0"/>
              <w:bottom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left w:val="single" w:color="auto" w:sz="4" w:space="0"/>
              <w:bottom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检查电源情况</w:t>
            </w:r>
          </w:p>
        </w:tc>
        <w:tc>
          <w:tcPr>
            <w:tcW w:w="1843" w:type="dxa"/>
            <w:vMerge w:val="continue"/>
            <w:tcBorders>
              <w:left w:val="single" w:color="auto" w:sz="4" w:space="0"/>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left w:val="single" w:color="auto" w:sz="4" w:space="0"/>
              <w:bottom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left w:val="single" w:color="auto" w:sz="4" w:space="0"/>
              <w:bottom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专业清洁</w:t>
            </w:r>
          </w:p>
        </w:tc>
        <w:tc>
          <w:tcPr>
            <w:tcW w:w="1843" w:type="dxa"/>
            <w:vMerge w:val="continue"/>
            <w:tcBorders>
              <w:left w:val="single" w:color="auto" w:sz="4" w:space="0"/>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restart"/>
            <w:tcBorders>
              <w:top w:val="nil"/>
              <w:left w:val="single" w:color="auto" w:sz="4" w:space="0"/>
              <w:bottom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3</w:t>
            </w:r>
          </w:p>
        </w:tc>
        <w:tc>
          <w:tcPr>
            <w:tcW w:w="2268" w:type="dxa"/>
            <w:vMerge w:val="restart"/>
            <w:tcBorders>
              <w:top w:val="nil"/>
              <w:left w:val="single" w:color="auto" w:sz="4" w:space="0"/>
              <w:bottom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r>
              <w:rPr>
                <w:rFonts w:hint="eastAsia" w:cs="宋体" w:asciiTheme="minorEastAsia" w:hAnsiTheme="minorEastAsia" w:eastAsiaTheme="minorEastAsia"/>
                <w:bCs/>
                <w:color w:val="000000" w:themeColor="text1"/>
                <w:szCs w:val="21"/>
                <w:highlight w:val="none"/>
                <w14:textFill>
                  <w14:solidFill>
                    <w14:schemeClr w14:val="tx1"/>
                  </w14:solidFill>
                </w14:textFill>
              </w:rPr>
              <w:t>集中控制系统</w:t>
            </w: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检查调试设备</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包括设备故障维修</w:t>
            </w: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检查线路情况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检测软件情况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noWrap/>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检查电源情况</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专业清洁</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restart"/>
            <w:tcBorders>
              <w:top w:val="nil"/>
              <w:left w:val="single" w:color="auto" w:sz="4" w:space="0"/>
              <w:bottom w:val="single" w:color="auto" w:sz="4" w:space="0"/>
              <w:right w:val="single" w:color="auto" w:sz="4" w:space="0"/>
            </w:tcBorders>
            <w:shd w:val="clear" w:color="auto" w:fill="auto"/>
            <w:noWrap/>
            <w:vAlign w:val="center"/>
          </w:tcPr>
          <w:p>
            <w:pPr>
              <w:wordWrap w:val="0"/>
              <w:spacing w:line="460" w:lineRule="exact"/>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4</w:t>
            </w:r>
          </w:p>
        </w:tc>
        <w:tc>
          <w:tcPr>
            <w:tcW w:w="2268" w:type="dxa"/>
            <w:vMerge w:val="restart"/>
            <w:tcBorders>
              <w:top w:val="nil"/>
              <w:left w:val="single" w:color="auto" w:sz="4" w:space="0"/>
              <w:bottom w:val="single" w:color="auto" w:sz="4" w:space="0"/>
              <w:right w:val="single" w:color="auto" w:sz="4" w:space="0"/>
            </w:tcBorders>
            <w:shd w:val="clear" w:color="auto" w:fill="auto"/>
            <w:vAlign w:val="center"/>
          </w:tcPr>
          <w:p>
            <w:pPr>
              <w:pStyle w:val="56"/>
              <w:ind w:firstLine="0" w:firstLineChars="0"/>
              <w:jc w:val="center"/>
              <w:outlineLvl w:val="2"/>
              <w:rPr>
                <w:rFonts w:cs="宋体" w:asciiTheme="minorEastAsia" w:hAnsiTheme="minorEastAsia" w:eastAsiaTheme="minorEastAsia"/>
                <w:bCs/>
                <w:color w:val="000000" w:themeColor="text1"/>
                <w:szCs w:val="21"/>
                <w:highlight w:val="none"/>
                <w14:textFill>
                  <w14:solidFill>
                    <w14:schemeClr w14:val="tx1"/>
                  </w14:solidFill>
                </w14:textFill>
              </w:rPr>
            </w:pPr>
            <w:r>
              <w:rPr>
                <w:rFonts w:hint="eastAsia" w:cs="宋体" w:asciiTheme="minorEastAsia" w:hAnsiTheme="minorEastAsia" w:eastAsiaTheme="minorEastAsia"/>
                <w:bCs/>
                <w:color w:val="000000" w:themeColor="text1"/>
                <w:szCs w:val="21"/>
                <w:highlight w:val="none"/>
                <w14:textFill>
                  <w14:solidFill>
                    <w14:schemeClr w14:val="tx1"/>
                  </w14:solidFill>
                </w14:textFill>
              </w:rPr>
              <w:t>照明系统</w:t>
            </w: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检查电压、电流情况</w:t>
            </w:r>
          </w:p>
        </w:tc>
        <w:tc>
          <w:tcPr>
            <w:tcW w:w="1843" w:type="dxa"/>
            <w:vMerge w:val="restart"/>
            <w:tcBorders>
              <w:top w:val="nil"/>
              <w:left w:val="single" w:color="auto" w:sz="4" w:space="0"/>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包括设备故障维修</w:t>
            </w: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ascii="仿宋" w:hAnsi="仿宋" w:eastAsia="仿宋" w:cs="宋体"/>
                <w:color w:val="000000" w:themeColor="text1"/>
                <w:kern w:val="0"/>
                <w:sz w:val="24"/>
                <w:szCs w:val="24"/>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ascii="仿宋" w:hAnsi="仿宋" w:eastAsia="仿宋" w:cs="宋体"/>
                <w:color w:val="000000" w:themeColor="text1"/>
                <w:kern w:val="0"/>
                <w:sz w:val="24"/>
                <w:szCs w:val="24"/>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开关巡检</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ascii="仿宋" w:hAnsi="仿宋" w:eastAsia="仿宋" w:cs="宋体"/>
                <w:color w:val="000000" w:themeColor="text1"/>
                <w:kern w:val="0"/>
                <w:sz w:val="24"/>
                <w:szCs w:val="24"/>
                <w:highlight w:val="none"/>
                <w14:textFill>
                  <w14:solidFill>
                    <w14:schemeClr w14:val="tx1"/>
                  </w14:solidFill>
                </w14:textFill>
              </w:rPr>
            </w:pPr>
          </w:p>
        </w:tc>
      </w:tr>
      <w:tr>
        <w:tblPrEx>
          <w:tblCellMar>
            <w:top w:w="0" w:type="dxa"/>
            <w:left w:w="108" w:type="dxa"/>
            <w:bottom w:w="0" w:type="dxa"/>
            <w:right w:w="108" w:type="dxa"/>
          </w:tblCellMar>
        </w:tblPrEx>
        <w:trPr>
          <w:trHeight w:val="360" w:hRule="atLeast"/>
        </w:trPr>
        <w:tc>
          <w:tcPr>
            <w:tcW w:w="866" w:type="dxa"/>
            <w:vMerge w:val="continue"/>
            <w:tcBorders>
              <w:top w:val="nil"/>
              <w:left w:val="single" w:color="auto" w:sz="4" w:space="0"/>
              <w:bottom w:val="single" w:color="auto" w:sz="4" w:space="0"/>
              <w:right w:val="single" w:color="auto" w:sz="4" w:space="0"/>
            </w:tcBorders>
            <w:vAlign w:val="center"/>
          </w:tcPr>
          <w:p>
            <w:pPr>
              <w:wordWrap w:val="0"/>
              <w:spacing w:line="460" w:lineRule="exact"/>
              <w:jc w:val="center"/>
              <w:rPr>
                <w:rFonts w:ascii="仿宋" w:hAnsi="仿宋" w:eastAsia="仿宋" w:cs="宋体"/>
                <w:color w:val="000000" w:themeColor="text1"/>
                <w:kern w:val="0"/>
                <w:sz w:val="24"/>
                <w:szCs w:val="24"/>
                <w:highlight w:val="none"/>
                <w14:textFill>
                  <w14:solidFill>
                    <w14:schemeClr w14:val="tx1"/>
                  </w14:solidFill>
                </w14:textFill>
              </w:rPr>
            </w:pPr>
          </w:p>
        </w:tc>
        <w:tc>
          <w:tcPr>
            <w:tcW w:w="2268"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ascii="仿宋" w:hAnsi="仿宋" w:eastAsia="仿宋" w:cs="宋体"/>
                <w:color w:val="000000" w:themeColor="text1"/>
                <w:kern w:val="0"/>
                <w:sz w:val="24"/>
                <w:szCs w:val="24"/>
                <w:highlight w:val="none"/>
                <w14:textFill>
                  <w14:solidFill>
                    <w14:schemeClr w14:val="tx1"/>
                  </w14:solidFill>
                </w14:textFill>
              </w:rPr>
            </w:pPr>
          </w:p>
        </w:tc>
        <w:tc>
          <w:tcPr>
            <w:tcW w:w="3685" w:type="dxa"/>
            <w:tcBorders>
              <w:top w:val="nil"/>
              <w:left w:val="nil"/>
              <w:bottom w:val="single" w:color="auto" w:sz="4" w:space="0"/>
              <w:right w:val="single" w:color="auto" w:sz="4" w:space="0"/>
            </w:tcBorders>
            <w:shd w:val="clear" w:color="auto" w:fill="auto"/>
            <w:vAlign w:val="center"/>
          </w:tcPr>
          <w:p>
            <w:pPr>
              <w:wordWrap w:val="0"/>
              <w:spacing w:line="460" w:lineRule="exact"/>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专业清洁</w:t>
            </w:r>
          </w:p>
        </w:tc>
        <w:tc>
          <w:tcPr>
            <w:tcW w:w="1843" w:type="dxa"/>
            <w:vMerge w:val="continue"/>
            <w:tcBorders>
              <w:top w:val="nil"/>
              <w:left w:val="single" w:color="auto" w:sz="4" w:space="0"/>
              <w:bottom w:val="single" w:color="auto" w:sz="4" w:space="0"/>
              <w:right w:val="single" w:color="auto" w:sz="4" w:space="0"/>
            </w:tcBorders>
            <w:vAlign w:val="center"/>
          </w:tcPr>
          <w:p>
            <w:pPr>
              <w:wordWrap w:val="0"/>
              <w:spacing w:line="460" w:lineRule="exact"/>
              <w:rPr>
                <w:rFonts w:ascii="仿宋" w:hAnsi="仿宋" w:eastAsia="仿宋" w:cs="宋体"/>
                <w:color w:val="000000" w:themeColor="text1"/>
                <w:kern w:val="0"/>
                <w:sz w:val="24"/>
                <w:szCs w:val="24"/>
                <w:highlight w:val="none"/>
                <w14:textFill>
                  <w14:solidFill>
                    <w14:schemeClr w14:val="tx1"/>
                  </w14:solidFill>
                </w14:textFill>
              </w:rPr>
            </w:pPr>
          </w:p>
        </w:tc>
      </w:tr>
    </w:tbl>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以上维保维护设备包括2010年建成了视频会议室设备设施（采购编号：ZZCG2010K-GK-009），2016年采购视频会议室显示系统、视音频信号采集系统、集中控制系统、照明系统（采购编号：</w:t>
      </w:r>
      <w:bookmarkStart w:id="44" w:name="项目编号"/>
      <w:r>
        <w:rPr>
          <w:rFonts w:hint="eastAsia" w:ascii="仿宋_GB2312" w:eastAsia="仿宋_GB2312"/>
          <w:color w:val="000000" w:themeColor="text1"/>
          <w:sz w:val="32"/>
          <w:szCs w:val="32"/>
          <w:highlight w:val="none"/>
          <w14:textFill>
            <w14:solidFill>
              <w14:schemeClr w14:val="tx1"/>
            </w14:solidFill>
          </w14:textFill>
        </w:rPr>
        <w:t>ZZCG2016Y-GK-X050</w:t>
      </w:r>
      <w:bookmarkEnd w:id="44"/>
      <w:r>
        <w:rPr>
          <w:rFonts w:hint="eastAsia" w:ascii="仿宋_GB2312" w:eastAsia="仿宋_GB2312"/>
          <w:color w:val="000000" w:themeColor="text1"/>
          <w:sz w:val="32"/>
          <w:szCs w:val="32"/>
          <w:highlight w:val="none"/>
          <w14:textFill>
            <w14:solidFill>
              <w14:schemeClr w14:val="tx1"/>
            </w14:solidFill>
          </w14:textFill>
        </w:rPr>
        <w:t>）及后续更新升级设备。为保证视频会议室基础设施正常运行，现采购</w:t>
      </w:r>
      <w:r>
        <w:rPr>
          <w:rFonts w:hint="eastAsia" w:ascii="仿宋_GB2312" w:eastAsia="仿宋_GB2312"/>
          <w:color w:val="000000" w:themeColor="text1"/>
          <w:sz w:val="32"/>
          <w:szCs w:val="32"/>
          <w:highlight w:val="none"/>
          <w:lang w:val="en-US" w:eastAsia="zh-CN"/>
          <w14:textFill>
            <w14:solidFill>
              <w14:schemeClr w14:val="tx1"/>
            </w14:solidFill>
          </w14:textFill>
        </w:rPr>
        <w:t>10个月的</w:t>
      </w:r>
      <w:r>
        <w:rPr>
          <w:rFonts w:hint="eastAsia" w:ascii="仿宋_GB2312" w:eastAsia="仿宋_GB2312"/>
          <w:color w:val="000000" w:themeColor="text1"/>
          <w:sz w:val="32"/>
          <w:szCs w:val="32"/>
          <w:highlight w:val="none"/>
          <w14:textFill>
            <w14:solidFill>
              <w14:schemeClr w14:val="tx1"/>
            </w14:solidFill>
          </w14:textFill>
        </w:rPr>
        <w:t>视频会议维保维护服务（服务期从</w:t>
      </w:r>
      <w:r>
        <w:rPr>
          <w:rFonts w:hint="eastAsia" w:ascii="仿宋_GB2312" w:eastAsia="仿宋_GB2312"/>
          <w:color w:val="000000" w:themeColor="text1"/>
          <w:sz w:val="32"/>
          <w:szCs w:val="32"/>
          <w:highlight w:val="none"/>
          <w:lang w:eastAsia="zh-CN"/>
          <w14:textFill>
            <w14:solidFill>
              <w14:schemeClr w14:val="tx1"/>
            </w14:solidFill>
          </w14:textFill>
        </w:rPr>
        <w:t>2024</w:t>
      </w:r>
      <w:r>
        <w:rPr>
          <w:rFonts w:hint="eastAsia" w:ascii="仿宋_GB2312" w:eastAsia="仿宋_GB2312"/>
          <w:color w:val="000000" w:themeColor="text1"/>
          <w:sz w:val="32"/>
          <w:szCs w:val="32"/>
          <w:highlight w:val="none"/>
          <w14:textFill>
            <w14:solidFill>
              <w14:schemeClr w14:val="tx1"/>
            </w14:solidFill>
          </w14:textFill>
        </w:rPr>
        <w:t>年12月20日起）</w:t>
      </w:r>
    </w:p>
    <w:p>
      <w:pPr>
        <w:pStyle w:val="56"/>
        <w:ind w:left="424" w:leftChars="202" w:firstLine="160" w:firstLineChars="50"/>
        <w:outlineLvl w:val="1"/>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3.2具体维护要求</w:t>
      </w:r>
    </w:p>
    <w:p>
      <w:pPr>
        <w:numPr>
          <w:ilvl w:val="0"/>
          <w:numId w:val="2"/>
        </w:num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巡检及保养等服务。</w:t>
      </w:r>
      <w:r>
        <w:rPr>
          <w:rFonts w:hint="eastAsia" w:ascii="仿宋_GB2312" w:eastAsia="仿宋_GB2312"/>
          <w:color w:val="000000" w:themeColor="text1"/>
          <w:sz w:val="32"/>
          <w:szCs w:val="32"/>
          <w:highlight w:val="none"/>
          <w14:textFill>
            <w14:solidFill>
              <w14:schemeClr w14:val="tx1"/>
            </w14:solidFill>
          </w14:textFill>
        </w:rPr>
        <w:t>服务方需对上述4个系统各类设备提供巡检、保养、维护、检测等服务，其中巡检服务每月不少于1次并提供书面巡检服务报告（其中重要会议召开前还应提供一次现场巡检）；LED显示屏要求设备原厂商提供每季度不少于1次的巡检服务，</w:t>
      </w:r>
      <w:r>
        <w:rPr>
          <w:rFonts w:hint="eastAsia" w:ascii="仿宋_GB2312" w:eastAsia="仿宋_GB2312"/>
          <w:color w:val="000000" w:themeColor="text1"/>
          <w:sz w:val="32"/>
          <w:szCs w:val="32"/>
          <w:highlight w:val="none"/>
          <w:lang w:val="en-US" w:eastAsia="zh-CN"/>
          <w14:textFill>
            <w14:solidFill>
              <w14:schemeClr w14:val="tx1"/>
            </w14:solidFill>
          </w14:textFill>
        </w:rPr>
        <w:t>服务期内</w:t>
      </w:r>
      <w:r>
        <w:rPr>
          <w:rFonts w:hint="eastAsia" w:ascii="仿宋_GB2312" w:eastAsia="仿宋_GB2312"/>
          <w:color w:val="000000" w:themeColor="text1"/>
          <w:sz w:val="32"/>
          <w:szCs w:val="32"/>
          <w:highlight w:val="none"/>
          <w14:textFill>
            <w14:solidFill>
              <w14:schemeClr w14:val="tx1"/>
            </w14:solidFill>
          </w14:textFill>
        </w:rPr>
        <w:t>不少于一次的屏幕坏点维修服务。</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2）突发事件应急响应。</w:t>
      </w:r>
      <w:r>
        <w:rPr>
          <w:rFonts w:hint="eastAsia" w:ascii="仿宋_GB2312" w:eastAsia="仿宋_GB2312"/>
          <w:color w:val="000000" w:themeColor="text1"/>
          <w:sz w:val="32"/>
          <w:szCs w:val="32"/>
          <w:highlight w:val="none"/>
          <w14:textFill>
            <w14:solidFill>
              <w14:schemeClr w14:val="tx1"/>
            </w14:solidFill>
          </w14:textFill>
        </w:rPr>
        <w:t>服务方需对视频会议室各类突发事件提供应急处理、故障排除等服务（其中紧急事件需提供1小时应急响应，4小时解决问题服务）。</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3）配件维修及更换服务。</w:t>
      </w:r>
      <w:r>
        <w:rPr>
          <w:rFonts w:hint="eastAsia" w:ascii="仿宋_GB2312" w:eastAsia="仿宋_GB2312"/>
          <w:color w:val="000000" w:themeColor="text1"/>
          <w:sz w:val="32"/>
          <w:szCs w:val="32"/>
          <w:highlight w:val="none"/>
          <w14:textFill>
            <w14:solidFill>
              <w14:schemeClr w14:val="tx1"/>
            </w14:solidFill>
          </w14:textFill>
        </w:rPr>
        <w:t>服务方需对日常巡检及突发事件中发现的问题提供设备维修及配件更换服务，无法修复的设备应购买不低于原有性能的设备进行更换。对于重大突发事件4小时内无法解决问题的，需在8小时内提供备品备件。</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4）软件升级服务。</w:t>
      </w:r>
      <w:r>
        <w:rPr>
          <w:rFonts w:hint="eastAsia" w:ascii="仿宋_GB2312" w:eastAsia="仿宋_GB2312"/>
          <w:color w:val="000000" w:themeColor="text1"/>
          <w:sz w:val="32"/>
          <w:szCs w:val="32"/>
          <w:highlight w:val="none"/>
          <w14:textFill>
            <w14:solidFill>
              <w14:schemeClr w14:val="tx1"/>
            </w14:solidFill>
          </w14:textFill>
        </w:rPr>
        <w:t>服务方需对LED显示屏、高清矩阵、中控系统等设备的软件进行定期升级，及时修复BUG，修补安全漏洞，满足用户提出的新功能需求。</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5）线路整理服务。</w:t>
      </w:r>
      <w:r>
        <w:rPr>
          <w:rFonts w:hint="eastAsia" w:ascii="仿宋_GB2312" w:eastAsia="仿宋_GB2312"/>
          <w:color w:val="000000" w:themeColor="text1"/>
          <w:sz w:val="32"/>
          <w:szCs w:val="32"/>
          <w:highlight w:val="none"/>
          <w14:textFill>
            <w14:solidFill>
              <w14:schemeClr w14:val="tx1"/>
            </w14:solidFill>
          </w14:textFill>
        </w:rPr>
        <w:t>服务方需根据用户方要求做好视频会议</w:t>
      </w:r>
      <w:r>
        <w:rPr>
          <w:rFonts w:hint="eastAsia" w:ascii="仿宋_GB2312" w:eastAsia="仿宋_GB2312"/>
          <w:color w:val="000000" w:themeColor="text1"/>
          <w:sz w:val="32"/>
          <w:szCs w:val="32"/>
          <w:highlight w:val="none"/>
          <w:lang w:val="en-US" w:eastAsia="zh-CN"/>
          <w14:textFill>
            <w14:solidFill>
              <w14:schemeClr w14:val="tx1"/>
            </w14:solidFill>
          </w14:textFill>
        </w:rPr>
        <w:t>系统</w:t>
      </w:r>
      <w:r>
        <w:rPr>
          <w:rFonts w:hint="eastAsia" w:ascii="仿宋_GB2312" w:eastAsia="仿宋_GB2312"/>
          <w:color w:val="000000" w:themeColor="text1"/>
          <w:sz w:val="32"/>
          <w:szCs w:val="32"/>
          <w:highlight w:val="none"/>
          <w14:textFill>
            <w14:solidFill>
              <w14:schemeClr w14:val="tx1"/>
            </w14:solidFill>
          </w14:textFill>
        </w:rPr>
        <w:t>各类线路（包括信号线、网线、电源线等）的整理和标识，</w:t>
      </w:r>
      <w:r>
        <w:rPr>
          <w:rFonts w:hint="eastAsia" w:ascii="仿宋_GB2312" w:eastAsia="仿宋_GB2312"/>
          <w:color w:val="000000" w:themeColor="text1"/>
          <w:sz w:val="32"/>
          <w:szCs w:val="32"/>
          <w:highlight w:val="none"/>
          <w:lang w:val="en-US" w:eastAsia="zh-CN"/>
          <w14:textFill>
            <w14:solidFill>
              <w14:schemeClr w14:val="tx1"/>
            </w14:solidFill>
          </w14:textFill>
        </w:rPr>
        <w:t>服务期内</w:t>
      </w:r>
      <w:r>
        <w:rPr>
          <w:rFonts w:hint="eastAsia" w:ascii="仿宋_GB2312" w:eastAsia="仿宋_GB2312"/>
          <w:color w:val="000000" w:themeColor="text1"/>
          <w:sz w:val="32"/>
          <w:szCs w:val="32"/>
          <w:highlight w:val="none"/>
          <w14:textFill>
            <w14:solidFill>
              <w14:schemeClr w14:val="tx1"/>
            </w14:solidFill>
          </w14:textFill>
        </w:rPr>
        <w:t>不少于4次。</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6）视频会议完善建议服务。</w:t>
      </w:r>
      <w:r>
        <w:rPr>
          <w:rFonts w:hint="eastAsia" w:ascii="仿宋_GB2312" w:eastAsia="仿宋_GB2312"/>
          <w:color w:val="000000" w:themeColor="text1"/>
          <w:sz w:val="32"/>
          <w:szCs w:val="32"/>
          <w:highlight w:val="none"/>
          <w14:textFill>
            <w14:solidFill>
              <w14:schemeClr w14:val="tx1"/>
            </w14:solidFill>
          </w14:textFill>
        </w:rPr>
        <w:t>服务方需根据视频会议实际运行情况提供后期会议室更新及完善建议方案，</w:t>
      </w:r>
      <w:r>
        <w:rPr>
          <w:rFonts w:hint="eastAsia" w:ascii="仿宋_GB2312" w:eastAsia="仿宋_GB2312"/>
          <w:color w:val="000000" w:themeColor="text1"/>
          <w:sz w:val="32"/>
          <w:szCs w:val="32"/>
          <w:highlight w:val="none"/>
          <w:lang w:val="en-US" w:eastAsia="zh-CN"/>
          <w14:textFill>
            <w14:solidFill>
              <w14:schemeClr w14:val="tx1"/>
            </w14:solidFill>
          </w14:textFill>
        </w:rPr>
        <w:t>服务期内</w:t>
      </w:r>
      <w:r>
        <w:rPr>
          <w:rFonts w:hint="eastAsia" w:ascii="仿宋_GB2312" w:eastAsia="仿宋_GB2312"/>
          <w:color w:val="000000" w:themeColor="text1"/>
          <w:sz w:val="32"/>
          <w:szCs w:val="32"/>
          <w:highlight w:val="none"/>
          <w14:textFill>
            <w14:solidFill>
              <w14:schemeClr w14:val="tx1"/>
            </w14:solidFill>
          </w14:textFill>
        </w:rPr>
        <w:t>不少于1次。</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7）重要会议现场保障服务。</w:t>
      </w:r>
      <w:r>
        <w:rPr>
          <w:rFonts w:hint="eastAsia" w:ascii="仿宋_GB2312" w:eastAsia="仿宋_GB2312"/>
          <w:color w:val="000000" w:themeColor="text1"/>
          <w:sz w:val="32"/>
          <w:szCs w:val="32"/>
          <w:highlight w:val="none"/>
          <w14:textFill>
            <w14:solidFill>
              <w14:schemeClr w14:val="tx1"/>
            </w14:solidFill>
          </w14:textFill>
        </w:rPr>
        <w:t>服务期内根据用户方要求，对重要会议提供现场保障服务，现场保障人员应在会议调试、现场会议过程中常驻用户现场提供服务，服务期结束后还应提供</w:t>
      </w:r>
      <w:r>
        <w:rPr>
          <w:rFonts w:hint="eastAsia" w:ascii="仿宋_GB2312" w:eastAsia="仿宋_GB2312"/>
          <w:color w:val="000000" w:themeColor="text1"/>
          <w:sz w:val="32"/>
          <w:szCs w:val="32"/>
          <w:highlight w:val="none"/>
          <w:lang w:val="en-US" w:eastAsia="zh-CN"/>
          <w14:textFill>
            <w14:solidFill>
              <w14:schemeClr w14:val="tx1"/>
            </w14:solidFill>
          </w14:textFill>
        </w:rPr>
        <w:t>服务期内的</w:t>
      </w:r>
      <w:r>
        <w:rPr>
          <w:rFonts w:hint="eastAsia" w:ascii="仿宋_GB2312" w:eastAsia="仿宋_GB2312"/>
          <w:color w:val="000000" w:themeColor="text1"/>
          <w:sz w:val="32"/>
          <w:szCs w:val="32"/>
          <w:highlight w:val="none"/>
          <w14:textFill>
            <w14:solidFill>
              <w14:schemeClr w14:val="tx1"/>
            </w14:solidFill>
          </w14:textFill>
        </w:rPr>
        <w:t>现场会议服务保障确认表。重要会议的现场保障人员应具有3年以上的视频会议保障经验，熟悉用户方视频会议的设备连接、线路布局等内容，能熟练操作会议室的视联网终端、华为TE50、调音台、高清矩阵等多媒体设备，具备快速排查故障的能力。现场保障人员应相对固定，特殊情况确实需要变动的，需经用户方同意，接替人员应具备同等要求。</w:t>
      </w:r>
    </w:p>
    <w:p>
      <w:pPr>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14:textFill>
            <w14:solidFill>
              <w14:schemeClr w14:val="tx1"/>
            </w14:solidFill>
          </w14:textFill>
        </w:rPr>
        <w:t>8）</w:t>
      </w:r>
      <w:r>
        <w:rPr>
          <w:rFonts w:hint="eastAsia" w:ascii="仿宋_GB2312" w:eastAsia="仿宋_GB2312"/>
          <w:b/>
          <w:color w:val="000000" w:themeColor="text1"/>
          <w:sz w:val="32"/>
          <w:szCs w:val="32"/>
          <w:highlight w:val="none"/>
          <w:lang w:val="en-US" w:eastAsia="zh-CN"/>
          <w14:textFill>
            <w14:solidFill>
              <w14:schemeClr w14:val="tx1"/>
            </w14:solidFill>
          </w14:textFill>
        </w:rPr>
        <w:t>设施</w:t>
      </w:r>
      <w:r>
        <w:rPr>
          <w:rFonts w:hint="eastAsia" w:ascii="仿宋_GB2312" w:eastAsia="仿宋_GB2312"/>
          <w:b/>
          <w:color w:val="000000" w:themeColor="text1"/>
          <w:sz w:val="32"/>
          <w:szCs w:val="32"/>
          <w:highlight w:val="none"/>
          <w14:textFill>
            <w14:solidFill>
              <w14:schemeClr w14:val="tx1"/>
            </w14:solidFill>
          </w14:textFill>
        </w:rPr>
        <w:t>设备维护。</w:t>
      </w:r>
      <w:r>
        <w:rPr>
          <w:rFonts w:hint="eastAsia" w:ascii="仿宋_GB2312" w:eastAsia="仿宋_GB2312"/>
          <w:color w:val="000000" w:themeColor="text1"/>
          <w:sz w:val="32"/>
          <w:szCs w:val="32"/>
          <w:highlight w:val="none"/>
          <w14:textFill>
            <w14:solidFill>
              <w14:schemeClr w14:val="tx1"/>
            </w14:solidFill>
          </w14:textFill>
        </w:rPr>
        <w:t>服务方需对视频会议室</w:t>
      </w:r>
      <w:r>
        <w:rPr>
          <w:rFonts w:hint="eastAsia" w:ascii="仿宋_GB2312" w:eastAsia="仿宋_GB2312"/>
          <w:color w:val="000000" w:themeColor="text1"/>
          <w:sz w:val="32"/>
          <w:szCs w:val="32"/>
          <w:highlight w:val="none"/>
          <w:lang w:val="en-US" w:eastAsia="zh-CN"/>
          <w14:textFill>
            <w14:solidFill>
              <w14:schemeClr w14:val="tx1"/>
            </w14:solidFill>
          </w14:textFill>
        </w:rPr>
        <w:t>内的音视频线路、电源线路和</w:t>
      </w:r>
      <w:r>
        <w:rPr>
          <w:rFonts w:hint="eastAsia" w:ascii="仿宋_GB2312" w:eastAsia="仿宋_GB2312"/>
          <w:color w:val="000000" w:themeColor="text1"/>
          <w:sz w:val="32"/>
          <w:szCs w:val="32"/>
          <w:highlight w:val="none"/>
          <w14:textFill>
            <w14:solidFill>
              <w14:schemeClr w14:val="tx1"/>
            </w14:solidFill>
          </w14:textFill>
        </w:rPr>
        <w:t>信息插座</w:t>
      </w:r>
      <w:r>
        <w:rPr>
          <w:rFonts w:hint="eastAsia" w:ascii="仿宋_GB2312" w:eastAsia="仿宋_GB2312"/>
          <w:color w:val="000000" w:themeColor="text1"/>
          <w:sz w:val="32"/>
          <w:szCs w:val="32"/>
          <w:highlight w:val="none"/>
          <w:lang w:val="en-US" w:eastAsia="zh-CN"/>
          <w14:textFill>
            <w14:solidFill>
              <w14:schemeClr w14:val="tx1"/>
            </w14:solidFill>
          </w14:textFill>
        </w:rPr>
        <w:t>进行检测，更换相关老化线路及配件，对视频会议室内的灯膜灯带等</w:t>
      </w:r>
      <w:r>
        <w:rPr>
          <w:rFonts w:hint="eastAsia" w:ascii="仿宋_GB2312" w:eastAsia="仿宋_GB2312"/>
          <w:color w:val="000000" w:themeColor="text1"/>
          <w:sz w:val="32"/>
          <w:szCs w:val="32"/>
          <w:highlight w:val="none"/>
          <w14:textFill>
            <w14:solidFill>
              <w14:schemeClr w14:val="tx1"/>
            </w14:solidFill>
          </w14:textFill>
        </w:rPr>
        <w:t>进行维护更新，确保会议室的照明亮度、色温等符合视频会议要求。</w:t>
      </w:r>
      <w:r>
        <w:rPr>
          <w:rFonts w:hint="eastAsia" w:ascii="仿宋_GB2312" w:eastAsia="仿宋_GB2312"/>
          <w:color w:val="000000" w:themeColor="text1"/>
          <w:sz w:val="32"/>
          <w:szCs w:val="32"/>
          <w:highlight w:val="none"/>
          <w:lang w:val="en-US" w:eastAsia="zh-CN"/>
          <w14:textFill>
            <w14:solidFill>
              <w14:schemeClr w14:val="tx1"/>
            </w14:solidFill>
          </w14:textFill>
        </w:rPr>
        <w:t>具体内容</w:t>
      </w:r>
      <w:r>
        <w:rPr>
          <w:rFonts w:hint="eastAsia" w:ascii="仿宋_GB2312" w:eastAsia="仿宋_GB2312"/>
          <w:color w:val="000000" w:themeColor="text1"/>
          <w:sz w:val="32"/>
          <w:szCs w:val="32"/>
          <w:highlight w:val="none"/>
          <w14:textFill>
            <w14:solidFill>
              <w14:schemeClr w14:val="tx1"/>
            </w14:solidFill>
          </w14:textFill>
        </w:rPr>
        <w:t>如下：</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459"/>
        <w:gridCol w:w="5385"/>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46" w:type="dxa"/>
            <w:vAlign w:val="center"/>
          </w:tcPr>
          <w:p>
            <w:pPr>
              <w:jc w:val="center"/>
              <w:rPr>
                <w:rFonts w:ascii="仿宋_GB2312" w:eastAsia="仿宋_GB2312" w:hAnsiTheme="minorEastAsia"/>
                <w:b/>
                <w:bCs/>
                <w:color w:val="000000" w:themeColor="text1"/>
                <w:kern w:val="0"/>
                <w:sz w:val="18"/>
                <w:szCs w:val="18"/>
                <w:highlight w:val="none"/>
                <w14:textFill>
                  <w14:solidFill>
                    <w14:schemeClr w14:val="tx1"/>
                  </w14:solidFill>
                </w14:textFill>
              </w:rPr>
            </w:pPr>
            <w:r>
              <w:rPr>
                <w:rFonts w:hint="eastAsia" w:ascii="仿宋_GB2312" w:eastAsia="仿宋_GB2312" w:hAnsiTheme="minorEastAsia"/>
                <w:b/>
                <w:bCs/>
                <w:color w:val="000000" w:themeColor="text1"/>
                <w:kern w:val="0"/>
                <w:sz w:val="18"/>
                <w:szCs w:val="18"/>
                <w:highlight w:val="none"/>
                <w14:textFill>
                  <w14:solidFill>
                    <w14:schemeClr w14:val="tx1"/>
                  </w14:solidFill>
                </w14:textFill>
              </w:rPr>
              <w:t>序号</w:t>
            </w:r>
          </w:p>
        </w:tc>
        <w:tc>
          <w:tcPr>
            <w:tcW w:w="1459" w:type="dxa"/>
            <w:vAlign w:val="center"/>
          </w:tcPr>
          <w:p>
            <w:pPr>
              <w:jc w:val="center"/>
              <w:rPr>
                <w:rFonts w:ascii="仿宋_GB2312" w:eastAsia="仿宋_GB2312" w:hAnsiTheme="minorEastAsia"/>
                <w:b/>
                <w:bCs/>
                <w:color w:val="000000" w:themeColor="text1"/>
                <w:kern w:val="0"/>
                <w:sz w:val="18"/>
                <w:szCs w:val="18"/>
                <w:highlight w:val="none"/>
                <w14:textFill>
                  <w14:solidFill>
                    <w14:schemeClr w14:val="tx1"/>
                  </w14:solidFill>
                </w14:textFill>
              </w:rPr>
            </w:pPr>
            <w:r>
              <w:rPr>
                <w:rFonts w:hint="eastAsia" w:ascii="仿宋_GB2312" w:eastAsia="仿宋_GB2312" w:hAnsiTheme="minorEastAsia"/>
                <w:b/>
                <w:bCs/>
                <w:color w:val="000000" w:themeColor="text1"/>
                <w:kern w:val="0"/>
                <w:sz w:val="18"/>
                <w:szCs w:val="18"/>
                <w:highlight w:val="none"/>
                <w14:textFill>
                  <w14:solidFill>
                    <w14:schemeClr w14:val="tx1"/>
                  </w14:solidFill>
                </w14:textFill>
              </w:rPr>
              <w:t>设备名称</w:t>
            </w:r>
          </w:p>
        </w:tc>
        <w:tc>
          <w:tcPr>
            <w:tcW w:w="5385" w:type="dxa"/>
            <w:vAlign w:val="center"/>
          </w:tcPr>
          <w:p>
            <w:pPr>
              <w:jc w:val="center"/>
              <w:rPr>
                <w:rFonts w:ascii="仿宋_GB2312" w:eastAsia="仿宋_GB2312" w:hAnsiTheme="minorEastAsia"/>
                <w:b/>
                <w:bCs/>
                <w:color w:val="000000" w:themeColor="text1"/>
                <w:kern w:val="0"/>
                <w:sz w:val="18"/>
                <w:szCs w:val="18"/>
                <w:highlight w:val="none"/>
                <w14:textFill>
                  <w14:solidFill>
                    <w14:schemeClr w14:val="tx1"/>
                  </w14:solidFill>
                </w14:textFill>
              </w:rPr>
            </w:pPr>
            <w:r>
              <w:rPr>
                <w:rFonts w:hint="eastAsia" w:ascii="仿宋_GB2312" w:eastAsia="仿宋_GB2312" w:hAnsiTheme="minorEastAsia"/>
                <w:b/>
                <w:bCs/>
                <w:color w:val="000000" w:themeColor="text1"/>
                <w:kern w:val="0"/>
                <w:sz w:val="18"/>
                <w:szCs w:val="18"/>
                <w:highlight w:val="none"/>
                <w14:textFill>
                  <w14:solidFill>
                    <w14:schemeClr w14:val="tx1"/>
                  </w14:solidFill>
                </w14:textFill>
              </w:rPr>
              <w:t>规格参数</w:t>
            </w:r>
          </w:p>
        </w:tc>
        <w:tc>
          <w:tcPr>
            <w:tcW w:w="809" w:type="dxa"/>
            <w:vAlign w:val="center"/>
          </w:tcPr>
          <w:p>
            <w:pPr>
              <w:jc w:val="center"/>
              <w:rPr>
                <w:rFonts w:ascii="仿宋_GB2312" w:eastAsia="仿宋_GB2312" w:hAnsiTheme="minorEastAsia"/>
                <w:b/>
                <w:bCs/>
                <w:color w:val="000000" w:themeColor="text1"/>
                <w:kern w:val="0"/>
                <w:sz w:val="18"/>
                <w:szCs w:val="18"/>
                <w:highlight w:val="none"/>
                <w14:textFill>
                  <w14:solidFill>
                    <w14:schemeClr w14:val="tx1"/>
                  </w14:solidFill>
                </w14:textFill>
              </w:rPr>
            </w:pPr>
            <w:r>
              <w:rPr>
                <w:rFonts w:hint="eastAsia" w:ascii="仿宋_GB2312" w:eastAsia="仿宋_GB2312" w:hAnsiTheme="minorEastAsia"/>
                <w:b/>
                <w:bCs/>
                <w:color w:val="000000" w:themeColor="text1"/>
                <w:kern w:val="0"/>
                <w:sz w:val="18"/>
                <w:szCs w:val="18"/>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746"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w:t>
            </w:r>
          </w:p>
        </w:tc>
        <w:tc>
          <w:tcPr>
            <w:tcW w:w="1459"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观众席灯膜维护</w:t>
            </w:r>
          </w:p>
        </w:tc>
        <w:tc>
          <w:tcPr>
            <w:tcW w:w="5385" w:type="dxa"/>
            <w:vAlign w:val="center"/>
          </w:tcPr>
          <w:p>
            <w:pPr>
              <w:keepNext w:val="0"/>
              <w:keepLines w:val="0"/>
              <w:widowControl/>
              <w:suppressLineNumbers w:val="0"/>
              <w:jc w:val="left"/>
              <w:textAlignment w:val="center"/>
              <w:rPr>
                <w:rFonts w:ascii="仿宋_GB2312" w:eastAsia="仿宋_GB2312" w:hAnsiTheme="minorEastAsia"/>
                <w:color w:val="000000" w:themeColor="text1"/>
                <w:kern w:val="0"/>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每组9根4000K色温LED灯管，更换全新灯膜，共12组</w:t>
            </w:r>
          </w:p>
        </w:tc>
        <w:tc>
          <w:tcPr>
            <w:tcW w:w="809" w:type="dxa"/>
            <w:vAlign w:val="center"/>
          </w:tcPr>
          <w:p>
            <w:pPr>
              <w:jc w:val="center"/>
              <w:rPr>
                <w:rFonts w:hint="default" w:ascii="仿宋_GB2312" w:eastAsia="仿宋_GB2312" w:hAnsiTheme="minorEastAsia"/>
                <w:color w:val="000000" w:themeColor="text1"/>
                <w:kern w:val="0"/>
                <w:sz w:val="24"/>
                <w:szCs w:val="24"/>
                <w:highlight w:val="none"/>
                <w:lang w:val="en-US" w:eastAsia="zh-CN"/>
                <w14:textFill>
                  <w14:solidFill>
                    <w14:schemeClr w14:val="tx1"/>
                  </w14:solidFill>
                </w14:textFill>
              </w:rPr>
            </w:pPr>
            <w:r>
              <w:rPr>
                <w:rFonts w:hint="eastAsia" w:ascii="仿宋_GB2312" w:eastAsia="仿宋_GB2312" w:hAnsiTheme="minorEastAsia"/>
                <w:color w:val="000000" w:themeColor="text1"/>
                <w:kern w:val="0"/>
                <w:sz w:val="24"/>
                <w:szCs w:val="24"/>
                <w:highlight w:val="none"/>
                <w:lang w:val="en-US" w:eastAsia="zh-CN"/>
                <w14:textFill>
                  <w14:solidFill>
                    <w14:schemeClr w14:val="tx1"/>
                  </w14:solidFill>
                </w14:textFill>
              </w:rPr>
              <w:t>12组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746" w:type="dxa"/>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w:t>
            </w:r>
          </w:p>
        </w:tc>
        <w:tc>
          <w:tcPr>
            <w:tcW w:w="1459" w:type="dxa"/>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主席台区灯膜维护</w:t>
            </w:r>
          </w:p>
        </w:tc>
        <w:tc>
          <w:tcPr>
            <w:tcW w:w="5385" w:type="dxa"/>
            <w:vAlign w:val="center"/>
          </w:tcPr>
          <w:p>
            <w:pPr>
              <w:keepNext w:val="0"/>
              <w:keepLines w:val="0"/>
              <w:widowControl/>
              <w:suppressLineNumbers w:val="0"/>
              <w:jc w:val="left"/>
              <w:textAlignment w:val="center"/>
              <w:rPr>
                <w:rFonts w:hint="eastAsia" w:ascii="仿宋_GB2312" w:eastAsia="仿宋_GB2312" w:hAnsiTheme="minorEastAsia"/>
                <w:color w:val="000000" w:themeColor="text1"/>
                <w:kern w:val="0"/>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每组14根4000K色温LED灯管，更换全新灯膜，共2组</w:t>
            </w:r>
          </w:p>
        </w:tc>
        <w:tc>
          <w:tcPr>
            <w:tcW w:w="809" w:type="dxa"/>
            <w:vAlign w:val="center"/>
          </w:tcPr>
          <w:p>
            <w:pPr>
              <w:jc w:val="center"/>
              <w:rPr>
                <w:rFonts w:hint="default" w:ascii="仿宋_GB2312" w:eastAsia="仿宋_GB2312" w:hAnsiTheme="minorEastAsia"/>
                <w:color w:val="000000" w:themeColor="text1"/>
                <w:kern w:val="0"/>
                <w:sz w:val="24"/>
                <w:szCs w:val="24"/>
                <w:highlight w:val="none"/>
                <w:lang w:val="en-US" w:eastAsia="zh-CN"/>
                <w14:textFill>
                  <w14:solidFill>
                    <w14:schemeClr w14:val="tx1"/>
                  </w14:solidFill>
                </w14:textFill>
              </w:rPr>
            </w:pPr>
            <w:r>
              <w:rPr>
                <w:rFonts w:hint="eastAsia" w:ascii="仿宋_GB2312" w:eastAsia="仿宋_GB2312" w:hAnsiTheme="minorEastAsia"/>
                <w:color w:val="000000" w:themeColor="text1"/>
                <w:kern w:val="0"/>
                <w:sz w:val="24"/>
                <w:szCs w:val="24"/>
                <w:highlight w:val="none"/>
                <w:lang w:val="en-US" w:eastAsia="zh-CN"/>
                <w14:textFill>
                  <w14:solidFill>
                    <w14:schemeClr w14:val="tx1"/>
                  </w14:solidFill>
                </w14:textFill>
              </w:rPr>
              <w:t>2组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746" w:type="dxa"/>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w:t>
            </w:r>
          </w:p>
        </w:tc>
        <w:tc>
          <w:tcPr>
            <w:tcW w:w="1459" w:type="dxa"/>
            <w:vAlign w:val="center"/>
          </w:tcPr>
          <w:p>
            <w:pPr>
              <w:keepNext w:val="0"/>
              <w:keepLines w:val="0"/>
              <w:widowControl/>
              <w:suppressLineNumbers w:val="0"/>
              <w:jc w:val="center"/>
              <w:textAlignment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音视频</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线路</w:t>
            </w:r>
            <w: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、电源线路和信息插座</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维护</w:t>
            </w:r>
          </w:p>
        </w:tc>
        <w:tc>
          <w:tcPr>
            <w:tcW w:w="5385" w:type="dxa"/>
            <w:vAlign w:val="center"/>
          </w:tcPr>
          <w:p>
            <w:pPr>
              <w:rPr>
                <w:rFonts w:hint="default" w:ascii="仿宋_GB2312" w:eastAsia="仿宋_GB2312" w:cs="Times New Roman" w:hAnsiTheme="minorEastAsia"/>
                <w:color w:val="000000" w:themeColor="text1"/>
                <w:kern w:val="0"/>
                <w:sz w:val="24"/>
                <w:szCs w:val="24"/>
                <w:highlight w:val="none"/>
                <w:lang w:val="en-US" w:eastAsia="zh-CN" w:bidi="ar-SA"/>
                <w14:textFill>
                  <w14:solidFill>
                    <w14:schemeClr w14:val="tx1"/>
                  </w14:solidFill>
                </w14:textFill>
              </w:rPr>
            </w:pP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对相关线路和连接插口</w:t>
            </w: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进行检测，更换相关老化</w:t>
            </w:r>
            <w:r>
              <w:rPr>
                <w:rFonts w:hint="eastAsia" w:ascii="宋体" w:hAnsi="宋体" w:cs="宋体"/>
                <w:i w:val="0"/>
                <w:iCs w:val="0"/>
                <w:color w:val="000000" w:themeColor="text1"/>
                <w:kern w:val="0"/>
                <w:sz w:val="22"/>
                <w:szCs w:val="22"/>
                <w:highlight w:val="none"/>
                <w:u w:val="none"/>
                <w:lang w:val="en-US" w:eastAsia="zh-CN" w:bidi="ar"/>
                <w14:textFill>
                  <w14:solidFill>
                    <w14:schemeClr w14:val="tx1"/>
                  </w14:solidFill>
                </w14:textFill>
              </w:rPr>
              <w:t>线路及配件。</w:t>
            </w:r>
          </w:p>
        </w:tc>
        <w:tc>
          <w:tcPr>
            <w:tcW w:w="809" w:type="dxa"/>
            <w:vAlign w:val="center"/>
          </w:tcPr>
          <w:p>
            <w:pPr>
              <w:jc w:val="center"/>
              <w:rPr>
                <w:rFonts w:hint="default" w:ascii="仿宋_GB2312" w:eastAsia="仿宋_GB2312" w:cs="Times New Roman" w:hAnsiTheme="minorEastAsia"/>
                <w:color w:val="000000" w:themeColor="text1"/>
                <w:kern w:val="0"/>
                <w:sz w:val="24"/>
                <w:szCs w:val="24"/>
                <w:highlight w:val="none"/>
                <w:lang w:val="en-US" w:eastAsia="zh-CN" w:bidi="ar-SA"/>
                <w14:textFill>
                  <w14:solidFill>
                    <w14:schemeClr w14:val="tx1"/>
                  </w14:solidFill>
                </w14:textFill>
              </w:rPr>
            </w:pPr>
            <w:r>
              <w:rPr>
                <w:rFonts w:hint="eastAsia" w:ascii="仿宋_GB2312" w:eastAsia="仿宋_GB2312" w:cs="Times New Roman" w:hAnsiTheme="minorEastAsia"/>
                <w:color w:val="000000" w:themeColor="text1"/>
                <w:kern w:val="0"/>
                <w:sz w:val="24"/>
                <w:szCs w:val="24"/>
                <w:highlight w:val="none"/>
                <w:lang w:val="en-US" w:eastAsia="zh-CN" w:bidi="ar-SA"/>
                <w14:textFill>
                  <w14:solidFill>
                    <w14:schemeClr w14:val="tx1"/>
                  </w14:solidFill>
                </w14:textFill>
              </w:rPr>
              <w:t>1项</w:t>
            </w:r>
          </w:p>
        </w:tc>
      </w:tr>
    </w:tbl>
    <w:p>
      <w:pPr>
        <w:spacing w:line="560" w:lineRule="exact"/>
        <w:ind w:firstLine="643"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b/>
          <w:color w:val="000000" w:themeColor="text1"/>
          <w:sz w:val="32"/>
          <w:szCs w:val="32"/>
          <w:highlight w:val="none"/>
          <w:lang w:val="en-US" w:eastAsia="zh-CN"/>
          <w14:textFill>
            <w14:solidFill>
              <w14:schemeClr w14:val="tx1"/>
            </w14:solidFill>
          </w14:textFill>
        </w:rPr>
        <w:t>9</w:t>
      </w:r>
      <w:r>
        <w:rPr>
          <w:rFonts w:hint="eastAsia" w:ascii="仿宋_GB2312" w:eastAsia="仿宋_GB2312"/>
          <w:b/>
          <w:color w:val="000000" w:themeColor="text1"/>
          <w:sz w:val="32"/>
          <w:szCs w:val="32"/>
          <w:highlight w:val="none"/>
          <w14:textFill>
            <w14:solidFill>
              <w14:schemeClr w14:val="tx1"/>
            </w14:solidFill>
          </w14:textFill>
        </w:rPr>
        <w:t>）其它服务要求。</w:t>
      </w:r>
      <w:r>
        <w:rPr>
          <w:rFonts w:hint="eastAsia" w:ascii="仿宋_GB2312" w:eastAsia="仿宋_GB2312"/>
          <w:color w:val="000000" w:themeColor="text1"/>
          <w:sz w:val="32"/>
          <w:szCs w:val="32"/>
          <w:highlight w:val="none"/>
          <w14:textFill>
            <w14:solidFill>
              <w14:schemeClr w14:val="tx1"/>
            </w14:solidFill>
          </w14:textFill>
        </w:rPr>
        <w:t>服务方应提供设备操作培训、故障分析处理等专业知识培训，每年不少于2次，每次不少于1天，并提供相关PPT教材、培训操作手册。</w:t>
      </w:r>
    </w:p>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项目验收时需提供服务单位服务承诺函，其中LED显示屏、高清视频矩阵、阵列音柱、音频处理器等重要设备必须提供设备原厂商的服务承诺函。</w:t>
      </w:r>
    </w:p>
    <w:p>
      <w:pPr>
        <w:tabs>
          <w:tab w:val="left" w:pos="-3060"/>
        </w:tabs>
        <w:snapToGrid w:val="0"/>
        <w:spacing w:line="560" w:lineRule="exact"/>
        <w:ind w:firstLine="640" w:firstLineChars="200"/>
        <w:outlineLvl w:val="2"/>
        <w:rPr>
          <w:rFonts w:eastAsia="黑体"/>
          <w:color w:val="000000" w:themeColor="text1"/>
          <w:sz w:val="32"/>
          <w:szCs w:val="32"/>
          <w:highlight w:val="none"/>
          <w14:textFill>
            <w14:solidFill>
              <w14:schemeClr w14:val="tx1"/>
            </w14:solidFill>
          </w14:textFill>
        </w:rPr>
      </w:pPr>
      <w:r>
        <w:rPr>
          <w:rFonts w:eastAsia="黑体"/>
          <w:color w:val="000000" w:themeColor="text1"/>
          <w:sz w:val="32"/>
          <w:szCs w:val="32"/>
          <w:highlight w:val="none"/>
          <w14:textFill>
            <w14:solidFill>
              <w14:schemeClr w14:val="tx1"/>
            </w14:solidFill>
          </w14:textFill>
        </w:rPr>
        <w:t>4</w:t>
      </w:r>
      <w:r>
        <w:rPr>
          <w:rFonts w:hint="eastAsia" w:eastAsia="黑体"/>
          <w:color w:val="000000" w:themeColor="text1"/>
          <w:sz w:val="32"/>
          <w:szCs w:val="32"/>
          <w:highlight w:val="none"/>
          <w14:textFill>
            <w14:solidFill>
              <w14:schemeClr w14:val="tx1"/>
            </w14:solidFill>
          </w14:textFill>
        </w:rPr>
        <w:t>.服务</w:t>
      </w:r>
      <w:r>
        <w:rPr>
          <w:rFonts w:eastAsia="黑体"/>
          <w:color w:val="000000" w:themeColor="text1"/>
          <w:sz w:val="32"/>
          <w:szCs w:val="32"/>
          <w:highlight w:val="none"/>
          <w14:textFill>
            <w14:solidFill>
              <w14:schemeClr w14:val="tx1"/>
            </w14:solidFill>
          </w14:textFill>
        </w:rPr>
        <w:t>保障</w:t>
      </w:r>
      <w:r>
        <w:rPr>
          <w:rFonts w:hint="eastAsia" w:eastAsia="黑体"/>
          <w:color w:val="000000" w:themeColor="text1"/>
          <w:sz w:val="32"/>
          <w:szCs w:val="32"/>
          <w:highlight w:val="none"/>
          <w14:textFill>
            <w14:solidFill>
              <w14:schemeClr w14:val="tx1"/>
            </w14:solidFill>
          </w14:textFill>
        </w:rPr>
        <w:t>要求</w:t>
      </w:r>
    </w:p>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1）服务方应提供统一的服务热线。</w:t>
      </w:r>
    </w:p>
    <w:p>
      <w:pPr>
        <w:spacing w:line="560" w:lineRule="exact"/>
        <w:ind w:firstLine="640" w:firstLineChars="20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服务方应快速响应并及时解决视频会议发生的各类问题。发现问题需首先提供电话支持，并提供2小时现场响应，4小时内解决问题，对于4小时内无法解决的，服务方需在8小时内提供不低于同档次的备机或备品备件。</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3）服务方应为本项目建立不少于5人的技术服务团队</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视频会议维保服务涉及到信息技术专业服务及信息安全,团队项目经理要求具有信息系统项目管理师（或其他同类型软考高级证书）</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技术服务团队应</w:t>
      </w:r>
      <w:r>
        <w:rPr>
          <w:rFonts w:hint="eastAsia" w:ascii="仿宋_GB2312" w:eastAsia="仿宋_GB2312"/>
          <w:color w:val="000000" w:themeColor="text1"/>
          <w:sz w:val="32"/>
          <w:szCs w:val="32"/>
          <w:highlight w:val="none"/>
          <w:lang w:eastAsia="zh-CN"/>
          <w14:textFill>
            <w14:solidFill>
              <w14:schemeClr w14:val="tx1"/>
            </w14:solidFill>
          </w14:textFill>
        </w:rPr>
        <w:t>至少1</w:t>
      </w:r>
      <w:r>
        <w:rPr>
          <w:rFonts w:hint="eastAsia" w:ascii="仿宋_GB2312" w:eastAsia="仿宋_GB2312"/>
          <w:color w:val="000000" w:themeColor="text1"/>
          <w:sz w:val="32"/>
          <w:szCs w:val="32"/>
          <w:highlight w:val="none"/>
          <w:lang w:val="en-US" w:eastAsia="zh-CN"/>
          <w14:textFill>
            <w14:solidFill>
              <w14:schemeClr w14:val="tx1"/>
            </w14:solidFill>
          </w14:textFill>
        </w:rPr>
        <w:t>人具有</w:t>
      </w:r>
      <w:r>
        <w:rPr>
          <w:rFonts w:hint="eastAsia" w:ascii="仿宋_GB2312" w:eastAsia="仿宋_GB2312"/>
          <w:color w:val="000000" w:themeColor="text1"/>
          <w:sz w:val="32"/>
          <w:szCs w:val="32"/>
          <w:highlight w:val="none"/>
          <w14:textFill>
            <w14:solidFill>
              <w14:schemeClr w14:val="tx1"/>
            </w14:solidFill>
          </w14:textFill>
        </w:rPr>
        <w:t>CISP注册信息安全专业人员</w:t>
      </w:r>
      <w:r>
        <w:rPr>
          <w:rFonts w:hint="eastAsia" w:ascii="仿宋_GB2312" w:eastAsia="仿宋_GB2312"/>
          <w:color w:val="000000" w:themeColor="text1"/>
          <w:sz w:val="32"/>
          <w:szCs w:val="32"/>
          <w:highlight w:val="none"/>
          <w:lang w:val="en-US" w:eastAsia="zh-CN"/>
          <w14:textFill>
            <w14:solidFill>
              <w14:schemeClr w14:val="tx1"/>
            </w14:solidFill>
          </w14:textFill>
        </w:rPr>
        <w:t>证书</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lang w:val="en-US" w:eastAsia="zh-CN"/>
          <w14:textFill>
            <w14:solidFill>
              <w14:schemeClr w14:val="tx1"/>
            </w14:solidFill>
          </w14:textFill>
        </w:rPr>
        <w:t>至少1人具有ECSP</w:t>
      </w:r>
      <w:r>
        <w:rPr>
          <w:rFonts w:hint="eastAsia" w:ascii="仿宋_GB2312" w:eastAsia="仿宋_GB2312"/>
          <w:color w:val="000000" w:themeColor="text1"/>
          <w:sz w:val="32"/>
          <w:szCs w:val="32"/>
          <w:highlight w:val="none"/>
          <w14:textFill>
            <w14:solidFill>
              <w14:schemeClr w14:val="tx1"/>
            </w14:solidFill>
          </w14:textFill>
        </w:rPr>
        <w:t>安全专业人员</w:t>
      </w:r>
      <w:r>
        <w:rPr>
          <w:rFonts w:hint="eastAsia" w:ascii="仿宋_GB2312" w:eastAsia="仿宋_GB2312"/>
          <w:color w:val="000000" w:themeColor="text1"/>
          <w:sz w:val="32"/>
          <w:szCs w:val="32"/>
          <w:highlight w:val="none"/>
          <w:lang w:eastAsia="zh-CN"/>
          <w14:textFill>
            <w14:solidFill>
              <w14:schemeClr w14:val="tx1"/>
            </w14:solidFill>
          </w14:textFill>
        </w:rPr>
        <w:t>证书；至少</w:t>
      </w:r>
      <w:r>
        <w:rPr>
          <w:rFonts w:hint="eastAsia" w:ascii="仿宋_GB2312" w:eastAsia="仿宋_GB2312"/>
          <w:color w:val="000000" w:themeColor="text1"/>
          <w:sz w:val="32"/>
          <w:szCs w:val="32"/>
          <w:highlight w:val="none"/>
          <w:lang w:val="en-US" w:eastAsia="zh-CN"/>
          <w14:textFill>
            <w14:solidFill>
              <w14:schemeClr w14:val="tx1"/>
            </w14:solidFill>
          </w14:textFill>
        </w:rPr>
        <w:t>1人具有</w:t>
      </w:r>
      <w:r>
        <w:rPr>
          <w:rFonts w:hint="eastAsia" w:ascii="仿宋_GB2312" w:eastAsia="仿宋_GB2312"/>
          <w:color w:val="000000" w:themeColor="text1"/>
          <w:sz w:val="32"/>
          <w:szCs w:val="32"/>
          <w:highlight w:val="none"/>
          <w14:textFill>
            <w14:solidFill>
              <w14:schemeClr w14:val="tx1"/>
            </w14:solidFill>
          </w14:textFill>
        </w:rPr>
        <w:t>网络工程师（或其他同类型软考中级证书）等证书</w:t>
      </w:r>
      <w:r>
        <w:rPr>
          <w:rFonts w:hint="eastAsia" w:ascii="仿宋_GB2312" w:eastAsia="仿宋_GB2312"/>
          <w:color w:val="000000" w:themeColor="text1"/>
          <w:sz w:val="32"/>
          <w:szCs w:val="32"/>
          <w:highlight w:val="none"/>
          <w:lang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项目经理应做好统一协调工作。服务</w:t>
      </w:r>
      <w:r>
        <w:rPr>
          <w:rFonts w:ascii="仿宋_GB2312" w:eastAsia="仿宋_GB2312"/>
          <w:color w:val="000000" w:themeColor="text1"/>
          <w:sz w:val="32"/>
          <w:szCs w:val="32"/>
          <w:highlight w:val="none"/>
          <w14:textFill>
            <w14:solidFill>
              <w14:schemeClr w14:val="tx1"/>
            </w14:solidFill>
          </w14:textFill>
        </w:rPr>
        <w:t>方应为</w:t>
      </w:r>
      <w:r>
        <w:rPr>
          <w:rFonts w:hint="eastAsia" w:ascii="仿宋_GB2312" w:eastAsia="仿宋_GB2312"/>
          <w:color w:val="000000" w:themeColor="text1"/>
          <w:sz w:val="32"/>
          <w:szCs w:val="32"/>
          <w:highlight w:val="none"/>
          <w14:textFill>
            <w14:solidFill>
              <w14:schemeClr w14:val="tx1"/>
            </w14:solidFill>
          </w14:textFill>
        </w:rPr>
        <w:t>现场保障人员</w:t>
      </w:r>
      <w:r>
        <w:rPr>
          <w:rFonts w:ascii="仿宋_GB2312" w:eastAsia="仿宋_GB2312"/>
          <w:color w:val="000000" w:themeColor="text1"/>
          <w:sz w:val="32"/>
          <w:szCs w:val="32"/>
          <w:highlight w:val="none"/>
          <w14:textFill>
            <w14:solidFill>
              <w14:schemeClr w14:val="tx1"/>
            </w14:solidFill>
          </w14:textFill>
        </w:rPr>
        <w:t>配置笔记本电脑</w:t>
      </w:r>
      <w:r>
        <w:rPr>
          <w:rFonts w:hint="eastAsia" w:ascii="仿宋_GB2312" w:eastAsia="仿宋_GB2312"/>
          <w:color w:val="000000" w:themeColor="text1"/>
          <w:sz w:val="32"/>
          <w:szCs w:val="32"/>
          <w:highlight w:val="none"/>
          <w14:textFill>
            <w14:solidFill>
              <w14:schemeClr w14:val="tx1"/>
            </w14:solidFill>
          </w14:textFill>
        </w:rPr>
        <w:t>（</w:t>
      </w:r>
      <w:r>
        <w:rPr>
          <w:rFonts w:ascii="仿宋_GB2312" w:eastAsia="仿宋_GB2312"/>
          <w:color w:val="000000" w:themeColor="text1"/>
          <w:sz w:val="32"/>
          <w:szCs w:val="32"/>
          <w:highlight w:val="none"/>
          <w14:textFill>
            <w14:solidFill>
              <w14:schemeClr w14:val="tx1"/>
            </w14:solidFill>
          </w14:textFill>
        </w:rPr>
        <w:t>并根据用户方要求安装统一的监控软件），用于</w:t>
      </w:r>
      <w:r>
        <w:rPr>
          <w:rFonts w:hint="eastAsia" w:ascii="仿宋_GB2312" w:eastAsia="仿宋_GB2312"/>
          <w:color w:val="000000" w:themeColor="text1"/>
          <w:sz w:val="32"/>
          <w:szCs w:val="32"/>
          <w:highlight w:val="none"/>
          <w14:textFill>
            <w14:solidFill>
              <w14:schemeClr w14:val="tx1"/>
            </w14:solidFill>
          </w14:textFill>
        </w:rPr>
        <w:t>保障服务，</w:t>
      </w:r>
      <w:r>
        <w:rPr>
          <w:rFonts w:ascii="仿宋_GB2312" w:eastAsia="仿宋_GB2312"/>
          <w:color w:val="000000" w:themeColor="text1"/>
          <w:sz w:val="32"/>
          <w:szCs w:val="32"/>
          <w:highlight w:val="none"/>
          <w14:textFill>
            <w14:solidFill>
              <w14:schemeClr w14:val="tx1"/>
            </w14:solidFill>
          </w14:textFill>
        </w:rPr>
        <w:t>服务期</w:t>
      </w:r>
      <w:r>
        <w:rPr>
          <w:rFonts w:hint="eastAsia" w:ascii="仿宋_GB2312" w:eastAsia="仿宋_GB2312"/>
          <w:color w:val="000000" w:themeColor="text1"/>
          <w:sz w:val="32"/>
          <w:szCs w:val="32"/>
          <w:highlight w:val="none"/>
          <w14:textFill>
            <w14:solidFill>
              <w14:schemeClr w14:val="tx1"/>
            </w14:solidFill>
          </w14:textFill>
        </w:rPr>
        <w:t>结束</w:t>
      </w:r>
      <w:r>
        <w:rPr>
          <w:rFonts w:ascii="仿宋_GB2312" w:eastAsia="仿宋_GB2312"/>
          <w:color w:val="000000" w:themeColor="text1"/>
          <w:sz w:val="32"/>
          <w:szCs w:val="32"/>
          <w:highlight w:val="none"/>
          <w14:textFill>
            <w14:solidFill>
              <w14:schemeClr w14:val="tx1"/>
            </w14:solidFill>
          </w14:textFill>
        </w:rPr>
        <w:t>后</w:t>
      </w:r>
      <w:r>
        <w:rPr>
          <w:rFonts w:hint="eastAsia" w:ascii="仿宋_GB2312" w:eastAsia="仿宋_GB2312"/>
          <w:color w:val="000000" w:themeColor="text1"/>
          <w:sz w:val="32"/>
          <w:szCs w:val="32"/>
          <w:highlight w:val="none"/>
          <w14:textFill>
            <w14:solidFill>
              <w14:schemeClr w14:val="tx1"/>
            </w14:solidFill>
          </w14:textFill>
        </w:rPr>
        <w:t>应</w:t>
      </w:r>
      <w:r>
        <w:rPr>
          <w:rFonts w:ascii="仿宋_GB2312" w:eastAsia="仿宋_GB2312"/>
          <w:color w:val="000000" w:themeColor="text1"/>
          <w:sz w:val="32"/>
          <w:szCs w:val="32"/>
          <w:highlight w:val="none"/>
          <w14:textFill>
            <w14:solidFill>
              <w14:schemeClr w14:val="tx1"/>
            </w14:solidFill>
          </w14:textFill>
        </w:rPr>
        <w:t>拆除</w:t>
      </w:r>
      <w:r>
        <w:rPr>
          <w:rFonts w:hint="eastAsia" w:ascii="仿宋_GB2312" w:eastAsia="仿宋_GB2312"/>
          <w:color w:val="000000" w:themeColor="text1"/>
          <w:sz w:val="32"/>
          <w:szCs w:val="32"/>
          <w:highlight w:val="none"/>
          <w14:textFill>
            <w14:solidFill>
              <w14:schemeClr w14:val="tx1"/>
            </w14:solidFill>
          </w14:textFill>
        </w:rPr>
        <w:t>笔记</w:t>
      </w:r>
      <w:r>
        <w:rPr>
          <w:rFonts w:ascii="仿宋_GB2312" w:eastAsia="仿宋_GB2312"/>
          <w:color w:val="000000" w:themeColor="text1"/>
          <w:sz w:val="32"/>
          <w:szCs w:val="32"/>
          <w:highlight w:val="none"/>
          <w14:textFill>
            <w14:solidFill>
              <w14:schemeClr w14:val="tx1"/>
            </w14:solidFill>
          </w14:textFill>
        </w:rPr>
        <w:t>本硬盘退回</w:t>
      </w:r>
      <w:r>
        <w:rPr>
          <w:rFonts w:hint="eastAsia" w:ascii="仿宋_GB2312" w:eastAsia="仿宋_GB2312"/>
          <w:color w:val="000000" w:themeColor="text1"/>
          <w:sz w:val="32"/>
          <w:szCs w:val="32"/>
          <w:highlight w:val="none"/>
          <w14:textFill>
            <w14:solidFill>
              <w14:schemeClr w14:val="tx1"/>
            </w14:solidFill>
          </w14:textFill>
        </w:rPr>
        <w:t>用户方</w:t>
      </w:r>
      <w:r>
        <w:rPr>
          <w:rFonts w:ascii="仿宋_GB2312" w:eastAsia="仿宋_GB2312"/>
          <w:color w:val="000000" w:themeColor="text1"/>
          <w:sz w:val="32"/>
          <w:szCs w:val="32"/>
          <w:highlight w:val="none"/>
          <w14:textFill>
            <w14:solidFill>
              <w14:schemeClr w14:val="tx1"/>
            </w14:solidFill>
          </w14:textFill>
        </w:rPr>
        <w:t>。</w:t>
      </w:r>
    </w:p>
    <w:p>
      <w:pPr>
        <w:tabs>
          <w:tab w:val="left" w:pos="-3060"/>
        </w:tabs>
        <w:snapToGrid w:val="0"/>
        <w:spacing w:line="560" w:lineRule="exact"/>
        <w:ind w:firstLine="640" w:firstLineChars="200"/>
        <w:outlineLvl w:val="2"/>
        <w:rPr>
          <w:rFonts w:eastAsia="黑体"/>
          <w:color w:val="000000" w:themeColor="text1"/>
          <w:sz w:val="32"/>
          <w:szCs w:val="32"/>
          <w:highlight w:val="none"/>
          <w14:textFill>
            <w14:solidFill>
              <w14:schemeClr w14:val="tx1"/>
            </w14:solidFill>
          </w14:textFill>
        </w:rPr>
      </w:pPr>
      <w:r>
        <w:rPr>
          <w:rFonts w:hint="eastAsia" w:eastAsia="黑体"/>
          <w:color w:val="000000" w:themeColor="text1"/>
          <w:sz w:val="32"/>
          <w:szCs w:val="32"/>
          <w:highlight w:val="none"/>
          <w14:textFill>
            <w14:solidFill>
              <w14:schemeClr w14:val="tx1"/>
            </w14:solidFill>
          </w14:textFill>
        </w:rPr>
        <w:t>5.</w:t>
      </w:r>
      <w:r>
        <w:rPr>
          <w:rFonts w:eastAsia="黑体"/>
          <w:color w:val="000000" w:themeColor="text1"/>
          <w:sz w:val="32"/>
          <w:szCs w:val="32"/>
          <w:highlight w:val="none"/>
          <w14:textFill>
            <w14:solidFill>
              <w14:schemeClr w14:val="tx1"/>
            </w14:solidFill>
          </w14:textFill>
        </w:rPr>
        <w:t>网络和数据安全责任及处罚</w:t>
      </w:r>
    </w:p>
    <w:p>
      <w:pPr>
        <w:pStyle w:val="56"/>
        <w:spacing w:after="0" w:line="560" w:lineRule="exact"/>
        <w:ind w:firstLine="643" w:firstLineChars="200"/>
        <w:jc w:val="left"/>
        <w:outlineLvl w:val="3"/>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val="0"/>
          <w:color w:val="000000" w:themeColor="text1"/>
          <w:sz w:val="32"/>
          <w:szCs w:val="32"/>
          <w:highlight w:val="none"/>
          <w14:textFill>
            <w14:solidFill>
              <w14:schemeClr w14:val="tx1"/>
            </w14:solidFill>
          </w14:textFill>
        </w:rPr>
        <w:t>5.1网络和数据安全责任</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（1）服务方应严格遵守网络安全和保密相关法律、法规和规章制度，履行网络安全和保密义务，自愿接受网络安全和保密审查。</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（2）服务方须与采购人签订涉及网络、数据安全相关的服务保密协议，项目组成员须签署安全服务承诺书。</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（3）服务方应制定并落实网络和数据安全管理制度，根据国家有关标准的要求，落实必要的管理和技术措施，能够防止数据的泄漏、损毁、丢失、篡改。</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（4）服务方应按照合同约定的特定目的使用相关资产和数据，不得违规记录、存储、复制提供服务过程中触及的数据，不得将项目涉及的材料（代码）提供给第三方、发布到互联网或用于任何其他目的。</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（5）服务方应定期对参与本项目人员开展网络和数据安全知识、职业道德、保密和法律法规等方面培训，强化警示教育，不断增强参与本项目人员的职业操守和法律观念。</w:t>
      </w:r>
    </w:p>
    <w:p>
      <w:pPr>
        <w:spacing w:line="560" w:lineRule="exact"/>
        <w:ind w:firstLine="643" w:firstLineChars="200"/>
        <w:rPr>
          <w:rFonts w:hint="eastAsia" w:ascii="仿宋_GB2312" w:eastAsia="仿宋_GB2312"/>
          <w:b/>
          <w:bCs/>
          <w:color w:val="000000" w:themeColor="text1"/>
          <w:sz w:val="32"/>
          <w:szCs w:val="32"/>
          <w:highlight w:val="none"/>
          <w14:textFill>
            <w14:solidFill>
              <w14:schemeClr w14:val="tx1"/>
            </w14:solidFill>
          </w14:textFill>
        </w:rPr>
      </w:pPr>
      <w:r>
        <w:rPr>
          <w:rFonts w:hint="eastAsia" w:ascii="仿宋_GB2312" w:eastAsia="仿宋_GB2312"/>
          <w:b/>
          <w:bCs/>
          <w:color w:val="000000" w:themeColor="text1"/>
          <w:sz w:val="32"/>
          <w:szCs w:val="32"/>
          <w:highlight w:val="none"/>
          <w14:textFill>
            <w14:solidFill>
              <w14:schemeClr w14:val="tx1"/>
            </w14:solidFill>
          </w14:textFill>
        </w:rPr>
        <w:t>5.2处罚条款</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（1）服务方因未落实网络和数据安全责任要求，或管理不到位引发网络（系统、设备）瘫痪、数据丢失泄露等，给采购方造成损失的，扣除合同总价5%作为处罚金。</w:t>
      </w:r>
    </w:p>
    <w:p>
      <w:pPr>
        <w:spacing w:line="560" w:lineRule="exact"/>
        <w:ind w:firstLine="640" w:firstLineChars="20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（2）因服务方不当运维操作行为，引发重大网络安全事件的，采购方有权单方终止合同，剩余款项将不予支付。</w:t>
      </w:r>
    </w:p>
    <w:p>
      <w:pPr>
        <w:keepNext w:val="0"/>
        <w:keepLines w:val="0"/>
        <w:pageBreakBefore w:val="0"/>
        <w:numPr>
          <w:ilvl w:val="-1"/>
          <w:numId w:val="0"/>
        </w:numPr>
        <w:kinsoku/>
        <w:wordWrap/>
        <w:overflowPunct/>
        <w:topLinePunct w:val="0"/>
        <w:bidi w:val="0"/>
        <w:snapToGrid w:val="0"/>
        <w:spacing w:before="156" w:beforeLines="50" w:after="156" w:afterLines="50" w:line="560" w:lineRule="exact"/>
        <w:ind w:left="0" w:leftChars="0" w:firstLine="0" w:firstLineChars="0"/>
        <w:textAlignment w:val="auto"/>
        <w:outlineLvl w:val="1"/>
        <w:rPr>
          <w:rFonts w:hint="eastAsia" w:ascii="黑体" w:hAnsi="黑体" w:eastAsia="黑体"/>
          <w:color w:val="000000" w:themeColor="text1"/>
          <w:sz w:val="32"/>
          <w:szCs w:val="32"/>
          <w:highlight w:val="none"/>
          <w:lang w:val="en-US" w:eastAsia="zh-CN"/>
          <w14:textFill>
            <w14:solidFill>
              <w14:schemeClr w14:val="tx1"/>
            </w14:solidFill>
          </w14:textFill>
        </w:rPr>
      </w:pPr>
      <w:r>
        <w:rPr>
          <w:rFonts w:hint="eastAsia" w:ascii="黑体" w:hAnsi="黑体" w:eastAsia="黑体"/>
          <w:color w:val="000000" w:themeColor="text1"/>
          <w:sz w:val="32"/>
          <w:szCs w:val="32"/>
          <w:highlight w:val="none"/>
          <w:lang w:val="en-US" w:eastAsia="zh-CN"/>
          <w14:textFill>
            <w14:solidFill>
              <w14:schemeClr w14:val="tx1"/>
            </w14:solidFill>
          </w14:textFill>
        </w:rPr>
        <w:t>（二）标项2：2024年计算存储维护服务</w:t>
      </w:r>
    </w:p>
    <w:p>
      <w:pPr>
        <w:keepNext w:val="0"/>
        <w:keepLines w:val="0"/>
        <w:pageBreakBefore w:val="0"/>
        <w:tabs>
          <w:tab w:val="left" w:pos="-3060"/>
        </w:tabs>
        <w:kinsoku/>
        <w:overflowPunct/>
        <w:topLinePunct w:val="0"/>
        <w:autoSpaceDE/>
        <w:autoSpaceDN/>
        <w:bidi w:val="0"/>
        <w:adjustRightInd/>
        <w:snapToGrid w:val="0"/>
        <w:spacing w:line="560" w:lineRule="exact"/>
        <w:ind w:left="0" w:leftChars="0" w:firstLine="640" w:firstLineChars="200"/>
        <w:textAlignment w:val="auto"/>
        <w:outlineLvl w:val="2"/>
        <w:rPr>
          <w:rFonts w:hint="eastAsia" w:ascii="Calibri" w:hAnsi="Calibri" w:eastAsia="黑体" w:cs="Times New Roman"/>
          <w:color w:val="000000" w:themeColor="text1"/>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1.项目背景</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根据《国家教育管理信息系统省级教育数据中心建设指南》《国家教育管理信息系统安全保障体系建设指南》《关于加强国家教育管理信息系统省级平台运维的通知》等要求 ，按照教育部统一部署，受省教育厅委托，省教育技术中心在杭州市学院路浙江教育综合大楼建成了浙江省教育数据中心，现有各类服务器200多台、虚拟机800多台、存储2套、存储备份系统1套，支撑着各类国家教育管理信息系统及省级自建系统的安全、稳定运行。</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随着省级教数据中心承载的业务不断扩大，内部设备的不断增多，日常维护工作量、维护难度呈现快速上升趋势，主要包括频繁设备或配件故障，安全运维要求更加规范，运维人员严重不足等，特别是随着部分系统迁云后，运维工作任务及难度更加提高，急需在自身基础上通过第三方进行补充。202</w:t>
      </w:r>
      <w:r>
        <w:rPr>
          <w:rFonts w:hint="eastAsia" w:ascii="仿宋_GB2312" w:eastAsia="仿宋_GB2312"/>
          <w:color w:val="000000" w:themeColor="text1"/>
          <w:sz w:val="32"/>
          <w:szCs w:val="32"/>
          <w:highlight w:val="none"/>
          <w:lang w:val="en-US" w:eastAsia="zh-CN"/>
          <w14:textFill>
            <w14:solidFill>
              <w14:schemeClr w14:val="tx1"/>
            </w14:solidFill>
          </w14:textFill>
        </w:rPr>
        <w:t>3</w:t>
      </w:r>
      <w:r>
        <w:rPr>
          <w:rFonts w:hint="eastAsia" w:ascii="仿宋_GB2312" w:eastAsia="仿宋_GB2312"/>
          <w:color w:val="000000" w:themeColor="text1"/>
          <w:sz w:val="32"/>
          <w:szCs w:val="32"/>
          <w:highlight w:val="none"/>
          <w14:textFill>
            <w14:solidFill>
              <w14:schemeClr w14:val="tx1"/>
            </w14:solidFill>
          </w14:textFill>
        </w:rPr>
        <w:t>年我中心已通过政府采购方式购买了一年维护服务，为确保服务不中断，拟在原有基础上，进一步规范相关维护服务要求，并继续采购202</w:t>
      </w:r>
      <w:r>
        <w:rPr>
          <w:rFonts w:hint="eastAsia" w:ascii="仿宋_GB2312" w:eastAsia="仿宋_GB2312"/>
          <w:color w:val="000000" w:themeColor="text1"/>
          <w:sz w:val="32"/>
          <w:szCs w:val="32"/>
          <w:highlight w:val="none"/>
          <w:lang w:val="en-US" w:eastAsia="zh-CN"/>
          <w14:textFill>
            <w14:solidFill>
              <w14:schemeClr w14:val="tx1"/>
            </w14:solidFill>
          </w14:textFill>
        </w:rPr>
        <w:t>4</w:t>
      </w:r>
      <w:r>
        <w:rPr>
          <w:rFonts w:hint="eastAsia" w:ascii="仿宋_GB2312" w:eastAsia="仿宋_GB2312"/>
          <w:color w:val="000000" w:themeColor="text1"/>
          <w:sz w:val="32"/>
          <w:szCs w:val="32"/>
          <w:highlight w:val="none"/>
          <w14:textFill>
            <w14:solidFill>
              <w14:schemeClr w14:val="tx1"/>
            </w14:solidFill>
          </w14:textFill>
        </w:rPr>
        <w:t>年的维护服务。</w:t>
      </w:r>
    </w:p>
    <w:p>
      <w:pPr>
        <w:keepNext w:val="0"/>
        <w:keepLines w:val="0"/>
        <w:pageBreakBefore w:val="0"/>
        <w:tabs>
          <w:tab w:val="left" w:pos="-3060"/>
        </w:tabs>
        <w:kinsoku/>
        <w:overflowPunct/>
        <w:topLinePunct w:val="0"/>
        <w:autoSpaceDE/>
        <w:autoSpaceDN/>
        <w:bidi w:val="0"/>
        <w:adjustRightInd/>
        <w:snapToGrid w:val="0"/>
        <w:spacing w:line="560" w:lineRule="exact"/>
        <w:ind w:left="0" w:leftChars="0" w:firstLine="640" w:firstLineChars="200"/>
        <w:textAlignment w:val="auto"/>
        <w:outlineLvl w:val="2"/>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2.服务目标</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严格按照《关于加强国家教育管理信息系统省级平台运维的通知》等要求，按照省级教育数据中心相关管理制度，通过规范化运维、标准化管理，提升省级教育数据中心的运维及管理水平。主要做好包括关键设备维保维护、服务器巡检及维修、日常监控处置、虚拟机部署、数据备份与检查、恶意代码检测、主机安全加固等，确保各类国家教育管理信息系统及省级自建系统的安全、稳定运行。</w:t>
      </w:r>
    </w:p>
    <w:p>
      <w:pPr>
        <w:keepNext w:val="0"/>
        <w:keepLines w:val="0"/>
        <w:pageBreakBefore w:val="0"/>
        <w:tabs>
          <w:tab w:val="left" w:pos="-3060"/>
        </w:tabs>
        <w:kinsoku/>
        <w:overflowPunct/>
        <w:topLinePunct w:val="0"/>
        <w:autoSpaceDE/>
        <w:autoSpaceDN/>
        <w:bidi w:val="0"/>
        <w:adjustRightInd/>
        <w:snapToGrid w:val="0"/>
        <w:spacing w:line="560" w:lineRule="exact"/>
        <w:ind w:left="0" w:leftChars="0" w:firstLine="640" w:firstLineChars="200"/>
        <w:textAlignment w:val="auto"/>
        <w:outlineLvl w:val="2"/>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3.服务内容及要求</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方正仿宋_GB2312" w:hAnsi="方正仿宋_GB2312" w:eastAsia="方正仿宋_GB2312" w:cs="方正仿宋_GB2312"/>
          <w:b/>
          <w:color w:val="000000" w:themeColor="text1"/>
          <w:kern w:val="0"/>
          <w:sz w:val="32"/>
          <w:szCs w:val="32"/>
          <w:highlight w:val="none"/>
          <w14:textFill>
            <w14:solidFill>
              <w14:schemeClr w14:val="tx1"/>
            </w14:solidFill>
          </w14:textFill>
        </w:rPr>
      </w:pPr>
      <w:r>
        <w:rPr>
          <w:rFonts w:hint="eastAsia" w:ascii="方正仿宋_GB2312" w:hAnsi="方正仿宋_GB2312" w:eastAsia="方正仿宋_GB2312" w:cs="方正仿宋_GB2312"/>
          <w:b/>
          <w:color w:val="000000" w:themeColor="text1"/>
          <w:kern w:val="0"/>
          <w:sz w:val="32"/>
          <w:szCs w:val="32"/>
          <w:highlight w:val="none"/>
          <w14:textFill>
            <w14:solidFill>
              <w14:schemeClr w14:val="tx1"/>
            </w14:solidFill>
          </w14:textFill>
        </w:rPr>
        <w:t>3.1关键软硬件维保维护</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服务方须应严格按要求做好核心设备的维保维护服务（服务期为一年）。对原厂维保的故障设备，服务方应及时协调设备原厂商予以维修，并监督维修时效和质量,如设备需要整机维修，服务方须在响应时间内提供同等性能的备机，并及时恢复运行。所有要求原厂全免维保的设备在验收时需提供设备原厂商服务承诺函并通过800等进行确认，提供服务方巡检服务报告。详细内容如下：</w:t>
      </w:r>
    </w:p>
    <w:tbl>
      <w:tblPr>
        <w:tblStyle w:val="36"/>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060"/>
        <w:gridCol w:w="1890"/>
        <w:gridCol w:w="900"/>
        <w:gridCol w:w="2639"/>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序号</w:t>
            </w:r>
          </w:p>
        </w:tc>
        <w:tc>
          <w:tcPr>
            <w:tcW w:w="1060" w:type="dxa"/>
            <w:vAlign w:val="center"/>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设备类型</w:t>
            </w:r>
          </w:p>
        </w:tc>
        <w:tc>
          <w:tcPr>
            <w:tcW w:w="1890" w:type="dxa"/>
            <w:vAlign w:val="center"/>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设备名称</w:t>
            </w:r>
          </w:p>
        </w:tc>
        <w:tc>
          <w:tcPr>
            <w:tcW w:w="900" w:type="dxa"/>
            <w:vAlign w:val="center"/>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数量</w:t>
            </w:r>
          </w:p>
        </w:tc>
        <w:tc>
          <w:tcPr>
            <w:tcW w:w="2639" w:type="dxa"/>
            <w:vAlign w:val="center"/>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维保时间</w:t>
            </w:r>
          </w:p>
        </w:tc>
        <w:tc>
          <w:tcPr>
            <w:tcW w:w="1460" w:type="dxa"/>
            <w:vAlign w:val="center"/>
          </w:tcPr>
          <w:p>
            <w:pPr>
              <w:keepNext w:val="0"/>
              <w:keepLines w:val="0"/>
              <w:pageBreakBefore w:val="0"/>
              <w:widowControl/>
              <w:kinsoku/>
              <w:overflowPunct/>
              <w:topLinePunct w:val="0"/>
              <w:bidi w:val="0"/>
              <w:spacing w:line="560" w:lineRule="exact"/>
              <w:ind w:left="0" w:leftChars="0" w:firstLine="0" w:firstLineChars="0"/>
              <w:jc w:val="left"/>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0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存储</w:t>
            </w:r>
          </w:p>
        </w:tc>
        <w:tc>
          <w:tcPr>
            <w:tcW w:w="189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IBM DS5100存储</w:t>
            </w:r>
          </w:p>
        </w:tc>
        <w:tc>
          <w:tcPr>
            <w:tcW w:w="90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1台</w:t>
            </w:r>
          </w:p>
        </w:tc>
        <w:tc>
          <w:tcPr>
            <w:tcW w:w="263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ascii="宋体" w:hAnsi="宋体" w:cs="宋体"/>
                <w:color w:val="000000" w:themeColor="text1"/>
                <w:kern w:val="0"/>
                <w:szCs w:val="21"/>
                <w:highlight w:val="none"/>
                <w14:textFill>
                  <w14:solidFill>
                    <w14:schemeClr w14:val="tx1"/>
                  </w14:solidFill>
                </w14:textFill>
              </w:rPr>
              <w:t>02</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年11月21日-202</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年11月20日</w:t>
            </w:r>
          </w:p>
        </w:tc>
        <w:tc>
          <w:tcPr>
            <w:tcW w:w="14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原厂商或</w:t>
            </w:r>
            <w:r>
              <w:rPr>
                <w:rFonts w:hint="eastAsia" w:ascii="宋体" w:hAnsi="宋体" w:cs="宋体"/>
                <w:color w:val="000000" w:themeColor="text1"/>
                <w:kern w:val="0"/>
                <w:szCs w:val="21"/>
                <w:highlight w:val="none"/>
                <w14:textFill>
                  <w14:solidFill>
                    <w14:schemeClr w14:val="tx1"/>
                  </w14:solidFill>
                </w14:textFill>
              </w:rPr>
              <w:t>第三方全免维保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1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p>
        </w:tc>
        <w:tc>
          <w:tcPr>
            <w:tcW w:w="10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主</w:t>
            </w:r>
            <w:r>
              <w:rPr>
                <w:rFonts w:hint="eastAsia" w:ascii="宋体" w:hAnsi="宋体" w:cs="宋体"/>
                <w:color w:val="000000" w:themeColor="text1"/>
                <w:kern w:val="0"/>
                <w:szCs w:val="21"/>
                <w:highlight w:val="none"/>
                <w14:textFill>
                  <w14:solidFill>
                    <w14:schemeClr w14:val="tx1"/>
                  </w14:solidFill>
                </w14:textFill>
              </w:rPr>
              <w:t>存储</w:t>
            </w:r>
          </w:p>
        </w:tc>
        <w:tc>
          <w:tcPr>
            <w:tcW w:w="189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宏杉MS7000</w:t>
            </w:r>
          </w:p>
        </w:tc>
        <w:tc>
          <w:tcPr>
            <w:tcW w:w="90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台</w:t>
            </w:r>
          </w:p>
        </w:tc>
        <w:tc>
          <w:tcPr>
            <w:tcW w:w="2639" w:type="dxa"/>
            <w:vAlign w:val="center"/>
          </w:tcPr>
          <w:p>
            <w:pPr>
              <w:keepNext w:val="0"/>
              <w:keepLines w:val="0"/>
              <w:pageBreakBefore w:val="0"/>
              <w:kinsoku/>
              <w:wordWrap/>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ascii="宋体" w:hAnsi="宋体" w:cs="宋体"/>
                <w:color w:val="000000" w:themeColor="text1"/>
                <w:kern w:val="0"/>
                <w:szCs w:val="21"/>
                <w:highlight w:val="none"/>
                <w14:textFill>
                  <w14:solidFill>
                    <w14:schemeClr w14:val="tx1"/>
                  </w14:solidFill>
                </w14:textFill>
              </w:rPr>
              <w:t>02</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年12月27日-202</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年12月26日</w:t>
            </w:r>
          </w:p>
        </w:tc>
        <w:tc>
          <w:tcPr>
            <w:tcW w:w="14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w:t>
            </w:r>
            <w:r>
              <w:rPr>
                <w:rFonts w:hint="eastAsia" w:ascii="宋体" w:hAnsi="宋体" w:cs="宋体"/>
                <w:color w:val="000000" w:themeColor="text1"/>
                <w:kern w:val="0"/>
                <w:szCs w:val="21"/>
                <w:highlight w:val="none"/>
                <w:lang w:val="en-US" w:eastAsia="zh-CN"/>
                <w14:textFill>
                  <w14:solidFill>
                    <w14:schemeClr w14:val="tx1"/>
                  </w14:solidFill>
                </w14:textFill>
              </w:rPr>
              <w:t>商</w:t>
            </w:r>
            <w:r>
              <w:rPr>
                <w:rFonts w:hint="eastAsia" w:ascii="宋体" w:hAnsi="宋体" w:cs="宋体"/>
                <w:color w:val="000000" w:themeColor="text1"/>
                <w:kern w:val="0"/>
                <w:szCs w:val="21"/>
                <w:highlight w:val="none"/>
                <w14:textFill>
                  <w14:solidFill>
                    <w14:schemeClr w14:val="tx1"/>
                  </w14:solidFill>
                </w14:textFill>
              </w:rPr>
              <w:t>全免维保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3</w:t>
            </w:r>
          </w:p>
        </w:tc>
        <w:tc>
          <w:tcPr>
            <w:tcW w:w="1060" w:type="dxa"/>
            <w:vAlign w:val="center"/>
          </w:tcPr>
          <w:p>
            <w:pPr>
              <w:keepNext w:val="0"/>
              <w:keepLines w:val="0"/>
              <w:pageBreakBefore w:val="0"/>
              <w:kinsoku/>
              <w:overflowPunct/>
              <w:topLinePunct w:val="0"/>
              <w:bidi w:val="0"/>
              <w:spacing w:line="560" w:lineRule="exact"/>
              <w:ind w:left="0" w:leftChars="0" w:firstLine="0" w:firstLineChars="0"/>
              <w:jc w:val="left"/>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备存储</w:t>
            </w:r>
          </w:p>
        </w:tc>
        <w:tc>
          <w:tcPr>
            <w:tcW w:w="1890" w:type="dxa"/>
            <w:vAlign w:val="center"/>
          </w:tcPr>
          <w:p>
            <w:pPr>
              <w:keepNext w:val="0"/>
              <w:keepLines w:val="0"/>
              <w:pageBreakBefore w:val="0"/>
              <w:kinsoku/>
              <w:overflowPunct/>
              <w:topLinePunct w:val="0"/>
              <w:bidi w:val="0"/>
              <w:spacing w:line="560" w:lineRule="exact"/>
              <w:ind w:left="0" w:leftChars="0" w:firstLine="0" w:firstLineChars="0"/>
              <w:jc w:val="left"/>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宏杉MS7000</w:t>
            </w:r>
          </w:p>
        </w:tc>
        <w:tc>
          <w:tcPr>
            <w:tcW w:w="900" w:type="dxa"/>
            <w:vAlign w:val="center"/>
          </w:tcPr>
          <w:p>
            <w:pPr>
              <w:keepNext w:val="0"/>
              <w:keepLines w:val="0"/>
              <w:pageBreakBefore w:val="0"/>
              <w:kinsoku/>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1台</w:t>
            </w:r>
          </w:p>
        </w:tc>
        <w:tc>
          <w:tcPr>
            <w:tcW w:w="2639" w:type="dxa"/>
            <w:vAlign w:val="center"/>
          </w:tcPr>
          <w:p>
            <w:pPr>
              <w:keepNext w:val="0"/>
              <w:keepLines w:val="0"/>
              <w:pageBreakBefore w:val="0"/>
              <w:kinsoku/>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202</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年</w:t>
            </w:r>
            <w:r>
              <w:rPr>
                <w:rFonts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月</w:t>
            </w:r>
            <w:r>
              <w:rPr>
                <w:rFonts w:ascii="宋体" w:hAnsi="宋体" w:cs="宋体"/>
                <w:color w:val="000000" w:themeColor="text1"/>
                <w:kern w:val="0"/>
                <w:szCs w:val="21"/>
                <w:highlight w:val="none"/>
                <w14:textFill>
                  <w14:solidFill>
                    <w14:schemeClr w14:val="tx1"/>
                  </w14:solidFill>
                </w14:textFill>
              </w:rPr>
              <w:t>21</w:t>
            </w:r>
            <w:r>
              <w:rPr>
                <w:rFonts w:hint="eastAsia" w:ascii="宋体" w:hAnsi="宋体" w:cs="宋体"/>
                <w:color w:val="000000" w:themeColor="text1"/>
                <w:kern w:val="0"/>
                <w:szCs w:val="21"/>
                <w:highlight w:val="none"/>
                <w14:textFill>
                  <w14:solidFill>
                    <w14:schemeClr w14:val="tx1"/>
                  </w14:solidFill>
                </w14:textFill>
              </w:rPr>
              <w:t>日-202</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年2月20日</w:t>
            </w:r>
          </w:p>
        </w:tc>
        <w:tc>
          <w:tcPr>
            <w:tcW w:w="1460" w:type="dxa"/>
            <w:vAlign w:val="center"/>
          </w:tcPr>
          <w:p>
            <w:pPr>
              <w:keepNext w:val="0"/>
              <w:keepLines w:val="0"/>
              <w:pageBreakBefore w:val="0"/>
              <w:kinsoku/>
              <w:overflowPunct/>
              <w:topLinePunct w:val="0"/>
              <w:bidi w:val="0"/>
              <w:spacing w:line="560" w:lineRule="exact"/>
              <w:ind w:left="0" w:leftChars="0" w:firstLine="0" w:firstLineChars="0"/>
              <w:jc w:val="left"/>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原厂</w:t>
            </w:r>
            <w:r>
              <w:rPr>
                <w:rFonts w:hint="eastAsia" w:cs="宋体" w:asciiTheme="minorEastAsia" w:hAnsiTheme="minorEastAsia" w:eastAsiaTheme="minorEastAsia"/>
                <w:color w:val="000000" w:themeColor="text1"/>
                <w:kern w:val="0"/>
                <w:szCs w:val="21"/>
                <w:highlight w:val="none"/>
                <w:lang w:val="en-US" w:eastAsia="zh-CN"/>
                <w14:textFill>
                  <w14:solidFill>
                    <w14:schemeClr w14:val="tx1"/>
                  </w14:solidFill>
                </w14:textFill>
              </w:rPr>
              <w:t>商</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全免维保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61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w:t>
            </w:r>
          </w:p>
        </w:tc>
        <w:tc>
          <w:tcPr>
            <w:tcW w:w="10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硬盘扩展柜</w:t>
            </w:r>
          </w:p>
        </w:tc>
        <w:tc>
          <w:tcPr>
            <w:tcW w:w="189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 w:val="21"/>
                <w:szCs w:val="21"/>
                <w:highlight w:val="none"/>
                <w:lang w:bidi="ar"/>
                <w14:textFill>
                  <w14:solidFill>
                    <w14:schemeClr w14:val="tx1"/>
                  </w14:solidFill>
                </w14:textFill>
              </w:rPr>
              <w:t>DSU2625硬盘扩展柜</w:t>
            </w:r>
          </w:p>
        </w:tc>
        <w:tc>
          <w:tcPr>
            <w:tcW w:w="90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1套</w:t>
            </w:r>
          </w:p>
        </w:tc>
        <w:tc>
          <w:tcPr>
            <w:tcW w:w="263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cs="宋体" w:asciiTheme="minorEastAsia" w:hAnsiTheme="minorEastAsia" w:eastAsiaTheme="minorEastAsia"/>
                <w:color w:val="000000" w:themeColor="text1"/>
                <w:kern w:val="0"/>
                <w:szCs w:val="21"/>
                <w:highlight w:val="none"/>
                <w14:textFill>
                  <w14:solidFill>
                    <w14:schemeClr w14:val="tx1"/>
                  </w14:solidFill>
                </w14:textFill>
              </w:rPr>
              <w:t>202</w:t>
            </w:r>
            <w:r>
              <w:rPr>
                <w:rFonts w:hint="eastAsia" w:cs="宋体" w:asciiTheme="minorEastAsia" w:hAnsiTheme="minorEastAsia" w:eastAsiaTheme="minorEastAsia"/>
                <w:color w:val="000000" w:themeColor="text1"/>
                <w:kern w:val="0"/>
                <w:szCs w:val="21"/>
                <w:highlight w:val="none"/>
                <w:lang w:val="en-US" w:eastAsia="zh-CN"/>
                <w14:textFill>
                  <w14:solidFill>
                    <w14:schemeClr w14:val="tx1"/>
                  </w14:solidFill>
                </w14:textFill>
              </w:rPr>
              <w:t>4</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年</w:t>
            </w:r>
            <w:r>
              <w:rPr>
                <w:rFonts w:cs="宋体" w:asciiTheme="minorEastAsia" w:hAnsiTheme="minorEastAsia" w:eastAsiaTheme="minorEastAsia"/>
                <w:color w:val="000000" w:themeColor="text1"/>
                <w:kern w:val="0"/>
                <w:szCs w:val="21"/>
                <w:highlight w:val="none"/>
                <w14:textFill>
                  <w14:solidFill>
                    <w14:schemeClr w14:val="tx1"/>
                  </w14:solidFill>
                </w14:textFill>
              </w:rPr>
              <w:t>10</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月</w:t>
            </w:r>
            <w:r>
              <w:rPr>
                <w:rFonts w:cs="宋体" w:asciiTheme="minorEastAsia" w:hAnsiTheme="minorEastAsia" w:eastAsiaTheme="minorEastAsia"/>
                <w:color w:val="000000" w:themeColor="text1"/>
                <w:kern w:val="0"/>
                <w:szCs w:val="21"/>
                <w:highlight w:val="none"/>
                <w14:textFill>
                  <w14:solidFill>
                    <w14:schemeClr w14:val="tx1"/>
                  </w14:solidFill>
                </w14:textFill>
              </w:rPr>
              <w:t>11</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日-202</w:t>
            </w:r>
            <w:r>
              <w:rPr>
                <w:rFonts w:hint="eastAsia" w:cs="宋体" w:asciiTheme="minorEastAsia" w:hAnsiTheme="minorEastAsia" w:eastAsiaTheme="minorEastAsia"/>
                <w:color w:val="000000" w:themeColor="text1"/>
                <w:kern w:val="0"/>
                <w:szCs w:val="21"/>
                <w:highlight w:val="none"/>
                <w:lang w:val="en-US" w:eastAsia="zh-CN"/>
                <w14:textFill>
                  <w14:solidFill>
                    <w14:schemeClr w14:val="tx1"/>
                  </w14:solidFill>
                </w14:textFill>
              </w:rPr>
              <w:t>5</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年</w:t>
            </w:r>
            <w:r>
              <w:rPr>
                <w:rFonts w:cs="宋体" w:asciiTheme="minorEastAsia" w:hAnsiTheme="minorEastAsia" w:eastAsiaTheme="minorEastAsia"/>
                <w:color w:val="000000" w:themeColor="text1"/>
                <w:kern w:val="0"/>
                <w:szCs w:val="21"/>
                <w:highlight w:val="none"/>
                <w14:textFill>
                  <w14:solidFill>
                    <w14:schemeClr w14:val="tx1"/>
                  </w14:solidFill>
                </w14:textFill>
              </w:rPr>
              <w:t>10</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月</w:t>
            </w:r>
            <w:r>
              <w:rPr>
                <w:rFonts w:cs="宋体" w:asciiTheme="minorEastAsia" w:hAnsiTheme="minorEastAsia" w:eastAsiaTheme="minorEastAsia"/>
                <w:color w:val="000000" w:themeColor="text1"/>
                <w:kern w:val="0"/>
                <w:szCs w:val="21"/>
                <w:highlight w:val="none"/>
                <w14:textFill>
                  <w14:solidFill>
                    <w14:schemeClr w14:val="tx1"/>
                  </w14:solidFill>
                </w14:textFill>
              </w:rPr>
              <w:t>1</w:t>
            </w:r>
            <w:r>
              <w:rPr>
                <w:rFonts w:hint="eastAsia" w:cs="宋体" w:asciiTheme="minorEastAsia" w:hAnsiTheme="minorEastAsia" w:eastAsiaTheme="minorEastAsia"/>
                <w:color w:val="000000" w:themeColor="text1"/>
                <w:kern w:val="0"/>
                <w:szCs w:val="21"/>
                <w:highlight w:val="none"/>
                <w14:textFill>
                  <w14:solidFill>
                    <w14:schemeClr w14:val="tx1"/>
                  </w14:solidFill>
                </w14:textFill>
              </w:rPr>
              <w:t>0日</w:t>
            </w:r>
          </w:p>
        </w:tc>
        <w:tc>
          <w:tcPr>
            <w:tcW w:w="14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w:t>
            </w:r>
            <w:r>
              <w:rPr>
                <w:rFonts w:hint="eastAsia" w:ascii="宋体" w:hAnsi="宋体" w:cs="宋体"/>
                <w:color w:val="000000" w:themeColor="text1"/>
                <w:kern w:val="0"/>
                <w:szCs w:val="21"/>
                <w:highlight w:val="none"/>
                <w:lang w:val="en-US" w:eastAsia="zh-CN"/>
                <w14:textFill>
                  <w14:solidFill>
                    <w14:schemeClr w14:val="tx1"/>
                  </w14:solidFill>
                </w14:textFill>
              </w:rPr>
              <w:t>商</w:t>
            </w:r>
            <w:r>
              <w:rPr>
                <w:rFonts w:hint="eastAsia" w:ascii="宋体" w:hAnsi="宋体" w:cs="宋体"/>
                <w:color w:val="000000" w:themeColor="text1"/>
                <w:kern w:val="0"/>
                <w:szCs w:val="21"/>
                <w:highlight w:val="none"/>
                <w14:textFill>
                  <w14:solidFill>
                    <w14:schemeClr w14:val="tx1"/>
                  </w14:solidFill>
                </w14:textFill>
              </w:rPr>
              <w:t>全免维保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61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5</w:t>
            </w:r>
          </w:p>
        </w:tc>
        <w:tc>
          <w:tcPr>
            <w:tcW w:w="10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虚拟化</w:t>
            </w:r>
            <w:r>
              <w:rPr>
                <w:rFonts w:ascii="宋体" w:hAnsi="宋体" w:cs="宋体"/>
                <w:color w:val="000000" w:themeColor="text1"/>
                <w:kern w:val="0"/>
                <w:szCs w:val="21"/>
                <w:highlight w:val="none"/>
                <w14:textFill>
                  <w14:solidFill>
                    <w14:schemeClr w14:val="tx1"/>
                  </w14:solidFill>
                </w14:textFill>
              </w:rPr>
              <w:t>平台</w:t>
            </w:r>
          </w:p>
        </w:tc>
        <w:tc>
          <w:tcPr>
            <w:tcW w:w="189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VM</w:t>
            </w:r>
            <w:r>
              <w:rPr>
                <w:rFonts w:ascii="宋体" w:hAnsi="宋体" w:cs="宋体"/>
                <w:color w:val="000000" w:themeColor="text1"/>
                <w:kern w:val="0"/>
                <w:szCs w:val="21"/>
                <w:highlight w:val="none"/>
                <w14:textFill>
                  <w14:solidFill>
                    <w14:schemeClr w14:val="tx1"/>
                  </w14:solidFill>
                </w14:textFill>
              </w:rPr>
              <w:t>ware</w:t>
            </w:r>
            <w:r>
              <w:rPr>
                <w:rFonts w:hint="eastAsia" w:ascii="宋体" w:hAnsi="宋体" w:cs="宋体"/>
                <w:color w:val="000000" w:themeColor="text1"/>
                <w:kern w:val="0"/>
                <w:szCs w:val="21"/>
                <w:highlight w:val="none"/>
                <w14:textFill>
                  <w14:solidFill>
                    <w14:schemeClr w14:val="tx1"/>
                  </w14:solidFill>
                </w14:textFill>
              </w:rPr>
              <w:t>虚拟化</w:t>
            </w:r>
            <w:r>
              <w:rPr>
                <w:rFonts w:ascii="宋体" w:hAnsi="宋体" w:cs="宋体"/>
                <w:color w:val="000000" w:themeColor="text1"/>
                <w:kern w:val="0"/>
                <w:szCs w:val="21"/>
                <w:highlight w:val="none"/>
                <w14:textFill>
                  <w14:solidFill>
                    <w14:schemeClr w14:val="tx1"/>
                  </w14:solidFill>
                </w14:textFill>
              </w:rPr>
              <w:t>软件</w:t>
            </w:r>
            <w:r>
              <w:rPr>
                <w:rFonts w:hint="eastAsia" w:ascii="宋体" w:hAnsi="宋体" w:cs="宋体"/>
                <w:color w:val="000000" w:themeColor="text1"/>
                <w:kern w:val="0"/>
                <w:szCs w:val="21"/>
                <w:highlight w:val="none"/>
                <w14:textFill>
                  <w14:solidFill>
                    <w14:schemeClr w14:val="tx1"/>
                  </w14:solidFill>
                </w14:textFill>
              </w:rPr>
              <w:t>（含V</w:t>
            </w:r>
            <w:r>
              <w:rPr>
                <w:rFonts w:ascii="宋体" w:hAnsi="宋体" w:cs="宋体"/>
                <w:color w:val="000000" w:themeColor="text1"/>
                <w:kern w:val="0"/>
                <w:szCs w:val="21"/>
                <w:highlight w:val="none"/>
                <w14:textFill>
                  <w14:solidFill>
                    <w14:schemeClr w14:val="tx1"/>
                  </w14:solidFill>
                </w14:textFill>
              </w:rPr>
              <w:t>M</w:t>
            </w:r>
            <w:r>
              <w:rPr>
                <w:rFonts w:hint="eastAsia" w:ascii="宋体" w:hAnsi="宋体" w:cs="宋体"/>
                <w:color w:val="000000" w:themeColor="text1"/>
                <w:kern w:val="0"/>
                <w:szCs w:val="21"/>
                <w:highlight w:val="none"/>
                <w14:textFill>
                  <w14:solidFill>
                    <w14:schemeClr w14:val="tx1"/>
                  </w14:solidFill>
                </w14:textFill>
              </w:rPr>
              <w:t xml:space="preserve">ware </w:t>
            </w:r>
            <w:r>
              <w:rPr>
                <w:rFonts w:ascii="宋体" w:hAnsi="宋体" w:cs="宋体"/>
                <w:color w:val="000000" w:themeColor="text1"/>
                <w:kern w:val="0"/>
                <w:szCs w:val="21"/>
                <w:highlight w:val="none"/>
                <w14:textFill>
                  <w14:solidFill>
                    <w14:schemeClr w14:val="tx1"/>
                  </w14:solidFill>
                </w14:textFill>
              </w:rPr>
              <w:t>vCenter</w:t>
            </w:r>
            <w:r>
              <w:rPr>
                <w:rFonts w:hint="eastAsia" w:ascii="宋体" w:hAnsi="宋体" w:cs="宋体"/>
                <w:color w:val="000000" w:themeColor="text1"/>
                <w:kern w:val="0"/>
                <w:szCs w:val="21"/>
                <w:highlight w:val="none"/>
                <w14:textFill>
                  <w14:solidFill>
                    <w14:schemeClr w14:val="tx1"/>
                  </w14:solidFill>
                </w14:textFill>
              </w:rPr>
              <w:t>）</w:t>
            </w:r>
          </w:p>
        </w:tc>
        <w:tc>
          <w:tcPr>
            <w:tcW w:w="90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1套</w:t>
            </w:r>
          </w:p>
        </w:tc>
        <w:tc>
          <w:tcPr>
            <w:tcW w:w="2639"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ascii="宋体" w:hAnsi="宋体" w:cs="宋体"/>
                <w:color w:val="000000" w:themeColor="text1"/>
                <w:kern w:val="0"/>
                <w:szCs w:val="21"/>
                <w:highlight w:val="none"/>
                <w14:textFill>
                  <w14:solidFill>
                    <w14:schemeClr w14:val="tx1"/>
                  </w14:solidFill>
                </w14:textFill>
              </w:rPr>
              <w:t>02</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年</w:t>
            </w:r>
            <w:r>
              <w:rPr>
                <w:rFonts w:ascii="宋体" w:hAnsi="宋体" w:cs="宋体"/>
                <w:color w:val="000000" w:themeColor="text1"/>
                <w:kern w:val="0"/>
                <w:szCs w:val="21"/>
                <w:highlight w:val="none"/>
                <w14:textFill>
                  <w14:solidFill>
                    <w14:schemeClr w14:val="tx1"/>
                  </w14:solidFill>
                </w14:textFill>
              </w:rPr>
              <w:t>11</w:t>
            </w:r>
            <w:r>
              <w:rPr>
                <w:rFonts w:hint="eastAsia" w:ascii="宋体" w:hAnsi="宋体" w:cs="宋体"/>
                <w:color w:val="000000" w:themeColor="text1"/>
                <w:kern w:val="0"/>
                <w:szCs w:val="21"/>
                <w:highlight w:val="none"/>
                <w14:textFill>
                  <w14:solidFill>
                    <w14:schemeClr w14:val="tx1"/>
                  </w14:solidFill>
                </w14:textFill>
              </w:rPr>
              <w:t>月2日-202</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14:textFill>
                  <w14:solidFill>
                    <w14:schemeClr w14:val="tx1"/>
                  </w14:solidFill>
                </w14:textFill>
              </w:rPr>
              <w:t>年11月1日</w:t>
            </w:r>
          </w:p>
        </w:tc>
        <w:tc>
          <w:tcPr>
            <w:tcW w:w="1460" w:type="dxa"/>
            <w:vAlign w:val="center"/>
          </w:tcPr>
          <w:p>
            <w:pPr>
              <w:keepNext w:val="0"/>
              <w:keepLines w:val="0"/>
              <w:pageBreakBefore w:val="0"/>
              <w:kinsoku/>
              <w:wordWrap w:val="0"/>
              <w:overflowPunct/>
              <w:topLinePunct w:val="0"/>
              <w:bidi w:val="0"/>
              <w:spacing w:line="560" w:lineRule="exact"/>
              <w:ind w:left="0" w:leftChars="0" w:firstLine="0" w:firstLineChars="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w:t>
            </w:r>
            <w:r>
              <w:rPr>
                <w:rFonts w:hint="eastAsia" w:ascii="宋体" w:hAnsi="宋体" w:cs="宋体"/>
                <w:color w:val="000000" w:themeColor="text1"/>
                <w:kern w:val="0"/>
                <w:szCs w:val="21"/>
                <w:highlight w:val="none"/>
                <w:lang w:val="en-US" w:eastAsia="zh-CN"/>
                <w14:textFill>
                  <w14:solidFill>
                    <w14:schemeClr w14:val="tx1"/>
                  </w14:solidFill>
                </w14:textFill>
              </w:rPr>
              <w:t>商</w:t>
            </w:r>
            <w:r>
              <w:rPr>
                <w:rFonts w:hint="eastAsia" w:ascii="宋体" w:hAnsi="宋体" w:cs="宋体"/>
                <w:color w:val="000000" w:themeColor="text1"/>
                <w:kern w:val="0"/>
                <w:szCs w:val="21"/>
                <w:highlight w:val="none"/>
                <w:lang w:eastAsia="zh-CN"/>
                <w14:textFill>
                  <w14:solidFill>
                    <w14:schemeClr w14:val="tx1"/>
                  </w14:solidFill>
                </w14:textFill>
              </w:rPr>
              <w:t>或</w:t>
            </w:r>
            <w:r>
              <w:rPr>
                <w:rFonts w:hint="eastAsia" w:ascii="宋体" w:hAnsi="宋体" w:cs="宋体"/>
                <w:color w:val="000000" w:themeColor="text1"/>
                <w:kern w:val="0"/>
                <w:szCs w:val="21"/>
                <w:highlight w:val="none"/>
                <w14:textFill>
                  <w14:solidFill>
                    <w14:schemeClr w14:val="tx1"/>
                  </w14:solidFill>
                </w14:textFill>
              </w:rPr>
              <w:t>第三方全免维保</w:t>
            </w:r>
          </w:p>
        </w:tc>
      </w:tr>
    </w:tbl>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GB"/>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）IBM DS5100（1台）</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本次采购IBM DS5100（采购编号：ZZCG2010S-GK-041）原厂或第三方一年软硬件全免维保服务（7*24小时），服务方需提供工程师季度巡检服务并出具服务报告。对于紧急问题需在2小时内响应，4小时解决问题；4小时内无法解决的，需在24小时内提供同档次设备的备机。验收时需提供设备服务承诺函。</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GB"/>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主存储</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宏衫MS7000（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台）</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本次采购</w:t>
      </w:r>
      <w:r>
        <w:rPr>
          <w:rFonts w:hint="eastAsia" w:ascii="仿宋_GB2312" w:eastAsia="仿宋_GB2312"/>
          <w:color w:val="000000" w:themeColor="text1"/>
          <w:sz w:val="32"/>
          <w:szCs w:val="32"/>
          <w:highlight w:val="none"/>
          <w:lang w:val="en-US" w:eastAsia="zh-CN"/>
          <w14:textFill>
            <w14:solidFill>
              <w14:schemeClr w14:val="tx1"/>
            </w14:solidFill>
          </w14:textFill>
        </w:rPr>
        <w:t>1</w:t>
      </w:r>
      <w:r>
        <w:rPr>
          <w:rFonts w:hint="eastAsia" w:ascii="仿宋_GB2312" w:eastAsia="仿宋_GB2312"/>
          <w:color w:val="000000" w:themeColor="text1"/>
          <w:sz w:val="32"/>
          <w:szCs w:val="32"/>
          <w:highlight w:val="none"/>
          <w14:textFill>
            <w14:solidFill>
              <w14:schemeClr w14:val="tx1"/>
            </w14:solidFill>
          </w14:textFill>
        </w:rPr>
        <w:t>台宏衫MS7000（采购编号：ZZCG2014S-GK-050、ZZCG2015S-GK-089）原厂商一年全免软硬维护服务（7*24），需提供原厂工程师季度巡检服务并出具服务报告；对于紧急问题需提供2小时响应，4小时解决问题服务，4小时内无法解决的，需在24小时内提供提供同档次设备的备机</w:t>
      </w:r>
      <w:r>
        <w:rPr>
          <w:rFonts w:hint="eastAsia" w:ascii="仿宋_GB2312" w:eastAsia="仿宋_GB2312"/>
          <w:color w:val="000000" w:themeColor="text1"/>
          <w:sz w:val="32"/>
          <w:szCs w:val="32"/>
          <w:highlight w:val="none"/>
          <w:lang w:val="en-US" w:eastAsia="zh-CN"/>
          <w14:textFill>
            <w14:solidFill>
              <w14:schemeClr w14:val="tx1"/>
            </w14:solidFill>
          </w14:textFill>
        </w:rPr>
        <w:t>。</w:t>
      </w:r>
      <w:r>
        <w:rPr>
          <w:rFonts w:hint="eastAsia" w:ascii="仿宋_GB2312" w:eastAsia="仿宋_GB2312"/>
          <w:color w:val="000000" w:themeColor="text1"/>
          <w:sz w:val="32"/>
          <w:szCs w:val="32"/>
          <w:highlight w:val="none"/>
          <w14:textFill>
            <w14:solidFill>
              <w14:schemeClr w14:val="tx1"/>
            </w14:solidFill>
          </w14:textFill>
        </w:rPr>
        <w:t>验收时需提供设备原厂商服务承诺函并通过800等进行确认。</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（3）备存储宏衫MS7000（1台）</w:t>
      </w:r>
    </w:p>
    <w:p>
      <w:pPr>
        <w:keepNext w:val="0"/>
        <w:keepLines w:val="0"/>
        <w:pageBreakBefore w:val="0"/>
        <w:widowControl w:val="0"/>
        <w:tabs>
          <w:tab w:val="left" w:pos="709"/>
        </w:tabs>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本次采购1台宏衫MS7000（采购编号：ZZCG2015S-GK-089）原厂商一年全免软硬维护服务（7*24），需提供原厂工程师季度巡检服务并出具服务报告；对于紧急问题需提供2小时响应，4小时解决问题服务，4小时内无法解决的，需在24小时内提供提供同档次设备的备机。验收时需提供设备原厂商服务承诺函并通过800等进行确认。</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）DSU2625硬盘扩展柜（1台）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本次采购1台DSU2625硬盘扩展柜</w:t>
      </w:r>
      <w:r>
        <w:rPr>
          <w:rFonts w:hint="eastAsia" w:ascii="仿宋_GB2312" w:hAnsi="仿宋_GB2312" w:eastAsia="仿宋_GB2312" w:cs="仿宋_GB2312"/>
          <w:color w:val="000000" w:themeColor="text1"/>
          <w:kern w:val="0"/>
          <w:sz w:val="32"/>
          <w:szCs w:val="32"/>
          <w:highlight w:val="none"/>
          <w:lang w:eastAsia="zh-CN"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含15块SSD硬盘）</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原厂商一年全免软硬维护服务（7*24）</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要求在现有基础上</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扩展SSD存储容量不少于9.6T</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并</w:t>
      </w:r>
      <w:r>
        <w:rPr>
          <w:rFonts w:hint="eastAsia" w:ascii="仿宋_GB2312" w:hAnsi="仿宋_GB2312" w:eastAsia="仿宋_GB2312" w:cs="仿宋_GB2312"/>
          <w:color w:val="000000" w:themeColor="text1"/>
          <w:kern w:val="0"/>
          <w:sz w:val="32"/>
          <w:szCs w:val="32"/>
          <w:highlight w:val="none"/>
          <w:lang w:bidi="ar"/>
          <w14:textFill>
            <w14:solidFill>
              <w14:schemeClr w14:val="tx1"/>
            </w14:solidFill>
          </w14:textFill>
        </w:rPr>
        <w:t>配置链接线缆，</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服务期内</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需提供原厂工程师季度巡检服务并出具服务报告；对于紧急问题需提供2小时响应，4小时解决问题服务，4小时内无法解决的，需在24小时内提供提供同档次设备的备机。验收时需提供设备原厂商服务承诺函并通过800等进行确认。</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）VMware虚拟化软件（含VMware vCenter）（1套）</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本次采购VMware虚拟化软件（含VMware vCenter，采购授权数量为1</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C，采购编号：ZZCG2014H-XJ-018）原厂商</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或第三方的</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年5*12（5天12小时)基本支持和订购服务。服务内容包括免费的版本升级和专业的售后服务专线支持（800电话），其中关键问题响应时间不超过4小时，主要问题响应时间不超过8小时。验收时需提供产品服务承诺函；服务方还应提供季度巡检服务并出具巡检服务报告。</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3.2服务器巡检及维修</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浙江省教育数据中心现有服务器等设备200多台（设备总值约1000万），大部分设备已经出保，随着设备使用年限的增长，近年来每年都会发生服务器硬盘、主板、电源故障等情况。</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根据《浙江省教育数据中心设备资产登记表》对省级教育数据中心所有服务器、存储等设备进行核对（包括设备类型、名称、序列号、服务状态、服务联系方及电话等），并提供日常巡检及故障维修服务。服务期内对发现的硬件故障，经确认尚在原厂服务期内的，服务方应及时协调并联系设备原厂商予以维修，并监督维修时效和质量；对过保设备，应及时响应并提供配件进行更换（每年不超过设</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备总值的1%，超出部分费用由用户方另行解决，维修价格应严格按照市场成本并经监理单位确认</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超出部分费用由用户方另行解决，维修价格应严格按照市场成本并经监理单位确认）。设备出现故障需提供2小时响应，4小时内解决问题，对于4小时内无法解决的，服务方需在24小时内提供不低于同档次的备机及备品备件。</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启动后30天内应根据《浙江省教育数据中心设备资产登记表》对数据中心内各类计算存储设备进行确认并贴上标签；服务期结束后需提供最新的《浙江省教育数据中心设备资产登记表》（计算存储部分）及完整的设备日常巡检服务报告及维修服务清单。</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3.2日常监控及处置</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负责《浙江省教育数据中心业务系统梳理表》的定期更新，定期更新表上包括网站（系统）名称、模块/子站名称、网站（系统）域名、应用服务器IP、用途、数据库服务器IP、主管部门、安全保护等级、等保备案编号、业务联系人、系统状态（在用/停用）、运维公司名称、运维公司联系人、运维联系电话等信息。</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服务期结束后必须提供最新的《浙江省教育数据中心业务系统梳理表》。</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应依托浙江省教育数据中心现有系统运维监控平台，每日实时监测各类主机（虚拟机）、存储设备的状态，及时处理发现的问题（如存储空间不足，数据库响应较慢等），按要求在《主机每日告警日志排查记录》纸质及电子文档上做好登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服务期结束后必须提供最新的《主机每日告警日志排查记录》。</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协助做好对浙江省教育数据中心各类主机（虚拟机）的密码管理，定期（原则上不超过6个月）做好各类主机（虚拟机）操作系统密码的更新并形成《浙江省教育数据中心主机密码更新记录表》，同时应及时将更新后的密码提供给用户方审批过的各类系统开发、运维单位。</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服务期结束后必须提供最新的《浙江省教育数据中心主机密码更新记录表》。</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每日对主机各类日志（如登录日志、访问日志、错误日志等）进行分析，包括发现问题应及时处理，对疑似攻击行为应及时启动急预案并报告用方负责人，并做好《系统应用日志检查表》电子档的登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服务期结束后应提供最新的《系统应用日志检查表》。</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3.3虚拟机部署</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服务方应严格按照浙江省教育数据中心管理制度要求，根据由用户方审核通过的《浙江省教育数据中心服务器存储申请表》, 做好各类系统主机（虚拟机）的部署，及操作系统安装、环境配置、软件安装和改动，及时为系统开发、运维单位提供相应的主机（虚拟机）及存储空间。新增主机（虚拟机）后应及时对《浙江省教育数据中心业务系统梳理表》进行更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服务期结束后应汇总提供《浙江省教育数据中心服务器存储申请表》并提供与《浙江省教育数据中心业务系统梳理表》的对比证明。</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3.4数据备份与检查</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（1）服务方应按照《浙江省教育数据中心业务系统梳理表》，为各类业务系统制订备份管理策略（原则上要求每天增量，每周全备，特殊系统可根据实际适当调整），部署和实施数据备份工作。</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（2）服务方应每天对数据备份情况进行检查确认，确保所有备份任务正常运行，对发现未正常完成备份的及时排查解决并做好登记。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（3）服务方应每天检查各类国家教育管理信息系统备份至内蒙数据中心的情况，确保备份任务正常、有效。</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会同存储备份厂商，定期开展备份数据演练和数据有效性检查等工作，每年应抽取部分重要信息系统，开展不少于1次的数据备份和恢复应急演练，并形成《数据备份平台数据备份和恢复测试报告》。</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服务期结束后应汇总提供日常检查及问题处理记录及《数据备份平台数据备份和恢复测试报告》。</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3.5恶意代码查杀</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在浙江省教育数据中心内部环境中搭建一套统一的恶意代码查杀平台（不少于100颗CPU服务授权），对部署在浙江省教育数据中心（含政务云、电信云）等各类应用提供恶意代码查杀服务。恶意代码查杀平台应支持windows、Linux等操作系统，对物理服务器、虚拟机具备相同的防护能力，兼容多种虚拟化平台；支持病毒木马查杀、Webshell检测、安全基线检测、虚拟化安全加固等。其中病毒查杀应支持不少于3种病毒查杀引擎（核心功能项，应提供功能截图及相关证明），配置支持宏病毒、勒索病毒、注册表病毒、间谍软件、僵尸远程软件等特定恶意文件查杀；WebShell规则数应不少于1500条次，内置黑白名单不少于40万条；支持对虚拟机安全缺陷、配置进行扫描评估，支持以打分形式展示不合规程度。</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负责为各类接入的主机统一安装恶意代码查杀软件，每月至少一次对省级教育数据中心的各类服务器（或虚机）进行恶意代查杀并形成《浙江省教育数据中心应用服务器恶意代码查杀记录表》，发现问题应及时解决并通知应用系统开发、维护单位查找平台原因，并疑似安全风险应及时告知应用系统开发、维护单位进行确认。</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启动后30天内完成首先服务器恶意代码查杀并形成《浙江省教育数据中心应用服务器恶意代码查杀记录表》，同时应提供恶意代码查杀平台原厂承诺函，确保软件版权及病毒库的正版化。服务期结束后应提供全年的《浙江省教育数据中心应用服务器恶意代码检测记录》。</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1"/>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3.6主机安全加固</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按照教育部科技司、省委网信办、省公安厅等网络安全职能部门提供的预警信息及各大厂商（如操作系统、数据库、中间件等）官方公布的补丁，及日常安全检查中发现的问题，及时做好对各类主机（包括WINDOWS、LINUX等）补丁的升级，按要求在《系统补丁安装登记表》纸质及电子文档上做好登记。</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服务结束后应提供全年的《浙江省教育数据中心系统补丁安装登记表》。</w:t>
      </w:r>
    </w:p>
    <w:p>
      <w:pPr>
        <w:keepNext w:val="0"/>
        <w:keepLines w:val="0"/>
        <w:pageBreakBefore w:val="0"/>
        <w:tabs>
          <w:tab w:val="left" w:pos="-3060"/>
        </w:tabs>
        <w:kinsoku/>
        <w:overflowPunct/>
        <w:topLinePunct w:val="0"/>
        <w:autoSpaceDE/>
        <w:autoSpaceDN/>
        <w:bidi w:val="0"/>
        <w:adjustRightInd/>
        <w:snapToGrid w:val="0"/>
        <w:spacing w:line="560" w:lineRule="exact"/>
        <w:ind w:left="0" w:leftChars="0" w:firstLine="640" w:firstLineChars="200"/>
        <w:textAlignment w:val="auto"/>
        <w:outlineLvl w:val="2"/>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4.服务保障要求</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3"/>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4.1服务响应及团队要求</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（1）服务方应提供统一的服务热线。</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应快速响应并及时解决浙江省教育数据中心计算存储环境发生的各类问题。发现问题需应首先提供电话支持，并提供2小时现场响应，4小时内解决问题，对于4小时内无法解决的，服务方需在8小时内提供不低于同档次的备机或备品备件。</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（3）服务方应为本项目建立不少于8人的技术服务团队，团队项目经理要求具有工信部认证的高级项目经理资质工程师担任，项目经理应做好统一协调工作。服务团队成员要求具有1名及以上CISP</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CISSP</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或</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ECSP</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安全认证工程师，1名及以上OCP数据库认证工程师，1名及以上VCP虚拟化认证工程师、1名及以上LINUX认证工程师（投标时应提供技术服务团队人员名单、所在单位的社保证明及相关资质证明，原件备查）。</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提供1名工程师常驻用户现场提供日常运维服务，驻场人员要求具备2年以上相关工作经验，无刑事或行政处罚记录，熟悉Linux、Vmware,具备RHCE认证或VCP证书（投标时应提供驻场服务人员名单、所在单位的社保证明及相关资质证明，原件备查），驻场服务人员经用户方确认后原则上不允许变动，因人员离职等特殊情况确需要变动的，接替人员应具备同等要求，每变动1次增加不少于2个月的服务交接期。</w:t>
      </w:r>
    </w:p>
    <w:p>
      <w:pPr>
        <w:pStyle w:val="56"/>
        <w:keepNext w:val="0"/>
        <w:keepLines w:val="0"/>
        <w:pageBreakBefore w:val="0"/>
        <w:kinsoku/>
        <w:overflowPunct/>
        <w:topLinePunct w:val="0"/>
        <w:bidi w:val="0"/>
        <w:spacing w:after="0" w:line="560" w:lineRule="exact"/>
        <w:ind w:left="0" w:leftChars="0" w:firstLine="643" w:firstLineChars="200"/>
        <w:textAlignment w:val="auto"/>
        <w:outlineLvl w:val="3"/>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4.2驻场人员管理及惩罚</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驻场人员服务期一年。中标方所派驻的技术人员须经用户方认可，对于达不到用户驻场工作要求的人员，用户方有权提出疑义并予以退回，并要求中标方重新选派人员（每更换一次人员需增加不少于2个月服务期）。累计更换3次选派人员仍未能满足用户要求，则用户方有权解除合同，并由中标方承担因此带来的损失。</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（2）驻场服务人员必须严格服从省教育技术中心的统一安排。</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驻场服务人员应遵守浙江省教育技术中心的作息时间，按要求提供驻场服务。驻场人员若有迟到早退或无故缺岗等违纪现象，发现一次扣减服务费500元，若上述情况超过5次，甲方有权解除合同并要求乙方赔偿相应损失。</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驻场服务人员应严格遵守浙江省教育技术中心的各类规章制度和保密制度，签订网络安全保密承诺书并严格执行，若发现泄露用户方内部资料或数据的，将按照有关法律法规处理并由服务方赔偿用户方损失。</w:t>
      </w:r>
    </w:p>
    <w:p>
      <w:pPr>
        <w:keepNext w:val="0"/>
        <w:keepLines w:val="0"/>
        <w:pageBreakBefore w:val="0"/>
        <w:tabs>
          <w:tab w:val="left" w:pos="709"/>
        </w:tabs>
        <w:kinsoku/>
        <w:overflowPunct/>
        <w:topLinePunct w:val="0"/>
        <w:autoSpaceDE w:val="0"/>
        <w:autoSpaceDN w:val="0"/>
        <w:bidi w:val="0"/>
        <w:adjustRightInd w:val="0"/>
        <w:spacing w:line="560" w:lineRule="exact"/>
        <w:ind w:left="0" w:leftChars="0" w:firstLine="640" w:firstLineChars="200"/>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（5）服务方项目经理或技术总监需每季度不少于1次以上到用户方现场检查维护服务工作。</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2"/>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5.网络和数据安全责任及处罚</w:t>
      </w:r>
    </w:p>
    <w:p>
      <w:pPr>
        <w:pStyle w:val="56"/>
        <w:keepNext w:val="0"/>
        <w:keepLines w:val="0"/>
        <w:pageBreakBefore w:val="0"/>
        <w:kinsoku/>
        <w:wordWrap/>
        <w:overflowPunct/>
        <w:topLinePunct w:val="0"/>
        <w:bidi w:val="0"/>
        <w:adjustRightInd/>
        <w:spacing w:after="0" w:line="560" w:lineRule="exact"/>
        <w:ind w:firstLine="640"/>
        <w:jc w:val="left"/>
        <w:textAlignment w:val="auto"/>
        <w:outlineLvl w:val="3"/>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5.1网络和数据安全责任</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（1）服务方应严格遵守网络安全和保密相关法律、法规和规章制度，履行网络安全和保密义务，自愿接受网络安全和保密审查。</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（2）服务方须与采购人签订涉及网络、数据安全相关的服务保密协议，项目组成员须签署安全服务承诺书。</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（3）服务方应制定并落实网络和数据安全管理制度，根据国家有关标准的要求，落实必要的管理和技术措施，能够防止数据的泄漏、损毁、丢失、篡改。</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（4）服务方应按照合同约定的特定目的使用相关资产和数据，不得违规记录、存储、复制提供服务过程中触及的数据，不得将项目涉及的材料（代码）提供给第三方、发布到互联网或用于任何其他目的。</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（5）服务方应定期对参与本项目人员开展网络和数据安全知识、职业道德、保密和法律法规等方面培训，强化警示教育，不断增强参与本项目人员的职业操守和法律观念。</w:t>
      </w:r>
    </w:p>
    <w:p>
      <w:pPr>
        <w:pStyle w:val="56"/>
        <w:keepNext w:val="0"/>
        <w:keepLines w:val="0"/>
        <w:pageBreakBefore w:val="0"/>
        <w:kinsoku/>
        <w:wordWrap/>
        <w:overflowPunct/>
        <w:topLinePunct w:val="0"/>
        <w:bidi w:val="0"/>
        <w:adjustRightInd/>
        <w:spacing w:after="0" w:line="560" w:lineRule="exact"/>
        <w:ind w:firstLine="640"/>
        <w:jc w:val="left"/>
        <w:textAlignment w:val="auto"/>
        <w:outlineLvl w:val="3"/>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5.2处罚条款</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（1）服务方因未落实网络和数据安全责任要求，或管理不到位引发网络（系统、设备）瘫痪、数据丢失泄露等，给采购方造成损失的，扣除合同总价5%作为处罚金。</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（2）因服务方不当运维操作行为，引发重大网络安全事件的，采购方有权单方终止合同，剩余款项将不予支付。</w:t>
      </w:r>
    </w:p>
    <w:p>
      <w:pPr>
        <w:keepNext w:val="0"/>
        <w:keepLines w:val="0"/>
        <w:pageBreakBefore w:val="0"/>
        <w:numPr>
          <w:ilvl w:val="0"/>
          <w:numId w:val="3"/>
        </w:numPr>
        <w:kinsoku/>
        <w:wordWrap/>
        <w:overflowPunct/>
        <w:topLinePunct w:val="0"/>
        <w:bidi w:val="0"/>
        <w:snapToGrid/>
        <w:spacing w:line="560" w:lineRule="exact"/>
        <w:ind w:left="0" w:leftChars="0" w:firstLine="640" w:firstLineChars="200"/>
        <w:textAlignment w:val="auto"/>
        <w:rPr>
          <w:rFonts w:hint="eastAsia" w:eastAsia="黑体"/>
          <w:color w:val="000000" w:themeColor="text1"/>
          <w:sz w:val="32"/>
          <w:szCs w:val="32"/>
          <w:highlight w:val="none"/>
          <w:lang w:val="en-US" w:eastAsia="zh-CN"/>
          <w14:textFill>
            <w14:solidFill>
              <w14:schemeClr w14:val="tx1"/>
            </w14:solidFill>
          </w14:textFill>
        </w:rPr>
      </w:pPr>
      <w:r>
        <w:rPr>
          <w:rFonts w:hint="eastAsia" w:eastAsia="黑体"/>
          <w:color w:val="000000" w:themeColor="text1"/>
          <w:sz w:val="32"/>
          <w:szCs w:val="32"/>
          <w:highlight w:val="none"/>
          <w:lang w:val="en-US" w:eastAsia="zh-CN"/>
          <w14:textFill>
            <w14:solidFill>
              <w14:schemeClr w14:val="tx1"/>
            </w14:solidFill>
          </w14:textFill>
        </w:rPr>
        <w:t>标项3：2024年网络及安全设备维保维护及网络运维服务</w:t>
      </w:r>
    </w:p>
    <w:p>
      <w:pPr>
        <w:tabs>
          <w:tab w:val="left" w:pos="-3060"/>
        </w:tabs>
        <w:autoSpaceDE/>
        <w:autoSpaceDN/>
        <w:adjustRightInd/>
        <w:spacing w:line="560" w:lineRule="exact"/>
        <w:ind w:firstLine="640" w:firstLineChars="200"/>
        <w:outlineLvl w:val="0"/>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1.项目背景</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根据《浙江省教育信息化“十二五”发展规划》、《国家教育管理信息系统省级教育数据中心建设指南》《国家教育管理信息系统安全保障体系建设指南》等要求 ，按照教育部、省委省政府的统一部署，受省教育厅委托，省教育技术中心分别建成了省、市、县、校高速互联的浙江省教育计算机网，建成浙江省电子政务外网高校接入网，实现16所省部属高校通过省级节点接入省电子政务外网，建成浙江省教育数据中心，现有各类网络设备20多台，网络安全设备20多台，无线AP共60多个，支撑着各类各类国家教育管理信息系统及省级自建系统的安全、稳定运行及办公网络的正常运行。</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随着省级教数据中心承载的业务不断扩大，内部设备的不断增多，日常维护工作量、维护难度呈现快速上升趋势，主要包括频繁设备或配件故障，安全运维要求更加规范，运维人员严重不足等，急需在自身基础上通过第三方进行补充。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年我中心已通过政府采购方式购买了一年维护服务，为确保服务不中断，拟在原有基础上，进一步规范相关维护服务要求，并继续采购202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年的维护服务。</w:t>
      </w:r>
    </w:p>
    <w:p>
      <w:pPr>
        <w:keepNext w:val="0"/>
        <w:keepLines w:val="0"/>
        <w:pageBreakBefore w:val="0"/>
        <w:tabs>
          <w:tab w:val="left" w:pos="-3060"/>
        </w:tabs>
        <w:kinsoku/>
        <w:wordWrap/>
        <w:overflowPunct/>
        <w:topLinePunct w:val="0"/>
        <w:autoSpaceDE/>
        <w:autoSpaceDN/>
        <w:bidi w:val="0"/>
        <w:adjustRightInd/>
        <w:snapToGrid w:val="0"/>
        <w:spacing w:line="580" w:lineRule="exact"/>
        <w:ind w:firstLine="640" w:firstLineChars="200"/>
        <w:textAlignment w:val="auto"/>
        <w:outlineLvl w:val="0"/>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2.服务目标</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严格按照《浙江省教育计算中心关于进一步加强浙江省教育计算机网建设的通知》《关于加强国家教育管理信息系统省级平台运维的通知》等要求，按照省级教育数据中心相关管理制度，通过规范化运维、标准化管理，提升浙江省教育计算机网骨干网、浙江省电子政务外网高校接入网、省级教育数据中心网络与安全设备的运维及管理水平。主要做好包括关键设备维保维护、设备巡检及维修、网络监控及处置、网络接入管理、策略及配置管理、第三方漏洞挖掘、网络管理软件升级等，确保浙江省教育计算机网、浙江省电子政务外网高校接入网、省级教育数据中心各类网络及安全设备的安全、稳定运行。</w:t>
      </w:r>
    </w:p>
    <w:p>
      <w:pPr>
        <w:keepNext w:val="0"/>
        <w:keepLines w:val="0"/>
        <w:pageBreakBefore w:val="0"/>
        <w:tabs>
          <w:tab w:val="left" w:pos="-3060"/>
        </w:tabs>
        <w:kinsoku/>
        <w:wordWrap/>
        <w:overflowPunct/>
        <w:topLinePunct w:val="0"/>
        <w:autoSpaceDE/>
        <w:autoSpaceDN/>
        <w:bidi w:val="0"/>
        <w:adjustRightInd/>
        <w:snapToGrid w:val="0"/>
        <w:spacing w:line="580" w:lineRule="exact"/>
        <w:ind w:firstLine="640" w:firstLineChars="200"/>
        <w:textAlignment w:val="auto"/>
        <w:outlineLvl w:val="0"/>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3.服务内容及要求</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3.1关键设备维保维护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须应严格按要求做好核心设备（见下表）的维保维护服务（服务期为一年，服务启始日期应确保与上一年服务截止期连续）.对要求原厂维保的故障设备，服务方应及时协调设备原厂商予以维修，并监督维修时效和质量。如设备需要整机维修，服务方须在响应时间内提供同等性能的备机，并及时恢复运行。具体服务要求如下。</w:t>
      </w:r>
    </w:p>
    <w:tbl>
      <w:tblPr>
        <w:tblStyle w:val="36"/>
        <w:tblW w:w="9628" w:type="dxa"/>
        <w:jc w:val="center"/>
        <w:tblLayout w:type="fixed"/>
        <w:tblCellMar>
          <w:top w:w="0" w:type="dxa"/>
          <w:left w:w="108" w:type="dxa"/>
          <w:bottom w:w="0" w:type="dxa"/>
          <w:right w:w="108" w:type="dxa"/>
        </w:tblCellMar>
      </w:tblPr>
      <w:tblGrid>
        <w:gridCol w:w="500"/>
        <w:gridCol w:w="1622"/>
        <w:gridCol w:w="3336"/>
        <w:gridCol w:w="670"/>
        <w:gridCol w:w="2150"/>
        <w:gridCol w:w="1350"/>
      </w:tblGrid>
      <w:tr>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序号</w:t>
            </w:r>
          </w:p>
        </w:tc>
        <w:tc>
          <w:tcPr>
            <w:tcW w:w="1622"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设备类型</w:t>
            </w:r>
          </w:p>
        </w:tc>
        <w:tc>
          <w:tcPr>
            <w:tcW w:w="3336"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设备名称</w:t>
            </w:r>
          </w:p>
        </w:tc>
        <w:tc>
          <w:tcPr>
            <w:tcW w:w="670"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数量</w:t>
            </w:r>
          </w:p>
        </w:tc>
        <w:tc>
          <w:tcPr>
            <w:tcW w:w="2150"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维保时间</w:t>
            </w:r>
          </w:p>
        </w:tc>
        <w:tc>
          <w:tcPr>
            <w:tcW w:w="1350" w:type="dxa"/>
            <w:tcBorders>
              <w:top w:val="single" w:color="auto" w:sz="4" w:space="0"/>
              <w:left w:val="nil"/>
              <w:bottom w:val="single" w:color="auto" w:sz="4" w:space="0"/>
              <w:right w:val="single" w:color="auto" w:sz="4" w:space="0"/>
            </w:tcBorders>
            <w:shd w:val="clear" w:color="auto" w:fill="auto"/>
            <w:noWrap/>
            <w:vAlign w:val="bottom"/>
          </w:tcPr>
          <w:p>
            <w:pPr>
              <w:keepNext w:val="0"/>
              <w:keepLines w:val="0"/>
              <w:widowControl/>
              <w:suppressLineNumbers w:val="0"/>
              <w:spacing w:before="0" w:beforeAutospacing="0" w:after="0" w:afterAutospacing="0" w:line="320" w:lineRule="exact"/>
              <w:ind w:left="0" w:right="0"/>
              <w:jc w:val="center"/>
              <w:rPr>
                <w:rFonts w:hint="default"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维保要求</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核心交换机</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H3C 9505E核心交换机</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2</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核心交换机</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H3C LS-12510-X核心交换机</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3</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核心路由器</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H3C CR16008核心交换路由器</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万兆防火墙</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天融信</w:t>
            </w:r>
            <w:r>
              <w:rPr>
                <w:rFonts w:hint="eastAsia" w:ascii="宋体" w:hAnsi="宋体" w:cs="宋体"/>
                <w:color w:val="000000" w:themeColor="text1"/>
                <w:kern w:val="0"/>
                <w:szCs w:val="21"/>
                <w:highlight w:val="none"/>
                <w14:textFill>
                  <w14:solidFill>
                    <w14:schemeClr w14:val="tx1"/>
                  </w14:solidFill>
                </w14:textFill>
              </w:rPr>
              <w:t>万兆防火墙</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原厂或第三方维保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5</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波分复用</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波分复用光迅OSP2200</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6</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VPN设备</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深信服SANGFOR VPN-8150</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7</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数据库审计</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安恒DAS-A5000数据库安全审计</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8</w:t>
            </w:r>
          </w:p>
        </w:tc>
        <w:tc>
          <w:tcPr>
            <w:tcW w:w="1622"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WEB防火墙</w:t>
            </w:r>
          </w:p>
        </w:tc>
        <w:tc>
          <w:tcPr>
            <w:tcW w:w="3336"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安恒WAF-2000AWEB应用防火墙</w:t>
            </w:r>
          </w:p>
        </w:tc>
        <w:tc>
          <w:tcPr>
            <w:tcW w:w="670" w:type="dxa"/>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1台</w:t>
            </w:r>
          </w:p>
        </w:tc>
        <w:tc>
          <w:tcPr>
            <w:tcW w:w="21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r>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9</w:t>
            </w: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入侵防御设备</w:t>
            </w:r>
          </w:p>
        </w:tc>
        <w:tc>
          <w:tcPr>
            <w:tcW w:w="33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绿盟</w:t>
            </w:r>
            <w:r>
              <w:rPr>
                <w:rFonts w:hint="eastAsia" w:ascii="宋体" w:hAnsi="宋体" w:cs="宋体"/>
                <w:color w:val="000000" w:themeColor="text1"/>
                <w:kern w:val="0"/>
                <w:szCs w:val="21"/>
                <w:highlight w:val="none"/>
                <w14:textFill>
                  <w14:solidFill>
                    <w14:schemeClr w14:val="tx1"/>
                  </w14:solidFill>
                </w14:textFill>
              </w:rPr>
              <w:t>入侵防护设备</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default" w:ascii="宋体" w:hAnsi="宋体" w:cs="宋体"/>
                <w:color w:val="000000" w:themeColor="text1"/>
                <w:kern w:val="0"/>
                <w:szCs w:val="21"/>
                <w:highlight w:val="none"/>
                <w:lang w:val="en-GB"/>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台</w:t>
            </w:r>
          </w:p>
        </w:tc>
        <w:tc>
          <w:tcPr>
            <w:tcW w:w="21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一年</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原厂或第三方维保</w:t>
            </w:r>
          </w:p>
        </w:tc>
      </w:tr>
      <w:tr>
        <w:tblPrEx>
          <w:tblCellMar>
            <w:top w:w="0" w:type="dxa"/>
            <w:left w:w="108" w:type="dxa"/>
            <w:bottom w:w="0" w:type="dxa"/>
            <w:right w:w="108" w:type="dxa"/>
          </w:tblCellMar>
        </w:tblPrEx>
        <w:trPr>
          <w:trHeight w:val="454" w:hRule="atLeast"/>
          <w:jc w:val="center"/>
        </w:trPr>
        <w:tc>
          <w:tcPr>
            <w:tcW w:w="50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10</w:t>
            </w:r>
          </w:p>
        </w:tc>
        <w:tc>
          <w:tcPr>
            <w:tcW w:w="162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默安蜜罐</w:t>
            </w:r>
          </w:p>
        </w:tc>
        <w:tc>
          <w:tcPr>
            <w:tcW w:w="33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默安蜜罐</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1台</w:t>
            </w:r>
          </w:p>
        </w:tc>
        <w:tc>
          <w:tcPr>
            <w:tcW w:w="21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default"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一年</w:t>
            </w:r>
          </w:p>
        </w:tc>
        <w:tc>
          <w:tcPr>
            <w:tcW w:w="1350"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line="320" w:lineRule="exact"/>
              <w:ind w:left="0" w:right="0"/>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原厂维保</w:t>
            </w:r>
          </w:p>
        </w:tc>
      </w:tr>
    </w:tbl>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（1）H3C 9505E核心交换机（1台）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本次采购H3C 9505E核心交换机一年原厂全免软硬维护服务，对于紧急问题需提供2小时响应，4小时解决问题服务，对于4小时内无法解决的，需在8小时内提供备机及备品备件。服务方还应提供季度巡检服务并形成巡检服务报告，验收时需提供原厂商服务承诺函并通过800等进行确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）H3C LS-12510-X核心交换机（2台）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本次采购H3C LS-12510-X核心交换机一年原厂全免软硬维护服务，对于紧急问题需提供2小时响应，4小时解决问题服务，对于4小时内无法解决的，需在8小时内提供备机及备品备件。服务方还应提供季度巡检服务并形成巡检服务报告，验收时需提供原厂商服务承诺函并通过800等进行确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3</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）H3C CR16008核心交换路由器（2台）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本次采购H3C CR16008核心交换路由器一年原厂全免软硬维护服务，对于紧急问题需提供2小时响应，4小时解决问题服务，对于4小时内无法解决的，需在8小时内提供备机及备品备件。服务方还应提供季度巡检服务并形成巡检服务报告，验收时需提供原厂商服务承诺函并通过800等进行确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4</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天融信</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万兆防火墙设备（1台）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本次采购NGFW4000-UF(NG-81142) 一年原厂或第三方全免软硬维护服务。服务期内提供全免软硬维护服务，对于设备紧急问题需提供2小时响应，4小时解决问题服务，对于4小时内无法解决的，需在8小时内提供备机及备品备件。服务方还应提供季度巡检服务并形成巡检服务报告。 验收时需提供原厂商或第三方服务承诺函。</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）波分复用光迅OSP2200（2台）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本次采购光迅OSP2200一年原厂或第三方全免软硬维护服务，对于紧急问题需提供2小时响应，4小时解决问题服务，对于4小时内无法解决的，需在8小时内提供备机及备品备件。</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服务方还应提供季度巡检服务并形成巡检服务报告，验收时需提供原厂商或第三方服务承诺函。</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）深信服S8150 VPN-8150设备（2台）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本次采购2台深信服S8150 VPN-8150设备一年原厂全免软硬维护服务，对于紧急问题需提供2小时响应，4小时解决问题服务，对于4小时内无法解决的，需在8小时内提供备机及备品备件。</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服务方还应提供季度巡检服务并形成巡检服务报告，验收时需提供原厂商服务承诺函并通过800等进行确认。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7</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）安恒DAS-A5000数据库安全审计设备（1台）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安恒DAS-A5000数据库安全审计一年原厂全免软硬维护服务，对于紧急问题需提供2小时响应，4小时解决问题服务，对于4小时内无法解决的，需在8小时内提供备机及备品备件。设备原厂商还应该提供不少于1次/月的审计日志分析及报告服务，对发生的异常应及时向用户方进行预警。服务方还应提供季度巡检服务并形成巡检服务报告。</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验收时需提供原厂商服务承诺函并通过800等进行确认；服务期结束后应提供巡检服务报告、设备原厂商审计日志分析服务报告。</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8</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）安恒WAF-2000AWEB应用防火墙（1台）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安恒WAF-2000AWEB应用防火墙一年原厂全免软硬维护服务，对于紧急问题需提供2小时响应，4小时解决问题服务，对于4小时内无法解决的，需在8小时内提供备机及备品备件。设备原厂商还应提供及时的特征库升级及策略调优服务。</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服务方应提供季度巡检服务并形成巡检服务报告，验收时需提供原厂商服务承诺函并通过800等进行确认。</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9</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）绿盟入侵防御设备（1台）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绿盟入侵防御设备NIPS-NX5-6000A-C一年原厂或第三方全免软硬维护服务，对于紧急问题需提供2小时响应，4小时解决问题服务，对于4小时内无法解决的，需在8小时内提供备机及备品备件。服务方还应提供特征库升级及策略调优服务。</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服务方应提供季度巡检服务并形成巡检服务报告，验收时需提供原厂商或第三方服务承诺函。</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3" w:firstLineChars="200"/>
        <w:textAlignment w:val="auto"/>
        <w:outlineLvl w:val="5"/>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10</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默安蜜罐</w:t>
      </w: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（1台）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本次采购该设备原厂商一年全免软硬维护服务，对于紧急问题需提供2小时响应，4小时解决问题服务，对于4小时内无法解决的，需在8小时内提供备机及备品备件。服务方还应提供季度巡检服务并形成巡检服务报告，验收时需提供原厂商服务承诺函并通过800等进行确认。</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3.2设备巡检及报修</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浙江省教育数据中心，现有各类网络设备20多台，网络安全设备20多台。随着设备使用年限的增长，近年来每年都会发生电源、配件故障等情况。</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应根据《浙江省教育数据中心网络及安全设备资产登记表》（包括设备类型、名称、序列号、服务状态、服务联系方及电话等）对省级教育数据中心所有服务器设备进行核对，提供日常巡检及故障维修服务。服务期内对发现的硬件故障，经确认尚在原厂服务期内的，服务方应及时协调并联系设备原厂商予以维修，并监督维修时效和质量；对过保设备，应及时响应并提供配件进行更换（维修费用由服务方承担，每年不超过设备总值的1%，超出部分费用由用户方另行解决，维修价格应严格按照市场成本并经监理单位确认）。设备出现故障需提供2小时响应，4小时内解决问题，对于4小时内无法解决的，服务方需在8小时内提供不低于同档次的备机及备品备件。</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启动后30天内应根据《浙江省教育数据中心网络及安全设备资产登记表》对数据中心内各类网络及安全设备进行确认并贴上标签；服务期结束后需配合提供最新的《浙江省教育数据中心网络及安全设备资产登记表》及完整的设备日常巡检服务报告及维修服务清单。</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3.3监控及异常处置</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（1）服务方负责运维浙江省教育数据中心内部网络、浙江省教育计算机网骨干网和浙江省政务外网高校接入网相关网络设备及线路，依托现有网络管理平台监控（H3C imc）每日实时监控网络设备运行状态，及时解决有关网络问题并做好《网络日常巡查记录表》书面及电子版的登记。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服务期结束后应提供最新的《网络日常巡查记录表》。</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应每日做好省级教育数据中心网络出口带宽、浙江省教育计算机网骨干网、浙江省政务外网高校接入网及各类重要信息系统网络带宽使用情况的监控，对监控中发现的网络带宽异常行为及时登记《网络日常巡查记录表》并进行排查。</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服务期结束后应提供最新的《网络日常巡查记录表》。</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应负责确认各类信息系统对外开放服务情况，每日做好对各类信息系统对外服务状态的监控，对预警信息进行分析和登记，及时排查原因并解决网络问题，及时做好《对外服务可用性异常检查登记表》的确认和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服务期结束后应提供最新的《对外服务可用性异常检查登记表》。</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负责对省级教育数据中心防火墙、WAF、IPS、防毒墙等的配置和管理，正确运用防火墙、加密技术、防病毒等技术，确保网络运行环境安全，每周做好对各类安全设备状态（包括CPU使用率、内存使用率、端口状态、运行日志等）的检查并做好《运维服务设备周检查表》电子档记录。</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服务期结束后应提供最新的《运维服务设备周检查表》。</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应每日对各类网络及安全设备的系统日志、报警日志等进行分析，发现问题应及时处理，对疑似攻击行为应及时启动急预案并报告用方负责人，并定期做好《网络及安全设备日志检查表》电子档的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服务期结束后应提供最新的《网络及安全设备日志检查表》。</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3.4网络接入管理</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（1）服务方应根据用户方审核通过的《</w:t>
      </w:r>
      <w:bookmarkStart w:id="45" w:name="_Toc5180050"/>
      <w:r>
        <w:rPr>
          <w:rFonts w:hint="eastAsia" w:ascii="仿宋_GB2312" w:hAnsi="仿宋_GB2312" w:eastAsia="仿宋_GB2312" w:cs="仿宋_GB2312"/>
          <w:color w:val="000000" w:themeColor="text1"/>
          <w:sz w:val="32"/>
          <w:szCs w:val="32"/>
          <w:highlight w:val="none"/>
          <w14:textFill>
            <w14:solidFill>
              <w14:schemeClr w14:val="tx1"/>
            </w14:solidFill>
          </w14:textFill>
        </w:rPr>
        <w:t>浙江省教育数据中心开发、运维服务VPN及堡垒机申请表</w:t>
      </w:r>
      <w:bookmarkEnd w:id="45"/>
      <w:r>
        <w:rPr>
          <w:rFonts w:hint="eastAsia" w:ascii="仿宋_GB2312" w:hAnsi="仿宋_GB2312" w:eastAsia="仿宋_GB2312" w:cs="仿宋_GB2312"/>
          <w:color w:val="000000" w:themeColor="text1"/>
          <w:sz w:val="32"/>
          <w:szCs w:val="32"/>
          <w:highlight w:val="none"/>
          <w14:textFill>
            <w14:solidFill>
              <w14:schemeClr w14:val="tx1"/>
            </w14:solidFill>
          </w14:textFill>
        </w:rPr>
        <w:t>》，为各类系统开发、运维服务人员开通VPN及堡垒机帐号并做好审批表留存；及时按《申请表》明确的截止时间内禁用帐号；做好在《浙江省教育数据中心VPN、堡垒机及临时无线帐号开通登记表》的登记。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服务期结束后应汇总并移交的</w:t>
      </w:r>
      <w:r>
        <w:rPr>
          <w:rFonts w:hint="eastAsia" w:ascii="仿宋_GB2312" w:hAnsi="仿宋_GB2312" w:eastAsia="仿宋_GB2312" w:cs="仿宋_GB2312"/>
          <w:color w:val="000000" w:themeColor="text1"/>
          <w:sz w:val="32"/>
          <w:szCs w:val="32"/>
          <w:highlight w:val="none"/>
          <w14:textFill>
            <w14:solidFill>
              <w14:schemeClr w14:val="tx1"/>
            </w14:solidFill>
          </w14:textFill>
        </w:rPr>
        <w:t>《浙江省教育数据中心开发、运维服务VPN及堡垒机申请表》，并提供最新的《浙江省教育数据中心VPN、堡垒机开通登记表》</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服务方应根据经用户方审核的《临时无线帐号开通联系单》为各类临时用户开通无线网络账号；及时根据《临时无线帐号开通联系单》明确的截止时间内禁用帐号；做好在《浙江省教育数据中心VPN、堡垒机及临时无线帐号开通登记表》的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服务期结束后应汇总并移交的</w:t>
      </w:r>
      <w:r>
        <w:rPr>
          <w:rFonts w:hint="eastAsia" w:ascii="仿宋_GB2312" w:hAnsi="仿宋_GB2312" w:eastAsia="仿宋_GB2312" w:cs="仿宋_GB2312"/>
          <w:color w:val="000000" w:themeColor="text1"/>
          <w:sz w:val="32"/>
          <w:szCs w:val="32"/>
          <w:highlight w:val="none"/>
          <w14:textFill>
            <w14:solidFill>
              <w14:schemeClr w14:val="tx1"/>
            </w14:solidFill>
          </w14:textFill>
        </w:rPr>
        <w:t>《临时无线帐号开通联系单》，并提供最新的《浙江省教育数据临时无线帐号开通登记表》</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（3）服务方负责浙江省教育数据中心各类终端的接入管理，为各类终端统一安装防病毒软件（部分敏感用途终端还应安装数据防泄漏软件），并对用户终端使用状态做好监控及登记。</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服务期结束后提供各类《终端</w:t>
      </w:r>
      <w:r>
        <w:rPr>
          <w:rFonts w:hint="eastAsia" w:ascii="仿宋_GB2312" w:hAnsi="仿宋_GB2312" w:eastAsia="仿宋_GB2312" w:cs="仿宋_GB2312"/>
          <w:color w:val="000000" w:themeColor="text1"/>
          <w:sz w:val="32"/>
          <w:szCs w:val="32"/>
          <w:highlight w:val="none"/>
          <w14:textFill>
            <w14:solidFill>
              <w14:schemeClr w14:val="tx1"/>
            </w14:solidFill>
          </w14:textFill>
        </w:rPr>
        <w:t>防病毒软件安装及防泄漏软件安装登记表》及《终端数据异常监测登记表》。</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3.5安全域及地址管理</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1）服务方应配合用户方做好网络安全域（WEB接入区、应用接入区、数据库区、测试服务区、办公区等）的规划，并严格按照安全域的规划做好各类信息系统安全域的划分及IP地址的分配（测试服务器不允许与正式服务器在一个网段，不同应用系统间应做好网段间的隔离）；负责做好浙江省教育计算机网、浙江省政务外网高校接入网的IP地址分配和管理。</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服务期结束后提供《浙江省教育数据中心安全域划分及IP地址分配表》（包括数据中心内部、浙江省教育计算机网、电子政务外网高校接入网）。</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2）服务方应配合用户方做好浙江省教育计算机网、浙江省教育数据中心IPv6网络的规划，负责实施好浙江省教育计算机网、省级教育数据中心IPv6网络的调整，配合用户方实现IPv6的规模化部署；对链路上不支持IPv6的设备或节点应提出整改建议。</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服务期结束后应提供《浙江省教育计算机网IPv6连接拓扑》《浙江省教育数据中心IPv6连接拓扑》。 </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（3）服务方应配合用户方做好浙江省教育计算机网骨干网的升级工作，落实省级与各设区市网络的联调工作。</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（4）服务方应每月做好浙江省教育数据中心各类网络及安全设备配置备份，在策略调整后也需及时做好配置备份。</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服务期结束后应提供《浙江省教育数据中心网络及安全设备配置备份登记表》及各类网络及安全设备的定期的备份文件。</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（5）服务方应提供突发网络事件的应急处置服务。</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每次服务结束后应3天内应提供《网络应急处置服务报告》，服务期结束后应提供汇总的《网络应急处置报告》。</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3.6第三方漏洞挖掘</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服务方需通过在权威第三方漏洞平台（如补天漏洞响应平台、漏洞盒子等）建立奖励帐户，采用“漏洞悬赏计划”等方式吸引白帽子对省级教育数据中心各类重要信息系统查找安全漏洞并及时反馈，平台必须具备完备的漏洞审核奖励机制，对确认的漏洞信息给予一定奖励（具体奖励标准由平台执行），全年应完成不少于30个信息系统的漏洞挖掘服务（具体系统由用户方根据实际需要指定），总奖励高危漏洞数不低于60个。</w:t>
      </w:r>
    </w:p>
    <w:p>
      <w:pPr>
        <w:keepNext w:val="0"/>
        <w:keepLines w:val="0"/>
        <w:pageBreakBefore w:val="0"/>
        <w:tabs>
          <w:tab w:val="left" w:pos="-3060"/>
        </w:tabs>
        <w:kinsoku/>
        <w:wordWrap/>
        <w:overflowPunct/>
        <w:topLinePunct w:val="0"/>
        <w:autoSpaceDE/>
        <w:autoSpaceDN/>
        <w:bidi w:val="0"/>
        <w:adjustRightInd/>
        <w:snapToGrid w:val="0"/>
        <w:spacing w:line="580" w:lineRule="exact"/>
        <w:ind w:firstLine="640" w:firstLineChars="200"/>
        <w:textAlignment w:val="auto"/>
        <w:outlineLvl w:val="0"/>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4.服务保障要求</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4.1其他服务要求</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（1）服务方应提供统一的服务热线。</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应快速响应并及时解决浙江省教育数据中心计算存储环境发生的各类问题。发现问题需应首先提供电话支持，并提供2小时现场响应，4小时内解决问题，对于4小时内无法解决的，服务方需在8小时内提供不低于同档次的备机或备品备件。</w:t>
      </w:r>
    </w:p>
    <w:p>
      <w:pPr>
        <w:tabs>
          <w:tab w:val="left" w:pos="709"/>
        </w:tabs>
        <w:autoSpaceDE w:val="0"/>
        <w:autoSpaceDN w:val="0"/>
        <w:adjustRightInd w:val="0"/>
        <w:spacing w:line="440" w:lineRule="exact"/>
        <w:ind w:firstLine="64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（3）服务方应为本项目建立不少于8人的技术服务团队，团队项目经理要求具有工信部认证的高级项目经理资质工程师担任，项目经理应做好统一协调工作。服务团队成员要求具有</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名及以上CISP</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、CISSP或</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ECSP</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安全认证工程师，</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名及以上HCIE或CCIE网络认证工程师，1名及以上OCP数据库认证工程师，1名及以上VCP虚拟化认证工程师、1名及以上LINUX认证工程师（投标时应提供技术服务团队人员名单、所在单位的社保证明及相关资质证明，原件备查）。</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提供1名工程师常驻用户现场提供日常运维服务，驻场人员要求具备2年以上相关工作经验（具体要求见下表），无刑事或行政处罚记录（投标时应提供驻场服务人员名单、所在单位的社保证明及相关资质证明，原件备查），驻场服务人员经用户方确认后原则上不允许变动，因人员离职等特殊情况确需要变动的，接替人员应具备同等要求，每变动1次增加不少于2个月的服务交接期。</w:t>
      </w:r>
    </w:p>
    <w:tbl>
      <w:tblPr>
        <w:tblStyle w:val="36"/>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50"/>
        <w:gridCol w:w="8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842" w:type="pct"/>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0" w:firstLineChars="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r>
              <w:rPr>
                <w:rFonts w:hint="eastAsia" w:ascii="宋体" w:hAnsi="宋体"/>
                <w:color w:val="000000" w:themeColor="text1"/>
                <w:sz w:val="24"/>
                <w:szCs w:val="24"/>
                <w:highlight w:val="none"/>
                <w:shd w:val="clear" w:color="auto" w:fill="FFFFFF"/>
                <w14:textFill>
                  <w14:solidFill>
                    <w14:schemeClr w14:val="tx1"/>
                  </w14:solidFill>
                </w14:textFill>
              </w:rPr>
              <w:t>人员基本条件</w:t>
            </w: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具有专业网络认证，必须具备CCNP或H3CTE（含）以上同等认证资质（持有证书一年以上，原件备查）；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精通对省级教育数据中心现有H3C S95（H3C 9508）、S95E（H3C 9505E）、S12E（H3C S12510)等系列交换机及H3C CR16系列（H3C CR 16008)路由器等网络设备的配置及维护；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精通对省级教育数据中心现有H3C IMC网管系统(包含EAD、UAM等模块)，具有200节点以上的管理经验；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精通H3C负载均衡板卡、防火墙板卡的维护；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熟悉天融信、绿盟、安</w:t>
            </w:r>
            <w:r>
              <w:rPr>
                <w:rFonts w:hint="default" w:ascii="宋体" w:hAnsi="宋体" w:cs="宋体"/>
                <w:color w:val="000000" w:themeColor="text1"/>
                <w:kern w:val="0"/>
                <w:sz w:val="24"/>
                <w:szCs w:val="24"/>
                <w:highlight w:val="none"/>
                <w14:textFill>
                  <w14:solidFill>
                    <w14:schemeClr w14:val="tx1"/>
                  </w14:solidFill>
                </w14:textFill>
              </w:rPr>
              <w:t>恒</w:t>
            </w:r>
            <w:r>
              <w:rPr>
                <w:rFonts w:hint="eastAsia" w:ascii="宋体" w:hAnsi="宋体" w:cs="宋体"/>
                <w:color w:val="000000" w:themeColor="text1"/>
                <w:kern w:val="0"/>
                <w:sz w:val="24"/>
                <w:szCs w:val="24"/>
                <w:highlight w:val="none"/>
                <w14:textFill>
                  <w14:solidFill>
                    <w14:schemeClr w14:val="tx1"/>
                  </w14:solidFill>
                </w14:textFill>
              </w:rPr>
              <w:t>等网络安全设备的维护；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熟悉深信服等负载均衡设备的维护；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熟悉大型数据中心的运维，对变更流程、事件流程有深刻的理解；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具备大学本科（含）以上学历；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pacing w:before="0" w:beforeAutospacing="0" w:after="0" w:afterAutospacing="0" w:line="560" w:lineRule="exact"/>
              <w:ind w:left="0" w:right="0" w:firstLine="480" w:firstLineChars="200"/>
              <w:jc w:val="left"/>
              <w:textAlignment w:val="auto"/>
              <w:rPr>
                <w:rFonts w:hint="default" w:ascii="宋体" w:hAnsi="宋体"/>
                <w:color w:val="000000" w:themeColor="text1"/>
                <w:sz w:val="24"/>
                <w:szCs w:val="24"/>
                <w:highlight w:val="none"/>
                <w:shd w:val="clear" w:color="auto" w:fill="FFFFFF"/>
                <w14:textFill>
                  <w14:solidFill>
                    <w14:schemeClr w14:val="tx1"/>
                  </w14:solidFill>
                </w14:textFill>
              </w:rPr>
            </w:pPr>
          </w:p>
        </w:tc>
        <w:tc>
          <w:tcPr>
            <w:tcW w:w="4158"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560" w:lineRule="exact"/>
              <w:ind w:left="0" w:right="0" w:firstLine="480" w:firstLineChars="200"/>
              <w:textAlignment w:val="auto"/>
              <w:rPr>
                <w:rFonts w:hint="default"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必须遵守用户单位的内部规章与制度。</w:t>
            </w:r>
          </w:p>
        </w:tc>
      </w:tr>
    </w:tbl>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4.2人员管理及惩罚要求</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驻场人员服务期一年。中标方所派驻的技术人员须经用户方认可，对于达不到用户驻场工作要求的人员，用户方有权提出疑义并予以退回，并要求中标方重新选派人员（每更换一次人员需增加不少于2个月服务期）。累计更换3次选派人员仍未能满足用户要求，则用户方有权解除合同，并由中标方承担因此带来的损失。</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（2）驻场服务人员必须严格服从省教育技术中心的统一安排。</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驻场服务人员应遵守浙江省教育技术中心的作息时间，按要求提供驻场服务。驻场人员若有迟到早退或无故缺岗等违纪现象，发现一次扣减服务费500元，若上述情况超过5次，甲方有权解除合同并要求乙方赔偿相应损失。</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（4）驻场服务人员应严格遵守浙江省教育技术中心的各类规章制度和保密制度，签订网络安全保密承诺书并严格执行，若发现泄露用户方内部资料或数据的，将按照有关法律法规处理并由服务方赔偿用方损失。</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（5）服务方项目经理或技术总监需每季度不少于1次以上到用户方现场检查维护服务工作。</w:t>
      </w:r>
    </w:p>
    <w:p>
      <w:pPr>
        <w:keepNext w:val="0"/>
        <w:keepLines w:val="0"/>
        <w:pageBreakBefore w:val="0"/>
        <w:tabs>
          <w:tab w:val="left" w:pos="-3060"/>
        </w:tabs>
        <w:kinsoku/>
        <w:wordWrap/>
        <w:overflowPunct/>
        <w:topLinePunct w:val="0"/>
        <w:autoSpaceDE/>
        <w:autoSpaceDN/>
        <w:bidi w:val="0"/>
        <w:adjustRightInd/>
        <w:snapToGrid w:val="0"/>
        <w:spacing w:line="560" w:lineRule="exact"/>
        <w:ind w:firstLine="640" w:firstLineChars="200"/>
        <w:textAlignment w:val="auto"/>
        <w:outlineLvl w:val="2"/>
        <w:rPr>
          <w:rFonts w:hint="eastAsia" w:ascii="Calibri" w:hAnsi="Calibri" w:eastAsia="黑体" w:cs="Times New Roman"/>
          <w:b w:val="0"/>
          <w:color w:val="000000" w:themeColor="text1"/>
          <w:kern w:val="2"/>
          <w:sz w:val="32"/>
          <w:szCs w:val="32"/>
          <w:highlight w:val="none"/>
          <w14:textFill>
            <w14:solidFill>
              <w14:schemeClr w14:val="tx1"/>
            </w14:solidFill>
          </w14:textFill>
        </w:rPr>
      </w:pPr>
      <w:r>
        <w:rPr>
          <w:rFonts w:hint="eastAsia" w:ascii="Calibri" w:hAnsi="Calibri" w:eastAsia="黑体" w:cs="Times New Roman"/>
          <w:b w:val="0"/>
          <w:color w:val="000000" w:themeColor="text1"/>
          <w:kern w:val="2"/>
          <w:sz w:val="32"/>
          <w:szCs w:val="32"/>
          <w:highlight w:val="none"/>
          <w14:textFill>
            <w14:solidFill>
              <w14:schemeClr w14:val="tx1"/>
            </w14:solidFill>
          </w14:textFill>
        </w:rPr>
        <w:t>5.网络和数据安全责任及处罚</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5.1网络和数据安全责任</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（1）服务方应严格遵守网络安全和保密相关法律、法规和规章制度，履行网络安全和保密义务，自愿接受网络安全和保密审查。</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（2）服务方须与采购人签订涉及网络、数据安全相关的服务保密协议，项目组成员须签署安全服务承诺书。</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（3）服务方应制定并落实网络和数据安全管理制度，根据国家有关标准的要求，落实必要的管理和技术措施，能够防止数据的泄漏、损毁、丢失、篡改。</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（4）服务方应按照合同约定的特定目的使用相关资产和数据，不得违规记录、存储、复制提供服务过程中触及的数据，不得将项目涉及的材料（代码）提供给第三方、发布到互联网或用于任何其他目的。</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（5）服务方应定期对参与本项目人员开展网络和数据安全知识、职业道德、保密和法律法规等方面培训，强化警示教育，不断增强参与本项目人员的职业操守和法律观念。</w:t>
      </w:r>
    </w:p>
    <w:p>
      <w:pPr>
        <w:pStyle w:val="56"/>
        <w:keepNext w:val="0"/>
        <w:keepLines w:val="0"/>
        <w:pageBreakBefore w:val="0"/>
        <w:kinsoku/>
        <w:wordWrap/>
        <w:overflowPunct/>
        <w:topLinePunct w:val="0"/>
        <w:bidi w:val="0"/>
        <w:spacing w:after="0" w:line="560" w:lineRule="exact"/>
        <w:ind w:firstLine="643" w:firstLineChars="200"/>
        <w:jc w:val="both"/>
        <w:textAlignment w:val="auto"/>
        <w:outlineLvl w:val="4"/>
        <w:rPr>
          <w:rFonts w:hint="eastAsia"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5.2处罚条款</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（1）服务方因未落实网络和数据安全责任要求，或管理不到位引发网络（系统、设备）瘫痪、数据丢失泄露等，给采购方造成损失的，扣除合同总价5%作为处罚金。</w:t>
      </w:r>
    </w:p>
    <w:p>
      <w:pPr>
        <w:keepNext w:val="0"/>
        <w:keepLines w:val="0"/>
        <w:pageBreakBefore w:val="0"/>
        <w:tabs>
          <w:tab w:val="left" w:pos="709"/>
        </w:tabs>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（2）因服务方不当运维操作行为，引发重大网络安全事件的，采购方有权单方终止合同，剩余款项将不予支付。</w:t>
      </w:r>
    </w:p>
    <w:p>
      <w:pPr>
        <w:tabs>
          <w:tab w:val="left" w:pos="709"/>
        </w:tabs>
        <w:autoSpaceDE w:val="0"/>
        <w:autoSpaceDN w:val="0"/>
        <w:adjustRightInd w:val="0"/>
        <w:spacing w:line="560" w:lineRule="exact"/>
        <w:ind w:firstLine="640" w:firstLineChars="200"/>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before="156" w:beforeLines="50" w:after="156" w:afterLines="50" w:line="560" w:lineRule="exact"/>
        <w:ind w:firstLine="0" w:firstLineChars="0"/>
        <w:textAlignment w:val="auto"/>
        <w:outlineLvl w:val="1"/>
        <w:rPr>
          <w:rFonts w:hint="eastAsia" w:ascii="黑体" w:hAnsi="黑体" w:eastAsia="黑体"/>
          <w:color w:val="000000" w:themeColor="text1"/>
          <w:sz w:val="30"/>
          <w:szCs w:val="30"/>
          <w:highlight w:val="none"/>
          <w:lang w:val="en-US" w:eastAsia="zh-CN"/>
          <w14:textFill>
            <w14:solidFill>
              <w14:schemeClr w14:val="tx1"/>
            </w14:solidFill>
          </w14:textFill>
        </w:rPr>
      </w:pPr>
      <w:r>
        <w:rPr>
          <w:rFonts w:hint="eastAsia" w:ascii="黑体" w:hAnsi="黑体" w:eastAsia="黑体"/>
          <w:color w:val="000000" w:themeColor="text1"/>
          <w:sz w:val="30"/>
          <w:szCs w:val="30"/>
          <w:highlight w:val="none"/>
          <w:lang w:val="en-US" w:eastAsia="zh-CN"/>
          <w14:textFill>
            <w14:solidFill>
              <w14:schemeClr w14:val="tx1"/>
            </w14:solidFill>
          </w14:textFill>
        </w:rPr>
        <w:t>三、演示要求</w:t>
      </w:r>
    </w:p>
    <w:p>
      <w:pPr>
        <w:keepNext w:val="0"/>
        <w:keepLines w:val="0"/>
        <w:pageBreakBefore w:val="0"/>
        <w:widowControl/>
        <w:tabs>
          <w:tab w:val="left" w:pos="709"/>
        </w:tabs>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eastAsia="仿宋_GB2312"/>
          <w:b/>
          <w:bCs/>
          <w:color w:val="000000" w:themeColor="text1"/>
          <w:sz w:val="32"/>
          <w:szCs w:val="32"/>
          <w:highlight w:val="none"/>
          <w14:textFill>
            <w14:solidFill>
              <w14:schemeClr w14:val="tx1"/>
            </w14:solidFill>
          </w14:textFill>
        </w:rPr>
        <w:t>演示内容</w:t>
      </w:r>
      <w:r>
        <w:rPr>
          <w:rFonts w:hint="eastAsia" w:ascii="仿宋_GB2312" w:eastAsia="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需演示类似项目日常维护服务或PPT讲解日常维护服务方案。</w:t>
      </w:r>
    </w:p>
    <w:p>
      <w:pPr>
        <w:keepNext w:val="0"/>
        <w:keepLines w:val="0"/>
        <w:pageBreakBefore w:val="0"/>
        <w:widowControl/>
        <w:tabs>
          <w:tab w:val="left" w:pos="709"/>
        </w:tabs>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时间不超过10分钟。投标人将演示过程录制成视频存于U盘，U盘需密封并加盖投标人公章，并于开标前寄送至接收人：雷老师，联系方式：0571-87880802，收件地址：浙江省杭州市西湖区学院路35号浙江教育综合大楼13楼13</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04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室。（若同时递交备份投标文件的，可和备份投标文件存放同一U盘并邮寄）。</w:t>
      </w:r>
    </w:p>
    <w:p>
      <w:pPr>
        <w:keepNext w:val="0"/>
        <w:keepLines w:val="0"/>
        <w:widowControl/>
        <w:numPr>
          <w:ilvl w:val="-1"/>
          <w:numId w:val="0"/>
        </w:numPr>
        <w:kinsoku/>
        <w:wordWrap/>
        <w:overflowPunct/>
        <w:topLinePunct w:val="0"/>
        <w:bidi w:val="0"/>
        <w:snapToGrid w:val="0"/>
        <w:spacing w:before="156" w:beforeLines="50" w:after="156" w:afterLines="50" w:line="560" w:lineRule="exact"/>
        <w:ind w:firstLine="0" w:firstLineChars="0"/>
        <w:textAlignment w:val="auto"/>
        <w:outlineLvl w:val="1"/>
        <w:rPr>
          <w:rFonts w:hint="eastAsia" w:ascii="黑体" w:hAnsi="黑体" w:eastAsia="黑体"/>
          <w:color w:val="000000" w:themeColor="text1"/>
          <w:sz w:val="30"/>
          <w:szCs w:val="30"/>
          <w:highlight w:val="none"/>
          <w:lang w:val="en-US" w:eastAsia="zh-CN"/>
          <w14:textFill>
            <w14:solidFill>
              <w14:schemeClr w14:val="tx1"/>
            </w14:solidFill>
          </w14:textFill>
        </w:rPr>
      </w:pPr>
      <w:r>
        <w:rPr>
          <w:rFonts w:hint="eastAsia" w:ascii="黑体" w:hAnsi="黑体" w:eastAsia="黑体"/>
          <w:color w:val="000000" w:themeColor="text1"/>
          <w:sz w:val="30"/>
          <w:szCs w:val="30"/>
          <w:highlight w:val="none"/>
          <w:lang w:val="en-US" w:eastAsia="zh-CN"/>
          <w14:textFill>
            <w14:solidFill>
              <w14:schemeClr w14:val="tx1"/>
            </w14:solidFill>
          </w14:textFill>
        </w:rPr>
        <w:t>四、商务要求：</w:t>
      </w:r>
    </w:p>
    <w:p>
      <w:pPr>
        <w:keepNext w:val="0"/>
        <w:keepLines w:val="0"/>
        <w:numPr>
          <w:ilvl w:val="0"/>
          <w:numId w:val="4"/>
        </w:numPr>
        <w:kinsoku/>
        <w:wordWrap/>
        <w:overflowPunct/>
        <w:topLinePunct w:val="0"/>
        <w:bidi w:val="0"/>
        <w:snapToGrid/>
        <w:spacing w:line="560" w:lineRule="exact"/>
        <w:textAlignment w:val="auto"/>
        <w:outlineLvl w:val="1"/>
        <w:rPr>
          <w:rFonts w:hint="eastAsia" w:eastAsia="黑体"/>
          <w:color w:val="000000" w:themeColor="text1"/>
          <w:sz w:val="32"/>
          <w:szCs w:val="32"/>
          <w:highlight w:val="none"/>
          <w:lang w:val="en-US" w:eastAsia="zh-CN"/>
          <w14:textFill>
            <w14:solidFill>
              <w14:schemeClr w14:val="tx1"/>
            </w14:solidFill>
          </w14:textFill>
        </w:rPr>
      </w:pPr>
      <w:r>
        <w:rPr>
          <w:rFonts w:hint="eastAsia" w:ascii="黑体" w:hAnsi="黑体" w:eastAsia="黑体"/>
          <w:color w:val="000000" w:themeColor="text1"/>
          <w:sz w:val="30"/>
          <w:szCs w:val="30"/>
          <w:highlight w:val="none"/>
          <w:lang w:val="en-US" w:eastAsia="zh-CN"/>
          <w14:textFill>
            <w14:solidFill>
              <w14:schemeClr w14:val="tx1"/>
            </w14:solidFill>
          </w14:textFill>
        </w:rPr>
        <w:t>标项1：</w:t>
      </w:r>
      <w:r>
        <w:rPr>
          <w:rFonts w:hint="eastAsia" w:eastAsia="黑体"/>
          <w:color w:val="000000" w:themeColor="text1"/>
          <w:sz w:val="32"/>
          <w:szCs w:val="32"/>
          <w:highlight w:val="none"/>
          <w:lang w:val="en-US" w:eastAsia="zh-CN"/>
          <w14:textFill>
            <w14:solidFill>
              <w14:schemeClr w14:val="tx1"/>
            </w14:solidFill>
          </w14:textFill>
        </w:rPr>
        <w:t>2024年视频会议室运维服务</w:t>
      </w:r>
    </w:p>
    <w:tbl>
      <w:tblPr>
        <w:tblStyle w:val="36"/>
        <w:tblpPr w:leftFromText="180" w:rightFromText="180" w:vertAnchor="text" w:horzAnchor="page" w:tblpX="1238" w:tblpY="441"/>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具体实施响应要求</w:t>
            </w:r>
          </w:p>
        </w:tc>
        <w:tc>
          <w:tcPr>
            <w:tcW w:w="7677"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必须具备较强的技术支持力量，提供1年7×24小时技术支持服务，对不影响用户方各类应用正常使用的问题2小时内派工程师到现场解决，对影响用户方各类应用正常使用的问题1小时内派工程师到现场解决，4小时内无法解决的，须在用户报修后8小时内提供不低于保修机器档次的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培训要求</w:t>
            </w:r>
          </w:p>
        </w:tc>
        <w:tc>
          <w:tcPr>
            <w:tcW w:w="7677"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投标方为采购方免费提供现场培训服务及非现场培训，以保证采购方维护人员可以熟练运维。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备品备件及耗材等要求</w:t>
            </w:r>
          </w:p>
        </w:tc>
        <w:tc>
          <w:tcPr>
            <w:tcW w:w="7677"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LED显示屏、高清矩阵、中控等关键设备在杭州必须要有备品备件库，以保证设备出现问题时24小时内可以及时更换（投标方必须提供相应证明）。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服务提供时间及地点</w:t>
            </w:r>
          </w:p>
        </w:tc>
        <w:tc>
          <w:tcPr>
            <w:tcW w:w="7677" w:type="dxa"/>
            <w:shd w:val="clear" w:color="auto" w:fill="auto"/>
            <w:vAlign w:val="center"/>
          </w:tcPr>
          <w:p>
            <w:pPr>
              <w:numPr>
                <w:ilvl w:val="0"/>
                <w:numId w:val="5"/>
              </w:numPr>
              <w:spacing w:line="440" w:lineRule="exact"/>
              <w:rPr>
                <w:rFonts w:hint="eastAsia"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lang w:val="en-US" w:eastAsia="zh-CN"/>
                <w14:textFill>
                  <w14:solidFill>
                    <w14:schemeClr w14:val="tx1"/>
                  </w14:solidFill>
                </w14:textFill>
              </w:rPr>
              <w:t>服务期：</w:t>
            </w:r>
            <w:r>
              <w:rPr>
                <w:rFonts w:hint="eastAsia" w:ascii="仿宋_GB2312" w:eastAsia="仿宋_GB2312"/>
                <w:b/>
                <w:bCs/>
                <w:color w:val="000000" w:themeColor="text1"/>
                <w:sz w:val="30"/>
                <w:szCs w:val="30"/>
                <w:highlight w:val="none"/>
                <w14:textFill>
                  <w14:solidFill>
                    <w14:schemeClr w14:val="tx1"/>
                  </w14:solidFill>
                </w14:textFill>
              </w:rPr>
              <w:t>202</w:t>
            </w:r>
            <w:r>
              <w:rPr>
                <w:rFonts w:hint="eastAsia" w:ascii="仿宋_GB2312" w:eastAsia="仿宋_GB2312"/>
                <w:b/>
                <w:bCs/>
                <w:color w:val="000000" w:themeColor="text1"/>
                <w:sz w:val="30"/>
                <w:szCs w:val="30"/>
                <w:highlight w:val="none"/>
                <w:lang w:val="en-US" w:eastAsia="zh-CN"/>
                <w14:textFill>
                  <w14:solidFill>
                    <w14:schemeClr w14:val="tx1"/>
                  </w14:solidFill>
                </w14:textFill>
              </w:rPr>
              <w:t>4</w:t>
            </w:r>
            <w:r>
              <w:rPr>
                <w:rFonts w:hint="eastAsia" w:ascii="仿宋_GB2312" w:eastAsia="仿宋_GB2312"/>
                <w:b/>
                <w:bCs/>
                <w:color w:val="000000" w:themeColor="text1"/>
                <w:sz w:val="30"/>
                <w:szCs w:val="30"/>
                <w:highlight w:val="none"/>
                <w14:textFill>
                  <w14:solidFill>
                    <w14:schemeClr w14:val="tx1"/>
                  </w14:solidFill>
                </w14:textFill>
              </w:rPr>
              <w:t>年12月20日起</w:t>
            </w:r>
            <w:r>
              <w:rPr>
                <w:rFonts w:hint="eastAsia" w:ascii="仿宋_GB2312" w:eastAsia="仿宋_GB2312"/>
                <w:b/>
                <w:bCs/>
                <w:color w:val="000000" w:themeColor="text1"/>
                <w:sz w:val="30"/>
                <w:szCs w:val="30"/>
                <w:highlight w:val="none"/>
                <w:lang w:val="en-US" w:eastAsia="zh-CN"/>
                <w14:textFill>
                  <w14:solidFill>
                    <w14:schemeClr w14:val="tx1"/>
                  </w14:solidFill>
                </w14:textFill>
              </w:rPr>
              <w:t>10个月</w:t>
            </w:r>
            <w:r>
              <w:rPr>
                <w:rFonts w:hint="eastAsia" w:ascii="仿宋_GB2312" w:hAnsi="宋体" w:eastAsia="仿宋_GB2312"/>
                <w:b/>
                <w:bCs/>
                <w:color w:val="000000" w:themeColor="text1"/>
                <w:sz w:val="28"/>
                <w:szCs w:val="28"/>
                <w:highlight w:val="none"/>
                <w:lang w:eastAsia="zh-CN"/>
                <w14:textFill>
                  <w14:solidFill>
                    <w14:schemeClr w14:val="tx1"/>
                  </w14:solidFill>
                </w14:textFill>
              </w:rPr>
              <w:t>（</w:t>
            </w:r>
            <w:r>
              <w:rPr>
                <w:rFonts w:hint="eastAsia" w:ascii="仿宋_GB2312" w:hAnsi="宋体" w:eastAsia="仿宋_GB2312"/>
                <w:b/>
                <w:bCs/>
                <w:color w:val="000000" w:themeColor="text1"/>
                <w:sz w:val="28"/>
                <w:szCs w:val="28"/>
                <w:highlight w:val="none"/>
                <w:lang w:val="en-US" w:eastAsia="zh-CN"/>
                <w14:textFill>
                  <w14:solidFill>
                    <w14:schemeClr w14:val="tx1"/>
                  </w14:solidFill>
                </w14:textFill>
              </w:rPr>
              <w:t>若合同签订时间晚于合同启动时间，按合同签订时间起10个月）</w:t>
            </w:r>
            <w:r>
              <w:rPr>
                <w:rFonts w:hint="eastAsia" w:ascii="仿宋_GB2312" w:eastAsia="仿宋_GB2312"/>
                <w:color w:val="000000" w:themeColor="text1"/>
                <w:sz w:val="30"/>
                <w:szCs w:val="30"/>
                <w:highlight w:val="none"/>
                <w14:textFill>
                  <w14:solidFill>
                    <w14:schemeClr w14:val="tx1"/>
                  </w14:solidFill>
                </w14:textFill>
              </w:rPr>
              <w:t>,</w:t>
            </w:r>
          </w:p>
          <w:p>
            <w:pPr>
              <w:numPr>
                <w:ilvl w:val="0"/>
                <w:numId w:val="5"/>
              </w:num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服务地点：浙江省杭州市西湖区学院路35号浙江省教育技术中心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履约保证金要求</w:t>
            </w:r>
          </w:p>
        </w:tc>
        <w:tc>
          <w:tcPr>
            <w:tcW w:w="7677" w:type="dxa"/>
            <w:shd w:val="clear" w:color="auto" w:fill="auto"/>
            <w:vAlign w:val="center"/>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中标单位在签订合同</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后7个工作日内</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需</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交纳</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合同总额的1%作为履约保证金(对于年度内发生重大事故的，经确认为服务疏忽造成的将没收</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履约</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付款条件</w:t>
            </w:r>
          </w:p>
        </w:tc>
        <w:tc>
          <w:tcPr>
            <w:tcW w:w="7677" w:type="dxa"/>
            <w:shd w:val="clear" w:color="auto" w:fill="auto"/>
            <w:vAlign w:val="center"/>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1.在合同生效以及具备实施条件后（供应商应提供监理服务方案并经采购人认可）7个工作日内，采购人支付合同金额的40%作为预付款。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2.中标方按要求启动相应服务并提供服务承诺函、相关文档后，经监理确认无误后，由省教育技术中心组织项目初验，验收通过后,在7个工作日（如遇特殊情况最长不得超过20个工作日）内支付55%合同款。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3.服务期结束后，由省教育技术中心组织项目终验，中标方需根据监理要求提供相关服务文档，终验通过后支付剩余合同款。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经验或业绩要求</w:t>
            </w:r>
          </w:p>
        </w:tc>
        <w:tc>
          <w:tcPr>
            <w:tcW w:w="7677"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202</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1</w:t>
            </w:r>
            <w:r>
              <w:rPr>
                <w:rFonts w:hint="eastAsia" w:ascii="仿宋_GB2312" w:hAnsi="宋体" w:eastAsia="仿宋_GB2312"/>
                <w:color w:val="000000" w:themeColor="text1"/>
                <w:sz w:val="28"/>
                <w:szCs w:val="28"/>
                <w:highlight w:val="none"/>
                <w14:textFill>
                  <w14:solidFill>
                    <w14:schemeClr w14:val="tx1"/>
                  </w14:solidFill>
                </w14:textFill>
              </w:rPr>
              <w:t>年1月1日以来类似项目经验。</w:t>
            </w:r>
          </w:p>
        </w:tc>
      </w:tr>
    </w:tbl>
    <w:p>
      <w:pPr>
        <w:keepNext w:val="0"/>
        <w:keepLines w:val="0"/>
        <w:widowControl w:val="0"/>
        <w:numPr>
          <w:ilvl w:val="0"/>
          <w:numId w:val="0"/>
        </w:numPr>
        <w:kinsoku/>
        <w:wordWrap/>
        <w:overflowPunct/>
        <w:topLinePunct w:val="0"/>
        <w:bidi w:val="0"/>
        <w:snapToGrid/>
        <w:spacing w:line="560" w:lineRule="exact"/>
        <w:jc w:val="both"/>
        <w:textAlignment w:val="auto"/>
        <w:outlineLvl w:val="1"/>
        <w:rPr>
          <w:rFonts w:hint="default" w:eastAsia="黑体"/>
          <w:color w:val="000000" w:themeColor="text1"/>
          <w:sz w:val="32"/>
          <w:szCs w:val="32"/>
          <w:highlight w:val="none"/>
          <w:lang w:val="en-US" w:eastAsia="zh-CN"/>
          <w14:textFill>
            <w14:solidFill>
              <w14:schemeClr w14:val="tx1"/>
            </w14:solidFill>
          </w14:textFill>
        </w:rPr>
      </w:pPr>
    </w:p>
    <w:p>
      <w:pPr>
        <w:keepNext w:val="0"/>
        <w:keepLines w:val="0"/>
        <w:numPr>
          <w:ilvl w:val="0"/>
          <w:numId w:val="4"/>
        </w:numPr>
        <w:kinsoku/>
        <w:wordWrap/>
        <w:overflowPunct/>
        <w:topLinePunct w:val="0"/>
        <w:bidi w:val="0"/>
        <w:snapToGrid/>
        <w:spacing w:line="560" w:lineRule="exact"/>
        <w:ind w:left="0" w:leftChars="0" w:firstLine="0" w:firstLineChars="0"/>
        <w:textAlignment w:val="auto"/>
        <w:outlineLvl w:val="1"/>
        <w:rPr>
          <w:rFonts w:hint="eastAsia" w:eastAsia="黑体"/>
          <w:color w:val="000000" w:themeColor="text1"/>
          <w:sz w:val="32"/>
          <w:szCs w:val="32"/>
          <w:highlight w:val="none"/>
          <w:lang w:val="en-US" w:eastAsia="zh-CN"/>
          <w14:textFill>
            <w14:solidFill>
              <w14:schemeClr w14:val="tx1"/>
            </w14:solidFill>
          </w14:textFill>
        </w:rPr>
      </w:pPr>
      <w:r>
        <w:rPr>
          <w:rFonts w:hint="eastAsia" w:ascii="黑体" w:hAnsi="黑体" w:eastAsia="黑体"/>
          <w:color w:val="000000" w:themeColor="text1"/>
          <w:sz w:val="30"/>
          <w:szCs w:val="30"/>
          <w:highlight w:val="none"/>
          <w:lang w:val="en-US" w:eastAsia="zh-CN"/>
          <w14:textFill>
            <w14:solidFill>
              <w14:schemeClr w14:val="tx1"/>
            </w14:solidFill>
          </w14:textFill>
        </w:rPr>
        <w:t>标项2：</w:t>
      </w:r>
      <w:r>
        <w:rPr>
          <w:rFonts w:hint="eastAsia" w:eastAsia="黑体"/>
          <w:color w:val="000000" w:themeColor="text1"/>
          <w:sz w:val="32"/>
          <w:szCs w:val="32"/>
          <w:highlight w:val="none"/>
          <w:lang w:val="en-US" w:eastAsia="zh-CN"/>
          <w14:textFill>
            <w14:solidFill>
              <w14:schemeClr w14:val="tx1"/>
            </w14:solidFill>
          </w14:textFill>
        </w:rPr>
        <w:t>2024年计算存储维护服务</w:t>
      </w:r>
    </w:p>
    <w:tbl>
      <w:tblPr>
        <w:tblStyle w:val="36"/>
        <w:tblpPr w:leftFromText="180" w:rightFromText="180" w:vertAnchor="text" w:horzAnchor="page" w:tblpX="1241" w:tblpY="447"/>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具体实施响应要求</w:t>
            </w:r>
          </w:p>
        </w:tc>
        <w:tc>
          <w:tcPr>
            <w:tcW w:w="7560"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投标方必须具备较强的技术支持力量， 提供1年7×24小时技术支持服务，对不影响用户方各类应用正常使用的问题2小时内派工程师到现场解决，对影响用户方各类应用正常使用的问题1小时内派工程师到现场解决，4小时内无法解决的，须在用户报修后8小时内提供不低于保修机器档次的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培训要求</w:t>
            </w:r>
          </w:p>
        </w:tc>
        <w:tc>
          <w:tcPr>
            <w:tcW w:w="7560"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投标方应为采购方免费提供现场培训服务及非现场培训，以保证采购方维护人员可以熟练运维。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备品备件及耗材等要求</w:t>
            </w:r>
          </w:p>
        </w:tc>
        <w:tc>
          <w:tcPr>
            <w:tcW w:w="7560"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关键设备在必须要有备品备件库，以保证设备出现问题时24小时内可以及时更换（投标方必须提供相应证明）。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服务提供时间及地点</w:t>
            </w:r>
          </w:p>
        </w:tc>
        <w:tc>
          <w:tcPr>
            <w:tcW w:w="7560" w:type="dxa"/>
            <w:shd w:val="clear" w:color="auto" w:fill="auto"/>
            <w:vAlign w:val="center"/>
          </w:tcPr>
          <w:p>
            <w:pPr>
              <w:spacing w:line="440" w:lineRule="exac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1.服务期：</w:t>
            </w:r>
            <w:r>
              <w:rPr>
                <w:rFonts w:hint="eastAsia" w:ascii="仿宋_GB2312" w:hAnsi="宋体" w:eastAsia="仿宋_GB2312"/>
                <w:b/>
                <w:bCs/>
                <w:color w:val="000000" w:themeColor="text1"/>
                <w:sz w:val="28"/>
                <w:szCs w:val="28"/>
                <w:highlight w:val="none"/>
                <w14:textFill>
                  <w14:solidFill>
                    <w14:schemeClr w14:val="tx1"/>
                  </w14:solidFill>
                </w14:textFill>
              </w:rPr>
              <w:t>202</w:t>
            </w:r>
            <w:r>
              <w:rPr>
                <w:rFonts w:hint="eastAsia" w:ascii="仿宋_GB2312" w:hAnsi="宋体" w:eastAsia="仿宋_GB2312"/>
                <w:b/>
                <w:bCs/>
                <w:color w:val="000000" w:themeColor="text1"/>
                <w:sz w:val="28"/>
                <w:szCs w:val="28"/>
                <w:highlight w:val="none"/>
                <w:lang w:val="en-US" w:eastAsia="zh-CN"/>
                <w14:textFill>
                  <w14:solidFill>
                    <w14:schemeClr w14:val="tx1"/>
                  </w14:solidFill>
                </w14:textFill>
              </w:rPr>
              <w:t>4</w:t>
            </w:r>
            <w:r>
              <w:rPr>
                <w:rFonts w:hint="eastAsia" w:ascii="仿宋_GB2312" w:hAnsi="宋体" w:eastAsia="仿宋_GB2312"/>
                <w:b/>
                <w:bCs/>
                <w:color w:val="000000" w:themeColor="text1"/>
                <w:sz w:val="28"/>
                <w:szCs w:val="28"/>
                <w:highlight w:val="none"/>
                <w14:textFill>
                  <w14:solidFill>
                    <w14:schemeClr w14:val="tx1"/>
                  </w14:solidFill>
                </w14:textFill>
              </w:rPr>
              <w:t>年9月起一年</w:t>
            </w:r>
            <w:r>
              <w:rPr>
                <w:rFonts w:hint="eastAsia" w:ascii="仿宋_GB2312" w:hAnsi="宋体" w:eastAsia="仿宋_GB2312"/>
                <w:b/>
                <w:bCs/>
                <w:color w:val="000000" w:themeColor="text1"/>
                <w:sz w:val="28"/>
                <w:szCs w:val="28"/>
                <w:highlight w:val="none"/>
                <w:lang w:eastAsia="zh-CN"/>
                <w14:textFill>
                  <w14:solidFill>
                    <w14:schemeClr w14:val="tx1"/>
                  </w14:solidFill>
                </w14:textFill>
              </w:rPr>
              <w:t>（</w:t>
            </w:r>
            <w:r>
              <w:rPr>
                <w:rFonts w:hint="eastAsia" w:ascii="仿宋_GB2312" w:hAnsi="宋体" w:eastAsia="仿宋_GB2312"/>
                <w:b/>
                <w:bCs/>
                <w:color w:val="000000" w:themeColor="text1"/>
                <w:sz w:val="28"/>
                <w:szCs w:val="28"/>
                <w:highlight w:val="none"/>
                <w:lang w:val="en-US" w:eastAsia="zh-CN"/>
                <w14:textFill>
                  <w14:solidFill>
                    <w14:schemeClr w14:val="tx1"/>
                  </w14:solidFill>
                </w14:textFill>
              </w:rPr>
              <w:t>若合同签订时间晚于合同启动时间，按合同签订时间起一年）</w:t>
            </w:r>
            <w:r>
              <w:rPr>
                <w:rFonts w:hint="eastAsia" w:ascii="仿宋_GB2312" w:hAnsi="宋体" w:eastAsia="仿宋_GB2312"/>
                <w:color w:val="000000" w:themeColor="text1"/>
                <w:sz w:val="28"/>
                <w:szCs w:val="28"/>
                <w:highlight w:val="none"/>
                <w14:textFill>
                  <w14:solidFill>
                    <w14:schemeClr w14:val="tx1"/>
                  </w14:solidFill>
                </w14:textFill>
              </w:rPr>
              <w:t>；</w:t>
            </w:r>
          </w:p>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2.服务地点：浙江省杭州市西湖区学院路35号浙江省教育技术中心。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履约保证金要求</w:t>
            </w:r>
          </w:p>
        </w:tc>
        <w:tc>
          <w:tcPr>
            <w:tcW w:w="7560" w:type="dxa"/>
            <w:shd w:val="clear" w:color="auto" w:fill="auto"/>
            <w:vAlign w:val="center"/>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中标单位在签订合同</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后7个工作日内</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需</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交纳</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合同总额的1%作为履约保证金(对于年度内发生重大事故的，经确认为服务疏忽造成的将没收</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履约</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付款条件</w:t>
            </w:r>
          </w:p>
        </w:tc>
        <w:tc>
          <w:tcPr>
            <w:tcW w:w="7560" w:type="dxa"/>
            <w:shd w:val="clear" w:color="auto" w:fill="auto"/>
            <w:vAlign w:val="center"/>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1.在合同生效以及具备实施条件后（供应商应提供监理服务方案并经采购人认可）7个工作日内，采购人支付合同金额的40%作为预付款。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2.中标方按要求启动相应服务并提供服务承诺函、相关文档后，经监理确认无误后，由省教育技术中心组织项目初验，验收通过后,在7个工作日（如遇特殊情况最长不得超过20个工作日）内支付55%合同款。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3.服务期结束后，由省教育技术中心组织项目终验，中标方需根据监理要求提供相关服务文档，终验通过后支付剩余合同款。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经验或业绩要求</w:t>
            </w:r>
          </w:p>
        </w:tc>
        <w:tc>
          <w:tcPr>
            <w:tcW w:w="7560" w:type="dxa"/>
            <w:shd w:val="clear" w:color="auto" w:fill="auto"/>
            <w:vAlign w:val="center"/>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eastAsia="仿宋_GB2312" w:hAnsiTheme="minorEastAsia"/>
                <w:color w:val="000000" w:themeColor="text1"/>
                <w:sz w:val="28"/>
                <w:szCs w:val="28"/>
                <w:highlight w:val="none"/>
                <w14:textFill>
                  <w14:solidFill>
                    <w14:schemeClr w14:val="tx1"/>
                  </w14:solidFill>
                </w14:textFill>
              </w:rPr>
              <w:t>202</w:t>
            </w:r>
            <w:r>
              <w:rPr>
                <w:rFonts w:hint="eastAsia" w:ascii="仿宋_GB2312" w:eastAsia="仿宋_GB2312" w:hAnsiTheme="minorEastAsia"/>
                <w:color w:val="000000" w:themeColor="text1"/>
                <w:sz w:val="28"/>
                <w:szCs w:val="28"/>
                <w:highlight w:val="none"/>
                <w:lang w:val="en-US" w:eastAsia="zh-CN"/>
                <w14:textFill>
                  <w14:solidFill>
                    <w14:schemeClr w14:val="tx1"/>
                  </w14:solidFill>
                </w14:textFill>
              </w:rPr>
              <w:t>1</w:t>
            </w:r>
            <w:r>
              <w:rPr>
                <w:rFonts w:hint="eastAsia" w:ascii="仿宋_GB2312" w:eastAsia="仿宋_GB2312" w:hAnsiTheme="minorEastAsia"/>
                <w:color w:val="000000" w:themeColor="text1"/>
                <w:sz w:val="28"/>
                <w:szCs w:val="28"/>
                <w:highlight w:val="none"/>
                <w14:textFill>
                  <w14:solidFill>
                    <w14:schemeClr w14:val="tx1"/>
                  </w14:solidFill>
                </w14:textFill>
              </w:rPr>
              <w:t>年1月1日以来，具有</w:t>
            </w:r>
            <w:r>
              <w:rPr>
                <w:rFonts w:hint="eastAsia" w:ascii="仿宋_GB2312" w:hAnsi="宋体" w:eastAsia="仿宋_GB2312"/>
                <w:color w:val="000000" w:themeColor="text1"/>
                <w:sz w:val="28"/>
                <w:szCs w:val="28"/>
                <w:highlight w:val="none"/>
                <w14:textFill>
                  <w14:solidFill>
                    <w14:schemeClr w14:val="tx1"/>
                  </w14:solidFill>
                </w14:textFill>
              </w:rPr>
              <w:t>类似服务项目案例。</w:t>
            </w:r>
          </w:p>
        </w:tc>
      </w:tr>
    </w:tbl>
    <w:p>
      <w:pPr>
        <w:keepNext w:val="0"/>
        <w:keepLines w:val="0"/>
        <w:widowControl w:val="0"/>
        <w:numPr>
          <w:ilvl w:val="0"/>
          <w:numId w:val="0"/>
        </w:numPr>
        <w:kinsoku/>
        <w:wordWrap/>
        <w:overflowPunct/>
        <w:topLinePunct w:val="0"/>
        <w:bidi w:val="0"/>
        <w:snapToGrid/>
        <w:spacing w:line="560" w:lineRule="exact"/>
        <w:jc w:val="both"/>
        <w:textAlignment w:val="auto"/>
        <w:outlineLvl w:val="1"/>
        <w:rPr>
          <w:rFonts w:hint="default" w:eastAsia="黑体"/>
          <w:color w:val="000000" w:themeColor="text1"/>
          <w:sz w:val="32"/>
          <w:szCs w:val="32"/>
          <w:highlight w:val="none"/>
          <w:lang w:val="en-US" w:eastAsia="zh-CN"/>
          <w14:textFill>
            <w14:solidFill>
              <w14:schemeClr w14:val="tx1"/>
            </w14:solidFill>
          </w14:textFill>
        </w:rPr>
      </w:pPr>
    </w:p>
    <w:p>
      <w:pPr>
        <w:keepNext w:val="0"/>
        <w:keepLines w:val="0"/>
        <w:numPr>
          <w:ilvl w:val="0"/>
          <w:numId w:val="4"/>
        </w:numPr>
        <w:kinsoku/>
        <w:wordWrap/>
        <w:overflowPunct/>
        <w:topLinePunct w:val="0"/>
        <w:bidi w:val="0"/>
        <w:snapToGrid/>
        <w:spacing w:line="560" w:lineRule="exact"/>
        <w:ind w:left="0" w:leftChars="0" w:firstLine="0" w:firstLineChars="0"/>
        <w:textAlignment w:val="auto"/>
        <w:outlineLvl w:val="1"/>
        <w:rPr>
          <w:rFonts w:hint="default" w:ascii="黑体" w:hAnsi="黑体" w:eastAsia="黑体"/>
          <w:color w:val="000000" w:themeColor="text1"/>
          <w:sz w:val="30"/>
          <w:szCs w:val="30"/>
          <w:highlight w:val="none"/>
          <w:lang w:val="en-US" w:eastAsia="zh-CN"/>
          <w14:textFill>
            <w14:solidFill>
              <w14:schemeClr w14:val="tx1"/>
            </w14:solidFill>
          </w14:textFill>
        </w:rPr>
      </w:pPr>
      <w:r>
        <w:rPr>
          <w:rFonts w:hint="eastAsia" w:ascii="黑体" w:hAnsi="黑体" w:eastAsia="黑体"/>
          <w:color w:val="000000" w:themeColor="text1"/>
          <w:sz w:val="30"/>
          <w:szCs w:val="30"/>
          <w:highlight w:val="none"/>
          <w:lang w:val="en-US" w:eastAsia="zh-CN"/>
          <w14:textFill>
            <w14:solidFill>
              <w14:schemeClr w14:val="tx1"/>
            </w14:solidFill>
          </w14:textFill>
        </w:rPr>
        <w:t>标项3：2024年网络及安全设备维保维护及网络运维服务</w:t>
      </w:r>
    </w:p>
    <w:tbl>
      <w:tblPr>
        <w:tblStyle w:val="36"/>
        <w:tblpPr w:leftFromText="180" w:rightFromText="180" w:vertAnchor="text" w:horzAnchor="page" w:tblpX="1245" w:tblpY="456"/>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具体实施响应要求</w:t>
            </w:r>
          </w:p>
        </w:tc>
        <w:tc>
          <w:tcPr>
            <w:tcW w:w="7560" w:type="dxa"/>
            <w:shd w:val="clear" w:color="auto" w:fill="auto"/>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投标方必须具备较强的技术支持力量，</w:t>
            </w:r>
            <w:r>
              <w:rPr>
                <w:rFonts w:ascii="仿宋_GB2312" w:hAnsi="宋体" w:eastAsia="仿宋_GB2312"/>
                <w:color w:val="000000" w:themeColor="text1"/>
                <w:sz w:val="28"/>
                <w:szCs w:val="28"/>
                <w:highlight w:val="none"/>
                <w14:textFill>
                  <w14:solidFill>
                    <w14:schemeClr w14:val="tx1"/>
                  </w14:solidFill>
                </w14:textFill>
              </w:rPr>
              <w:t xml:space="preserve"> 提供1年7×24小时技术支持服务，对不影响用户方各类应用正常使用的问题2小时内派工程师到现场解决，对影响用户方各类应用正常使用的问题1小时内派工程师到现场解决，4小时内无法解决的，须在用户报修后8小时内提供不低于保修机器档次的备机</w:t>
            </w:r>
            <w:r>
              <w:rPr>
                <w:rFonts w:hint="eastAsia" w:ascii="仿宋_GB2312" w:hAnsi="宋体" w:eastAsia="仿宋_GB2312"/>
                <w:color w:val="000000" w:themeColor="text1"/>
                <w:sz w:val="28"/>
                <w:szCs w:val="28"/>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培训要求</w:t>
            </w:r>
          </w:p>
        </w:tc>
        <w:tc>
          <w:tcPr>
            <w:tcW w:w="7560" w:type="dxa"/>
            <w:shd w:val="clear" w:color="auto" w:fill="auto"/>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投标方为采购方免费提供现场培训服务及非现场培训，以保证采购方维护人员可以熟练运维。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备品备件及耗材等要求</w:t>
            </w:r>
          </w:p>
        </w:tc>
        <w:tc>
          <w:tcPr>
            <w:tcW w:w="7560" w:type="dxa"/>
            <w:shd w:val="clear" w:color="auto" w:fill="auto"/>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关键设备必须要有备品备件库，以保证设备出现问题时</w:t>
            </w:r>
            <w:r>
              <w:rPr>
                <w:rFonts w:ascii="仿宋_GB2312" w:hAnsi="宋体" w:eastAsia="仿宋_GB2312"/>
                <w:color w:val="000000" w:themeColor="text1"/>
                <w:sz w:val="28"/>
                <w:szCs w:val="28"/>
                <w:highlight w:val="none"/>
                <w14:textFill>
                  <w14:solidFill>
                    <w14:schemeClr w14:val="tx1"/>
                  </w14:solidFill>
                </w14:textFill>
              </w:rPr>
              <w:t>24小时内可以及时更换（投标方必须提供相应证明）。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服务提供时间及地点</w:t>
            </w:r>
          </w:p>
        </w:tc>
        <w:tc>
          <w:tcPr>
            <w:tcW w:w="7560" w:type="dxa"/>
            <w:shd w:val="clear" w:color="auto" w:fill="auto"/>
          </w:tcPr>
          <w:p>
            <w:pPr>
              <w:spacing w:line="440" w:lineRule="exact"/>
              <w:rPr>
                <w:rFonts w:hint="eastAsia"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1.服务期：</w:t>
            </w:r>
            <w:r>
              <w:rPr>
                <w:rFonts w:hint="eastAsia" w:ascii="仿宋_GB2312" w:hAnsi="宋体" w:eastAsia="仿宋_GB2312"/>
                <w:b/>
                <w:bCs/>
                <w:color w:val="000000" w:themeColor="text1"/>
                <w:sz w:val="28"/>
                <w:szCs w:val="28"/>
                <w:highlight w:val="none"/>
                <w14:textFill>
                  <w14:solidFill>
                    <w14:schemeClr w14:val="tx1"/>
                  </w14:solidFill>
                </w14:textFill>
              </w:rPr>
              <w:t>202</w:t>
            </w:r>
            <w:r>
              <w:rPr>
                <w:rFonts w:hint="eastAsia" w:ascii="仿宋_GB2312" w:hAnsi="宋体" w:eastAsia="仿宋_GB2312"/>
                <w:b/>
                <w:bCs/>
                <w:color w:val="000000" w:themeColor="text1"/>
                <w:sz w:val="28"/>
                <w:szCs w:val="28"/>
                <w:highlight w:val="none"/>
                <w:lang w:val="en-US" w:eastAsia="zh-CN"/>
                <w14:textFill>
                  <w14:solidFill>
                    <w14:schemeClr w14:val="tx1"/>
                  </w14:solidFill>
                </w14:textFill>
              </w:rPr>
              <w:t>4</w:t>
            </w:r>
            <w:r>
              <w:rPr>
                <w:rFonts w:hint="eastAsia" w:ascii="仿宋_GB2312" w:hAnsi="宋体" w:eastAsia="仿宋_GB2312"/>
                <w:b/>
                <w:bCs/>
                <w:color w:val="000000" w:themeColor="text1"/>
                <w:sz w:val="28"/>
                <w:szCs w:val="28"/>
                <w:highlight w:val="none"/>
                <w14:textFill>
                  <w14:solidFill>
                    <w14:schemeClr w14:val="tx1"/>
                  </w14:solidFill>
                </w14:textFill>
              </w:rPr>
              <w:t>年9月起一年</w:t>
            </w:r>
            <w:r>
              <w:rPr>
                <w:rFonts w:hint="eastAsia" w:ascii="仿宋_GB2312" w:hAnsi="宋体" w:eastAsia="仿宋_GB2312"/>
                <w:b/>
                <w:bCs/>
                <w:color w:val="000000" w:themeColor="text1"/>
                <w:sz w:val="28"/>
                <w:szCs w:val="28"/>
                <w:highlight w:val="none"/>
                <w:lang w:eastAsia="zh-CN"/>
                <w14:textFill>
                  <w14:solidFill>
                    <w14:schemeClr w14:val="tx1"/>
                  </w14:solidFill>
                </w14:textFill>
              </w:rPr>
              <w:t>（</w:t>
            </w:r>
            <w:r>
              <w:rPr>
                <w:rFonts w:hint="eastAsia" w:ascii="仿宋_GB2312" w:hAnsi="宋体" w:eastAsia="仿宋_GB2312"/>
                <w:b/>
                <w:bCs/>
                <w:color w:val="000000" w:themeColor="text1"/>
                <w:sz w:val="28"/>
                <w:szCs w:val="28"/>
                <w:highlight w:val="none"/>
                <w:lang w:val="en-US" w:eastAsia="zh-CN"/>
                <w14:textFill>
                  <w14:solidFill>
                    <w14:schemeClr w14:val="tx1"/>
                  </w14:solidFill>
                </w14:textFill>
              </w:rPr>
              <w:t>若合同签订时间晚于合同启动时间，按合同签订时间起一年）</w:t>
            </w:r>
            <w:r>
              <w:rPr>
                <w:rFonts w:hint="eastAsia" w:ascii="仿宋_GB2312" w:hAnsi="宋体" w:eastAsia="仿宋_GB2312"/>
                <w:color w:val="000000" w:themeColor="text1"/>
                <w:sz w:val="28"/>
                <w:szCs w:val="28"/>
                <w:highlight w:val="none"/>
                <w14:textFill>
                  <w14:solidFill>
                    <w14:schemeClr w14:val="tx1"/>
                  </w14:solidFill>
                </w14:textFill>
              </w:rPr>
              <w:t>；</w:t>
            </w:r>
          </w:p>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2.服务地点：浙江省杭州市西湖区学院路35号浙江省教育技术中心。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履约保证金要求</w:t>
            </w:r>
          </w:p>
        </w:tc>
        <w:tc>
          <w:tcPr>
            <w:tcW w:w="7560" w:type="dxa"/>
            <w:shd w:val="clear" w:color="auto" w:fill="auto"/>
            <w:vAlign w:val="center"/>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中标单位在签订合同</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后7个工作日内</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需</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交纳</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合同总额的1%作为履约保证金(对于年度内发生重大事故的，经确认为服务疏忽造成的将没收</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履约</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付款条件</w:t>
            </w:r>
          </w:p>
        </w:tc>
        <w:tc>
          <w:tcPr>
            <w:tcW w:w="7560" w:type="dxa"/>
            <w:shd w:val="clear" w:color="auto" w:fill="auto"/>
          </w:tcPr>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1.在合同生效以及具备实施条件后（供应商应提供监理服务方案并经采购人认可）7个工作日内，采购人支付合同金额的40%作为预付款。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2.中标方按要求启动相应服务并提供服务承诺函、相关文档后，经监理确认无误后，由省教育技术中心组织项目初验，验收通过后,在7个工作日（如遇特殊情况最长不得超过20个工作日）内支付55%合同款。</w:t>
            </w:r>
          </w:p>
          <w:p>
            <w:pPr>
              <w:autoSpaceDE w:val="0"/>
              <w:autoSpaceDN w:val="0"/>
              <w:adjustRightInd w:val="0"/>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3.服务期结束后，由省教育技术中心组织项目终验，中标方需根据监理要求提供相关服务文档，终验通过后支付剩余合同款。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7" w:type="dxa"/>
            <w:shd w:val="clear" w:color="auto" w:fill="auto"/>
            <w:vAlign w:val="center"/>
          </w:tcPr>
          <w:p>
            <w:pPr>
              <w:spacing w:line="440" w:lineRule="exact"/>
              <w:jc w:val="center"/>
              <w:rPr>
                <w:rFonts w:ascii="楷体_GB2312" w:hAnsi="宋体" w:eastAsia="楷体_GB2312"/>
                <w:b/>
                <w:bCs/>
                <w:color w:val="000000" w:themeColor="text1"/>
                <w:sz w:val="28"/>
                <w:szCs w:val="28"/>
                <w:highlight w:val="none"/>
                <w14:textFill>
                  <w14:solidFill>
                    <w14:schemeClr w14:val="tx1"/>
                  </w14:solidFill>
                </w14:textFill>
              </w:rPr>
            </w:pPr>
            <w:r>
              <w:rPr>
                <w:rFonts w:hint="eastAsia" w:ascii="楷体_GB2312" w:hAnsi="宋体" w:eastAsia="楷体_GB2312"/>
                <w:b/>
                <w:bCs/>
                <w:color w:val="000000" w:themeColor="text1"/>
                <w:sz w:val="28"/>
                <w:szCs w:val="28"/>
                <w:highlight w:val="none"/>
                <w14:textFill>
                  <w14:solidFill>
                    <w14:schemeClr w14:val="tx1"/>
                  </w14:solidFill>
                </w14:textFill>
              </w:rPr>
              <w:t>经验或业绩要求</w:t>
            </w:r>
          </w:p>
        </w:tc>
        <w:tc>
          <w:tcPr>
            <w:tcW w:w="7560" w:type="dxa"/>
            <w:shd w:val="clear" w:color="auto" w:fill="auto"/>
          </w:tcPr>
          <w:p>
            <w:pPr>
              <w:spacing w:line="440" w:lineRule="exact"/>
              <w:rPr>
                <w:rFonts w:ascii="仿宋_GB2312" w:hAnsi="宋体" w:eastAsia="仿宋_GB2312"/>
                <w:color w:val="000000" w:themeColor="text1"/>
                <w:sz w:val="28"/>
                <w:szCs w:val="28"/>
                <w:highlight w:val="none"/>
                <w14:textFill>
                  <w14:solidFill>
                    <w14:schemeClr w14:val="tx1"/>
                  </w14:solidFill>
                </w14:textFill>
              </w:rPr>
            </w:pPr>
            <w:r>
              <w:rPr>
                <w:rFonts w:hint="eastAsia" w:ascii="仿宋_GB2312" w:hAnsi="宋体" w:eastAsia="仿宋_GB2312"/>
                <w:color w:val="000000" w:themeColor="text1"/>
                <w:sz w:val="28"/>
                <w:szCs w:val="28"/>
                <w:highlight w:val="none"/>
                <w14:textFill>
                  <w14:solidFill>
                    <w14:schemeClr w14:val="tx1"/>
                  </w14:solidFill>
                </w14:textFill>
              </w:rPr>
              <w:t>202</w:t>
            </w:r>
            <w:r>
              <w:rPr>
                <w:rFonts w:hint="eastAsia" w:ascii="仿宋_GB2312" w:hAnsi="宋体" w:eastAsia="仿宋_GB2312"/>
                <w:color w:val="000000" w:themeColor="text1"/>
                <w:sz w:val="28"/>
                <w:szCs w:val="28"/>
                <w:highlight w:val="none"/>
                <w:lang w:val="en-US" w:eastAsia="zh-CN"/>
                <w14:textFill>
                  <w14:solidFill>
                    <w14:schemeClr w14:val="tx1"/>
                  </w14:solidFill>
                </w14:textFill>
              </w:rPr>
              <w:t>1</w:t>
            </w:r>
            <w:r>
              <w:rPr>
                <w:rFonts w:hint="eastAsia" w:ascii="仿宋_GB2312" w:hAnsi="宋体" w:eastAsia="仿宋_GB2312"/>
                <w:color w:val="000000" w:themeColor="text1"/>
                <w:sz w:val="28"/>
                <w:szCs w:val="28"/>
                <w:highlight w:val="none"/>
                <w14:textFill>
                  <w14:solidFill>
                    <w14:schemeClr w14:val="tx1"/>
                  </w14:solidFill>
                </w14:textFill>
              </w:rPr>
              <w:t>年1月1日以来，具有类似服务项目案例</w:t>
            </w:r>
            <w:r>
              <w:rPr>
                <w:rFonts w:ascii="仿宋_GB2312" w:hAnsi="宋体" w:eastAsia="仿宋_GB2312"/>
                <w:color w:val="000000" w:themeColor="text1"/>
                <w:sz w:val="28"/>
                <w:szCs w:val="28"/>
                <w:highlight w:val="none"/>
                <w14:textFill>
                  <w14:solidFill>
                    <w14:schemeClr w14:val="tx1"/>
                  </w14:solidFill>
                </w14:textFill>
              </w:rPr>
              <w:t>。</w:t>
            </w:r>
          </w:p>
        </w:tc>
      </w:tr>
    </w:tbl>
    <w:p>
      <w:pPr>
        <w:pStyle w:val="3"/>
        <w:rPr>
          <w:color w:val="000000" w:themeColor="text1"/>
          <w:highlight w:val="none"/>
          <w14:textFill>
            <w14:solidFill>
              <w14:schemeClr w14:val="tx1"/>
            </w14:solidFill>
          </w14:textFill>
        </w:rPr>
      </w:pPr>
    </w:p>
    <w:p>
      <w:pPr>
        <w:pageBreakBefore/>
        <w:spacing w:before="240" w:beforeLines="100"/>
        <w:jc w:val="center"/>
        <w:outlineLvl w:val="0"/>
        <w:rPr>
          <w:rFonts w:ascii="仿宋_GB2312" w:eastAsia="仿宋_GB2312"/>
          <w:b/>
          <w:bCs/>
          <w:color w:val="000000" w:themeColor="text1"/>
          <w:kern w:val="0"/>
          <w:sz w:val="36"/>
          <w:szCs w:val="36"/>
          <w:highlight w:val="none"/>
          <w14:textFill>
            <w14:solidFill>
              <w14:schemeClr w14:val="tx1"/>
            </w14:solidFill>
          </w14:textFill>
        </w:rPr>
      </w:pPr>
      <w:bookmarkStart w:id="46" w:name="_Toc11523"/>
      <w:r>
        <w:rPr>
          <w:rFonts w:hint="eastAsia" w:ascii="仿宋_GB2312" w:eastAsia="仿宋_GB2312"/>
          <w:b/>
          <w:bCs/>
          <w:color w:val="000000" w:themeColor="text1"/>
          <w:kern w:val="0"/>
          <w:sz w:val="36"/>
          <w:szCs w:val="36"/>
          <w:highlight w:val="none"/>
          <w14:textFill>
            <w14:solidFill>
              <w14:schemeClr w14:val="tx1"/>
            </w14:solidFill>
          </w14:textFill>
        </w:rPr>
        <w:t xml:space="preserve">第五章  </w:t>
      </w:r>
      <w:bookmarkEnd w:id="38"/>
      <w:bookmarkEnd w:id="39"/>
      <w:bookmarkEnd w:id="40"/>
      <w:bookmarkEnd w:id="41"/>
      <w:r>
        <w:rPr>
          <w:rFonts w:hint="eastAsia" w:ascii="仿宋_GB2312" w:eastAsia="仿宋_GB2312"/>
          <w:b/>
          <w:bCs/>
          <w:color w:val="000000" w:themeColor="text1"/>
          <w:kern w:val="0"/>
          <w:sz w:val="36"/>
          <w:szCs w:val="36"/>
          <w:highlight w:val="none"/>
          <w14:textFill>
            <w14:solidFill>
              <w14:schemeClr w14:val="tx1"/>
            </w14:solidFill>
          </w14:textFill>
        </w:rPr>
        <w:t>政府采购合同主要条款指引</w:t>
      </w:r>
      <w:bookmarkEnd w:id="42"/>
      <w:bookmarkEnd w:id="46"/>
    </w:p>
    <w:p>
      <w:pPr>
        <w:pStyle w:val="19"/>
        <w:tabs>
          <w:tab w:val="left" w:pos="180"/>
        </w:tabs>
        <w:snapToGrid w:val="0"/>
        <w:spacing w:before="120" w:after="120" w:line="420" w:lineRule="exact"/>
        <w:jc w:val="center"/>
        <w:rPr>
          <w:rFonts w:ascii="仿宋_GB2312" w:hAnsi="Times New Roman" w:eastAsia="仿宋_GB2312"/>
          <w:b/>
          <w:color w:val="000000" w:themeColor="text1"/>
          <w:sz w:val="28"/>
          <w:szCs w:val="28"/>
          <w:highlight w:val="none"/>
          <w14:textFill>
            <w14:solidFill>
              <w14:schemeClr w14:val="tx1"/>
            </w14:solidFill>
          </w14:textFill>
        </w:rPr>
      </w:pPr>
      <w:r>
        <w:rPr>
          <w:rFonts w:hint="eastAsia" w:ascii="仿宋_GB2312" w:hAnsi="Times New Roman" w:eastAsia="仿宋_GB2312"/>
          <w:b/>
          <w:color w:val="000000" w:themeColor="text1"/>
          <w:sz w:val="28"/>
          <w:szCs w:val="28"/>
          <w:highlight w:val="none"/>
          <w14:textFill>
            <w14:solidFill>
              <w14:schemeClr w14:val="tx1"/>
            </w14:solidFill>
          </w14:textFill>
        </w:rPr>
        <w:t>（本合同为合同样稿，最终稿由双方协商后确定）</w:t>
      </w:r>
    </w:p>
    <w:p>
      <w:pPr>
        <w:pStyle w:val="19"/>
        <w:tabs>
          <w:tab w:val="left" w:pos="180"/>
        </w:tabs>
        <w:snapToGrid w:val="0"/>
        <w:spacing w:before="120" w:after="120" w:line="420" w:lineRule="exact"/>
        <w:ind w:right="560"/>
        <w:rPr>
          <w:rFonts w:ascii="仿宋_GB2312" w:hAnsi="Times New Roman" w:eastAsia="仿宋_GB2312"/>
          <w:b/>
          <w:color w:val="000000" w:themeColor="text1"/>
          <w:sz w:val="28"/>
          <w:szCs w:val="28"/>
          <w:highlight w:val="none"/>
          <w14:textFill>
            <w14:solidFill>
              <w14:schemeClr w14:val="tx1"/>
            </w14:solidFill>
          </w14:textFill>
        </w:rPr>
      </w:pPr>
    </w:p>
    <w:p>
      <w:pPr>
        <w:pStyle w:val="19"/>
        <w:tabs>
          <w:tab w:val="left" w:pos="180"/>
        </w:tabs>
        <w:snapToGrid w:val="0"/>
        <w:spacing w:before="120" w:after="120" w:line="420" w:lineRule="exact"/>
        <w:ind w:right="560"/>
        <w:jc w:val="right"/>
        <w:rPr>
          <w:rFonts w:hint="eastAsia" w:ascii="仿宋_GB2312" w:hAnsi="Times New Roman" w:eastAsia="仿宋_GB2312"/>
          <w:b/>
          <w:color w:val="000000" w:themeColor="text1"/>
          <w:sz w:val="28"/>
          <w:szCs w:val="28"/>
          <w:highlight w:val="none"/>
          <w:lang w:eastAsia="zh-CN"/>
          <w14:textFill>
            <w14:solidFill>
              <w14:schemeClr w14:val="tx1"/>
            </w14:solidFill>
          </w14:textFill>
        </w:rPr>
      </w:pPr>
      <w:r>
        <w:rPr>
          <w:rFonts w:hint="eastAsia" w:ascii="仿宋_GB2312" w:hAnsi="Times New Roman" w:eastAsia="仿宋_GB2312"/>
          <w:b/>
          <w:color w:val="000000" w:themeColor="text1"/>
          <w:sz w:val="28"/>
          <w:szCs w:val="28"/>
          <w:highlight w:val="none"/>
          <w14:textFill>
            <w14:solidFill>
              <w14:schemeClr w14:val="tx1"/>
            </w14:solidFill>
          </w14:textFill>
        </w:rPr>
        <w:t>合同编号：</w:t>
      </w:r>
      <w:r>
        <w:rPr>
          <w:rFonts w:hint="eastAsia" w:ascii="仿宋_GB2312" w:hAnsi="Times New Roman" w:eastAsia="仿宋_GB2312"/>
          <w:b/>
          <w:color w:val="000000" w:themeColor="text1"/>
          <w:sz w:val="28"/>
          <w:szCs w:val="28"/>
          <w:highlight w:val="none"/>
          <w:lang w:eastAsia="zh-CN"/>
          <w14:textFill>
            <w14:solidFill>
              <w14:schemeClr w14:val="tx1"/>
            </w14:solidFill>
          </w14:textFill>
        </w:rPr>
        <w:t>2024-XXHGC-8</w:t>
      </w:r>
    </w:p>
    <w:p>
      <w:pPr>
        <w:pStyle w:val="19"/>
        <w:tabs>
          <w:tab w:val="left" w:pos="180"/>
        </w:tabs>
        <w:spacing w:before="120" w:after="120" w:line="420" w:lineRule="exact"/>
        <w:ind w:right="1403"/>
        <w:jc w:val="right"/>
        <w:rPr>
          <w:rFonts w:ascii="仿宋_GB2312" w:hAnsi="Times New Roman" w:eastAsia="仿宋_GB2312"/>
          <w:b/>
          <w:color w:val="000000" w:themeColor="text1"/>
          <w:sz w:val="28"/>
          <w:szCs w:val="28"/>
          <w:highlight w:val="none"/>
          <w14:textFill>
            <w14:solidFill>
              <w14:schemeClr w14:val="tx1"/>
            </w14:solidFill>
          </w14:textFill>
        </w:rPr>
      </w:pPr>
      <w:r>
        <w:rPr>
          <w:rFonts w:hint="eastAsia" w:ascii="仿宋_GB2312" w:hAnsi="Times New Roman" w:eastAsia="仿宋_GB2312"/>
          <w:b/>
          <w:color w:val="000000" w:themeColor="text1"/>
          <w:sz w:val="28"/>
          <w:szCs w:val="28"/>
          <w:highlight w:val="none"/>
          <w14:textFill>
            <w14:solidFill>
              <w14:schemeClr w14:val="tx1"/>
            </w14:solidFill>
          </w14:textFill>
        </w:rPr>
        <w:t>预算执行确认号：</w:t>
      </w:r>
    </w:p>
    <w:p>
      <w:pPr>
        <w:adjustRightInd w:val="0"/>
        <w:snapToGrid w:val="0"/>
        <w:spacing w:line="480" w:lineRule="exact"/>
        <w:rPr>
          <w:rFonts w:ascii="仿宋_GB2312" w:hAnsi="Times New Roman" w:eastAsia="仿宋_GB2312"/>
          <w:snapToGrid w:val="0"/>
          <w:color w:val="000000" w:themeColor="text1"/>
          <w:kern w:val="0"/>
          <w:sz w:val="30"/>
          <w:szCs w:val="30"/>
          <w:highlight w:val="none"/>
          <w14:textFill>
            <w14:solidFill>
              <w14:schemeClr w14:val="tx1"/>
            </w14:solidFill>
          </w14:textFill>
        </w:rPr>
      </w:pPr>
      <w:r>
        <w:rPr>
          <w:rFonts w:hint="eastAsia" w:ascii="仿宋_GB2312" w:hAnsi="Times New Roman" w:eastAsia="仿宋_GB2312"/>
          <w:snapToGrid w:val="0"/>
          <w:color w:val="000000" w:themeColor="text1"/>
          <w:kern w:val="0"/>
          <w:sz w:val="30"/>
          <w:szCs w:val="30"/>
          <w:highlight w:val="none"/>
          <w14:textFill>
            <w14:solidFill>
              <w14:schemeClr w14:val="tx1"/>
            </w14:solidFill>
          </w14:textFill>
        </w:rPr>
        <w:t>甲方（采购人）：</w:t>
      </w:r>
    </w:p>
    <w:p>
      <w:pPr>
        <w:adjustRightInd w:val="0"/>
        <w:snapToGrid w:val="0"/>
        <w:spacing w:line="480" w:lineRule="exact"/>
        <w:rPr>
          <w:rFonts w:ascii="仿宋_GB2312" w:hAnsi="Times New Roman" w:eastAsia="仿宋_GB2312"/>
          <w:snapToGrid w:val="0"/>
          <w:color w:val="000000" w:themeColor="text1"/>
          <w:kern w:val="0"/>
          <w:sz w:val="30"/>
          <w:szCs w:val="30"/>
          <w:highlight w:val="none"/>
          <w14:textFill>
            <w14:solidFill>
              <w14:schemeClr w14:val="tx1"/>
            </w14:solidFill>
          </w14:textFill>
        </w:rPr>
      </w:pPr>
      <w:r>
        <w:rPr>
          <w:rFonts w:hint="eastAsia" w:ascii="仿宋_GB2312" w:hAnsi="Times New Roman" w:eastAsia="仿宋_GB2312"/>
          <w:snapToGrid w:val="0"/>
          <w:color w:val="000000" w:themeColor="text1"/>
          <w:kern w:val="0"/>
          <w:sz w:val="30"/>
          <w:szCs w:val="30"/>
          <w:highlight w:val="none"/>
          <w14:textFill>
            <w14:solidFill>
              <w14:schemeClr w14:val="tx1"/>
            </w14:solidFill>
          </w14:textFill>
        </w:rPr>
        <w:t>乙方（供应商）：</w:t>
      </w:r>
    </w:p>
    <w:p>
      <w:pPr>
        <w:adjustRightInd w:val="0"/>
        <w:snapToGrid w:val="0"/>
        <w:spacing w:line="480" w:lineRule="exact"/>
        <w:ind w:firstLine="594" w:firstLineChars="198"/>
        <w:rPr>
          <w:rFonts w:ascii="仿宋_GB2312" w:hAnsi="仿宋" w:eastAsia="仿宋_GB2312"/>
          <w:snapToGrid w:val="0"/>
          <w:color w:val="000000" w:themeColor="text1"/>
          <w:kern w:val="0"/>
          <w:sz w:val="30"/>
          <w:szCs w:val="30"/>
          <w:highlight w:val="none"/>
          <w14:textFill>
            <w14:solidFill>
              <w14:schemeClr w14:val="tx1"/>
            </w14:solidFill>
          </w14:textFill>
        </w:rPr>
      </w:pPr>
      <w:bookmarkStart w:id="47" w:name="_Toc403051097"/>
      <w:bookmarkStart w:id="48" w:name="_Toc25568"/>
      <w:bookmarkStart w:id="49" w:name="_Toc421271118"/>
      <w:bookmarkStart w:id="50" w:name="_Toc6165"/>
      <w:r>
        <w:rPr>
          <w:rFonts w:hint="eastAsia" w:ascii="仿宋_GB2312" w:hAnsi="仿宋" w:eastAsia="仿宋_GB2312"/>
          <w:snapToGrid w:val="0"/>
          <w:color w:val="000000" w:themeColor="text1"/>
          <w:kern w:val="0"/>
          <w:sz w:val="30"/>
          <w:szCs w:val="30"/>
          <w:highlight w:val="none"/>
          <w14:textFill>
            <w14:solidFill>
              <w14:schemeClr w14:val="tx1"/>
            </w14:solidFill>
          </w14:textFill>
        </w:rPr>
        <w:t>为了保护甲、乙双方合法权益，根据《中华人民共和国政府</w:t>
      </w:r>
      <w:r>
        <w:rPr>
          <w:rFonts w:hint="eastAsia" w:ascii="仿宋_GB2312" w:hAnsi="仿宋" w:eastAsia="仿宋_GB2312" w:cs="微软雅黑"/>
          <w:snapToGrid w:val="0"/>
          <w:color w:val="000000" w:themeColor="text1"/>
          <w:kern w:val="0"/>
          <w:sz w:val="30"/>
          <w:szCs w:val="30"/>
          <w:highlight w:val="none"/>
          <w14:textFill>
            <w14:solidFill>
              <w14:schemeClr w14:val="tx1"/>
            </w14:solidFill>
          </w14:textFill>
        </w:rPr>
        <w:t>采</w:t>
      </w:r>
      <w:r>
        <w:rPr>
          <w:rFonts w:hint="eastAsia" w:ascii="仿宋_GB2312" w:hAnsi="仿宋" w:eastAsia="仿宋_GB2312" w:cs="仿宋_GB2312"/>
          <w:snapToGrid w:val="0"/>
          <w:color w:val="000000" w:themeColor="text1"/>
          <w:kern w:val="0"/>
          <w:sz w:val="30"/>
          <w:szCs w:val="30"/>
          <w:highlight w:val="none"/>
          <w14:textFill>
            <w14:solidFill>
              <w14:schemeClr w14:val="tx1"/>
            </w14:solidFill>
          </w14:textFill>
        </w:rPr>
        <w:t>购法》《中华人民共和国民法典》等相关法律法规，</w:t>
      </w:r>
      <w:r>
        <w:rPr>
          <w:rFonts w:hint="eastAsia" w:ascii="仿宋_GB2312" w:hAnsi="仿宋" w:eastAsia="仿宋_GB2312"/>
          <w:snapToGrid w:val="0"/>
          <w:color w:val="000000" w:themeColor="text1"/>
          <w:kern w:val="0"/>
          <w:sz w:val="30"/>
          <w:szCs w:val="30"/>
          <w:highlight w:val="none"/>
          <w14:textFill>
            <w14:solidFill>
              <w14:schemeClr w14:val="tx1"/>
            </w14:solidFill>
          </w14:textFill>
        </w:rPr>
        <w:t>甲、乙双方依据浙江省教育技术中心关于</w:t>
      </w:r>
      <w:r>
        <w:rPr>
          <w:rFonts w:hint="eastAsia" w:ascii="仿宋_GB2312" w:hAnsi="仿宋" w:eastAsia="仿宋_GB2312"/>
          <w:b/>
          <w:bCs/>
          <w:snapToGrid w:val="0"/>
          <w:color w:val="000000" w:themeColor="text1"/>
          <w:kern w:val="0"/>
          <w:sz w:val="30"/>
          <w:szCs w:val="30"/>
          <w:highlight w:val="none"/>
          <w:u w:val="single"/>
          <w14:textFill>
            <w14:solidFill>
              <w14:schemeClr w14:val="tx1"/>
            </w14:solidFill>
          </w14:textFill>
        </w:rPr>
        <w:t xml:space="preserve"> </w:t>
      </w:r>
      <w:r>
        <w:rPr>
          <w:rFonts w:hint="eastAsia" w:ascii="仿宋_GB2312" w:hAnsi="仿宋" w:eastAsia="仿宋_GB2312"/>
          <w:b/>
          <w:bCs/>
          <w:snapToGrid w:val="0"/>
          <w:color w:val="000000" w:themeColor="text1"/>
          <w:kern w:val="0"/>
          <w:sz w:val="30"/>
          <w:szCs w:val="30"/>
          <w:highlight w:val="none"/>
          <w:u w:val="single"/>
          <w:lang w:eastAsia="zh-CN"/>
          <w14:textFill>
            <w14:solidFill>
              <w14:schemeClr w14:val="tx1"/>
            </w14:solidFill>
          </w14:textFill>
        </w:rPr>
        <w:t>***项目</w:t>
      </w:r>
      <w:r>
        <w:rPr>
          <w:rFonts w:hint="eastAsia" w:ascii="仿宋_GB2312" w:hAnsi="仿宋" w:eastAsia="仿宋_GB2312"/>
          <w:b/>
          <w:bCs/>
          <w:snapToGrid w:val="0"/>
          <w:color w:val="000000" w:themeColor="text1"/>
          <w:kern w:val="0"/>
          <w:sz w:val="30"/>
          <w:szCs w:val="30"/>
          <w:highlight w:val="none"/>
          <w14:textFill>
            <w14:solidFill>
              <w14:schemeClr w14:val="tx1"/>
            </w14:solidFill>
          </w14:textFill>
        </w:rPr>
        <w:t>（项目编号：</w:t>
      </w:r>
      <w:r>
        <w:rPr>
          <w:rFonts w:hint="eastAsia" w:ascii="仿宋_GB2312" w:hAnsi="Times New Roman" w:eastAsia="仿宋_GB2312"/>
          <w:b/>
          <w:bCs/>
          <w:snapToGrid w:val="0"/>
          <w:color w:val="000000" w:themeColor="text1"/>
          <w:kern w:val="0"/>
          <w:sz w:val="30"/>
          <w:szCs w:val="30"/>
          <w:highlight w:val="none"/>
          <w:u w:val="single"/>
          <w:lang w:eastAsia="zh-CN"/>
          <w14:textFill>
            <w14:solidFill>
              <w14:schemeClr w14:val="tx1"/>
            </w14:solidFill>
          </w14:textFill>
        </w:rPr>
        <w:t>2024-XXHGC-8</w:t>
      </w:r>
      <w:r>
        <w:rPr>
          <w:rFonts w:hint="eastAsia" w:ascii="仿宋_GB2312" w:hAnsi="仿宋" w:eastAsia="仿宋_GB2312"/>
          <w:b/>
          <w:bCs/>
          <w:snapToGrid w:val="0"/>
          <w:color w:val="000000" w:themeColor="text1"/>
          <w:kern w:val="0"/>
          <w:sz w:val="30"/>
          <w:szCs w:val="30"/>
          <w:highlight w:val="none"/>
          <w14:textFill>
            <w14:solidFill>
              <w14:schemeClr w14:val="tx1"/>
            </w14:solidFill>
          </w14:textFill>
        </w:rPr>
        <w:t>）</w:t>
      </w:r>
      <w:r>
        <w:rPr>
          <w:rFonts w:hint="eastAsia" w:ascii="仿宋_GB2312" w:hAnsi="仿宋" w:eastAsia="仿宋_GB2312"/>
          <w:snapToGrid w:val="0"/>
          <w:color w:val="000000" w:themeColor="text1"/>
          <w:kern w:val="0"/>
          <w:sz w:val="30"/>
          <w:szCs w:val="30"/>
          <w:highlight w:val="none"/>
          <w14:textFill>
            <w14:solidFill>
              <w14:schemeClr w14:val="tx1"/>
            </w14:solidFill>
          </w14:textFill>
        </w:rPr>
        <w:t>的公开招标的结果，签署本合同。</w:t>
      </w:r>
    </w:p>
    <w:p>
      <w:pPr>
        <w:adjustRightInd w:val="0"/>
        <w:snapToGrid w:val="0"/>
        <w:spacing w:line="480" w:lineRule="exact"/>
        <w:ind w:firstLine="596" w:firstLineChars="198"/>
        <w:rPr>
          <w:rFonts w:ascii="仿宋" w:hAnsi="仿宋" w:eastAsia="仿宋"/>
          <w:b/>
          <w:color w:val="000000" w:themeColor="text1"/>
          <w:kern w:val="0"/>
          <w:sz w:val="30"/>
          <w:szCs w:val="30"/>
          <w:highlight w:val="none"/>
          <w14:textFill>
            <w14:solidFill>
              <w14:schemeClr w14:val="tx1"/>
            </w14:solidFill>
          </w14:textFill>
        </w:rPr>
      </w:pPr>
      <w:r>
        <w:rPr>
          <w:rFonts w:hint="eastAsia" w:ascii="仿宋" w:hAnsi="仿宋" w:eastAsia="仿宋"/>
          <w:b/>
          <w:snapToGrid w:val="0"/>
          <w:color w:val="000000" w:themeColor="text1"/>
          <w:kern w:val="0"/>
          <w:sz w:val="30"/>
          <w:szCs w:val="30"/>
          <w:highlight w:val="none"/>
          <w14:textFill>
            <w14:solidFill>
              <w14:schemeClr w14:val="tx1"/>
            </w14:solidFill>
          </w14:textFill>
        </w:rPr>
        <w:t>一、项目内容</w:t>
      </w:r>
      <w:r>
        <w:rPr>
          <w:rFonts w:hint="eastAsia" w:ascii="仿宋" w:hAnsi="仿宋" w:eastAsia="仿宋"/>
          <w:b/>
          <w:color w:val="000000" w:themeColor="text1"/>
          <w:kern w:val="0"/>
          <w:sz w:val="30"/>
          <w:szCs w:val="30"/>
          <w:highlight w:val="none"/>
          <w14:textFill>
            <w14:solidFill>
              <w14:schemeClr w14:val="tx1"/>
            </w14:solidFill>
          </w14:textFill>
        </w:rPr>
        <w:t>及合同价格</w:t>
      </w:r>
    </w:p>
    <w:p>
      <w:pPr>
        <w:adjustRightInd w:val="0"/>
        <w:snapToGrid w:val="0"/>
        <w:spacing w:line="480" w:lineRule="exact"/>
        <w:ind w:firstLine="639" w:firstLineChars="213"/>
        <w:jc w:val="right"/>
        <w:rPr>
          <w:rFonts w:ascii="仿宋" w:hAnsi="仿宋" w:eastAsia="仿宋"/>
          <w:color w:val="000000" w:themeColor="text1"/>
          <w:kern w:val="0"/>
          <w:sz w:val="30"/>
          <w:szCs w:val="30"/>
          <w:highlight w:val="none"/>
          <w14:textFill>
            <w14:solidFill>
              <w14:schemeClr w14:val="tx1"/>
            </w14:solidFill>
          </w14:textFill>
        </w:rPr>
      </w:pPr>
      <w:r>
        <w:rPr>
          <w:rFonts w:hint="eastAsia" w:ascii="仿宋" w:hAnsi="仿宋" w:eastAsia="仿宋"/>
          <w:color w:val="000000" w:themeColor="text1"/>
          <w:kern w:val="0"/>
          <w:sz w:val="30"/>
          <w:szCs w:val="30"/>
          <w:highlight w:val="none"/>
          <w14:textFill>
            <w14:solidFill>
              <w14:schemeClr w14:val="tx1"/>
            </w14:solidFill>
          </w14:textFill>
        </w:rPr>
        <w:t>金额单位：人民币元</w:t>
      </w:r>
    </w:p>
    <w:tbl>
      <w:tblPr>
        <w:tblStyle w:val="36"/>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402"/>
        <w:gridCol w:w="851"/>
        <w:gridCol w:w="99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2268"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项目名称</w:t>
            </w:r>
          </w:p>
        </w:tc>
        <w:tc>
          <w:tcPr>
            <w:tcW w:w="3402"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项目要求</w:t>
            </w:r>
          </w:p>
        </w:tc>
        <w:tc>
          <w:tcPr>
            <w:tcW w:w="851"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数量</w:t>
            </w:r>
          </w:p>
        </w:tc>
        <w:tc>
          <w:tcPr>
            <w:tcW w:w="992"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单价</w:t>
            </w:r>
          </w:p>
        </w:tc>
        <w:tc>
          <w:tcPr>
            <w:tcW w:w="1418"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2268"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p>
        </w:tc>
        <w:tc>
          <w:tcPr>
            <w:tcW w:w="3402" w:type="dxa"/>
            <w:vAlign w:val="center"/>
          </w:tcPr>
          <w:p>
            <w:pPr>
              <w:tabs>
                <w:tab w:val="left" w:pos="180"/>
              </w:tabs>
              <w:spacing w:line="360" w:lineRule="exact"/>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详见项目对应招投标文件</w:t>
            </w:r>
          </w:p>
        </w:tc>
        <w:tc>
          <w:tcPr>
            <w:tcW w:w="851"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p>
        </w:tc>
        <w:tc>
          <w:tcPr>
            <w:tcW w:w="992"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p>
        </w:tc>
        <w:tc>
          <w:tcPr>
            <w:tcW w:w="1418" w:type="dxa"/>
            <w:tcBorders>
              <w:bottom w:val="single" w:color="auto" w:sz="4" w:space="0"/>
            </w:tcBorders>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7513" w:type="dxa"/>
            <w:gridSpan w:val="4"/>
            <w:vAlign w:val="center"/>
          </w:tcPr>
          <w:p>
            <w:pPr>
              <w:tabs>
                <w:tab w:val="left" w:pos="180"/>
              </w:tabs>
              <w:spacing w:line="360" w:lineRule="exact"/>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合计：</w:t>
            </w:r>
          </w:p>
        </w:tc>
        <w:tc>
          <w:tcPr>
            <w:tcW w:w="1418" w:type="dxa"/>
            <w:vAlign w:val="center"/>
          </w:tcPr>
          <w:p>
            <w:pPr>
              <w:tabs>
                <w:tab w:val="left" w:pos="180"/>
              </w:tabs>
              <w:spacing w:line="360" w:lineRule="exact"/>
              <w:jc w:val="center"/>
              <w:rPr>
                <w:rFonts w:ascii="仿宋" w:hAnsi="仿宋" w:eastAsia="仿宋"/>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trPr>
        <w:tc>
          <w:tcPr>
            <w:tcW w:w="8931" w:type="dxa"/>
            <w:gridSpan w:val="5"/>
            <w:vAlign w:val="center"/>
          </w:tcPr>
          <w:p>
            <w:pPr>
              <w:tabs>
                <w:tab w:val="left" w:pos="180"/>
              </w:tabs>
              <w:spacing w:line="360" w:lineRule="exact"/>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合同总价（人民币大写）：元整</w:t>
            </w:r>
          </w:p>
        </w:tc>
      </w:tr>
    </w:tbl>
    <w:p>
      <w:pPr>
        <w:tabs>
          <w:tab w:val="left" w:pos="180"/>
        </w:tabs>
        <w:snapToGrid w:val="0"/>
        <w:spacing w:line="480" w:lineRule="exact"/>
        <w:ind w:firstLine="0" w:firstLineChars="0"/>
        <w:rPr>
          <w:rFonts w:ascii="仿宋_GB2312" w:hAnsi="仿宋" w:eastAsia="仿宋_GB2312"/>
          <w:snapToGrid w:val="0"/>
          <w:color w:val="000000" w:themeColor="text1"/>
          <w:kern w:val="0"/>
          <w:sz w:val="30"/>
          <w:szCs w:val="30"/>
          <w:highlight w:val="none"/>
          <w14:textFill>
            <w14:solidFill>
              <w14:schemeClr w14:val="tx1"/>
            </w14:solidFill>
          </w14:textFill>
        </w:rPr>
      </w:pPr>
      <w:r>
        <w:rPr>
          <w:rFonts w:hint="eastAsia" w:ascii="仿宋_GB2312" w:hAnsi="仿宋" w:eastAsia="仿宋_GB2312"/>
          <w:snapToGrid w:val="0"/>
          <w:color w:val="000000" w:themeColor="text1"/>
          <w:kern w:val="0"/>
          <w:sz w:val="30"/>
          <w:szCs w:val="30"/>
          <w:highlight w:val="none"/>
          <w14:textFill>
            <w14:solidFill>
              <w14:schemeClr w14:val="tx1"/>
            </w14:solidFill>
          </w14:textFill>
        </w:rPr>
        <w:t>注：1.项目具体技术需求及采购人地址等详见招标文件、投标文件、询标记录以及合同附件（若有）。</w:t>
      </w:r>
    </w:p>
    <w:p>
      <w:pPr>
        <w:tabs>
          <w:tab w:val="left" w:pos="180"/>
        </w:tabs>
        <w:snapToGrid w:val="0"/>
        <w:spacing w:line="480" w:lineRule="exact"/>
        <w:ind w:firstLine="600" w:firstLineChars="200"/>
        <w:rPr>
          <w:rFonts w:ascii="仿宋_GB2312" w:hAnsi="仿宋" w:eastAsia="仿宋_GB2312"/>
          <w:snapToGrid w:val="0"/>
          <w:color w:val="000000" w:themeColor="text1"/>
          <w:kern w:val="0"/>
          <w:sz w:val="30"/>
          <w:szCs w:val="30"/>
          <w:highlight w:val="none"/>
          <w14:textFill>
            <w14:solidFill>
              <w14:schemeClr w14:val="tx1"/>
            </w14:solidFill>
          </w14:textFill>
        </w:rPr>
      </w:pPr>
      <w:r>
        <w:rPr>
          <w:rFonts w:hint="eastAsia" w:ascii="仿宋_GB2312" w:hAnsi="仿宋" w:eastAsia="仿宋_GB2312"/>
          <w:snapToGrid w:val="0"/>
          <w:color w:val="000000" w:themeColor="text1"/>
          <w:kern w:val="0"/>
          <w:sz w:val="30"/>
          <w:szCs w:val="30"/>
          <w:highlight w:val="none"/>
          <w14:textFill>
            <w14:solidFill>
              <w14:schemeClr w14:val="tx1"/>
            </w14:solidFill>
          </w14:textFill>
        </w:rPr>
        <w:t>2.以上合同总价包含项目达到预期使用效果所需的一切费用。</w:t>
      </w:r>
    </w:p>
    <w:p>
      <w:pPr>
        <w:adjustRightInd w:val="0"/>
        <w:snapToGrid w:val="0"/>
        <w:spacing w:line="480" w:lineRule="exact"/>
        <w:ind w:firstLine="596" w:firstLineChars="198"/>
        <w:rPr>
          <w:rFonts w:ascii="仿宋_GB2312" w:hAnsi="仿宋" w:eastAsia="仿宋_GB2312"/>
          <w:b/>
          <w:snapToGrid w:val="0"/>
          <w:color w:val="000000" w:themeColor="text1"/>
          <w:kern w:val="0"/>
          <w:sz w:val="30"/>
          <w:szCs w:val="30"/>
          <w:highlight w:val="none"/>
          <w14:textFill>
            <w14:solidFill>
              <w14:schemeClr w14:val="tx1"/>
            </w14:solidFill>
          </w14:textFill>
        </w:rPr>
      </w:pPr>
      <w:r>
        <w:rPr>
          <w:rFonts w:hint="eastAsia" w:ascii="仿宋_GB2312" w:hAnsi="仿宋" w:eastAsia="仿宋_GB2312"/>
          <w:b/>
          <w:snapToGrid w:val="0"/>
          <w:color w:val="000000" w:themeColor="text1"/>
          <w:kern w:val="0"/>
          <w:sz w:val="30"/>
          <w:szCs w:val="30"/>
          <w:highlight w:val="none"/>
          <w14:textFill>
            <w14:solidFill>
              <w14:schemeClr w14:val="tx1"/>
            </w14:solidFill>
          </w14:textFill>
        </w:rPr>
        <w:t>二、技术资料</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1.乙方应按招标文件规定的时间向甲方提供服务及有关文档。</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三、知识产权</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乙方应保证甲方在使用、接受本合同服务及使用</w:t>
      </w:r>
      <w:r>
        <w:rPr>
          <w:rFonts w:hint="eastAsia" w:ascii="仿宋_GB2312" w:hAnsi="仿宋" w:eastAsia="仿宋_GB2312"/>
          <w:bCs/>
          <w:color w:val="000000" w:themeColor="text1"/>
          <w:spacing w:val="-4"/>
          <w:kern w:val="0"/>
          <w:sz w:val="30"/>
          <w:szCs w:val="30"/>
          <w:highlight w:val="none"/>
          <w14:textFill>
            <w14:solidFill>
              <w14:schemeClr w14:val="tx1"/>
            </w14:solidFill>
          </w14:textFill>
        </w:rPr>
        <w:t>服务最终形成的成果（若有）</w:t>
      </w:r>
      <w:r>
        <w:rPr>
          <w:rFonts w:hint="eastAsia" w:ascii="仿宋_GB2312" w:hAnsi="仿宋" w:eastAsia="仿宋_GB2312"/>
          <w:color w:val="000000" w:themeColor="text1"/>
          <w:spacing w:val="-4"/>
          <w:kern w:val="0"/>
          <w:sz w:val="30"/>
          <w:szCs w:val="30"/>
          <w:highlight w:val="none"/>
          <w14:textFill>
            <w14:solidFill>
              <w14:schemeClr w14:val="tx1"/>
            </w14:solidFill>
          </w14:textFill>
        </w:rPr>
        <w:t>的任何一部分时均不会侵犯任何第三方的专利权、版权、商标权和工业设计权等知识产权。一旦出现侵权，由乙方负全部责任。</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四、转包或分包</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1.本合同范围的服务，应由乙方直接提供，不允许转包。</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2.允许分包部分：</w:t>
      </w:r>
      <w:r>
        <w:rPr>
          <w:rFonts w:hint="eastAsia" w:ascii="仿宋_GB2312" w:hAnsi="仿宋" w:eastAsia="仿宋_GB2312"/>
          <w:color w:val="000000" w:themeColor="text1"/>
          <w:spacing w:val="-4"/>
          <w:kern w:val="0"/>
          <w:sz w:val="30"/>
          <w:szCs w:val="30"/>
          <w:highlight w:val="none"/>
          <w:u w:val="single"/>
          <w14:textFill>
            <w14:solidFill>
              <w14:schemeClr w14:val="tx1"/>
            </w14:solidFill>
          </w14:textFill>
        </w:rPr>
        <w:t xml:space="preserve">                       。</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若乙方将项目转包或将不允许分包部分进行了分包，甲方有权解除合同，并追究乙方的违约责任。</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五、产权归属</w:t>
      </w:r>
    </w:p>
    <w:p>
      <w:pPr>
        <w:tabs>
          <w:tab w:val="left" w:pos="180"/>
        </w:tabs>
        <w:snapToGrid w:val="0"/>
        <w:spacing w:line="480" w:lineRule="exact"/>
        <w:ind w:firstLine="584" w:firstLineChars="200"/>
        <w:rPr>
          <w:rFonts w:ascii="仿宋_GB2312" w:hAnsi="仿宋" w:eastAsia="仿宋_GB2312"/>
          <w:bCs/>
          <w:color w:val="000000" w:themeColor="text1"/>
          <w:spacing w:val="-4"/>
          <w:kern w:val="0"/>
          <w:sz w:val="30"/>
          <w:szCs w:val="30"/>
          <w:highlight w:val="none"/>
          <w14:textFill>
            <w14:solidFill>
              <w14:schemeClr w14:val="tx1"/>
            </w14:solidFill>
          </w14:textFill>
        </w:rPr>
      </w:pPr>
      <w:r>
        <w:rPr>
          <w:rFonts w:hint="eastAsia" w:ascii="仿宋_GB2312" w:hAnsi="仿宋" w:eastAsia="仿宋_GB2312"/>
          <w:bCs/>
          <w:color w:val="000000" w:themeColor="text1"/>
          <w:spacing w:val="-4"/>
          <w:kern w:val="0"/>
          <w:sz w:val="30"/>
          <w:szCs w:val="30"/>
          <w:highlight w:val="none"/>
          <w14:textFill>
            <w14:solidFill>
              <w14:schemeClr w14:val="tx1"/>
            </w14:solidFill>
          </w14:textFill>
        </w:rPr>
        <w:t>1.乙方保证所提供服务最终形成的成果（若有）没有任何抵押、查封等产权瑕疵。</w:t>
      </w:r>
    </w:p>
    <w:p>
      <w:pPr>
        <w:tabs>
          <w:tab w:val="left" w:pos="180"/>
        </w:tabs>
        <w:snapToGrid w:val="0"/>
        <w:spacing w:line="480" w:lineRule="exact"/>
        <w:ind w:firstLine="584" w:firstLineChars="200"/>
        <w:rPr>
          <w:rFonts w:ascii="仿宋_GB2312" w:hAnsi="仿宋" w:eastAsia="仿宋_GB2312"/>
          <w:bCs/>
          <w:color w:val="000000" w:themeColor="text1"/>
          <w:spacing w:val="-4"/>
          <w:kern w:val="0"/>
          <w:sz w:val="30"/>
          <w:szCs w:val="30"/>
          <w:highlight w:val="none"/>
          <w14:textFill>
            <w14:solidFill>
              <w14:schemeClr w14:val="tx1"/>
            </w14:solidFill>
          </w14:textFill>
        </w:rPr>
      </w:pPr>
      <w:r>
        <w:rPr>
          <w:rFonts w:hint="eastAsia" w:ascii="仿宋_GB2312" w:hAnsi="仿宋" w:eastAsia="仿宋_GB2312"/>
          <w:bCs/>
          <w:color w:val="000000" w:themeColor="text1"/>
          <w:spacing w:val="-4"/>
          <w:kern w:val="0"/>
          <w:sz w:val="30"/>
          <w:szCs w:val="30"/>
          <w:highlight w:val="none"/>
          <w14:textFill>
            <w14:solidFill>
              <w14:schemeClr w14:val="tx1"/>
            </w14:solidFill>
          </w14:textFill>
        </w:rPr>
        <w:t>2.乙方所提供服务最终形成的成果（若有）的著作权、专利归属甲方。未经甲方同意，乙方不得行使。</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六</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、服务期、服务（交货）方式及地点</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1.服务期：</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2.服务（交货）方式：</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3.服务（交货）地点：</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七</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、货款支付</w:t>
      </w:r>
    </w:p>
    <w:p>
      <w:pPr>
        <w:tabs>
          <w:tab w:val="left" w:pos="180"/>
        </w:tabs>
        <w:snapToGrid w:val="0"/>
        <w:spacing w:line="480" w:lineRule="exact"/>
        <w:ind w:firstLine="584" w:firstLineChars="200"/>
        <w:rPr>
          <w:rFonts w:ascii="仿宋_GB2312" w:hAnsi="仿宋" w:eastAsia="仿宋_GB2312"/>
          <w:i/>
          <w:iCs/>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详见各标项商务要求。</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八</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、税费</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本合同执行中相关的一切税费均由乙方负担。</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九</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、服务质量保证</w:t>
      </w:r>
    </w:p>
    <w:p>
      <w:pPr>
        <w:adjustRightInd w:val="0"/>
        <w:snapToGrid w:val="0"/>
        <w:spacing w:line="480" w:lineRule="exact"/>
        <w:ind w:firstLine="600" w:firstLineChars="200"/>
        <w:rPr>
          <w:rFonts w:ascii="仿宋_GB2312" w:hAnsi="仿宋" w:eastAsia="仿宋_GB2312"/>
          <w:snapToGrid w:val="0"/>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1.</w:t>
      </w:r>
      <w:r>
        <w:rPr>
          <w:rFonts w:hint="eastAsia" w:ascii="仿宋_GB2312" w:hAnsi="仿宋" w:eastAsia="仿宋_GB2312"/>
          <w:snapToGrid w:val="0"/>
          <w:color w:val="000000" w:themeColor="text1"/>
          <w:kern w:val="0"/>
          <w:sz w:val="30"/>
          <w:szCs w:val="30"/>
          <w:highlight w:val="none"/>
          <w14:textFill>
            <w14:solidFill>
              <w14:schemeClr w14:val="tx1"/>
            </w14:solidFill>
          </w14:textFill>
        </w:rPr>
        <w:t>乙方保证本合同服务及服务最终形成的成果（若有）符合国家有关规定及符合甲方需求，服务过程因需要提供的备机及备品备件是符合国家技术规格和质量标准以及甲方要求的出厂原装合格产品。如发生所提供</w:t>
      </w:r>
      <w:r>
        <w:rPr>
          <w:rFonts w:hint="eastAsia" w:ascii="仿宋_GB2312" w:hAnsi="仿宋" w:eastAsia="仿宋_GB2312"/>
          <w:color w:val="000000" w:themeColor="text1"/>
          <w:kern w:val="0"/>
          <w:sz w:val="30"/>
          <w:szCs w:val="30"/>
          <w:highlight w:val="none"/>
          <w14:textFill>
            <w14:solidFill>
              <w14:schemeClr w14:val="tx1"/>
            </w14:solidFill>
          </w14:textFill>
        </w:rPr>
        <w:t>服务</w:t>
      </w:r>
      <w:r>
        <w:rPr>
          <w:rFonts w:hint="eastAsia" w:ascii="仿宋_GB2312" w:hAnsi="仿宋" w:eastAsia="仿宋_GB2312"/>
          <w:snapToGrid w:val="0"/>
          <w:color w:val="000000" w:themeColor="text1"/>
          <w:kern w:val="0"/>
          <w:sz w:val="30"/>
          <w:szCs w:val="30"/>
          <w:highlight w:val="none"/>
          <w14:textFill>
            <w14:solidFill>
              <w14:schemeClr w14:val="tx1"/>
            </w14:solidFill>
          </w14:textFill>
        </w:rPr>
        <w:t>与合同不符，甲方（使用方）有权拒收或退货，由此产生的一切责任和后果由乙方承担。</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2.乙方提供的</w:t>
      </w:r>
      <w:r>
        <w:rPr>
          <w:rFonts w:hint="eastAsia" w:ascii="仿宋_GB2312" w:hAnsi="仿宋" w:eastAsia="仿宋_GB2312"/>
          <w:snapToGrid w:val="0"/>
          <w:color w:val="000000" w:themeColor="text1"/>
          <w:spacing w:val="-4"/>
          <w:kern w:val="0"/>
          <w:sz w:val="30"/>
          <w:szCs w:val="30"/>
          <w:highlight w:val="none"/>
          <w14:textFill>
            <w14:solidFill>
              <w14:schemeClr w14:val="tx1"/>
            </w14:solidFill>
          </w14:textFill>
        </w:rPr>
        <w:t>服务及服务最终形成的成果（若有）不符合要求或不及时提供服务，甲方有权延长相应服务期；</w:t>
      </w:r>
      <w:r>
        <w:rPr>
          <w:rFonts w:hint="eastAsia" w:ascii="仿宋_GB2312" w:hAnsi="仿宋" w:eastAsia="仿宋_GB2312"/>
          <w:color w:val="000000" w:themeColor="text1"/>
          <w:spacing w:val="-4"/>
          <w:kern w:val="0"/>
          <w:sz w:val="30"/>
          <w:szCs w:val="30"/>
          <w:highlight w:val="none"/>
          <w14:textFill>
            <w14:solidFill>
              <w14:schemeClr w14:val="tx1"/>
            </w14:solidFill>
          </w14:textFill>
        </w:rPr>
        <w:t>在规定时间内不能解决故障，甲方有权寻求第三方协助，由此产生费用由乙方承担；对发生上述影响服务质量的情形，经催告，在合理期限内乙方仍未改进的，甲方有权解除合同，乙方应退还甲方支付的合同款，同时应承担甲方接受该服务的产生直接费用（货款利息及银行手续费以及其他费用等）。</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3.在服务期内，乙方应对服务及服务最终形成的成果（若有）的质量及安全问题负责处理解决并承担一切费用。</w:t>
      </w:r>
    </w:p>
    <w:p>
      <w:pPr>
        <w:tabs>
          <w:tab w:val="left" w:pos="180"/>
        </w:tabs>
        <w:snapToGrid w:val="0"/>
        <w:spacing w:line="480" w:lineRule="exact"/>
        <w:ind w:firstLine="586"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十、调试和验收</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1.乙方按合同规定完成交货或服务后，应当按照合同约定通知甲方对其提供的货物、工程或服务进行验收。乙方应当提供货物、工程或者服务及</w:t>
      </w:r>
      <w:bookmarkStart w:id="51" w:name="_Hlk70427980"/>
      <w:r>
        <w:rPr>
          <w:rFonts w:hint="eastAsia" w:ascii="仿宋_GB2312" w:hAnsi="仿宋" w:eastAsia="仿宋_GB2312"/>
          <w:color w:val="000000" w:themeColor="text1"/>
          <w:spacing w:val="-4"/>
          <w:kern w:val="0"/>
          <w:sz w:val="30"/>
          <w:szCs w:val="30"/>
          <w:highlight w:val="none"/>
          <w14:textFill>
            <w14:solidFill>
              <w14:schemeClr w14:val="tx1"/>
            </w14:solidFill>
          </w14:textFill>
        </w:rPr>
        <w:t>服务最终形成的成果</w:t>
      </w:r>
      <w:bookmarkEnd w:id="51"/>
      <w:r>
        <w:rPr>
          <w:rFonts w:hint="eastAsia" w:ascii="仿宋_GB2312" w:hAnsi="仿宋" w:eastAsia="仿宋_GB2312"/>
          <w:color w:val="000000" w:themeColor="text1"/>
          <w:spacing w:val="-4"/>
          <w:kern w:val="0"/>
          <w:sz w:val="30"/>
          <w:szCs w:val="30"/>
          <w:highlight w:val="none"/>
          <w14:textFill>
            <w14:solidFill>
              <w14:schemeClr w14:val="tx1"/>
            </w14:solidFill>
          </w14:textFill>
        </w:rPr>
        <w:t>（若有）的技术资料、合格证明以及验收所必须具备的其他材料，协助甲方开展验收。货物或服务交付后，甲方需在五个工作日内验收。</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甲方根据《浙江省政府采购合同暂行办法》有关验收规定，组织对乙方履约的验收。大型或者复杂的政府采购项目，应当邀请国家认可的质量检测机构参加验收工作。验收方成员应当在验收报告上签字，并承担相应的法律责任。</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3.甲方按照政府采购合同规定的技术、服务、安全标准组织对乙方履约情况进行验收，并出具验收报告。验收报告应当包括每一项技术、服务、安全标准的执行情况。</w:t>
      </w:r>
    </w:p>
    <w:p>
      <w:pPr>
        <w:tabs>
          <w:tab w:val="left" w:pos="180"/>
        </w:tabs>
        <w:snapToGrid w:val="0"/>
        <w:spacing w:line="480" w:lineRule="exact"/>
        <w:ind w:firstLine="584" w:firstLineChars="200"/>
        <w:rPr>
          <w:rFonts w:ascii="仿宋_GB2312" w:hAnsi="仿宋" w:eastAsia="仿宋_GB2312"/>
          <w:snapToGrid w:val="0"/>
          <w:color w:val="000000" w:themeColor="text1"/>
          <w:spacing w:val="-4"/>
          <w:kern w:val="0"/>
          <w:sz w:val="30"/>
          <w:szCs w:val="30"/>
          <w:highlight w:val="none"/>
          <w14:textFill>
            <w14:solidFill>
              <w14:schemeClr w14:val="tx1"/>
            </w14:solidFill>
          </w14:textFill>
        </w:rPr>
      </w:pPr>
      <w:r>
        <w:rPr>
          <w:rFonts w:hint="eastAsia" w:ascii="仿宋_GB2312" w:hAnsi="仿宋" w:eastAsia="仿宋_GB2312"/>
          <w:snapToGrid w:val="0"/>
          <w:color w:val="000000" w:themeColor="text1"/>
          <w:spacing w:val="-4"/>
          <w:kern w:val="0"/>
          <w:sz w:val="30"/>
          <w:szCs w:val="30"/>
          <w:highlight w:val="none"/>
          <w14:textFill>
            <w14:solidFill>
              <w14:schemeClr w14:val="tx1"/>
            </w14:solidFill>
          </w14:textFill>
        </w:rPr>
        <w:t>4.验收时乙方必须在现场，验收过程中产生的费用由甲方承担。</w:t>
      </w:r>
    </w:p>
    <w:p>
      <w:pPr>
        <w:tabs>
          <w:tab w:val="left" w:pos="180"/>
        </w:tabs>
        <w:snapToGrid w:val="0"/>
        <w:spacing w:line="480" w:lineRule="exact"/>
        <w:ind w:firstLine="584" w:firstLineChars="200"/>
        <w:rPr>
          <w:rFonts w:ascii="仿宋_GB2312" w:hAnsi="仿宋" w:eastAsia="仿宋_GB2312"/>
          <w:snapToGrid w:val="0"/>
          <w:color w:val="000000" w:themeColor="text1"/>
          <w:spacing w:val="-4"/>
          <w:kern w:val="0"/>
          <w:sz w:val="30"/>
          <w:szCs w:val="30"/>
          <w:highlight w:val="none"/>
          <w14:textFill>
            <w14:solidFill>
              <w14:schemeClr w14:val="tx1"/>
            </w14:solidFill>
          </w14:textFill>
        </w:rPr>
      </w:pPr>
      <w:r>
        <w:rPr>
          <w:rFonts w:hint="eastAsia" w:ascii="仿宋_GB2312" w:hAnsi="仿宋" w:eastAsia="仿宋_GB2312"/>
          <w:snapToGrid w:val="0"/>
          <w:color w:val="000000" w:themeColor="text1"/>
          <w:spacing w:val="-4"/>
          <w:kern w:val="0"/>
          <w:sz w:val="30"/>
          <w:szCs w:val="30"/>
          <w:highlight w:val="none"/>
          <w14:textFill>
            <w14:solidFill>
              <w14:schemeClr w14:val="tx1"/>
            </w14:solidFill>
          </w14:textFill>
        </w:rPr>
        <w:t>5.和服务有关的文档（若有）需随服务一并提供。</w:t>
      </w:r>
    </w:p>
    <w:p>
      <w:pPr>
        <w:tabs>
          <w:tab w:val="left" w:pos="180"/>
        </w:tabs>
        <w:snapToGrid w:val="0"/>
        <w:spacing w:line="480" w:lineRule="exact"/>
        <w:ind w:firstLine="586" w:firstLineChars="200"/>
        <w:rPr>
          <w:rFonts w:ascii="仿宋_GB2312" w:hAnsi="仿宋" w:eastAsia="仿宋_GB2312"/>
          <w:snapToGrid w:val="0"/>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十</w:t>
      </w: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一</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、违约责任</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1.甲方无正当理由拒收服务的，甲方向乙方偿付拒收货款总值的百分之五违约金。</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2.甲方无故逾期验收和办理货款支付手续的，甲方应按逾期付款总额每日万分之五向乙方支付违约金。</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乙方逾期提供服务的，乙方应按逾期交货总额每日千分之六向甲方支付违约金，由甲方从待付货款中扣除。逾期超过约定日期10个工作日不能交货的，甲方可解除本合同。乙方因逾期提供服务及服务最终形成的成果（若有）或因其他违约行为导致甲方解除合同的，乙方应向甲方支付合同总值5%的违约金，如造成甲方损失超过违约金的，超出部分由乙方继续承担赔偿责任。</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4.乙方所提供服务及服务最终形成的成果（若有）的质量不符合合同规定及招标文件规定标准的，甲方有权拒收该服务及服务最终形成的成果（若有），乙方愿意重新提供服务但逾期提供的，按乙方逾期提供服务处理。乙方拒绝重新提供服务的，甲方可单方面解除合同。</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5.解除合同应按《浙江省政府采购合同暂行办法》规定向财政部门备案。</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十</w:t>
      </w: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二</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、不可抗力事件处理</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1.在合同有效期内，任何一方因不可抗力事件导致不能履行合同，则合同履行期可延长，其延长期与不可抗力影响期相同。</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2.不可抗力事件发生后，应立即通知对方，并寄送有关权威机构出具的证明。</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3.不可抗力事件延续120日以上，双方应通过友好协商，确定是否继续履行合同。</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十</w:t>
      </w: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三</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、诉讼</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双方在执行合同中所发生的一切争议，应通过协商解决。如协商不成，可向甲方所在地法院起诉。</w:t>
      </w:r>
    </w:p>
    <w:p>
      <w:pPr>
        <w:tabs>
          <w:tab w:val="left" w:pos="180"/>
        </w:tabs>
        <w:snapToGrid w:val="0"/>
        <w:spacing w:line="480" w:lineRule="exact"/>
        <w:ind w:firstLine="586" w:firstLineChars="200"/>
        <w:rPr>
          <w:rFonts w:ascii="仿宋_GB2312" w:hAnsi="仿宋" w:eastAsia="仿宋_GB2312"/>
          <w:b/>
          <w:color w:val="000000" w:themeColor="text1"/>
          <w:spacing w:val="-4"/>
          <w:kern w:val="0"/>
          <w:sz w:val="30"/>
          <w:szCs w:val="30"/>
          <w:highlight w:val="none"/>
          <w14:textFill>
            <w14:solidFill>
              <w14:schemeClr w14:val="tx1"/>
            </w14:solidFill>
          </w14:textFill>
        </w:rPr>
      </w:pPr>
      <w:r>
        <w:rPr>
          <w:rFonts w:hint="eastAsia" w:ascii="仿宋_GB2312" w:hAnsi="仿宋" w:eastAsia="仿宋_GB2312"/>
          <w:b/>
          <w:color w:val="000000" w:themeColor="text1"/>
          <w:spacing w:val="-4"/>
          <w:kern w:val="0"/>
          <w:sz w:val="30"/>
          <w:szCs w:val="30"/>
          <w:highlight w:val="none"/>
          <w14:textFill>
            <w14:solidFill>
              <w14:schemeClr w14:val="tx1"/>
            </w14:solidFill>
          </w14:textFill>
        </w:rPr>
        <w:t>十</w:t>
      </w:r>
      <w:r>
        <w:rPr>
          <w:rFonts w:hint="eastAsia" w:ascii="仿宋_GB2312" w:hAnsi="仿宋" w:eastAsia="仿宋_GB2312"/>
          <w:b/>
          <w:color w:val="000000" w:themeColor="text1"/>
          <w:spacing w:val="-4"/>
          <w:kern w:val="0"/>
          <w:sz w:val="30"/>
          <w:szCs w:val="30"/>
          <w:highlight w:val="none"/>
          <w:lang w:val="en-US" w:eastAsia="zh-CN"/>
          <w14:textFill>
            <w14:solidFill>
              <w14:schemeClr w14:val="tx1"/>
            </w14:solidFill>
          </w14:textFill>
        </w:rPr>
        <w:t>四</w:t>
      </w:r>
      <w:r>
        <w:rPr>
          <w:rFonts w:hint="eastAsia" w:ascii="仿宋_GB2312" w:hAnsi="仿宋" w:eastAsia="仿宋_GB2312"/>
          <w:b/>
          <w:color w:val="000000" w:themeColor="text1"/>
          <w:spacing w:val="-4"/>
          <w:kern w:val="0"/>
          <w:sz w:val="30"/>
          <w:szCs w:val="30"/>
          <w:highlight w:val="none"/>
          <w14:textFill>
            <w14:solidFill>
              <w14:schemeClr w14:val="tx1"/>
            </w14:solidFill>
          </w14:textFill>
        </w:rPr>
        <w:t>、合同生效及其它</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1.合同经甲、乙双方签字（或签章）并加盖单位公章（或单位合同专用章）后生效。</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2.</w:t>
      </w:r>
      <w:r>
        <w:rPr>
          <w:rFonts w:hint="eastAsia" w:ascii="仿宋_GB2312" w:hAnsi="仿宋" w:eastAsia="仿宋_GB2312"/>
          <w:color w:val="000000" w:themeColor="text1"/>
          <w:kern w:val="0"/>
          <w:sz w:val="30"/>
          <w:szCs w:val="30"/>
          <w:highlight w:val="none"/>
          <w14:textFill>
            <w14:solidFill>
              <w14:schemeClr w14:val="tx1"/>
            </w14:solidFill>
          </w14:textFill>
        </w:rPr>
        <w:t>合同执行中涉及采购资金和采购内容修改或补充的，须双方经财政部门审批，并签书面补充协议，经报政府采购监督管理部门备案后，方可作为主合同不可分割的一部分。</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3.招标文件、投标文件与本合同具有同等法律效力。</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4.</w:t>
      </w:r>
      <w:r>
        <w:rPr>
          <w:rFonts w:hint="eastAsia" w:ascii="仿宋_GB2312" w:hAnsi="仿宋" w:eastAsia="仿宋_GB2312"/>
          <w:color w:val="000000" w:themeColor="text1"/>
          <w:kern w:val="0"/>
          <w:sz w:val="30"/>
          <w:szCs w:val="30"/>
          <w:highlight w:val="none"/>
          <w14:textFill>
            <w14:solidFill>
              <w14:schemeClr w14:val="tx1"/>
            </w14:solidFill>
          </w14:textFill>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napToGrid w:val="0"/>
        <w:spacing w:line="480" w:lineRule="exact"/>
        <w:ind w:firstLine="621"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5.</w:t>
      </w:r>
      <w:r>
        <w:rPr>
          <w:rFonts w:hint="eastAsia" w:ascii="仿宋_GB2312" w:hAnsi="仿宋" w:eastAsia="仿宋_GB2312"/>
          <w:color w:val="000000" w:themeColor="text1"/>
          <w:kern w:val="0"/>
          <w:sz w:val="30"/>
          <w:szCs w:val="30"/>
          <w:highlight w:val="none"/>
          <w14:textFill>
            <w14:solidFill>
              <w14:schemeClr w14:val="tx1"/>
            </w14:solidFill>
          </w14:textFill>
        </w:rPr>
        <w:t>本合同未尽事宜，遵照《中华人民共和国民法典》有关条文执行。</w:t>
      </w:r>
    </w:p>
    <w:p>
      <w:pPr>
        <w:tabs>
          <w:tab w:val="left" w:pos="180"/>
        </w:tabs>
        <w:snapToGrid w:val="0"/>
        <w:spacing w:line="480" w:lineRule="exact"/>
        <w:ind w:firstLine="584" w:firstLineChars="200"/>
        <w:rPr>
          <w:rFonts w:ascii="仿宋_GB2312" w:hAnsi="仿宋" w:eastAsia="仿宋_GB2312"/>
          <w:color w:val="000000" w:themeColor="text1"/>
          <w:spacing w:val="-4"/>
          <w:kern w:val="0"/>
          <w:sz w:val="30"/>
          <w:szCs w:val="30"/>
          <w:highlight w:val="none"/>
          <w14:textFill>
            <w14:solidFill>
              <w14:schemeClr w14:val="tx1"/>
            </w14:solidFill>
          </w14:textFill>
        </w:rPr>
      </w:pPr>
      <w:r>
        <w:rPr>
          <w:rFonts w:hint="eastAsia" w:ascii="仿宋_GB2312" w:hAnsi="仿宋" w:eastAsia="仿宋_GB2312"/>
          <w:color w:val="000000" w:themeColor="text1"/>
          <w:spacing w:val="-4"/>
          <w:kern w:val="0"/>
          <w:sz w:val="30"/>
          <w:szCs w:val="30"/>
          <w:highlight w:val="none"/>
          <w14:textFill>
            <w14:solidFill>
              <w14:schemeClr w14:val="tx1"/>
            </w14:solidFill>
          </w14:textFill>
        </w:rPr>
        <w:t>6.本合同一式陆份，甲乙双方各执叁份，具有同等法律效力。</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甲  方（盖章）：               乙  方（盖章）：</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法定（授权）代表人：           法定（授权）代表人：</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地  址：                       地  址：</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邮  编：                       邮  编：</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电  话：                       电  话：</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传  真：                       传  真：</w:t>
      </w:r>
    </w:p>
    <w:p>
      <w:pPr>
        <w:snapToGrid w:val="0"/>
        <w:spacing w:line="480" w:lineRule="exact"/>
        <w:ind w:firstLine="5289" w:firstLineChars="176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开户银行：</w:t>
      </w:r>
    </w:p>
    <w:p>
      <w:pPr>
        <w:snapToGrid w:val="0"/>
        <w:spacing w:line="480" w:lineRule="exact"/>
        <w:ind w:firstLine="5289" w:firstLineChars="176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账  号：</w:t>
      </w:r>
    </w:p>
    <w:p>
      <w:pPr>
        <w:snapToGrid w:val="0"/>
        <w:spacing w:line="480" w:lineRule="exact"/>
        <w:ind w:firstLine="639" w:firstLineChars="213"/>
        <w:rPr>
          <w:rFonts w:ascii="仿宋_GB2312" w:hAnsi="仿宋" w:eastAsia="仿宋_GB2312"/>
          <w:color w:val="000000" w:themeColor="text1"/>
          <w:kern w:val="0"/>
          <w:sz w:val="30"/>
          <w:szCs w:val="30"/>
          <w:highlight w:val="none"/>
          <w14:textFill>
            <w14:solidFill>
              <w14:schemeClr w14:val="tx1"/>
            </w14:solidFill>
          </w14:textFill>
        </w:rPr>
      </w:pPr>
    </w:p>
    <w:p>
      <w:pPr>
        <w:snapToGrid w:val="0"/>
        <w:spacing w:line="480" w:lineRule="exact"/>
        <w:ind w:firstLine="4389" w:firstLineChars="1463"/>
        <w:rPr>
          <w:rFonts w:ascii="仿宋_GB2312" w:hAnsi="仿宋" w:eastAsia="仿宋_GB2312"/>
          <w:color w:val="000000" w:themeColor="text1"/>
          <w:kern w:val="0"/>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签约时间：</w:t>
      </w:r>
      <w:r>
        <w:rPr>
          <w:rFonts w:hint="eastAsia" w:ascii="仿宋_GB2312" w:hAnsi="仿宋" w:eastAsia="仿宋_GB2312"/>
          <w:color w:val="000000" w:themeColor="text1"/>
          <w:kern w:val="0"/>
          <w:sz w:val="30"/>
          <w:szCs w:val="30"/>
          <w:highlight w:val="none"/>
          <w:lang w:val="en-US" w:eastAsia="zh-CN"/>
          <w14:textFill>
            <w14:solidFill>
              <w14:schemeClr w14:val="tx1"/>
            </w14:solidFill>
          </w14:textFill>
        </w:rPr>
        <w:t xml:space="preserve">    </w:t>
      </w:r>
      <w:r>
        <w:rPr>
          <w:rFonts w:hint="eastAsia" w:ascii="仿宋_GB2312" w:hAnsi="仿宋" w:eastAsia="仿宋_GB2312"/>
          <w:color w:val="000000" w:themeColor="text1"/>
          <w:kern w:val="0"/>
          <w:sz w:val="30"/>
          <w:szCs w:val="30"/>
          <w:highlight w:val="none"/>
          <w14:textFill>
            <w14:solidFill>
              <w14:schemeClr w14:val="tx1"/>
            </w14:solidFill>
          </w14:textFill>
        </w:rPr>
        <w:t>年   月  日</w:t>
      </w:r>
    </w:p>
    <w:p>
      <w:pPr>
        <w:snapToGrid w:val="0"/>
        <w:spacing w:line="480" w:lineRule="exact"/>
        <w:ind w:firstLine="4389" w:firstLineChars="1463"/>
        <w:rPr>
          <w:rFonts w:ascii="仿宋_GB2312" w:hAnsi="仿宋" w:eastAsia="仿宋_GB2312"/>
          <w:b/>
          <w:bCs/>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kern w:val="0"/>
          <w:sz w:val="30"/>
          <w:szCs w:val="30"/>
          <w:highlight w:val="none"/>
          <w14:textFill>
            <w14:solidFill>
              <w14:schemeClr w14:val="tx1"/>
            </w14:solidFill>
          </w14:textFill>
        </w:rPr>
        <w:t>签约地点：杭州</w:t>
      </w:r>
    </w:p>
    <w:p>
      <w:pPr>
        <w:snapToGrid w:val="0"/>
        <w:spacing w:line="480" w:lineRule="exact"/>
        <w:ind w:firstLine="4406" w:firstLineChars="1463"/>
        <w:rPr>
          <w:rFonts w:eastAsia="仿宋_GB2312"/>
          <w:b/>
          <w:bCs/>
          <w:color w:val="000000" w:themeColor="text1"/>
          <w:sz w:val="30"/>
          <w:szCs w:val="30"/>
          <w:highlight w:val="none"/>
          <w14:textFill>
            <w14:solidFill>
              <w14:schemeClr w14:val="tx1"/>
            </w14:solidFill>
          </w14:textFill>
        </w:rPr>
      </w:pPr>
    </w:p>
    <w:p>
      <w:pPr>
        <w:pStyle w:val="2"/>
        <w:pageBreakBefore/>
        <w:spacing w:before="240" w:beforeLines="100"/>
        <w:rPr>
          <w:rFonts w:ascii="仿宋_GB2312" w:eastAsia="仿宋_GB2312"/>
          <w:color w:val="000000" w:themeColor="text1"/>
          <w:highlight w:val="none"/>
          <w14:textFill>
            <w14:solidFill>
              <w14:schemeClr w14:val="tx1"/>
            </w14:solidFill>
          </w14:textFill>
        </w:rPr>
      </w:pPr>
      <w:bookmarkStart w:id="52" w:name="_Toc109755341"/>
      <w:bookmarkStart w:id="53" w:name="_Toc26337"/>
      <w:r>
        <w:rPr>
          <w:rFonts w:hint="eastAsia" w:ascii="仿宋_GB2312" w:eastAsia="仿宋_GB2312"/>
          <w:color w:val="000000" w:themeColor="text1"/>
          <w:highlight w:val="none"/>
          <w14:textFill>
            <w14:solidFill>
              <w14:schemeClr w14:val="tx1"/>
            </w14:solidFill>
          </w14:textFill>
        </w:rPr>
        <w:t>第六章  投标文件格式附件</w:t>
      </w:r>
      <w:bookmarkEnd w:id="47"/>
      <w:bookmarkEnd w:id="48"/>
      <w:bookmarkEnd w:id="49"/>
      <w:bookmarkEnd w:id="50"/>
      <w:bookmarkEnd w:id="52"/>
      <w:bookmarkEnd w:id="53"/>
    </w:p>
    <w:p>
      <w:pPr>
        <w:snapToGrid w:val="0"/>
        <w:jc w:val="center"/>
        <w:rPr>
          <w:rFonts w:eastAsia="仿宋_GB2312"/>
          <w:b/>
          <w:color w:val="000000" w:themeColor="text1"/>
          <w:sz w:val="36"/>
          <w:szCs w:val="36"/>
          <w:highlight w:val="none"/>
          <w14:textFill>
            <w14:solidFill>
              <w14:schemeClr w14:val="tx1"/>
            </w14:solidFill>
          </w14:textFill>
        </w:rPr>
      </w:pPr>
    </w:p>
    <w:p>
      <w:pPr>
        <w:snapToGrid w:val="0"/>
        <w:jc w:val="center"/>
        <w:rPr>
          <w:rFonts w:eastAsia="仿宋_GB2312"/>
          <w:b/>
          <w:color w:val="000000" w:themeColor="text1"/>
          <w:sz w:val="36"/>
          <w:szCs w:val="36"/>
          <w:highlight w:val="none"/>
          <w14:textFill>
            <w14:solidFill>
              <w14:schemeClr w14:val="tx1"/>
            </w14:solidFill>
          </w14:textFill>
        </w:rPr>
      </w:pPr>
    </w:p>
    <w:p>
      <w:pPr>
        <w:snapToGrid w:val="0"/>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附件1</w:t>
      </w:r>
    </w:p>
    <w:p>
      <w:pPr>
        <w:ind w:firstLine="7050" w:firstLineChars="235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正本或副本</w:t>
      </w:r>
    </w:p>
    <w:p>
      <w:pPr>
        <w:ind w:firstLine="7078" w:firstLineChars="2350"/>
        <w:rPr>
          <w:rFonts w:ascii="Times New Roman" w:hAnsi="Times New Roman" w:eastAsia="仿宋_GB2312"/>
          <w:b/>
          <w:color w:val="000000" w:themeColor="text1"/>
          <w:sz w:val="30"/>
          <w:szCs w:val="30"/>
          <w:highlight w:val="none"/>
          <w14:textFill>
            <w14:solidFill>
              <w14:schemeClr w14:val="tx1"/>
            </w14:solidFill>
          </w14:textFill>
        </w:rPr>
      </w:pPr>
    </w:p>
    <w:p>
      <w:pPr>
        <w:ind w:right="-110"/>
        <w:jc w:val="center"/>
        <w:rPr>
          <w:rFonts w:ascii="Times New Roman" w:hAnsi="Times New Roman" w:eastAsia="仿宋_GB2312"/>
          <w:color w:val="000000" w:themeColor="text1"/>
          <w:spacing w:val="40"/>
          <w:sz w:val="52"/>
          <w:szCs w:val="52"/>
          <w:highlight w:val="none"/>
          <w14:textFill>
            <w14:solidFill>
              <w14:schemeClr w14:val="tx1"/>
            </w14:solidFill>
          </w14:textFill>
        </w:rPr>
      </w:pPr>
      <w:r>
        <w:rPr>
          <w:rFonts w:hint="eastAsia" w:ascii="Times New Roman" w:hAnsi="Times New Roman" w:eastAsia="仿宋_GB2312"/>
          <w:color w:val="000000" w:themeColor="text1"/>
          <w:spacing w:val="40"/>
          <w:sz w:val="52"/>
          <w:szCs w:val="52"/>
          <w:highlight w:val="none"/>
          <w14:textFill>
            <w14:solidFill>
              <w14:schemeClr w14:val="tx1"/>
            </w14:solidFill>
          </w14:textFill>
        </w:rPr>
        <w:t>***项目名称</w:t>
      </w:r>
    </w:p>
    <w:p>
      <w:pPr>
        <w:spacing w:before="240" w:beforeLines="100" w:line="240" w:lineRule="atLeast"/>
        <w:ind w:right="-108"/>
        <w:jc w:val="center"/>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项目编号：</w:t>
      </w:r>
      <w:r>
        <w:rPr>
          <w:rFonts w:hint="eastAsia" w:ascii="Times New Roman" w:hAnsi="Times New Roman" w:eastAsia="仿宋_GB2312"/>
          <w:b/>
          <w:color w:val="000000" w:themeColor="text1"/>
          <w:sz w:val="36"/>
          <w:szCs w:val="36"/>
          <w:highlight w:val="none"/>
          <w:lang w:eastAsia="zh-CN"/>
          <w14:textFill>
            <w14:solidFill>
              <w14:schemeClr w14:val="tx1"/>
            </w14:solidFill>
          </w14:textFill>
        </w:rPr>
        <w:t>2024-XXHGC-8</w:t>
      </w:r>
      <w:r>
        <w:rPr>
          <w:rFonts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color w:val="000000" w:themeColor="text1"/>
          <w:sz w:val="36"/>
          <w:szCs w:val="36"/>
          <w:highlight w:val="none"/>
          <w14:textFill>
            <w14:solidFill>
              <w14:schemeClr w14:val="tx1"/>
            </w14:solidFill>
          </w14:textFill>
        </w:rPr>
        <w:t>标项</w:t>
      </w:r>
      <w:r>
        <w:rPr>
          <w:rFonts w:ascii="Times New Roman" w:hAnsi="Times New Roman" w:eastAsia="仿宋_GB2312"/>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color w:val="000000" w:themeColor="text1"/>
          <w:sz w:val="36"/>
          <w:szCs w:val="36"/>
          <w:highlight w:val="none"/>
          <w14:textFill>
            <w14:solidFill>
              <w14:schemeClr w14:val="tx1"/>
            </w14:solidFill>
          </w14:textFill>
        </w:rPr>
        <w:t xml:space="preserve"> </w:t>
      </w:r>
    </w:p>
    <w:p>
      <w:pPr>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bookmarkStart w:id="54" w:name="_Hlk75944646"/>
    </w:p>
    <w:p>
      <w:pPr>
        <w:spacing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资</w:t>
      </w:r>
    </w:p>
    <w:p>
      <w:pPr>
        <w:spacing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质</w:t>
      </w:r>
    </w:p>
    <w:p>
      <w:pPr>
        <w:spacing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文</w:t>
      </w:r>
    </w:p>
    <w:p>
      <w:pPr>
        <w:spacing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件</w:t>
      </w:r>
    </w:p>
    <w:bookmarkEnd w:id="54"/>
    <w:p>
      <w:pPr>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p>
    <w:p>
      <w:pPr>
        <w:spacing w:line="520" w:lineRule="exact"/>
        <w:ind w:right="533"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单位全称（公章）：</w:t>
      </w:r>
    </w:p>
    <w:p>
      <w:pPr>
        <w:spacing w:line="520" w:lineRule="exact"/>
        <w:ind w:right="533"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6"/>
          <w:szCs w:val="36"/>
          <w:highlight w:val="none"/>
          <w14:textFill>
            <w14:solidFill>
              <w14:schemeClr w14:val="tx1"/>
            </w14:solidFill>
          </w14:textFill>
        </w:rPr>
        <w:t>姓名：</w:t>
      </w:r>
    </w:p>
    <w:p>
      <w:pPr>
        <w:spacing w:line="520" w:lineRule="exact"/>
        <w:ind w:right="533"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地    址：</w:t>
      </w:r>
    </w:p>
    <w:p>
      <w:pPr>
        <w:spacing w:line="520" w:lineRule="exact"/>
        <w:ind w:right="533"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时    间：</w:t>
      </w:r>
    </w:p>
    <w:p>
      <w:pPr>
        <w:spacing w:line="520" w:lineRule="exact"/>
        <w:ind w:right="533" w:firstLine="720" w:firstLineChars="200"/>
        <w:rPr>
          <w:rFonts w:ascii="Times New Roman" w:hAnsi="Times New Roman" w:eastAsia="仿宋_GB2312"/>
          <w:color w:val="000000" w:themeColor="text1"/>
          <w:sz w:val="36"/>
          <w:szCs w:val="36"/>
          <w:highlight w:val="none"/>
          <w14:textFill>
            <w14:solidFill>
              <w14:schemeClr w14:val="tx1"/>
            </w14:solidFill>
          </w14:textFill>
        </w:rPr>
      </w:pPr>
    </w:p>
    <w:p>
      <w:pPr>
        <w:pageBreakBefore/>
        <w:snapToGrid w:val="0"/>
        <w:spacing w:before="50" w:after="50" w:line="480" w:lineRule="exact"/>
        <w:ind w:firstLine="643" w:firstLineChars="200"/>
        <w:rPr>
          <w:rFonts w:ascii="Times New Roman" w:hAnsi="Times New Roman" w:eastAsia="仿宋_GB2312"/>
          <w:b/>
          <w:bCs/>
          <w:color w:val="000000" w:themeColor="text1"/>
          <w:sz w:val="32"/>
          <w:szCs w:val="32"/>
          <w:highlight w:val="none"/>
          <w14:textFill>
            <w14:solidFill>
              <w14:schemeClr w14:val="tx1"/>
            </w14:solidFill>
          </w14:textFill>
        </w:rPr>
      </w:pPr>
      <w:bookmarkStart w:id="55" w:name="_Hlk75944703"/>
      <w:r>
        <w:rPr>
          <w:rFonts w:hint="eastAsia" w:ascii="Times New Roman" w:hAnsi="Times New Roman" w:eastAsia="仿宋_GB2312"/>
          <w:b/>
          <w:color w:val="000000" w:themeColor="text1"/>
          <w:sz w:val="32"/>
          <w:szCs w:val="32"/>
          <w:highlight w:val="none"/>
          <w14:textFill>
            <w14:solidFill>
              <w14:schemeClr w14:val="tx1"/>
            </w14:solidFill>
          </w14:textFill>
        </w:rPr>
        <w:t>一、</w:t>
      </w:r>
      <w:r>
        <w:rPr>
          <w:rFonts w:hint="eastAsia" w:ascii="Times New Roman" w:hAnsi="Times New Roman" w:eastAsia="仿宋_GB2312"/>
          <w:b/>
          <w:bCs/>
          <w:color w:val="000000" w:themeColor="text1"/>
          <w:sz w:val="32"/>
          <w:szCs w:val="32"/>
          <w:highlight w:val="none"/>
          <w14:textFill>
            <w14:solidFill>
              <w14:schemeClr w14:val="tx1"/>
            </w14:solidFill>
          </w14:textFill>
        </w:rPr>
        <w:t>资质文件目录</w:t>
      </w:r>
    </w:p>
    <w:p>
      <w:pPr>
        <w:tabs>
          <w:tab w:val="center" w:pos="4478"/>
        </w:tabs>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（一）投标声明书（见附件2）；</w:t>
      </w:r>
    </w:p>
    <w:p>
      <w:pPr>
        <w:snapToGrid w:val="0"/>
        <w:spacing w:line="480" w:lineRule="exact"/>
        <w:ind w:firstLine="588" w:firstLineChars="196"/>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（二）法定代表人授权委托书（见附件3）；</w:t>
      </w:r>
    </w:p>
    <w:p>
      <w:pPr>
        <w:snapToGrid w:val="0"/>
        <w:spacing w:line="480" w:lineRule="exact"/>
        <w:ind w:firstLine="588" w:firstLineChars="196"/>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（三）提供符合要求的营业执照复印件并加盖投标人公章；事业单位的，则提供有效的《事业单位法人证书》副本复印件并加盖投标人公章；</w:t>
      </w:r>
      <w:r>
        <w:rPr>
          <w:rFonts w:hint="eastAsia" w:ascii="仿宋_GB2312" w:hAnsi="仿宋" w:eastAsia="仿宋_GB2312"/>
          <w:color w:val="000000" w:themeColor="text1"/>
          <w:sz w:val="30"/>
          <w:szCs w:val="30"/>
          <w:highlight w:val="none"/>
          <w14:textFill>
            <w14:solidFill>
              <w14:schemeClr w14:val="tx1"/>
            </w14:solidFill>
          </w14:textFill>
        </w:rPr>
        <w:t>社会团体法人的，则提供有效的《社会团体法人登记证书》副本复印件并加盖单位公章；</w:t>
      </w:r>
      <w:r>
        <w:rPr>
          <w:rFonts w:hint="eastAsia" w:ascii="Times New Roman" w:hAnsi="Times New Roman" w:eastAsia="仿宋_GB2312"/>
          <w:color w:val="000000" w:themeColor="text1"/>
          <w:sz w:val="30"/>
          <w:szCs w:val="30"/>
          <w:highlight w:val="none"/>
          <w14:textFill>
            <w14:solidFill>
              <w14:schemeClr w14:val="tx1"/>
            </w14:solidFill>
          </w14:textFill>
        </w:rPr>
        <w:t>自然人的，则提供有效的身份证复印件并签字；</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（四）联合投标协议书（若需要，格式见附件</w:t>
      </w:r>
      <w:r>
        <w:rPr>
          <w:rFonts w:ascii="Times New Roman" w:hAnsi="Times New Roman" w:eastAsia="仿宋_GB2312"/>
          <w:color w:val="000000" w:themeColor="text1"/>
          <w:sz w:val="30"/>
          <w:szCs w:val="30"/>
          <w:highlight w:val="none"/>
          <w14:textFill>
            <w14:solidFill>
              <w14:schemeClr w14:val="tx1"/>
            </w14:solidFill>
          </w14:textFill>
        </w:rPr>
        <w:t>4</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（五）联合投标授权委托书（若需要，格式见附件</w:t>
      </w:r>
      <w:r>
        <w:rPr>
          <w:rFonts w:ascii="Times New Roman" w:hAnsi="Times New Roman" w:eastAsia="仿宋_GB2312"/>
          <w:color w:val="000000" w:themeColor="text1"/>
          <w:sz w:val="30"/>
          <w:szCs w:val="30"/>
          <w:highlight w:val="none"/>
          <w14:textFill>
            <w14:solidFill>
              <w14:schemeClr w14:val="tx1"/>
            </w14:solidFill>
          </w14:textFill>
        </w:rPr>
        <w:t>5</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（六）分包意向协议（若需要，格式见附件</w:t>
      </w:r>
      <w:r>
        <w:rPr>
          <w:rFonts w:ascii="Times New Roman" w:hAnsi="Times New Roman" w:eastAsia="仿宋_GB2312"/>
          <w:color w:val="000000" w:themeColor="text1"/>
          <w:sz w:val="30"/>
          <w:szCs w:val="30"/>
          <w:highlight w:val="none"/>
          <w14:textFill>
            <w14:solidFill>
              <w14:schemeClr w14:val="tx1"/>
            </w14:solidFill>
          </w14:textFill>
        </w:rPr>
        <w:t>6</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（七）中小企业声明函（若需要，见附件</w:t>
      </w:r>
      <w:r>
        <w:rPr>
          <w:rFonts w:ascii="Times New Roman" w:hAnsi="Times New Roman" w:eastAsia="仿宋_GB2312"/>
          <w:color w:val="000000" w:themeColor="text1"/>
          <w:sz w:val="30"/>
          <w:szCs w:val="30"/>
          <w:highlight w:val="none"/>
          <w14:textFill>
            <w14:solidFill>
              <w14:schemeClr w14:val="tx1"/>
            </w14:solidFill>
          </w14:textFill>
        </w:rPr>
        <w:t>7</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（八）残疾人福利企业声明函（若需要，见附件</w:t>
      </w:r>
      <w:r>
        <w:rPr>
          <w:rFonts w:ascii="Times New Roman" w:hAnsi="Times New Roman" w:eastAsia="仿宋_GB2312"/>
          <w:color w:val="000000" w:themeColor="text1"/>
          <w:sz w:val="30"/>
          <w:szCs w:val="30"/>
          <w:highlight w:val="none"/>
          <w14:textFill>
            <w14:solidFill>
              <w14:schemeClr w14:val="tx1"/>
            </w14:solidFill>
          </w14:textFill>
        </w:rPr>
        <w:t>8</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（九）监狱企业声明函（若需要，格式自拟）。</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（十）提供采购公告中符合投标人特定条件要求（若有）的有效的其他资质复印件（加盖投标人公章）及需要说明的资料；</w:t>
      </w:r>
    </w:p>
    <w:p>
      <w:pPr>
        <w:snapToGrid w:val="0"/>
        <w:spacing w:line="480" w:lineRule="exact"/>
        <w:ind w:firstLine="588" w:firstLineChars="196"/>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（十一）投标人认为需要的其他文件资料和说明（格式自拟）。</w:t>
      </w:r>
    </w:p>
    <w:p>
      <w:pPr>
        <w:snapToGrid/>
        <w:spacing w:line="240" w:lineRule="auto"/>
        <w:ind w:firstLine="0" w:firstLineChars="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br w:type="page"/>
      </w:r>
    </w:p>
    <w:p>
      <w:pPr>
        <w:snapToGrid w:val="0"/>
        <w:spacing w:line="460" w:lineRule="exact"/>
        <w:ind w:firstLine="446" w:firstLineChars="148"/>
        <w:jc w:val="left"/>
        <w:outlineLvl w:val="1"/>
        <w:rPr>
          <w:rFonts w:ascii="仿宋" w:hAnsi="仿宋" w:eastAsia="仿宋"/>
          <w:b/>
          <w:bCs/>
          <w:color w:val="000000" w:themeColor="text1"/>
          <w:sz w:val="30"/>
          <w:szCs w:val="30"/>
          <w:highlight w:val="none"/>
          <w14:textFill>
            <w14:solidFill>
              <w14:schemeClr w14:val="tx1"/>
            </w14:solidFill>
          </w14:textFill>
        </w:rPr>
      </w:pPr>
      <w:r>
        <w:rPr>
          <w:rFonts w:hint="eastAsia" w:ascii="仿宋" w:hAnsi="仿宋" w:eastAsia="仿宋"/>
          <w:b/>
          <w:bCs/>
          <w:color w:val="000000" w:themeColor="text1"/>
          <w:sz w:val="30"/>
          <w:szCs w:val="30"/>
          <w:highlight w:val="none"/>
          <w14:textFill>
            <w14:solidFill>
              <w14:schemeClr w14:val="tx1"/>
            </w14:solidFill>
          </w14:textFill>
        </w:rPr>
        <w:t>▲投标人须知（九）投标无效的情形中“1.投标人未能提供合格的资格文件”包括但不限于下列情形：</w:t>
      </w:r>
    </w:p>
    <w:p>
      <w:pPr>
        <w:snapToGrid w:val="0"/>
        <w:spacing w:line="460" w:lineRule="exact"/>
        <w:ind w:firstLine="446" w:firstLineChars="148"/>
        <w:jc w:val="left"/>
        <w:outlineLvl w:val="1"/>
        <w:rPr>
          <w:rFonts w:ascii="仿宋" w:hAnsi="仿宋" w:eastAsia="仿宋"/>
          <w:b/>
          <w:bCs/>
          <w:color w:val="000000" w:themeColor="text1"/>
          <w:sz w:val="30"/>
          <w:szCs w:val="30"/>
          <w:highlight w:val="none"/>
          <w14:textFill>
            <w14:solidFill>
              <w14:schemeClr w14:val="tx1"/>
            </w14:solidFill>
          </w14:textFill>
        </w:rPr>
      </w:pPr>
      <w:r>
        <w:rPr>
          <w:rFonts w:hint="eastAsia" w:ascii="仿宋" w:hAnsi="仿宋" w:eastAsia="仿宋"/>
          <w:b/>
          <w:bCs/>
          <w:color w:val="000000" w:themeColor="text1"/>
          <w:sz w:val="30"/>
          <w:szCs w:val="30"/>
          <w:highlight w:val="none"/>
          <w14:textFill>
            <w14:solidFill>
              <w14:schemeClr w14:val="tx1"/>
            </w14:solidFill>
          </w14:textFill>
        </w:rPr>
        <w:t>1</w:t>
      </w:r>
      <w:r>
        <w:rPr>
          <w:rFonts w:ascii="仿宋" w:hAnsi="仿宋" w:eastAsia="仿宋"/>
          <w:b/>
          <w:bCs/>
          <w:color w:val="000000" w:themeColor="text1"/>
          <w:sz w:val="30"/>
          <w:szCs w:val="30"/>
          <w:highlight w:val="none"/>
          <w14:textFill>
            <w14:solidFill>
              <w14:schemeClr w14:val="tx1"/>
            </w14:solidFill>
          </w14:textFill>
        </w:rPr>
        <w:t>.</w:t>
      </w:r>
      <w:r>
        <w:rPr>
          <w:rFonts w:hint="eastAsia" w:ascii="仿宋" w:hAnsi="仿宋" w:eastAsia="仿宋"/>
          <w:b/>
          <w:bCs/>
          <w:color w:val="000000" w:themeColor="text1"/>
          <w:sz w:val="30"/>
          <w:szCs w:val="30"/>
          <w:highlight w:val="none"/>
          <w:lang w:val="en-US" w:eastAsia="zh-CN"/>
          <w14:textFill>
            <w14:solidFill>
              <w14:schemeClr w14:val="tx1"/>
            </w14:solidFill>
          </w14:textFill>
        </w:rPr>
        <w:t>投标</w:t>
      </w:r>
      <w:r>
        <w:rPr>
          <w:rFonts w:hint="eastAsia" w:ascii="仿宋" w:hAnsi="仿宋" w:eastAsia="仿宋"/>
          <w:b/>
          <w:bCs/>
          <w:color w:val="000000" w:themeColor="text1"/>
          <w:sz w:val="30"/>
          <w:szCs w:val="30"/>
          <w:highlight w:val="none"/>
          <w14:textFill>
            <w14:solidFill>
              <w14:schemeClr w14:val="tx1"/>
            </w14:solidFill>
          </w14:textFill>
        </w:rPr>
        <w:t>声明书：</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以非联合体形式投标的，</w:t>
      </w:r>
      <w:r>
        <w:rPr>
          <w:rFonts w:hint="eastAsia" w:ascii="仿宋" w:hAnsi="仿宋" w:eastAsia="仿宋"/>
          <w:bCs/>
          <w:color w:val="000000" w:themeColor="text1"/>
          <w:sz w:val="30"/>
          <w:szCs w:val="30"/>
          <w:highlight w:val="none"/>
          <w14:textFill>
            <w14:solidFill>
              <w14:schemeClr w14:val="tx1"/>
            </w14:solidFill>
          </w14:textFill>
        </w:rPr>
        <w:t>未提供声明书或声明书未盖投标人公章；</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以</w:t>
      </w:r>
      <w:r>
        <w:rPr>
          <w:rFonts w:hint="eastAsia" w:ascii="仿宋" w:hAnsi="仿宋" w:eastAsia="仿宋"/>
          <w:color w:val="000000" w:themeColor="text1"/>
          <w:sz w:val="30"/>
          <w:szCs w:val="30"/>
          <w:highlight w:val="none"/>
          <w14:textFill>
            <w14:solidFill>
              <w14:schemeClr w14:val="tx1"/>
            </w14:solidFill>
          </w14:textFill>
        </w:rPr>
        <w:t>联合体形式投标的，未分别提供联合体各方声明书</w:t>
      </w:r>
      <w:r>
        <w:rPr>
          <w:rFonts w:hint="eastAsia" w:ascii="仿宋" w:hAnsi="仿宋" w:eastAsia="仿宋"/>
          <w:bCs/>
          <w:color w:val="000000" w:themeColor="text1"/>
          <w:sz w:val="30"/>
          <w:szCs w:val="30"/>
          <w:highlight w:val="none"/>
          <w14:textFill>
            <w14:solidFill>
              <w14:schemeClr w14:val="tx1"/>
            </w14:solidFill>
          </w14:textFill>
        </w:rPr>
        <w:t>或声明书未盖投标人公章</w:t>
      </w:r>
      <w:r>
        <w:rPr>
          <w:rFonts w:hint="eastAsia" w:ascii="仿宋" w:hAnsi="仿宋" w:eastAsia="仿宋"/>
          <w:color w:val="000000" w:themeColor="text1"/>
          <w:sz w:val="30"/>
          <w:szCs w:val="30"/>
          <w:highlight w:val="none"/>
          <w14:textFill>
            <w14:solidFill>
              <w14:schemeClr w14:val="tx1"/>
            </w14:solidFill>
          </w14:textFill>
        </w:rPr>
        <w:t>；</w:t>
      </w:r>
    </w:p>
    <w:p>
      <w:pPr>
        <w:snapToGrid w:val="0"/>
        <w:spacing w:line="460" w:lineRule="exact"/>
        <w:ind w:firstLine="446" w:firstLineChars="148"/>
        <w:jc w:val="left"/>
        <w:outlineLvl w:val="1"/>
        <w:rPr>
          <w:rFonts w:ascii="仿宋" w:hAnsi="仿宋" w:eastAsia="仿宋"/>
          <w:b/>
          <w:color w:val="000000" w:themeColor="text1"/>
          <w:sz w:val="30"/>
          <w:szCs w:val="30"/>
          <w:highlight w:val="none"/>
          <w14:textFill>
            <w14:solidFill>
              <w14:schemeClr w14:val="tx1"/>
            </w14:solidFill>
          </w14:textFill>
        </w:rPr>
      </w:pPr>
      <w:r>
        <w:rPr>
          <w:rFonts w:ascii="仿宋" w:hAnsi="仿宋" w:eastAsia="仿宋"/>
          <w:b/>
          <w:color w:val="000000" w:themeColor="text1"/>
          <w:sz w:val="30"/>
          <w:szCs w:val="30"/>
          <w:highlight w:val="none"/>
          <w14:textFill>
            <w14:solidFill>
              <w14:schemeClr w14:val="tx1"/>
            </w14:solidFill>
          </w14:textFill>
        </w:rPr>
        <w:t>2.</w:t>
      </w:r>
      <w:r>
        <w:rPr>
          <w:rFonts w:hint="eastAsia" w:ascii="仿宋" w:hAnsi="仿宋" w:eastAsia="仿宋"/>
          <w:b/>
          <w:color w:val="000000" w:themeColor="text1"/>
          <w:sz w:val="30"/>
          <w:szCs w:val="30"/>
          <w:highlight w:val="none"/>
          <w14:textFill>
            <w14:solidFill>
              <w14:schemeClr w14:val="tx1"/>
            </w14:solidFill>
          </w14:textFill>
        </w:rPr>
        <w:t>法定代表人授权书或法定代表人身份证明或联合投标授权委托书：</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以非联合体形式投标的，未提供法定代表人授权委托书或委托书</w:t>
      </w:r>
      <w:r>
        <w:rPr>
          <w:rFonts w:hint="eastAsia" w:ascii="仿宋" w:hAnsi="仿宋" w:eastAsia="仿宋"/>
          <w:bCs/>
          <w:color w:val="000000" w:themeColor="text1"/>
          <w:sz w:val="30"/>
          <w:szCs w:val="30"/>
          <w:highlight w:val="none"/>
          <w14:textFill>
            <w14:solidFill>
              <w14:schemeClr w14:val="tx1"/>
            </w14:solidFill>
          </w14:textFill>
        </w:rPr>
        <w:t>无法定代表人签章或未盖投标人公章；</w:t>
      </w:r>
      <w:r>
        <w:rPr>
          <w:rFonts w:hint="eastAsia" w:ascii="仿宋" w:hAnsi="仿宋" w:eastAsia="仿宋"/>
          <w:color w:val="000000" w:themeColor="text1"/>
          <w:sz w:val="30"/>
          <w:szCs w:val="30"/>
          <w:highlight w:val="none"/>
          <w14:textFill>
            <w14:solidFill>
              <w14:schemeClr w14:val="tx1"/>
            </w14:solidFill>
          </w14:textFill>
        </w:rPr>
        <w:t>法定代表人代表投标人投标的，</w:t>
      </w:r>
      <w:r>
        <w:rPr>
          <w:rFonts w:hint="eastAsia" w:ascii="仿宋" w:hAnsi="仿宋" w:eastAsia="仿宋"/>
          <w:bCs/>
          <w:color w:val="000000" w:themeColor="text1"/>
          <w:sz w:val="30"/>
          <w:szCs w:val="30"/>
          <w:highlight w:val="none"/>
          <w14:textFill>
            <w14:solidFill>
              <w14:schemeClr w14:val="tx1"/>
            </w14:solidFill>
          </w14:textFill>
        </w:rPr>
        <w:t>未提供身份证或身份证不在有效期内或未签章；</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以</w:t>
      </w:r>
      <w:r>
        <w:rPr>
          <w:rFonts w:hint="eastAsia" w:ascii="仿宋" w:hAnsi="仿宋" w:eastAsia="仿宋"/>
          <w:color w:val="000000" w:themeColor="text1"/>
          <w:sz w:val="30"/>
          <w:szCs w:val="30"/>
          <w:highlight w:val="none"/>
          <w14:textFill>
            <w14:solidFill>
              <w14:schemeClr w14:val="tx1"/>
            </w14:solidFill>
          </w14:textFill>
        </w:rPr>
        <w:t>联合体形式投标的，未提供联合投标授权委托书或委托书</w:t>
      </w:r>
      <w:r>
        <w:rPr>
          <w:rFonts w:hint="eastAsia" w:ascii="仿宋" w:hAnsi="仿宋" w:eastAsia="仿宋"/>
          <w:bCs/>
          <w:color w:val="000000" w:themeColor="text1"/>
          <w:sz w:val="30"/>
          <w:szCs w:val="30"/>
          <w:highlight w:val="none"/>
          <w14:textFill>
            <w14:solidFill>
              <w14:schemeClr w14:val="tx1"/>
            </w14:solidFill>
          </w14:textFill>
        </w:rPr>
        <w:t>无联合体各方法定代表人签章或未盖联合体各方公章；</w:t>
      </w:r>
    </w:p>
    <w:p>
      <w:pPr>
        <w:snapToGrid w:val="0"/>
        <w:spacing w:line="460" w:lineRule="exact"/>
        <w:ind w:firstLine="446" w:firstLineChars="148"/>
        <w:jc w:val="left"/>
        <w:outlineLvl w:val="1"/>
        <w:rPr>
          <w:rFonts w:ascii="仿宋" w:hAnsi="仿宋" w:eastAsia="仿宋"/>
          <w:b/>
          <w:bCs/>
          <w:color w:val="000000" w:themeColor="text1"/>
          <w:sz w:val="30"/>
          <w:szCs w:val="30"/>
          <w:highlight w:val="none"/>
          <w14:textFill>
            <w14:solidFill>
              <w14:schemeClr w14:val="tx1"/>
            </w14:solidFill>
          </w14:textFill>
        </w:rPr>
      </w:pPr>
      <w:r>
        <w:rPr>
          <w:rFonts w:hint="eastAsia" w:ascii="仿宋" w:hAnsi="仿宋" w:eastAsia="仿宋"/>
          <w:b/>
          <w:bCs/>
          <w:color w:val="000000" w:themeColor="text1"/>
          <w:sz w:val="30"/>
          <w:szCs w:val="30"/>
          <w:highlight w:val="none"/>
          <w14:textFill>
            <w14:solidFill>
              <w14:schemeClr w14:val="tx1"/>
            </w14:solidFill>
          </w14:textFill>
        </w:rPr>
        <w:t>3</w:t>
      </w:r>
      <w:r>
        <w:rPr>
          <w:rFonts w:ascii="仿宋" w:hAnsi="仿宋" w:eastAsia="仿宋"/>
          <w:b/>
          <w:bCs/>
          <w:color w:val="000000" w:themeColor="text1"/>
          <w:sz w:val="30"/>
          <w:szCs w:val="30"/>
          <w:highlight w:val="none"/>
          <w14:textFill>
            <w14:solidFill>
              <w14:schemeClr w14:val="tx1"/>
            </w14:solidFill>
          </w14:textFill>
        </w:rPr>
        <w:t>.</w:t>
      </w:r>
      <w:r>
        <w:rPr>
          <w:rFonts w:hint="eastAsia" w:ascii="仿宋" w:hAnsi="仿宋" w:eastAsia="仿宋"/>
          <w:b/>
          <w:bCs/>
          <w:color w:val="000000" w:themeColor="text1"/>
          <w:sz w:val="30"/>
          <w:szCs w:val="30"/>
          <w:highlight w:val="none"/>
          <w14:textFill>
            <w14:solidFill>
              <w14:schemeClr w14:val="tx1"/>
            </w14:solidFill>
          </w14:textFill>
        </w:rPr>
        <w:t>营业执照：</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以非联合体形式投标的，</w:t>
      </w:r>
      <w:r>
        <w:rPr>
          <w:rFonts w:hint="eastAsia" w:ascii="仿宋" w:hAnsi="仿宋" w:eastAsia="仿宋"/>
          <w:bCs/>
          <w:color w:val="000000" w:themeColor="text1"/>
          <w:sz w:val="30"/>
          <w:szCs w:val="30"/>
          <w:highlight w:val="none"/>
          <w14:textFill>
            <w14:solidFill>
              <w14:schemeClr w14:val="tx1"/>
            </w14:solidFill>
          </w14:textFill>
        </w:rPr>
        <w:t>未提供营业执照或营业执照不在有效期内或未盖投标人公章；</w:t>
      </w:r>
    </w:p>
    <w:p>
      <w:pPr>
        <w:snapToGrid w:val="0"/>
        <w:spacing w:line="460" w:lineRule="exact"/>
        <w:ind w:firstLine="444" w:firstLineChars="148"/>
        <w:jc w:val="left"/>
        <w:outlineLvl w:val="1"/>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以</w:t>
      </w:r>
      <w:r>
        <w:rPr>
          <w:rFonts w:hint="eastAsia" w:ascii="仿宋" w:hAnsi="仿宋" w:eastAsia="仿宋"/>
          <w:color w:val="000000" w:themeColor="text1"/>
          <w:sz w:val="30"/>
          <w:szCs w:val="30"/>
          <w:highlight w:val="none"/>
          <w14:textFill>
            <w14:solidFill>
              <w14:schemeClr w14:val="tx1"/>
            </w14:solidFill>
          </w14:textFill>
        </w:rPr>
        <w:t>联合体形式投标的，未提供联合体各方</w:t>
      </w:r>
      <w:r>
        <w:rPr>
          <w:rFonts w:hint="eastAsia" w:ascii="仿宋" w:hAnsi="仿宋" w:eastAsia="仿宋"/>
          <w:bCs/>
          <w:color w:val="000000" w:themeColor="text1"/>
          <w:sz w:val="30"/>
          <w:szCs w:val="30"/>
          <w:highlight w:val="none"/>
          <w14:textFill>
            <w14:solidFill>
              <w14:schemeClr w14:val="tx1"/>
            </w14:solidFill>
          </w14:textFill>
        </w:rPr>
        <w:t>营业执照或营业执照不在有效期内或未盖投标人公章</w:t>
      </w:r>
      <w:r>
        <w:rPr>
          <w:rFonts w:hint="eastAsia" w:ascii="仿宋" w:hAnsi="仿宋" w:eastAsia="仿宋"/>
          <w:color w:val="000000" w:themeColor="text1"/>
          <w:sz w:val="30"/>
          <w:szCs w:val="30"/>
          <w:highlight w:val="none"/>
          <w14:textFill>
            <w14:solidFill>
              <w14:schemeClr w14:val="tx1"/>
            </w14:solidFill>
          </w14:textFill>
        </w:rPr>
        <w:t>；</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事业单位投标的，未提供事业单位法人证书或事业单位法人证书不在有效期内或未盖投标人公章；社会团体法人</w:t>
      </w:r>
      <w:r>
        <w:rPr>
          <w:rFonts w:hint="eastAsia" w:ascii="仿宋" w:hAnsi="仿宋" w:eastAsia="仿宋"/>
          <w:bCs/>
          <w:color w:val="000000" w:themeColor="text1"/>
          <w:sz w:val="30"/>
          <w:szCs w:val="30"/>
          <w:highlight w:val="none"/>
          <w:lang w:val="en-US" w:eastAsia="zh-CN"/>
          <w14:textFill>
            <w14:solidFill>
              <w14:schemeClr w14:val="tx1"/>
            </w14:solidFill>
          </w14:textFill>
        </w:rPr>
        <w:t>投标</w:t>
      </w:r>
      <w:r>
        <w:rPr>
          <w:rFonts w:hint="eastAsia" w:ascii="仿宋" w:hAnsi="仿宋" w:eastAsia="仿宋"/>
          <w:bCs/>
          <w:color w:val="000000" w:themeColor="text1"/>
          <w:sz w:val="30"/>
          <w:szCs w:val="30"/>
          <w:highlight w:val="none"/>
          <w14:textFill>
            <w14:solidFill>
              <w14:schemeClr w14:val="tx1"/>
            </w14:solidFill>
          </w14:textFill>
        </w:rPr>
        <w:t>的，</w:t>
      </w:r>
      <w:r>
        <w:rPr>
          <w:rFonts w:hint="eastAsia" w:ascii="仿宋" w:hAnsi="仿宋" w:eastAsia="仿宋"/>
          <w:bCs/>
          <w:color w:val="000000" w:themeColor="text1"/>
          <w:sz w:val="30"/>
          <w:szCs w:val="30"/>
          <w:highlight w:val="none"/>
          <w:lang w:val="en-US" w:eastAsia="zh-CN"/>
          <w14:textFill>
            <w14:solidFill>
              <w14:schemeClr w14:val="tx1"/>
            </w14:solidFill>
          </w14:textFill>
        </w:rPr>
        <w:t>未</w:t>
      </w:r>
      <w:r>
        <w:rPr>
          <w:rFonts w:hint="eastAsia" w:ascii="仿宋" w:hAnsi="仿宋" w:eastAsia="仿宋"/>
          <w:bCs/>
          <w:color w:val="000000" w:themeColor="text1"/>
          <w:sz w:val="30"/>
          <w:szCs w:val="30"/>
          <w:highlight w:val="none"/>
          <w14:textFill>
            <w14:solidFill>
              <w14:schemeClr w14:val="tx1"/>
            </w14:solidFill>
          </w14:textFill>
        </w:rPr>
        <w:t>提供有效的社会团体法人登记证书或社会团体法人登记证书不在有效期内或未盖投标人公章；自然人投标的，未提供身份证或身份证不在有效期内或未签章；</w:t>
      </w:r>
    </w:p>
    <w:p>
      <w:pPr>
        <w:snapToGrid w:val="0"/>
        <w:spacing w:line="460" w:lineRule="exact"/>
        <w:ind w:firstLine="446" w:firstLineChars="148"/>
        <w:jc w:val="left"/>
        <w:outlineLvl w:val="1"/>
        <w:rPr>
          <w:rFonts w:ascii="仿宋" w:hAnsi="仿宋" w:eastAsia="仿宋"/>
          <w:b/>
          <w:color w:val="000000" w:themeColor="text1"/>
          <w:sz w:val="30"/>
          <w:szCs w:val="30"/>
          <w:highlight w:val="none"/>
          <w14:textFill>
            <w14:solidFill>
              <w14:schemeClr w14:val="tx1"/>
            </w14:solidFill>
          </w14:textFill>
        </w:rPr>
      </w:pPr>
      <w:r>
        <w:rPr>
          <w:rFonts w:ascii="仿宋" w:hAnsi="仿宋" w:eastAsia="仿宋"/>
          <w:b/>
          <w:color w:val="000000" w:themeColor="text1"/>
          <w:sz w:val="30"/>
          <w:szCs w:val="30"/>
          <w:highlight w:val="none"/>
          <w14:textFill>
            <w14:solidFill>
              <w14:schemeClr w14:val="tx1"/>
            </w14:solidFill>
          </w14:textFill>
        </w:rPr>
        <w:t>4.</w:t>
      </w:r>
      <w:r>
        <w:rPr>
          <w:rFonts w:hint="eastAsia" w:ascii="仿宋" w:hAnsi="仿宋" w:eastAsia="仿宋"/>
          <w:b/>
          <w:color w:val="000000" w:themeColor="text1"/>
          <w:sz w:val="30"/>
          <w:szCs w:val="30"/>
          <w:highlight w:val="none"/>
          <w14:textFill>
            <w14:solidFill>
              <w14:schemeClr w14:val="tx1"/>
            </w14:solidFill>
          </w14:textFill>
        </w:rPr>
        <w:t>联合投标协议书：</w:t>
      </w:r>
    </w:p>
    <w:p>
      <w:pPr>
        <w:snapToGrid w:val="0"/>
        <w:spacing w:line="460" w:lineRule="exact"/>
        <w:ind w:firstLine="444" w:firstLineChars="148"/>
        <w:jc w:val="left"/>
        <w:outlineLvl w:val="1"/>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以</w:t>
      </w:r>
      <w:r>
        <w:rPr>
          <w:rFonts w:hint="eastAsia" w:ascii="仿宋" w:hAnsi="仿宋" w:eastAsia="仿宋"/>
          <w:color w:val="000000" w:themeColor="text1"/>
          <w:sz w:val="30"/>
          <w:szCs w:val="30"/>
          <w:highlight w:val="none"/>
          <w14:textFill>
            <w14:solidFill>
              <w14:schemeClr w14:val="tx1"/>
            </w14:solidFill>
          </w14:textFill>
        </w:rPr>
        <w:t>联合体形式投标的，未提供联合投标协议书或</w:t>
      </w:r>
      <w:r>
        <w:rPr>
          <w:rFonts w:hint="eastAsia" w:ascii="仿宋" w:hAnsi="仿宋" w:eastAsia="仿宋"/>
          <w:bCs/>
          <w:color w:val="000000" w:themeColor="text1"/>
          <w:sz w:val="30"/>
          <w:szCs w:val="30"/>
          <w:highlight w:val="none"/>
          <w14:textFill>
            <w14:solidFill>
              <w14:schemeClr w14:val="tx1"/>
            </w14:solidFill>
          </w14:textFill>
        </w:rPr>
        <w:t>未盖联合体各方公章或</w:t>
      </w:r>
      <w:r>
        <w:rPr>
          <w:rFonts w:hint="eastAsia" w:ascii="仿宋" w:hAnsi="仿宋" w:eastAsia="仿宋"/>
          <w:color w:val="000000" w:themeColor="text1"/>
          <w:sz w:val="30"/>
          <w:szCs w:val="30"/>
          <w:highlight w:val="none"/>
          <w14:textFill>
            <w14:solidFill>
              <w14:schemeClr w14:val="tx1"/>
            </w14:solidFill>
          </w14:textFill>
        </w:rPr>
        <w:t>未列明联合体各方承担的工作、义务、合同金额占比；</w:t>
      </w:r>
    </w:p>
    <w:p>
      <w:pPr>
        <w:snapToGrid w:val="0"/>
        <w:spacing w:line="460" w:lineRule="exact"/>
        <w:ind w:firstLine="446" w:firstLineChars="148"/>
        <w:jc w:val="left"/>
        <w:outlineLvl w:val="1"/>
        <w:rPr>
          <w:rFonts w:ascii="仿宋" w:hAnsi="仿宋" w:eastAsia="仿宋"/>
          <w:b/>
          <w:color w:val="000000" w:themeColor="text1"/>
          <w:sz w:val="30"/>
          <w:szCs w:val="30"/>
          <w:highlight w:val="none"/>
          <w14:textFill>
            <w14:solidFill>
              <w14:schemeClr w14:val="tx1"/>
            </w14:solidFill>
          </w14:textFill>
        </w:rPr>
      </w:pPr>
      <w:r>
        <w:rPr>
          <w:rFonts w:hint="eastAsia" w:ascii="仿宋" w:hAnsi="仿宋" w:eastAsia="仿宋"/>
          <w:b/>
          <w:color w:val="000000" w:themeColor="text1"/>
          <w:sz w:val="30"/>
          <w:szCs w:val="30"/>
          <w:highlight w:val="none"/>
          <w14:textFill>
            <w14:solidFill>
              <w14:schemeClr w14:val="tx1"/>
            </w14:solidFill>
          </w14:textFill>
        </w:rPr>
        <w:t>5</w:t>
      </w:r>
      <w:r>
        <w:rPr>
          <w:rFonts w:ascii="仿宋" w:hAnsi="仿宋" w:eastAsia="仿宋"/>
          <w:b/>
          <w:color w:val="000000" w:themeColor="text1"/>
          <w:sz w:val="30"/>
          <w:szCs w:val="30"/>
          <w:highlight w:val="none"/>
          <w14:textFill>
            <w14:solidFill>
              <w14:schemeClr w14:val="tx1"/>
            </w14:solidFill>
          </w14:textFill>
        </w:rPr>
        <w:t>.</w:t>
      </w:r>
      <w:r>
        <w:rPr>
          <w:rFonts w:hint="eastAsia" w:ascii="仿宋" w:hAnsi="仿宋" w:eastAsia="仿宋"/>
          <w:b/>
          <w:color w:val="000000" w:themeColor="text1"/>
          <w:sz w:val="30"/>
          <w:szCs w:val="30"/>
          <w:highlight w:val="none"/>
          <w14:textFill>
            <w14:solidFill>
              <w14:schemeClr w14:val="tx1"/>
            </w14:solidFill>
          </w14:textFill>
        </w:rPr>
        <w:t xml:space="preserve"> 投标人的特定条件证明材料：</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合格投标人的资格要求中有投标人的特定条件的，未提供符合投标人特定条件证明材料或证明材</w:t>
      </w:r>
      <w:r>
        <w:rPr>
          <w:rFonts w:hint="eastAsia" w:ascii="仿宋" w:hAnsi="仿宋" w:eastAsia="仿宋"/>
          <w:bCs/>
          <w:color w:val="000000" w:themeColor="text1"/>
          <w:sz w:val="30"/>
          <w:szCs w:val="30"/>
          <w:highlight w:val="none"/>
          <w14:textFill>
            <w14:solidFill>
              <w14:schemeClr w14:val="tx1"/>
            </w14:solidFill>
          </w14:textFill>
        </w:rPr>
        <w:t>料不在有效期内或未盖投标人公章；</w:t>
      </w:r>
    </w:p>
    <w:p>
      <w:pPr>
        <w:snapToGrid w:val="0"/>
        <w:spacing w:line="460" w:lineRule="exact"/>
        <w:ind w:firstLine="446" w:firstLineChars="148"/>
        <w:jc w:val="left"/>
        <w:outlineLvl w:val="1"/>
        <w:rPr>
          <w:rFonts w:ascii="仿宋" w:hAnsi="仿宋" w:eastAsia="仿宋"/>
          <w:b/>
          <w:bCs/>
          <w:color w:val="000000" w:themeColor="text1"/>
          <w:sz w:val="30"/>
          <w:szCs w:val="30"/>
          <w:highlight w:val="none"/>
          <w14:textFill>
            <w14:solidFill>
              <w14:schemeClr w14:val="tx1"/>
            </w14:solidFill>
          </w14:textFill>
        </w:rPr>
      </w:pPr>
      <w:r>
        <w:rPr>
          <w:rFonts w:hint="eastAsia" w:ascii="仿宋" w:hAnsi="仿宋" w:eastAsia="仿宋"/>
          <w:b/>
          <w:bCs/>
          <w:color w:val="000000" w:themeColor="text1"/>
          <w:sz w:val="30"/>
          <w:szCs w:val="30"/>
          <w:highlight w:val="none"/>
          <w14:textFill>
            <w14:solidFill>
              <w14:schemeClr w14:val="tx1"/>
            </w14:solidFill>
          </w14:textFill>
        </w:rPr>
        <w:t>6</w:t>
      </w:r>
      <w:r>
        <w:rPr>
          <w:rFonts w:ascii="仿宋" w:hAnsi="仿宋" w:eastAsia="仿宋"/>
          <w:b/>
          <w:bCs/>
          <w:color w:val="000000" w:themeColor="text1"/>
          <w:sz w:val="30"/>
          <w:szCs w:val="30"/>
          <w:highlight w:val="none"/>
          <w14:textFill>
            <w14:solidFill>
              <w14:schemeClr w14:val="tx1"/>
            </w14:solidFill>
          </w14:textFill>
        </w:rPr>
        <w:t>.</w:t>
      </w:r>
      <w:r>
        <w:rPr>
          <w:rFonts w:hint="eastAsia" w:ascii="仿宋" w:hAnsi="仿宋" w:eastAsia="仿宋"/>
          <w:b/>
          <w:bCs/>
          <w:color w:val="000000" w:themeColor="text1"/>
          <w:sz w:val="30"/>
          <w:szCs w:val="30"/>
          <w:highlight w:val="none"/>
          <w14:textFill>
            <w14:solidFill>
              <w14:schemeClr w14:val="tx1"/>
            </w14:solidFill>
          </w14:textFill>
        </w:rPr>
        <w:t>中小企业声明函：</w:t>
      </w:r>
    </w:p>
    <w:p>
      <w:pPr>
        <w:snapToGrid w:val="0"/>
        <w:spacing w:line="460" w:lineRule="exact"/>
        <w:ind w:firstLine="444" w:firstLineChars="148"/>
        <w:jc w:val="left"/>
        <w:outlineLvl w:val="1"/>
        <w:rPr>
          <w:rFonts w:ascii="仿宋" w:hAnsi="仿宋" w:eastAsia="仿宋"/>
          <w:bCs/>
          <w:color w:val="000000" w:themeColor="text1"/>
          <w:sz w:val="30"/>
          <w:szCs w:val="30"/>
          <w:highlight w:val="none"/>
          <w14:textFill>
            <w14:solidFill>
              <w14:schemeClr w14:val="tx1"/>
            </w14:solidFill>
          </w14:textFill>
        </w:rPr>
      </w:pPr>
      <w:r>
        <w:rPr>
          <w:rFonts w:hint="eastAsia" w:ascii="仿宋" w:hAnsi="仿宋" w:eastAsia="仿宋"/>
          <w:bCs/>
          <w:color w:val="000000" w:themeColor="text1"/>
          <w:sz w:val="30"/>
          <w:szCs w:val="30"/>
          <w:highlight w:val="none"/>
          <w14:textFill>
            <w14:solidFill>
              <w14:schemeClr w14:val="tx1"/>
            </w14:solidFill>
          </w14:textFill>
        </w:rPr>
        <w:t>项目专门面向中小企业的，未提供中小企业声明函或中小企业声明函中未完整填写标的名称、企业名称、从业人员、营业收入、资产总额或未盖投标人公章；</w:t>
      </w:r>
    </w:p>
    <w:p>
      <w:pPr>
        <w:snapToGrid w:val="0"/>
        <w:spacing w:line="460" w:lineRule="exact"/>
        <w:ind w:firstLine="461" w:firstLineChars="148"/>
        <w:jc w:val="left"/>
        <w:outlineLvl w:val="1"/>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pacing w:val="6"/>
          <w:sz w:val="30"/>
          <w:szCs w:val="30"/>
          <w:highlight w:val="none"/>
          <w14:textFill>
            <w14:solidFill>
              <w14:schemeClr w14:val="tx1"/>
            </w14:solidFill>
          </w14:textFill>
        </w:rPr>
        <w:t>残疾人福利性单位投标的，</w:t>
      </w:r>
      <w:r>
        <w:rPr>
          <w:rFonts w:hint="eastAsia" w:ascii="仿宋" w:hAnsi="仿宋" w:eastAsia="仿宋"/>
          <w:bCs/>
          <w:color w:val="000000" w:themeColor="text1"/>
          <w:sz w:val="30"/>
          <w:szCs w:val="30"/>
          <w:highlight w:val="none"/>
          <w14:textFill>
            <w14:solidFill>
              <w14:schemeClr w14:val="tx1"/>
            </w14:solidFill>
          </w14:textFill>
        </w:rPr>
        <w:t>未提供残疾人福利性单位声明函或未盖投标人公章；监狱企业投标的，未提供由省级以上监狱管理局、戒毒管理局（含新疆生产建设兵团）出具的属于监狱企业的证明文件；</w:t>
      </w:r>
    </w:p>
    <w:p>
      <w:pPr>
        <w:snapToGrid w:val="0"/>
        <w:spacing w:line="460" w:lineRule="exact"/>
        <w:ind w:firstLine="446" w:firstLineChars="148"/>
        <w:jc w:val="left"/>
        <w:outlineLvl w:val="1"/>
        <w:rPr>
          <w:rFonts w:ascii="仿宋" w:hAnsi="仿宋" w:eastAsia="仿宋"/>
          <w:b/>
          <w:color w:val="000000" w:themeColor="text1"/>
          <w:sz w:val="30"/>
          <w:szCs w:val="30"/>
          <w:highlight w:val="none"/>
          <w14:textFill>
            <w14:solidFill>
              <w14:schemeClr w14:val="tx1"/>
            </w14:solidFill>
          </w14:textFill>
        </w:rPr>
      </w:pPr>
      <w:r>
        <w:rPr>
          <w:rFonts w:ascii="仿宋" w:hAnsi="仿宋" w:eastAsia="仿宋"/>
          <w:b/>
          <w:color w:val="000000" w:themeColor="text1"/>
          <w:sz w:val="30"/>
          <w:szCs w:val="30"/>
          <w:highlight w:val="none"/>
          <w14:textFill>
            <w14:solidFill>
              <w14:schemeClr w14:val="tx1"/>
            </w14:solidFill>
          </w14:textFill>
        </w:rPr>
        <w:t>7.</w:t>
      </w:r>
      <w:r>
        <w:rPr>
          <w:rFonts w:hint="eastAsia" w:ascii="仿宋" w:hAnsi="仿宋" w:eastAsia="仿宋"/>
          <w:b/>
          <w:color w:val="000000" w:themeColor="text1"/>
          <w:sz w:val="30"/>
          <w:szCs w:val="30"/>
          <w:highlight w:val="none"/>
          <w14:textFill>
            <w14:solidFill>
              <w14:schemeClr w14:val="tx1"/>
            </w14:solidFill>
          </w14:textFill>
        </w:rPr>
        <w:t>分包意向协议:</w:t>
      </w:r>
    </w:p>
    <w:p>
      <w:pPr>
        <w:snapToGrid w:val="0"/>
        <w:spacing w:line="460" w:lineRule="exact"/>
        <w:ind w:firstLine="444" w:firstLineChars="148"/>
        <w:jc w:val="left"/>
        <w:outlineLvl w:val="1"/>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项目要求以合同分包形式预留份额专门面向中小企业的，未提供分包意向协议或</w:t>
      </w:r>
      <w:r>
        <w:rPr>
          <w:rFonts w:hint="eastAsia" w:ascii="仿宋" w:hAnsi="仿宋" w:eastAsia="仿宋"/>
          <w:bCs/>
          <w:color w:val="000000" w:themeColor="text1"/>
          <w:sz w:val="30"/>
          <w:szCs w:val="30"/>
          <w:highlight w:val="none"/>
          <w14:textFill>
            <w14:solidFill>
              <w14:schemeClr w14:val="tx1"/>
            </w14:solidFill>
          </w14:textFill>
        </w:rPr>
        <w:t>未盖投标人与分包供应商公章或</w:t>
      </w:r>
      <w:r>
        <w:rPr>
          <w:rFonts w:hint="eastAsia" w:ascii="仿宋" w:hAnsi="仿宋" w:eastAsia="仿宋"/>
          <w:color w:val="000000" w:themeColor="text1"/>
          <w:sz w:val="30"/>
          <w:szCs w:val="30"/>
          <w:highlight w:val="none"/>
          <w14:textFill>
            <w14:solidFill>
              <w14:schemeClr w14:val="tx1"/>
            </w14:solidFill>
          </w14:textFill>
        </w:rPr>
        <w:t>未列明分包供应商承担的工作、合同金额占比。</w:t>
      </w:r>
    </w:p>
    <w:p>
      <w:pPr>
        <w:snapToGrid w:val="0"/>
        <w:spacing w:line="480" w:lineRule="exact"/>
        <w:ind w:firstLine="588" w:firstLineChars="196"/>
        <w:rPr>
          <w:rFonts w:hint="eastAsia" w:ascii="Times New Roman" w:hAnsi="Times New Roman" w:eastAsia="仿宋_GB2312"/>
          <w:color w:val="000000" w:themeColor="text1"/>
          <w:sz w:val="30"/>
          <w:szCs w:val="30"/>
          <w:highlight w:val="none"/>
          <w14:textFill>
            <w14:solidFill>
              <w14:schemeClr w14:val="tx1"/>
            </w14:solidFill>
          </w14:textFill>
        </w:rPr>
      </w:pP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附件2</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投 标 声 明 书</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snapToGrid w:val="0"/>
        <w:spacing w:before="120" w:beforeLines="50" w:after="50" w:line="40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致：浙江省教育技术中心：</w:t>
      </w:r>
    </w:p>
    <w:p>
      <w:pPr>
        <w:snapToGrid w:val="0"/>
        <w:spacing w:before="120" w:beforeLines="50" w:after="50" w:line="40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u w:val="single"/>
          <w14:textFill>
            <w14:solidFill>
              <w14:schemeClr w14:val="tx1"/>
            </w14:solidFill>
          </w14:textFill>
        </w:rPr>
        <w:t>（投标人名称）</w:t>
      </w:r>
      <w:r>
        <w:rPr>
          <w:rFonts w:hint="eastAsia" w:ascii="Times New Roman" w:hAnsi="Times New Roman" w:eastAsia="仿宋_GB2312"/>
          <w:color w:val="000000" w:themeColor="text1"/>
          <w:sz w:val="30"/>
          <w:szCs w:val="30"/>
          <w:highlight w:val="none"/>
          <w14:textFill>
            <w14:solidFill>
              <w14:schemeClr w14:val="tx1"/>
            </w14:solidFill>
          </w14:textFill>
        </w:rPr>
        <w:t>系中华人民共和国合法单位，地址</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before="120" w:beforeLines="50" w:after="50" w:line="40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我</w:t>
      </w:r>
      <w:r>
        <w:rPr>
          <w:rFonts w:hint="eastAsia" w:ascii="Times New Roman" w:hAnsi="Times New Roman" w:eastAsia="仿宋_GB2312"/>
          <w:color w:val="000000" w:themeColor="text1"/>
          <w:sz w:val="30"/>
          <w:szCs w:val="30"/>
          <w:highlight w:val="none"/>
          <w:u w:val="single"/>
          <w14:textFill>
            <w14:solidFill>
              <w14:schemeClr w14:val="tx1"/>
            </w14:solidFill>
          </w14:textFill>
        </w:rPr>
        <w:t>（姓名）</w:t>
      </w:r>
      <w:r>
        <w:rPr>
          <w:rFonts w:hint="eastAsia" w:ascii="Times New Roman" w:hAnsi="Times New Roman" w:eastAsia="仿宋_GB2312"/>
          <w:color w:val="000000" w:themeColor="text1"/>
          <w:sz w:val="30"/>
          <w:szCs w:val="30"/>
          <w:highlight w:val="none"/>
          <w14:textFill>
            <w14:solidFill>
              <w14:schemeClr w14:val="tx1"/>
            </w14:solidFill>
          </w14:textFill>
        </w:rPr>
        <w:t>系</w:t>
      </w:r>
      <w:r>
        <w:rPr>
          <w:rFonts w:hint="eastAsia" w:ascii="Times New Roman" w:hAnsi="Times New Roman" w:eastAsia="仿宋_GB2312"/>
          <w:color w:val="000000" w:themeColor="text1"/>
          <w:sz w:val="30"/>
          <w:szCs w:val="30"/>
          <w:highlight w:val="none"/>
          <w:u w:val="single"/>
          <w14:textFill>
            <w14:solidFill>
              <w14:schemeClr w14:val="tx1"/>
            </w14:solidFill>
          </w14:textFill>
        </w:rPr>
        <w:t>（投标人名称）</w:t>
      </w:r>
      <w:r>
        <w:rPr>
          <w:rFonts w:hint="eastAsia" w:ascii="Times New Roman" w:hAnsi="Times New Roman" w:eastAsia="仿宋_GB2312"/>
          <w:color w:val="000000" w:themeColor="text1"/>
          <w:sz w:val="30"/>
          <w:szCs w:val="30"/>
          <w:highlight w:val="none"/>
          <w14:textFill>
            <w14:solidFill>
              <w14:schemeClr w14:val="tx1"/>
            </w14:solidFill>
          </w14:textFill>
        </w:rPr>
        <w:t>的法定代表人，我方愿意参加贵方组织的</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***项目</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（项目编号：</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2024-XXHGC-8</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的投标，为此，我方就本次投标有关事项郑重声明如下：</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1.我方已详细审查全部招标文件，同意招标文件的各项要求。</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2.我方向贵方提交的所有投标文件、资料都是准确的和真实的。</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3.若中标，我方将按招标文件规定履行合同责任和义务。</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4.我方不是采购人的附属机构；在获知本项目采购信息后，与采购人聘请的为此项目提供咨询服务的公司及其附属机构没有任何联系。</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5.投标文件自开标日起有效期为90天。</w:t>
      </w:r>
    </w:p>
    <w:p>
      <w:pPr>
        <w:snapToGrid w:val="0"/>
        <w:spacing w:before="120" w:beforeLines="50" w:after="50" w:line="400" w:lineRule="exact"/>
        <w:ind w:firstLine="602" w:firstLineChars="200"/>
        <w:jc w:val="left"/>
        <w:rPr>
          <w:rFonts w:hint="eastAsia" w:ascii="Times New Roman" w:hAnsi="Times New Roman" w:eastAsia="仿宋_GB2312"/>
          <w:b/>
          <w:bCs/>
          <w:color w:val="000000" w:themeColor="text1"/>
          <w:sz w:val="30"/>
          <w:szCs w:val="30"/>
          <w:highlight w:val="none"/>
          <w14:textFill>
            <w14:solidFill>
              <w14:schemeClr w14:val="tx1"/>
            </w14:solidFill>
          </w14:textFill>
        </w:rPr>
      </w:pPr>
      <w:r>
        <w:rPr>
          <w:rFonts w:hint="eastAsia" w:ascii="Times New Roman" w:hAnsi="Times New Roman" w:eastAsia="仿宋_GB2312"/>
          <w:b/>
          <w:bCs/>
          <w:color w:val="000000" w:themeColor="text1"/>
          <w:sz w:val="30"/>
          <w:szCs w:val="30"/>
          <w:highlight w:val="none"/>
          <w14:textFill>
            <w14:solidFill>
              <w14:schemeClr w14:val="tx1"/>
            </w14:solidFill>
          </w14:textFill>
        </w:rPr>
        <w:t>6.我方承诺已经具备参与政府采购活动的资格条件；具有良好的商业信誉和健全的财务会计制度；有依法缴纳税收和社会保障资金的良好记录；参加政府采购活动前三年内，在经营活动中没有重大违法记录。</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7.我方通过“信用中国”网站（www.creditchina.gov.cn）、中国政府采购网（www.ccgp.gov.cn）查询，未被列入失信被执行人、重大税收违法案件当事人名单、政府采购严重违法失信行为记录名单。</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8.我方不存在单位负责人为同一人或者存在直接控股、管理关系的不同供应商， 参加同一合同项下的政府采购活动的情况。</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9.我方不存在为采购项目提供整体设计、规范编制或者项目管理、监理、检测等服务后再参加该采购项目的其他采购活动的情况。</w:t>
      </w:r>
    </w:p>
    <w:p>
      <w:pPr>
        <w:snapToGrid w:val="0"/>
        <w:spacing w:before="120" w:beforeLines="50" w:after="50" w:line="400" w:lineRule="exact"/>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10.以上事项如有虚假或隐瞒，我方愿意承担一切后果，并不再寻求任何旨在减轻或免除法律责任的辩解。</w:t>
      </w:r>
    </w:p>
    <w:p>
      <w:pPr>
        <w:snapToGrid w:val="0"/>
        <w:spacing w:before="120" w:beforeLines="50" w:after="50" w:line="40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before="120" w:beforeLines="50" w:after="50" w:line="400" w:lineRule="exact"/>
        <w:ind w:right="600" w:firstLine="150" w:firstLineChars="5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法定代表人签名：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snapToGrid w:val="0"/>
        <w:spacing w:before="120" w:beforeLines="50" w:after="50" w:line="400" w:lineRule="exact"/>
        <w:ind w:right="600" w:firstLine="150" w:firstLineChars="5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附件3</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法定代表人授权委托书</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snapToGrid w:val="0"/>
        <w:spacing w:before="120" w:beforeLines="50" w:after="50" w:line="460" w:lineRule="exact"/>
        <w:rPr>
          <w:rFonts w:ascii="Times New Roman" w:hAnsi="Times New Roman" w:eastAsia="仿宋_GB2312"/>
          <w:b/>
          <w:bCs/>
          <w:color w:val="000000" w:themeColor="text1"/>
          <w:sz w:val="30"/>
          <w:szCs w:val="30"/>
          <w:highlight w:val="none"/>
          <w14:textFill>
            <w14:solidFill>
              <w14:schemeClr w14:val="tx1"/>
            </w14:solidFill>
          </w14:textFill>
        </w:rPr>
      </w:pPr>
      <w:r>
        <w:rPr>
          <w:rFonts w:hint="eastAsia" w:ascii="Times New Roman" w:hAnsi="Times New Roman" w:eastAsia="仿宋_GB2312"/>
          <w:bCs/>
          <w:color w:val="000000" w:themeColor="text1"/>
          <w:sz w:val="30"/>
          <w:szCs w:val="30"/>
          <w:highlight w:val="none"/>
          <w14:textFill>
            <w14:solidFill>
              <w14:schemeClr w14:val="tx1"/>
            </w14:solidFill>
          </w14:textFill>
        </w:rPr>
        <w:t>浙江省教育技术中心：</w:t>
      </w:r>
    </w:p>
    <w:p>
      <w:pPr>
        <w:snapToGrid w:val="0"/>
        <w:spacing w:before="120" w:beforeLines="50" w:after="50" w:line="46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我</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（姓名</w:t>
      </w:r>
      <w:r>
        <w:rPr>
          <w:rFonts w:hint="eastAsia" w:ascii="Times New Roman" w:hAnsi="Times New Roman" w:eastAsia="仿宋_GB2312"/>
          <w:b/>
          <w:bCs/>
          <w:color w:val="000000" w:themeColor="text1"/>
          <w:sz w:val="30"/>
          <w:szCs w:val="30"/>
          <w:highlight w:val="none"/>
          <w14:textFill>
            <w14:solidFill>
              <w14:schemeClr w14:val="tx1"/>
            </w14:solidFill>
          </w14:textFill>
        </w:rPr>
        <w:t>，附身份证复印件</w:t>
      </w:r>
      <w:r>
        <w:rPr>
          <w:rFonts w:hint="eastAsia" w:ascii="Times New Roman" w:hAnsi="Times New Roman" w:eastAsia="仿宋_GB2312"/>
          <w:color w:val="000000" w:themeColor="text1"/>
          <w:sz w:val="30"/>
          <w:szCs w:val="30"/>
          <w:highlight w:val="none"/>
          <w14:textFill>
            <w14:solidFill>
              <w14:schemeClr w14:val="tx1"/>
            </w14:solidFill>
          </w14:textFill>
        </w:rPr>
        <w:t>）系</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（投标人名称）的法定代表人，现授权委托本单位在职职工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（姓名</w:t>
      </w:r>
      <w:r>
        <w:rPr>
          <w:rFonts w:hint="eastAsia" w:ascii="Times New Roman" w:hAnsi="Times New Roman" w:eastAsia="仿宋_GB2312"/>
          <w:b/>
          <w:bCs/>
          <w:color w:val="000000" w:themeColor="text1"/>
          <w:sz w:val="30"/>
          <w:szCs w:val="30"/>
          <w:highlight w:val="none"/>
          <w14:textFill>
            <w14:solidFill>
              <w14:schemeClr w14:val="tx1"/>
            </w14:solidFill>
          </w14:textFill>
        </w:rPr>
        <w:t>，附身份证复印件</w:t>
      </w:r>
      <w:r>
        <w:rPr>
          <w:rFonts w:hint="eastAsia" w:ascii="Times New Roman" w:hAnsi="Times New Roman" w:eastAsia="仿宋_GB2312"/>
          <w:color w:val="000000" w:themeColor="text1"/>
          <w:sz w:val="30"/>
          <w:szCs w:val="30"/>
          <w:highlight w:val="none"/>
          <w14:textFill>
            <w14:solidFill>
              <w14:schemeClr w14:val="tx1"/>
            </w14:solidFill>
          </w14:textFill>
        </w:rPr>
        <w:t>）为</w:t>
      </w: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，以我方的名义参加</w:t>
      </w:r>
      <w:bookmarkStart w:id="56" w:name="_Hlk107333037"/>
      <w:r>
        <w:rPr>
          <w:rFonts w:hint="eastAsia" w:ascii="Times New Roman" w:hAnsi="Times New Roman" w:eastAsia="仿宋_GB2312"/>
          <w:b/>
          <w:bCs/>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***项目</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（项目编号：</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2024-XXHGC-8</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w:t>
      </w:r>
      <w:bookmarkEnd w:id="56"/>
      <w:r>
        <w:rPr>
          <w:rFonts w:hint="eastAsia" w:ascii="Times New Roman" w:hAnsi="Times New Roman" w:eastAsia="仿宋_GB2312"/>
          <w:color w:val="000000" w:themeColor="text1"/>
          <w:sz w:val="30"/>
          <w:szCs w:val="30"/>
          <w:highlight w:val="none"/>
          <w14:textFill>
            <w14:solidFill>
              <w14:schemeClr w14:val="tx1"/>
            </w14:solidFill>
          </w14:textFill>
        </w:rPr>
        <w:t>的投标活动，并代表我方全权办理针对上述项目的投标、开标、评标、签约等具体事务和签署相关文件。我方对</w:t>
      </w: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的签字事项负全部责任。</w:t>
      </w:r>
    </w:p>
    <w:p>
      <w:pPr>
        <w:snapToGrid w:val="0"/>
        <w:spacing w:before="120" w:beforeLines="50" w:after="50" w:line="46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在撤销授权的书面通知以前，本授权书一直有效。</w:t>
      </w: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在授权书有效期内签署的所有文件不因授权的撤销而失效。</w:t>
      </w:r>
    </w:p>
    <w:p>
      <w:pPr>
        <w:snapToGrid w:val="0"/>
        <w:spacing w:before="120" w:beforeLines="50" w:after="50" w:line="460" w:lineRule="exact"/>
        <w:ind w:firstLine="48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无转委托权，特此委托。</w:t>
      </w:r>
    </w:p>
    <w:p>
      <w:pPr>
        <w:snapToGrid w:val="0"/>
        <w:spacing w:before="120" w:beforeLines="50" w:after="50" w:line="460" w:lineRule="exact"/>
        <w:ind w:firstLine="48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before="120" w:beforeLines="50" w:after="50" w:line="460" w:lineRule="exact"/>
        <w:ind w:firstLine="48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before="120" w:beforeLines="50" w:after="50" w:line="460" w:lineRule="exact"/>
        <w:rPr>
          <w:rFonts w:ascii="Times New Roman" w:hAnsi="Times New Roman" w:eastAsia="仿宋_GB2312"/>
          <w:color w:val="000000" w:themeColor="text1"/>
          <w:sz w:val="30"/>
          <w:szCs w:val="30"/>
          <w:highlight w:val="none"/>
          <w:u w:val="single" w:color="000000"/>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职务：</w:t>
      </w:r>
      <w:r>
        <w:rPr>
          <w:rFonts w:hint="eastAsia"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color="000000"/>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手机：</w:t>
      </w:r>
      <w:r>
        <w:rPr>
          <w:rFonts w:hint="eastAsia"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电子邮箱：</w:t>
      </w:r>
      <w:r>
        <w:rPr>
          <w:rFonts w:hint="eastAsia"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传真：</w:t>
      </w:r>
      <w:r>
        <w:rPr>
          <w:rFonts w:hint="eastAsia" w:ascii="Times New Roman" w:hAnsi="Times New Roman" w:eastAsia="仿宋_GB2312"/>
          <w:color w:val="000000" w:themeColor="text1"/>
          <w:sz w:val="30"/>
          <w:szCs w:val="30"/>
          <w:highlight w:val="none"/>
          <w:u w:val="single" w:color="000000"/>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color="000000"/>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身份证号码：</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法定代表人签名：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职务：</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法定代表人手机：</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 xml:space="preserve">                                     </w:t>
      </w:r>
    </w:p>
    <w:p>
      <w:pPr>
        <w:snapToGrid w:val="0"/>
        <w:spacing w:before="120" w:beforeLines="50" w:after="50" w:line="460" w:lineRule="exact"/>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before="120" w:beforeLines="50" w:after="50" w:line="460" w:lineRule="exact"/>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pStyle w:val="4"/>
        <w:pageBreakBefore/>
        <w:spacing w:before="0" w:after="0" w:line="480" w:lineRule="exact"/>
        <w:rPr>
          <w:rFonts w:ascii="仿宋_GB2312"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4</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联合投标协议书</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甲方：</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乙方：</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（如果有的话，可按甲、乙、丙、丁…序列增加）</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各方经协商，就响应</w:t>
      </w:r>
      <w:r>
        <w:rPr>
          <w:rFonts w:hint="eastAsia" w:ascii="仿宋_GB2312" w:hAnsi="仿宋" w:eastAsia="仿宋_GB2312"/>
          <w:b/>
          <w:bCs/>
          <w:color w:val="000000" w:themeColor="text1"/>
          <w:sz w:val="30"/>
          <w:szCs w:val="30"/>
          <w:highlight w:val="none"/>
          <w:u w:val="single"/>
          <w14:textFill>
            <w14:solidFill>
              <w14:schemeClr w14:val="tx1"/>
            </w14:solidFill>
          </w14:textFill>
        </w:rPr>
        <w:t>浙江省教育技术中心</w:t>
      </w:r>
      <w:r>
        <w:rPr>
          <w:rFonts w:hint="eastAsia" w:ascii="仿宋_GB2312" w:hAnsi="仿宋" w:eastAsia="仿宋_GB2312"/>
          <w:color w:val="000000" w:themeColor="text1"/>
          <w:sz w:val="30"/>
          <w:szCs w:val="30"/>
          <w:highlight w:val="none"/>
          <w14:textFill>
            <w14:solidFill>
              <w14:schemeClr w14:val="tx1"/>
            </w14:solidFill>
          </w14:textFill>
        </w:rPr>
        <w:t>组织实施的</w:t>
      </w:r>
      <w:bookmarkStart w:id="57" w:name="_Hlk107421392"/>
      <w:r>
        <w:rPr>
          <w:rFonts w:hint="eastAsia" w:ascii="仿宋_GB2312" w:hAnsi="Times New Roman" w:eastAsia="仿宋_GB2312"/>
          <w:b/>
          <w:bCs/>
          <w:color w:val="000000" w:themeColor="text1"/>
          <w:sz w:val="30"/>
          <w:szCs w:val="30"/>
          <w:highlight w:val="none"/>
          <w:u w:val="single"/>
          <w14:textFill>
            <w14:solidFill>
              <w14:schemeClr w14:val="tx1"/>
            </w14:solidFill>
          </w14:textFill>
        </w:rPr>
        <w:t xml:space="preserve"> </w:t>
      </w:r>
      <w:r>
        <w:rPr>
          <w:rFonts w:hint="eastAsia" w:ascii="仿宋_GB2312" w:hAnsi="Times New Roman" w:eastAsia="仿宋_GB2312"/>
          <w:b/>
          <w:bCs/>
          <w:color w:val="000000" w:themeColor="text1"/>
          <w:sz w:val="30"/>
          <w:szCs w:val="30"/>
          <w:highlight w:val="none"/>
          <w:u w:val="single"/>
          <w:lang w:eastAsia="zh-CN"/>
          <w14:textFill>
            <w14:solidFill>
              <w14:schemeClr w14:val="tx1"/>
            </w14:solidFill>
          </w14:textFill>
        </w:rPr>
        <w:t>***项目</w:t>
      </w:r>
      <w:r>
        <w:rPr>
          <w:rFonts w:hint="eastAsia" w:ascii="仿宋_GB2312" w:hAnsi="Times New Roman" w:eastAsia="仿宋_GB2312"/>
          <w:b/>
          <w:bCs/>
          <w:color w:val="000000" w:themeColor="text1"/>
          <w:sz w:val="30"/>
          <w:szCs w:val="30"/>
          <w:highlight w:val="none"/>
          <w:u w:val="single"/>
          <w14:textFill>
            <w14:solidFill>
              <w14:schemeClr w14:val="tx1"/>
            </w14:solidFill>
          </w14:textFill>
        </w:rPr>
        <w:t>（项目编号：</w:t>
      </w:r>
      <w:r>
        <w:rPr>
          <w:rFonts w:hint="eastAsia" w:ascii="仿宋_GB2312" w:hAnsi="Times New Roman" w:eastAsia="仿宋_GB2312"/>
          <w:b/>
          <w:bCs/>
          <w:color w:val="000000" w:themeColor="text1"/>
          <w:sz w:val="30"/>
          <w:szCs w:val="30"/>
          <w:highlight w:val="none"/>
          <w:u w:val="single"/>
          <w:lang w:eastAsia="zh-CN"/>
          <w14:textFill>
            <w14:solidFill>
              <w14:schemeClr w14:val="tx1"/>
            </w14:solidFill>
          </w14:textFill>
        </w:rPr>
        <w:t>2024-XXHGC-8</w:t>
      </w:r>
      <w:r>
        <w:rPr>
          <w:rFonts w:hint="eastAsia" w:ascii="仿宋_GB2312" w:hAnsi="Times New Roman" w:eastAsia="仿宋_GB2312"/>
          <w:b/>
          <w:bCs/>
          <w:color w:val="000000" w:themeColor="text1"/>
          <w:sz w:val="30"/>
          <w:szCs w:val="30"/>
          <w:highlight w:val="none"/>
          <w:u w:val="single"/>
          <w14:textFill>
            <w14:solidFill>
              <w14:schemeClr w14:val="tx1"/>
            </w14:solidFill>
          </w14:textFill>
        </w:rPr>
        <w:t>）</w:t>
      </w:r>
      <w:bookmarkEnd w:id="57"/>
      <w:r>
        <w:rPr>
          <w:rFonts w:hint="eastAsia" w:ascii="仿宋_GB2312" w:hAnsi="仿宋" w:eastAsia="仿宋_GB2312"/>
          <w:color w:val="000000" w:themeColor="text1"/>
          <w:sz w:val="30"/>
          <w:szCs w:val="30"/>
          <w:highlight w:val="none"/>
          <w14:textFill>
            <w14:solidFill>
              <w14:schemeClr w14:val="tx1"/>
            </w14:solidFill>
          </w14:textFill>
        </w:rPr>
        <w:t>的招标活动联合进行投标之事宜，达成如下协议：</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一、各方一致决定，以</w:t>
      </w:r>
      <w:r>
        <w:rPr>
          <w:rFonts w:hint="eastAsia" w:ascii="仿宋_GB2312" w:hAnsi="仿宋" w:eastAsia="仿宋_GB2312"/>
          <w:color w:val="000000" w:themeColor="text1"/>
          <w:sz w:val="30"/>
          <w:szCs w:val="30"/>
          <w:highlight w:val="none"/>
          <w:u w:val="single"/>
          <w14:textFill>
            <w14:solidFill>
              <w14:schemeClr w14:val="tx1"/>
            </w14:solidFill>
          </w14:textFill>
        </w:rPr>
        <w:t xml:space="preserve"> </w:t>
      </w:r>
      <w:r>
        <w:rPr>
          <w:rFonts w:ascii="仿宋_GB2312" w:hAnsi="仿宋" w:eastAsia="仿宋_GB2312"/>
          <w:color w:val="000000" w:themeColor="text1"/>
          <w:sz w:val="30"/>
          <w:szCs w:val="30"/>
          <w:highlight w:val="none"/>
          <w:u w:val="single"/>
          <w14:textFill>
            <w14:solidFill>
              <w14:schemeClr w14:val="tx1"/>
            </w14:solidFill>
          </w14:textFill>
        </w:rPr>
        <w:t xml:space="preserve">    </w:t>
      </w:r>
      <w:r>
        <w:rPr>
          <w:rFonts w:hint="eastAsia" w:ascii="仿宋_GB2312" w:hAnsi="仿宋" w:eastAsia="仿宋_GB2312"/>
          <w:color w:val="000000" w:themeColor="text1"/>
          <w:sz w:val="30"/>
          <w:szCs w:val="30"/>
          <w:highlight w:val="none"/>
          <w:u w:val="single"/>
          <w14:textFill>
            <w14:solidFill>
              <w14:schemeClr w14:val="tx1"/>
            </w14:solidFill>
          </w14:textFill>
        </w:rPr>
        <w:t xml:space="preserve"> </w:t>
      </w:r>
      <w:r>
        <w:rPr>
          <w:rFonts w:ascii="仿宋_GB2312" w:hAnsi="仿宋" w:eastAsia="仿宋_GB2312"/>
          <w:color w:val="000000" w:themeColor="text1"/>
          <w:sz w:val="30"/>
          <w:szCs w:val="30"/>
          <w:highlight w:val="none"/>
          <w:u w:val="singl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为主办人进行投标，并按照招标文件的规定分别提交资格文件（声明书、营业执照、投标人特定条件）。</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二、在本次投标过程中，主办人的法定代表人或授权代</w:t>
      </w:r>
      <w:r>
        <w:rPr>
          <w:rFonts w:hint="eastAsia" w:ascii="仿宋_GB2312" w:hAnsi="仿宋" w:eastAsia="仿宋_GB2312"/>
          <w:color w:val="000000" w:themeColor="text1"/>
          <w:sz w:val="30"/>
          <w:szCs w:val="30"/>
          <w:highlight w:val="none"/>
          <w:lang w:val="en-US" w:eastAsia="zh-CN"/>
          <w14:textFill>
            <w14:solidFill>
              <w14:schemeClr w14:val="tx1"/>
            </w14:solidFill>
          </w14:textFill>
        </w:rPr>
        <w:t>表</w:t>
      </w:r>
      <w:r>
        <w:rPr>
          <w:rFonts w:hint="eastAsia" w:ascii="仿宋_GB2312" w:hAnsi="仿宋" w:eastAsia="仿宋_GB2312"/>
          <w:color w:val="000000" w:themeColor="text1"/>
          <w:sz w:val="30"/>
          <w:szCs w:val="30"/>
          <w:highlight w:val="none"/>
          <w14:textFill>
            <w14:solidFill>
              <w14:schemeClr w14:val="tx1"/>
            </w14:solidFill>
          </w14:textFill>
        </w:rPr>
        <w:t>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三、联合投标其余各方保证对主办人为响应本次招标而提供的产品和服务提供全部质量保证及售后服务支持。</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四、本次联合投标中，各方承担的工作和义务如下：</w:t>
      </w:r>
    </w:p>
    <w:p>
      <w:pPr>
        <w:pStyle w:val="9"/>
        <w:overflowPunct w:val="0"/>
        <w:spacing w:line="440" w:lineRule="exact"/>
        <w:ind w:firstLine="642" w:firstLineChars="214"/>
        <w:rPr>
          <w:rFonts w:ascii="仿宋_GB2312" w:hAnsi="仿宋" w:eastAsia="仿宋_GB2312"/>
          <w:color w:val="000000" w:themeColor="text1"/>
          <w:sz w:val="30"/>
          <w:szCs w:val="30"/>
          <w:highlight w:val="none"/>
          <w:u w:val="singl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1</w:t>
      </w:r>
      <w:r>
        <w:rPr>
          <w:rFonts w:ascii="仿宋_GB2312" w:hAnsi="仿宋" w:eastAsia="仿宋_GB2312"/>
          <w:color w:val="000000" w:themeColor="text1"/>
          <w:sz w:val="30"/>
          <w:szCs w:val="30"/>
          <w:highlight w:val="none"/>
          <w14:textFill>
            <w14:solidFill>
              <w14:schemeClr w14:val="tx1"/>
            </w14:solidFill>
          </w14:textFill>
        </w:rPr>
        <w:t>.</w:t>
      </w:r>
      <w:r>
        <w:rPr>
          <w:rFonts w:hint="eastAsia" w:ascii="仿宋_GB2312" w:hAnsi="仿宋" w:eastAsia="仿宋_GB2312"/>
          <w:color w:val="000000" w:themeColor="text1"/>
          <w:sz w:val="30"/>
          <w:szCs w:val="30"/>
          <w:highlight w:val="none"/>
          <w14:textFill>
            <w14:solidFill>
              <w14:schemeClr w14:val="tx1"/>
            </w14:solidFill>
          </w14:textFill>
        </w:rPr>
        <w:t>甲方承担的工作和义务为：</w:t>
      </w:r>
      <w:r>
        <w:rPr>
          <w:rFonts w:hint="eastAsia" w:ascii="仿宋_GB2312" w:hAnsi="仿宋" w:eastAsia="仿宋_GB2312"/>
          <w:color w:val="000000" w:themeColor="text1"/>
          <w:sz w:val="30"/>
          <w:szCs w:val="30"/>
          <w:highlight w:val="none"/>
          <w:u w:val="single"/>
          <w14:textFill>
            <w14:solidFill>
              <w14:schemeClr w14:val="tx1"/>
            </w14:solidFill>
          </w14:textFill>
        </w:rPr>
        <w:t xml:space="preserve"> </w:t>
      </w:r>
      <w:r>
        <w:rPr>
          <w:rFonts w:ascii="仿宋_GB2312" w:hAnsi="仿宋" w:eastAsia="仿宋_GB2312"/>
          <w:color w:val="000000" w:themeColor="text1"/>
          <w:sz w:val="30"/>
          <w:szCs w:val="30"/>
          <w:highlight w:val="none"/>
          <w:u w:val="singl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2</w:t>
      </w:r>
      <w:r>
        <w:rPr>
          <w:rFonts w:ascii="仿宋_GB2312" w:hAnsi="仿宋" w:eastAsia="仿宋_GB2312"/>
          <w:color w:val="000000" w:themeColor="text1"/>
          <w:sz w:val="30"/>
          <w:szCs w:val="30"/>
          <w:highlight w:val="none"/>
          <w14:textFill>
            <w14:solidFill>
              <w14:schemeClr w14:val="tx1"/>
            </w14:solidFill>
          </w14:textFill>
        </w:rPr>
        <w:t>.</w:t>
      </w:r>
      <w:r>
        <w:rPr>
          <w:rFonts w:hint="eastAsia" w:ascii="仿宋_GB2312" w:hAnsi="仿宋" w:eastAsia="仿宋_GB2312"/>
          <w:color w:val="000000" w:themeColor="text1"/>
          <w:sz w:val="30"/>
          <w:szCs w:val="30"/>
          <w:highlight w:val="none"/>
          <w14:textFill>
            <w14:solidFill>
              <w14:schemeClr w14:val="tx1"/>
            </w14:solidFill>
          </w14:textFill>
        </w:rPr>
        <w:t>乙方承担的工作和义务为：</w:t>
      </w:r>
      <w:r>
        <w:rPr>
          <w:rFonts w:hint="eastAsia" w:ascii="仿宋_GB2312" w:hAnsi="仿宋" w:eastAsia="仿宋_GB2312"/>
          <w:color w:val="000000" w:themeColor="text1"/>
          <w:sz w:val="30"/>
          <w:szCs w:val="30"/>
          <w:highlight w:val="none"/>
          <w:u w:val="single"/>
          <w14:textFill>
            <w14:solidFill>
              <w14:schemeClr w14:val="tx1"/>
            </w14:solidFill>
          </w14:textFill>
        </w:rPr>
        <w:t xml:space="preserve"> </w:t>
      </w:r>
      <w:r>
        <w:rPr>
          <w:rFonts w:ascii="仿宋_GB2312" w:hAnsi="仿宋" w:eastAsia="仿宋_GB2312"/>
          <w:color w:val="000000" w:themeColor="text1"/>
          <w:sz w:val="30"/>
          <w:szCs w:val="30"/>
          <w:highlight w:val="none"/>
          <w:u w:val="singl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（如果有的话，可按甲、乙、丙、丁…序列增加）</w:t>
      </w:r>
    </w:p>
    <w:p>
      <w:pPr>
        <w:pStyle w:val="9"/>
        <w:overflowPunct w:val="0"/>
        <w:spacing w:line="440" w:lineRule="exact"/>
        <w:ind w:firstLine="642" w:firstLineChars="214"/>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（甲方</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）的合同份额占到合同总金额</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%，（乙方</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）的合同份额占到合同总金额</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w:t>
      </w:r>
    </w:p>
    <w:p>
      <w:pPr>
        <w:pStyle w:val="9"/>
        <w:overflowPunct w:val="0"/>
        <w:spacing w:line="440" w:lineRule="exact"/>
        <w:ind w:firstLine="642" w:firstLineChars="214"/>
        <w:rPr>
          <w:rFonts w:ascii="仿宋_GB2312" w:hAnsi="仿宋" w:eastAsia="仿宋_GB2312"/>
          <w:color w:val="000000" w:themeColor="text1"/>
          <w:sz w:val="30"/>
          <w:szCs w:val="30"/>
          <w:highlight w:val="none"/>
          <w:u w:val="singl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五、有关本次联合投标的其他事宜：</w:t>
      </w:r>
      <w:r>
        <w:rPr>
          <w:rFonts w:hint="eastAsia" w:ascii="仿宋_GB2312" w:hAnsi="仿宋" w:eastAsia="仿宋_GB2312"/>
          <w:color w:val="000000" w:themeColor="text1"/>
          <w:sz w:val="30"/>
          <w:szCs w:val="30"/>
          <w:highlight w:val="none"/>
          <w:u w:val="single"/>
          <w14:textFill>
            <w14:solidFill>
              <w14:schemeClr w14:val="tx1"/>
            </w14:solidFill>
          </w14:textFill>
        </w:rPr>
        <w:t xml:space="preserve"> </w:t>
      </w:r>
      <w:r>
        <w:rPr>
          <w:rFonts w:ascii="仿宋_GB2312" w:hAnsi="仿宋" w:eastAsia="仿宋_GB2312"/>
          <w:color w:val="000000" w:themeColor="text1"/>
          <w:sz w:val="30"/>
          <w:szCs w:val="30"/>
          <w:highlight w:val="none"/>
          <w:u w:val="singl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六、本协议提交招标方后，联合投标各方不得以任何形式对上述实质内容进行修改或撤销。</w:t>
      </w:r>
    </w:p>
    <w:p>
      <w:pPr>
        <w:pStyle w:val="9"/>
        <w:overflowPunct w:val="0"/>
        <w:spacing w:line="44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七、本协议签约各方各持一份，并作为投标文件的一部分。</w:t>
      </w:r>
    </w:p>
    <w:p>
      <w:pPr>
        <w:pStyle w:val="9"/>
        <w:overflowPunct w:val="0"/>
        <w:spacing w:line="460" w:lineRule="exact"/>
        <w:ind w:firstLine="642" w:firstLineChars="214"/>
        <w:rPr>
          <w:rFonts w:ascii="仿宋_GB2312" w:hAnsi="仿宋" w:eastAsia="仿宋_GB2312"/>
          <w:color w:val="000000" w:themeColor="text1"/>
          <w:sz w:val="30"/>
          <w:szCs w:val="30"/>
          <w:highlight w:val="none"/>
          <w14:textFill>
            <w14:solidFill>
              <w14:schemeClr w14:val="tx1"/>
            </w14:solidFill>
          </w14:textFill>
        </w:rPr>
      </w:pPr>
    </w:p>
    <w:tbl>
      <w:tblPr>
        <w:tblStyle w:val="36"/>
        <w:tblW w:w="8528" w:type="dxa"/>
        <w:jc w:val="center"/>
        <w:tblLayout w:type="fixed"/>
        <w:tblCellMar>
          <w:top w:w="0" w:type="dxa"/>
          <w:left w:w="108" w:type="dxa"/>
          <w:bottom w:w="0" w:type="dxa"/>
          <w:right w:w="108" w:type="dxa"/>
        </w:tblCellMar>
      </w:tblPr>
      <w:tblGrid>
        <w:gridCol w:w="4264"/>
        <w:gridCol w:w="4264"/>
      </w:tblGrid>
      <w:tr>
        <w:trPr>
          <w:jc w:val="center"/>
        </w:trPr>
        <w:tc>
          <w:tcPr>
            <w:tcW w:w="4264" w:type="dxa"/>
          </w:tcPr>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甲方单位：（公章）</w:t>
            </w:r>
          </w:p>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法定代表人：（签章）</w:t>
            </w:r>
          </w:p>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 xml:space="preserve">日  期：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 xml:space="preserve">年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 xml:space="preserve">月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日</w:t>
            </w:r>
          </w:p>
        </w:tc>
        <w:tc>
          <w:tcPr>
            <w:tcW w:w="4264" w:type="dxa"/>
          </w:tcPr>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乙方单位：（公章）</w:t>
            </w:r>
          </w:p>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法定代表人：（签章）</w:t>
            </w:r>
          </w:p>
          <w:p>
            <w:pPr>
              <w:pStyle w:val="9"/>
              <w:overflowPunct w:val="0"/>
              <w:spacing w:line="460" w:lineRule="exact"/>
              <w:ind w:firstLine="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30"/>
                <w:szCs w:val="30"/>
                <w:highlight w:val="none"/>
                <w14:textFill>
                  <w14:solidFill>
                    <w14:schemeClr w14:val="tx1"/>
                  </w14:solidFill>
                </w14:textFill>
              </w:rPr>
              <w:t xml:space="preserve">日  期：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 xml:space="preserve">年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 xml:space="preserve">月 </w:t>
            </w:r>
            <w:r>
              <w:rPr>
                <w:rFonts w:ascii="仿宋_GB2312" w:hAnsi="仿宋" w:eastAsia="仿宋_GB2312"/>
                <w:color w:val="000000" w:themeColor="text1"/>
                <w:sz w:val="30"/>
                <w:szCs w:val="30"/>
                <w:highlight w:val="none"/>
                <w14:textFill>
                  <w14:solidFill>
                    <w14:schemeClr w14:val="tx1"/>
                  </w14:solidFill>
                </w14:textFill>
              </w:rPr>
              <w:t xml:space="preserve"> </w:t>
            </w:r>
            <w:r>
              <w:rPr>
                <w:rFonts w:hint="eastAsia" w:ascii="仿宋_GB2312" w:hAnsi="仿宋" w:eastAsia="仿宋_GB2312"/>
                <w:color w:val="000000" w:themeColor="text1"/>
                <w:sz w:val="30"/>
                <w:szCs w:val="30"/>
                <w:highlight w:val="none"/>
                <w14:textFill>
                  <w14:solidFill>
                    <w14:schemeClr w14:val="tx1"/>
                  </w14:solidFill>
                </w14:textFill>
              </w:rPr>
              <w:t>日</w:t>
            </w:r>
          </w:p>
        </w:tc>
      </w:tr>
    </w:tbl>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5</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联合投标授权委托书</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snapToGrid w:val="0"/>
        <w:spacing w:before="156" w:beforeLines="50" w:after="50" w:line="460" w:lineRule="exact"/>
        <w:ind w:firstLine="480"/>
        <w:rPr>
          <w:rFonts w:hint="eastAsia"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 xml:space="preserve"> 本授权委托书声明：根据</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与</w:t>
      </w:r>
      <w:r>
        <w:rPr>
          <w:rFonts w:hint="eastAsia" w:ascii="仿宋" w:hAnsi="仿宋" w:eastAsia="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u w:val="single"/>
          <w14:textFill>
            <w14:solidFill>
              <w14:schemeClr w14:val="tx1"/>
            </w14:solidFill>
          </w14:textFill>
        </w:rPr>
        <w:t>（所有联合体供应商名称）</w:t>
      </w:r>
      <w:r>
        <w:rPr>
          <w:rFonts w:hint="eastAsia" w:ascii="仿宋" w:hAnsi="仿宋" w:eastAsia="仿宋"/>
          <w:color w:val="000000" w:themeColor="text1"/>
          <w:sz w:val="30"/>
          <w:szCs w:val="30"/>
          <w:highlight w:val="none"/>
          <w14:textFill>
            <w14:solidFill>
              <w14:schemeClr w14:val="tx1"/>
            </w14:solidFill>
          </w14:textFill>
        </w:rPr>
        <w:t>签订的《联合投标协议书》的内容，主办人的法定代表人现授权为</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联合投标授权代表，授权代表在投标、开标、评标、合同谈判过程中所签署的一切文件和处理与这有关的一切事务， 联合投标各方均予以认可并遵守。</w:t>
      </w:r>
    </w:p>
    <w:p>
      <w:pPr>
        <w:snapToGrid w:val="0"/>
        <w:spacing w:before="156" w:beforeLines="50" w:after="50" w:line="460" w:lineRule="exact"/>
        <w:ind w:firstLine="480"/>
        <w:rPr>
          <w:rFonts w:hint="eastAsia"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在撤销授权的书面通知以前，本授权书一直有效。授权代表在授权书有效期内签署的所有文件不因授权的撤销而失效。</w:t>
      </w:r>
    </w:p>
    <w:p>
      <w:pPr>
        <w:overflowPunct w:val="0"/>
        <w:snapToGrid w:val="0"/>
        <w:spacing w:before="156" w:beforeLines="50" w:after="50" w:line="460" w:lineRule="exact"/>
        <w:ind w:firstLine="48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授权代表无转委托权，特此委托。</w:t>
      </w:r>
    </w:p>
    <w:p>
      <w:pPr>
        <w:pStyle w:val="9"/>
        <w:overflowPunct w:val="0"/>
        <w:spacing w:line="460" w:lineRule="exact"/>
        <w:rPr>
          <w:rFonts w:ascii="仿宋" w:hAnsi="仿宋" w:eastAsia="仿宋"/>
          <w:color w:val="000000" w:themeColor="text1"/>
          <w:sz w:val="30"/>
          <w:szCs w:val="30"/>
          <w:highlight w:val="none"/>
          <w14:textFill>
            <w14:solidFill>
              <w14:schemeClr w14:val="tx1"/>
            </w14:solidFill>
          </w14:textFill>
        </w:rPr>
      </w:pPr>
    </w:p>
    <w:p>
      <w:pPr>
        <w:snapToGrid w:val="0"/>
        <w:spacing w:before="156" w:beforeLines="50" w:after="50" w:line="460" w:lineRule="exact"/>
        <w:ind w:firstLine="600" w:firstLineChars="200"/>
        <w:rPr>
          <w:rFonts w:hint="eastAsia"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授权人（签名）：</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u w:val="single"/>
          <w:lang w:val="en-US" w:eastAsia="zh-CN"/>
          <w14:textFill>
            <w14:solidFill>
              <w14:schemeClr w14:val="tx1"/>
            </w14:solidFill>
          </w14:textFill>
        </w:rPr>
        <w:t xml:space="preserve"> </w:t>
      </w:r>
      <w:r>
        <w:rPr>
          <w:rFonts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日期：</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年</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月</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日</w:t>
      </w:r>
    </w:p>
    <w:p>
      <w:pPr>
        <w:snapToGrid w:val="0"/>
        <w:spacing w:before="156" w:beforeLines="50" w:after="50" w:line="460" w:lineRule="exact"/>
        <w:ind w:firstLine="600" w:firstLineChars="200"/>
        <w:rPr>
          <w:rFonts w:hint="eastAsia" w:ascii="仿宋" w:hAnsi="仿宋" w:eastAsia="仿宋"/>
          <w:color w:val="000000" w:themeColor="text1"/>
          <w:sz w:val="30"/>
          <w:szCs w:val="30"/>
          <w:highlight w:val="none"/>
          <w:u w:val="single"/>
          <w:lang w:eastAsia="zh-CN"/>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授权代表（签名）：</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u w:val="single"/>
          <w:lang w:eastAsia="zh-CN"/>
          <w14:textFill>
            <w14:solidFill>
              <w14:schemeClr w14:val="tx1"/>
            </w14:solidFill>
          </w14:textFill>
        </w:rPr>
        <w:t>（</w:t>
      </w:r>
      <w:r>
        <w:rPr>
          <w:rFonts w:hint="eastAsia" w:ascii="仿宋" w:hAnsi="仿宋" w:eastAsia="仿宋"/>
          <w:color w:val="000000" w:themeColor="text1"/>
          <w:sz w:val="30"/>
          <w:szCs w:val="30"/>
          <w:highlight w:val="none"/>
          <w:u w:val="single"/>
          <w14:textFill>
            <w14:solidFill>
              <w14:schemeClr w14:val="tx1"/>
            </w14:solidFill>
          </w14:textFill>
        </w:rPr>
        <w:t xml:space="preserve">身份证号码：             </w:t>
      </w:r>
      <w:r>
        <w:rPr>
          <w:rFonts w:hint="eastAsia" w:ascii="仿宋" w:hAnsi="仿宋" w:eastAsia="仿宋"/>
          <w:color w:val="000000" w:themeColor="text1"/>
          <w:sz w:val="30"/>
          <w:szCs w:val="30"/>
          <w:highlight w:val="none"/>
          <w:u w:val="singl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u w:val="single"/>
          <w14:textFill>
            <w14:solidFill>
              <w14:schemeClr w14:val="tx1"/>
            </w14:solidFill>
          </w14:textFill>
        </w:rPr>
        <w:t xml:space="preserve"> </w:t>
      </w:r>
      <w:r>
        <w:rPr>
          <w:rFonts w:hint="eastAsia" w:ascii="仿宋" w:hAnsi="仿宋" w:eastAsia="仿宋"/>
          <w:color w:val="000000" w:themeColor="text1"/>
          <w:sz w:val="30"/>
          <w:szCs w:val="30"/>
          <w:highlight w:val="none"/>
          <w:u w:val="single"/>
          <w:lang w:eastAsia="zh-CN"/>
          <w14:textFill>
            <w14:solidFill>
              <w14:schemeClr w14:val="tx1"/>
            </w14:solidFill>
          </w14:textFill>
        </w:rPr>
        <w:t>）</w:t>
      </w:r>
    </w:p>
    <w:p>
      <w:pPr>
        <w:pStyle w:val="9"/>
        <w:overflowPunct w:val="0"/>
        <w:spacing w:line="460" w:lineRule="exact"/>
        <w:ind w:firstLine="570" w:firstLineChars="19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日期：</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年</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月</w:t>
      </w:r>
      <w:r>
        <w:rPr>
          <w:rFonts w:hint="eastAsia" w:ascii="仿宋" w:hAnsi="仿宋" w:eastAsia="仿宋"/>
          <w:color w:val="000000" w:themeColor="text1"/>
          <w:sz w:val="30"/>
          <w:szCs w:val="30"/>
          <w:highlight w:val="none"/>
          <w:lang w:val="en-US" w:eastAsia="zh-CN"/>
          <w14:textFill>
            <w14:solidFill>
              <w14:schemeClr w14:val="tx1"/>
            </w14:solidFill>
          </w14:textFill>
        </w:rPr>
        <w:t xml:space="preserve">   </w:t>
      </w:r>
      <w:r>
        <w:rPr>
          <w:rFonts w:hint="eastAsia" w:ascii="仿宋" w:hAnsi="仿宋" w:eastAsia="仿宋"/>
          <w:color w:val="000000" w:themeColor="text1"/>
          <w:sz w:val="30"/>
          <w:szCs w:val="30"/>
          <w:highlight w:val="none"/>
          <w14:textFill>
            <w14:solidFill>
              <w14:schemeClr w14:val="tx1"/>
            </w14:solidFill>
          </w14:textFill>
        </w:rPr>
        <w:t>日</w:t>
      </w:r>
    </w:p>
    <w:p>
      <w:pPr>
        <w:tabs>
          <w:tab w:val="left" w:pos="606"/>
        </w:tabs>
        <w:spacing w:line="460" w:lineRule="exact"/>
        <w:rPr>
          <w:rFonts w:ascii="仿宋" w:hAnsi="仿宋" w:eastAsia="仿宋"/>
          <w:color w:val="000000" w:themeColor="text1"/>
          <w:spacing w:val="20"/>
          <w:sz w:val="30"/>
          <w:szCs w:val="30"/>
          <w:highlight w:val="none"/>
          <w14:textFill>
            <w14:solidFill>
              <w14:schemeClr w14:val="tx1"/>
            </w14:solidFill>
          </w14:textFill>
        </w:rPr>
      </w:pPr>
    </w:p>
    <w:tbl>
      <w:tblPr>
        <w:tblStyle w:val="36"/>
        <w:tblW w:w="8528" w:type="dxa"/>
        <w:jc w:val="center"/>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rPr>
          <w:jc w:val="center"/>
        </w:trPr>
        <w:tc>
          <w:tcPr>
            <w:tcW w:w="4264" w:type="dxa"/>
          </w:tcPr>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联合体甲方单位：（公章）</w:t>
            </w: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法定代表人：（签章）</w:t>
            </w: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日  期： 年 月 日</w:t>
            </w:r>
          </w:p>
        </w:tc>
        <w:tc>
          <w:tcPr>
            <w:tcW w:w="4264" w:type="dxa"/>
          </w:tcPr>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联合体乙方单位：（公章）</w:t>
            </w: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法定代表人：（签章）</w:t>
            </w: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p>
          <w:p>
            <w:pPr>
              <w:pStyle w:val="9"/>
              <w:overflowPunct w:val="0"/>
              <w:spacing w:line="460" w:lineRule="exact"/>
              <w:ind w:firstLine="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日  期： 年 月 日</w:t>
            </w:r>
          </w:p>
        </w:tc>
      </w:tr>
    </w:tbl>
    <w:p>
      <w:pPr>
        <w:snapToGrid w:val="0"/>
        <w:spacing w:before="120" w:beforeLines="50" w:after="50" w:line="460" w:lineRule="exact"/>
        <w:rPr>
          <w:rFonts w:ascii="仿宋" w:hAnsi="仿宋" w:eastAsia="仿宋"/>
          <w:color w:val="000000" w:themeColor="text1"/>
          <w:sz w:val="30"/>
          <w:szCs w:val="30"/>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6</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bookmarkStart w:id="58" w:name="_Hlk107420841"/>
      <w:r>
        <w:rPr>
          <w:rFonts w:hint="eastAsia" w:ascii="仿宋_GB2312" w:hAnsi="Times New Roman" w:eastAsia="仿宋_GB2312"/>
          <w:bCs/>
          <w:color w:val="000000" w:themeColor="text1"/>
          <w:sz w:val="32"/>
          <w:szCs w:val="32"/>
          <w:highlight w:val="none"/>
          <w14:textFill>
            <w14:solidFill>
              <w14:schemeClr w14:val="tx1"/>
            </w14:solidFill>
          </w14:textFill>
        </w:rPr>
        <w:t>分包意向协议</w:t>
      </w:r>
    </w:p>
    <w:bookmarkEnd w:id="58"/>
    <w:p>
      <w:pPr>
        <w:snapToGrid w:val="0"/>
        <w:spacing w:line="400" w:lineRule="exact"/>
        <w:ind w:firstLine="560" w:firstLineChars="200"/>
        <w:rPr>
          <w:rFonts w:ascii="仿宋_GB2312" w:hAnsi="仿宋" w:eastAsia="仿宋_GB2312"/>
          <w:i/>
          <w:iCs/>
          <w:color w:val="000000" w:themeColor="text1"/>
          <w:sz w:val="28"/>
          <w:szCs w:val="28"/>
          <w:highlight w:val="none"/>
          <w:u w:val="single"/>
          <w14:textFill>
            <w14:solidFill>
              <w14:schemeClr w14:val="tx1"/>
            </w14:solidFill>
          </w14:textFill>
        </w:rPr>
      </w:pPr>
      <w:r>
        <w:rPr>
          <w:rFonts w:hint="eastAsia" w:ascii="仿宋_GB2312" w:hAnsi="仿宋" w:eastAsia="仿宋_GB2312"/>
          <w:i/>
          <w:iCs/>
          <w:color w:val="000000" w:themeColor="text1"/>
          <w:sz w:val="28"/>
          <w:szCs w:val="28"/>
          <w:highlight w:val="none"/>
          <w:u w:val="single"/>
          <w14:textFill>
            <w14:solidFill>
              <w14:schemeClr w14:val="tx1"/>
            </w14:solidFill>
          </w14:textFill>
        </w:rPr>
        <w:t>（中标后以分包方式履行合同的，提供分包意向协议；采购人不同意分包或者投标人中标后不以分包方式履行合同的，则不需要提供。）</w:t>
      </w:r>
    </w:p>
    <w:p>
      <w:pPr>
        <w:snapToGrid w:val="0"/>
        <w:spacing w:line="400" w:lineRule="exact"/>
        <w:ind w:firstLine="560" w:firstLineChars="20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u w:val="single"/>
          <w14:textFill>
            <w14:solidFill>
              <w14:schemeClr w14:val="tx1"/>
            </w14:solidFill>
          </w14:textFill>
        </w:rPr>
        <w:t>投标人名称</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lang w:val="zh-CN"/>
          <w14:textFill>
            <w14:solidFill>
              <w14:schemeClr w14:val="tx1"/>
            </w14:solidFill>
          </w14:textFill>
        </w:rPr>
        <w:t>若成为</w:t>
      </w:r>
      <w:r>
        <w:rPr>
          <w:rFonts w:hint="eastAsia" w:ascii="仿宋_GB2312" w:hAnsi="Times New Roman" w:eastAsia="仿宋_GB2312"/>
          <w:b/>
          <w:bCs/>
          <w:color w:val="000000" w:themeColor="text1"/>
          <w:sz w:val="28"/>
          <w:szCs w:val="28"/>
          <w:highlight w:val="none"/>
          <w:u w:val="single"/>
          <w14:textFill>
            <w14:solidFill>
              <w14:schemeClr w14:val="tx1"/>
            </w14:solidFill>
          </w14:textFill>
        </w:rPr>
        <w:t xml:space="preserve"> </w:t>
      </w:r>
      <w:r>
        <w:rPr>
          <w:rFonts w:hint="eastAsia" w:ascii="仿宋_GB2312" w:hAnsi="Times New Roman" w:eastAsia="仿宋_GB2312"/>
          <w:b/>
          <w:bCs/>
          <w:color w:val="000000" w:themeColor="text1"/>
          <w:sz w:val="28"/>
          <w:szCs w:val="28"/>
          <w:highlight w:val="none"/>
          <w:u w:val="single"/>
          <w:lang w:eastAsia="zh-CN"/>
          <w14:textFill>
            <w14:solidFill>
              <w14:schemeClr w14:val="tx1"/>
            </w14:solidFill>
          </w14:textFill>
        </w:rPr>
        <w:t>***项目</w:t>
      </w:r>
      <w:r>
        <w:rPr>
          <w:rFonts w:hint="eastAsia" w:ascii="仿宋_GB2312" w:hAnsi="Times New Roman" w:eastAsia="仿宋_GB2312"/>
          <w:b/>
          <w:bCs/>
          <w:color w:val="000000" w:themeColor="text1"/>
          <w:sz w:val="28"/>
          <w:szCs w:val="28"/>
          <w:highlight w:val="none"/>
          <w:u w:val="single"/>
          <w14:textFill>
            <w14:solidFill>
              <w14:schemeClr w14:val="tx1"/>
            </w14:solidFill>
          </w14:textFill>
        </w:rPr>
        <w:t>（项目编号：</w:t>
      </w:r>
      <w:r>
        <w:rPr>
          <w:rFonts w:hint="eastAsia" w:ascii="仿宋_GB2312" w:hAnsi="Times New Roman" w:eastAsia="仿宋_GB2312"/>
          <w:b/>
          <w:bCs/>
          <w:color w:val="000000" w:themeColor="text1"/>
          <w:sz w:val="28"/>
          <w:szCs w:val="28"/>
          <w:highlight w:val="none"/>
          <w:u w:val="single"/>
          <w:lang w:eastAsia="zh-CN"/>
          <w14:textFill>
            <w14:solidFill>
              <w14:schemeClr w14:val="tx1"/>
            </w14:solidFill>
          </w14:textFill>
        </w:rPr>
        <w:t>2024-XXHGC-8</w:t>
      </w:r>
      <w:r>
        <w:rPr>
          <w:rFonts w:hint="eastAsia" w:ascii="仿宋_GB2312" w:hAnsi="Times New Roman" w:eastAsia="仿宋_GB2312"/>
          <w:b/>
          <w:bCs/>
          <w:color w:val="000000" w:themeColor="text1"/>
          <w:sz w:val="28"/>
          <w:szCs w:val="28"/>
          <w:highlight w:val="none"/>
          <w:u w:val="single"/>
          <w14:textFill>
            <w14:solidFill>
              <w14:schemeClr w14:val="tx1"/>
            </w14:solidFill>
          </w14:textFill>
        </w:rPr>
        <w:t>）</w:t>
      </w:r>
      <w:r>
        <w:rPr>
          <w:rFonts w:hint="eastAsia" w:ascii="仿宋_GB2312" w:hAnsi="仿宋" w:eastAsia="仿宋_GB2312"/>
          <w:color w:val="000000" w:themeColor="text1"/>
          <w:sz w:val="28"/>
          <w:szCs w:val="28"/>
          <w:highlight w:val="none"/>
          <w:lang w:val="zh-CN"/>
          <w14:textFill>
            <w14:solidFill>
              <w14:schemeClr w14:val="tx1"/>
            </w14:solidFill>
          </w14:textFill>
        </w:rPr>
        <w:t>的中标供应商，将依法采取分包方式履行合同。</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u w:val="single"/>
          <w14:textFill>
            <w14:solidFill>
              <w14:schemeClr w14:val="tx1"/>
            </w14:solidFill>
          </w14:textFill>
        </w:rPr>
        <w:t>投标人名称</w:t>
      </w:r>
      <w:r>
        <w:rPr>
          <w:rFonts w:hint="eastAsia" w:ascii="仿宋_GB2312" w:hAnsi="仿宋" w:eastAsia="仿宋_GB2312"/>
          <w:color w:val="000000" w:themeColor="text1"/>
          <w:sz w:val="28"/>
          <w:szCs w:val="28"/>
          <w:highlight w:val="none"/>
          <w14:textFill>
            <w14:solidFill>
              <w14:schemeClr w14:val="tx1"/>
            </w14:solidFill>
          </w14:textFill>
        </w:rPr>
        <w:t>）与（</w:t>
      </w:r>
      <w:r>
        <w:rPr>
          <w:rFonts w:hint="eastAsia" w:ascii="仿宋_GB2312" w:hAnsi="仿宋" w:eastAsia="仿宋_GB2312"/>
          <w:color w:val="000000" w:themeColor="text1"/>
          <w:sz w:val="28"/>
          <w:szCs w:val="28"/>
          <w:highlight w:val="none"/>
          <w:u w:val="single"/>
          <w14:textFill>
            <w14:solidFill>
              <w14:schemeClr w14:val="tx1"/>
            </w14:solidFill>
          </w14:textFill>
        </w:rPr>
        <w:t>所有分包供应商名称</w:t>
      </w:r>
      <w:r>
        <w:rPr>
          <w:rFonts w:hint="eastAsia" w:ascii="仿宋_GB2312" w:hAnsi="仿宋" w:eastAsia="仿宋_GB2312"/>
          <w:color w:val="000000" w:themeColor="text1"/>
          <w:sz w:val="28"/>
          <w:szCs w:val="28"/>
          <w:highlight w:val="none"/>
          <w14:textFill>
            <w14:solidFill>
              <w14:schemeClr w14:val="tx1"/>
            </w14:solidFill>
          </w14:textFill>
        </w:rPr>
        <w:t>）达成分包意向协议</w:t>
      </w:r>
      <w:r>
        <w:rPr>
          <w:rFonts w:hint="eastAsia" w:ascii="仿宋_GB2312" w:hAnsi="仿宋" w:eastAsia="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u w:val="single"/>
          <w14:textFill>
            <w14:solidFill>
              <w14:schemeClr w14:val="tx1"/>
            </w14:solidFill>
          </w14:textFill>
        </w:rPr>
        <w:t>投标人名称</w:t>
      </w:r>
      <w:r>
        <w:rPr>
          <w:rFonts w:hint="eastAsia" w:ascii="仿宋_GB2312" w:hAnsi="仿宋" w:eastAsia="仿宋_GB2312"/>
          <w:color w:val="000000" w:themeColor="text1"/>
          <w:sz w:val="28"/>
          <w:szCs w:val="28"/>
          <w:highlight w:val="none"/>
          <w14:textFill>
            <w14:solidFill>
              <w14:schemeClr w14:val="tx1"/>
            </w14:solidFill>
          </w14:textFill>
        </w:rPr>
        <w:t>）负责签署投标文件，（</w:t>
      </w:r>
      <w:r>
        <w:rPr>
          <w:rFonts w:hint="eastAsia" w:ascii="仿宋_GB2312" w:hAnsi="仿宋" w:eastAsia="仿宋_GB2312"/>
          <w:color w:val="000000" w:themeColor="text1"/>
          <w:sz w:val="28"/>
          <w:szCs w:val="28"/>
          <w:highlight w:val="none"/>
          <w:u w:val="single"/>
          <w14:textFill>
            <w14:solidFill>
              <w14:schemeClr w14:val="tx1"/>
            </w14:solidFill>
          </w14:textFill>
        </w:rPr>
        <w:t>投标人名称</w:t>
      </w:r>
      <w:r>
        <w:rPr>
          <w:rFonts w:hint="eastAsia" w:ascii="仿宋_GB2312" w:hAnsi="仿宋" w:eastAsia="仿宋_GB2312"/>
          <w:color w:val="000000" w:themeColor="text1"/>
          <w:sz w:val="28"/>
          <w:szCs w:val="28"/>
          <w:highlight w:val="none"/>
          <w14:textFill>
            <w14:solidFill>
              <w14:schemeClr w14:val="tx1"/>
            </w14:solidFill>
          </w14:textFill>
        </w:rPr>
        <w:t>）的所有承诺均认为代表了（</w:t>
      </w:r>
      <w:r>
        <w:rPr>
          <w:rFonts w:hint="eastAsia" w:ascii="仿宋_GB2312" w:hAnsi="仿宋" w:eastAsia="仿宋_GB2312"/>
          <w:color w:val="000000" w:themeColor="text1"/>
          <w:sz w:val="28"/>
          <w:szCs w:val="28"/>
          <w:highlight w:val="none"/>
          <w:u w:val="single"/>
          <w14:textFill>
            <w14:solidFill>
              <w14:schemeClr w14:val="tx1"/>
            </w14:solidFill>
          </w14:textFill>
        </w:rPr>
        <w:t>所有分包供应商名称</w:t>
      </w:r>
      <w:r>
        <w:rPr>
          <w:rFonts w:hint="eastAsia" w:ascii="仿宋_GB2312" w:hAnsi="仿宋" w:eastAsia="仿宋_GB2312"/>
          <w:color w:val="000000" w:themeColor="text1"/>
          <w:sz w:val="28"/>
          <w:szCs w:val="28"/>
          <w:highlight w:val="none"/>
          <w14:textFill>
            <w14:solidFill>
              <w14:schemeClr w14:val="tx1"/>
            </w14:solidFill>
          </w14:textFill>
        </w:rPr>
        <w:t>）意愿。</w:t>
      </w:r>
    </w:p>
    <w:p>
      <w:pPr>
        <w:snapToGrid w:val="0"/>
        <w:spacing w:line="400" w:lineRule="exact"/>
        <w:ind w:left="56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一、分包内容在采购文件分包要求的范围内，并符合相关法律规定。</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二、分包标的及数量</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14:textFill>
            <w14:solidFill>
              <w14:schemeClr w14:val="tx1"/>
            </w14:solidFill>
          </w14:textFill>
        </w:rPr>
        <w:t>1</w:t>
      </w:r>
      <w:r>
        <w:rPr>
          <w:rFonts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u w:val="single"/>
          <w14:textFill>
            <w14:solidFill>
              <w14:schemeClr w14:val="tx1"/>
            </w14:solidFill>
          </w14:textFill>
        </w:rPr>
        <w:t>投标人名称</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lang w:val="zh-CN"/>
          <w14:textFill>
            <w14:solidFill>
              <w14:schemeClr w14:val="tx1"/>
            </w14:solidFill>
          </w14:textFill>
        </w:rPr>
        <w:t>将</w:t>
      </w:r>
      <w:r>
        <w:rPr>
          <w:rFonts w:hint="eastAsia" w:ascii="仿宋_GB2312" w:hAnsi="仿宋" w:eastAsia="仿宋_GB2312"/>
          <w:color w:val="000000" w:themeColor="text1"/>
          <w:sz w:val="28"/>
          <w:szCs w:val="28"/>
          <w:highlight w:val="none"/>
          <w:u w:val="single"/>
          <w14:textFill>
            <w14:solidFill>
              <w14:schemeClr w14:val="tx1"/>
            </w14:solidFill>
          </w14:textFill>
        </w:rPr>
        <w:t xml:space="preserve">   XX工作内容   </w:t>
      </w:r>
      <w:r>
        <w:rPr>
          <w:rFonts w:hint="eastAsia" w:ascii="仿宋_GB2312" w:hAnsi="仿宋" w:eastAsia="仿宋_GB2312"/>
          <w:color w:val="000000" w:themeColor="text1"/>
          <w:sz w:val="28"/>
          <w:szCs w:val="28"/>
          <w:highlight w:val="none"/>
          <w14:textFill>
            <w14:solidFill>
              <w14:schemeClr w14:val="tx1"/>
            </w14:solidFill>
          </w14:textFill>
        </w:rPr>
        <w:t>分包给（</w:t>
      </w:r>
      <w:r>
        <w:rPr>
          <w:rFonts w:hint="eastAsia" w:ascii="仿宋_GB2312" w:hAnsi="仿宋" w:eastAsia="仿宋_GB2312"/>
          <w:color w:val="000000" w:themeColor="text1"/>
          <w:sz w:val="28"/>
          <w:szCs w:val="28"/>
          <w:highlight w:val="none"/>
          <w:u w:val="single"/>
          <w14:textFill>
            <w14:solidFill>
              <w14:schemeClr w14:val="tx1"/>
            </w14:solidFill>
          </w14:textFill>
        </w:rPr>
        <w:t>某分包供应商名称</w:t>
      </w: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olor w:val="000000" w:themeColor="text1"/>
          <w:sz w:val="28"/>
          <w:szCs w:val="28"/>
          <w:highlight w:val="none"/>
          <w14:textFill>
            <w14:solidFill>
              <w14:schemeClr w14:val="tx1"/>
            </w14:solidFill>
          </w14:textFill>
        </w:rPr>
        <w:t>该供应商</w:t>
      </w:r>
      <w:r>
        <w:rPr>
          <w:rFonts w:hint="eastAsia" w:ascii="仿宋_GB2312" w:hAnsi="仿宋" w:eastAsia="仿宋_GB2312"/>
          <w:color w:val="000000" w:themeColor="text1"/>
          <w:sz w:val="28"/>
          <w:szCs w:val="28"/>
          <w:highlight w:val="none"/>
          <w:lang w:val="zh-CN"/>
          <w14:textFill>
            <w14:solidFill>
              <w14:schemeClr w14:val="tx1"/>
            </w14:solidFill>
          </w14:textFill>
        </w:rPr>
        <w:t>具备承</w:t>
      </w:r>
      <w:r>
        <w:rPr>
          <w:rFonts w:hint="eastAsia" w:ascii="仿宋_GB2312" w:hAnsi="仿宋" w:eastAsia="仿宋_GB2312"/>
          <w:color w:val="000000" w:themeColor="text1"/>
          <w:sz w:val="28"/>
          <w:szCs w:val="28"/>
          <w:highlight w:val="none"/>
          <w14:textFill>
            <w14:solidFill>
              <w14:schemeClr w14:val="tx1"/>
            </w14:solidFill>
          </w14:textFill>
        </w:rPr>
        <w:t>担</w:t>
      </w:r>
      <w:r>
        <w:rPr>
          <w:rFonts w:hint="eastAsia" w:ascii="仿宋_GB2312" w:hAnsi="仿宋" w:eastAsia="仿宋_GB2312"/>
          <w:color w:val="000000" w:themeColor="text1"/>
          <w:sz w:val="28"/>
          <w:szCs w:val="28"/>
          <w:highlight w:val="none"/>
          <w:lang w:val="zh-CN"/>
          <w14:textFill>
            <w14:solidFill>
              <w14:schemeClr w14:val="tx1"/>
            </w14:solidFill>
          </w14:textFill>
        </w:rPr>
        <w:t>本工作内容的相应资质条件且不得再次分包；</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ascii="仿宋_GB2312" w:hAnsi="仿宋" w:eastAsia="仿宋_GB2312"/>
          <w:color w:val="000000" w:themeColor="text1"/>
          <w:sz w:val="28"/>
          <w:szCs w:val="28"/>
          <w:highlight w:val="none"/>
          <w:lang w:val="zh-CN"/>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三、分包工作履行期限、地点、方式</w:t>
      </w:r>
      <w:r>
        <w:rPr>
          <w:rFonts w:hint="eastAsia" w:ascii="仿宋_GB2312" w:hAnsi="仿宋" w:eastAsia="仿宋_GB2312"/>
          <w:color w:val="000000" w:themeColor="text1"/>
          <w:sz w:val="28"/>
          <w:szCs w:val="28"/>
          <w:highlight w:val="none"/>
          <w14:textFill>
            <w14:solidFill>
              <w14:schemeClr w14:val="tx1"/>
            </w14:solidFill>
          </w14:textFill>
        </w:rPr>
        <w:t xml:space="preserve"> </w:t>
      </w:r>
    </w:p>
    <w:p>
      <w:pPr>
        <w:snapToGrid w:val="0"/>
        <w:spacing w:line="400" w:lineRule="exact"/>
        <w:ind w:left="56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u w:val="single"/>
          <w14:textFill>
            <w14:solidFill>
              <w14:schemeClr w14:val="tx1"/>
            </w14:solidFill>
          </w14:textFill>
        </w:rPr>
        <w:t xml:space="preserve"> </w:t>
      </w:r>
      <w:r>
        <w:rPr>
          <w:rFonts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w:t>
      </w:r>
    </w:p>
    <w:p>
      <w:pPr>
        <w:snapToGrid w:val="0"/>
        <w:spacing w:line="400" w:lineRule="exact"/>
        <w:ind w:left="56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14:textFill>
            <w14:solidFill>
              <w14:schemeClr w14:val="tx1"/>
            </w14:solidFill>
          </w14:textFill>
        </w:rPr>
        <w:t>四、</w:t>
      </w:r>
      <w:r>
        <w:rPr>
          <w:rFonts w:hint="eastAsia" w:ascii="仿宋_GB2312" w:hAnsi="仿宋" w:eastAsia="仿宋_GB2312"/>
          <w:color w:val="000000" w:themeColor="text1"/>
          <w:sz w:val="28"/>
          <w:szCs w:val="28"/>
          <w:highlight w:val="none"/>
          <w:lang w:val="zh-CN"/>
          <w14:textFill>
            <w14:solidFill>
              <w14:schemeClr w14:val="tx1"/>
            </w14:solidFill>
          </w14:textFill>
        </w:rPr>
        <w:t>质量</w:t>
      </w:r>
      <w:r>
        <w:rPr>
          <w:rFonts w:hint="eastAsia" w:ascii="仿宋_GB2312" w:hAnsi="仿宋" w:eastAsia="仿宋_GB2312"/>
          <w:color w:val="000000" w:themeColor="text1"/>
          <w:sz w:val="28"/>
          <w:szCs w:val="28"/>
          <w:highlight w:val="none"/>
          <w14:textFill>
            <w14:solidFill>
              <w14:schemeClr w14:val="tx1"/>
            </w14:solidFill>
          </w14:textFill>
        </w:rPr>
        <w:t xml:space="preserve"> </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五、价款或者报酬</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六、违约责任</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七、争议解决的办法</w:t>
      </w:r>
      <w:r>
        <w:rPr>
          <w:rFonts w:hint="eastAsia" w:ascii="仿宋_GB2312" w:hAnsi="仿宋" w:eastAsia="仿宋_GB2312"/>
          <w:color w:val="000000" w:themeColor="text1"/>
          <w:sz w:val="28"/>
          <w:szCs w:val="28"/>
          <w:highlight w:val="none"/>
          <w14:textFill>
            <w14:solidFill>
              <w14:schemeClr w14:val="tx1"/>
            </w14:solidFill>
          </w14:textFill>
        </w:rPr>
        <w:t xml:space="preserve"> </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八、其他</w:t>
      </w:r>
    </w:p>
    <w:p>
      <w:pPr>
        <w:spacing w:line="400" w:lineRule="exact"/>
        <w:ind w:firstLine="560" w:firstLineChars="20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14:textFill>
            <w14:solidFill>
              <w14:schemeClr w14:val="tx1"/>
            </w14:solidFill>
          </w14:textFill>
        </w:rPr>
        <w:t>（</w:t>
      </w:r>
      <w:r>
        <w:rPr>
          <w:rFonts w:hint="eastAsia" w:ascii="仿宋_GB2312" w:hAnsi="仿宋" w:eastAsia="仿宋_GB2312"/>
          <w:color w:val="000000" w:themeColor="text1"/>
          <w:sz w:val="28"/>
          <w:szCs w:val="28"/>
          <w:highlight w:val="none"/>
          <w:u w:val="single"/>
          <w14:textFill>
            <w14:solidFill>
              <w14:schemeClr w14:val="tx1"/>
            </w14:solidFill>
          </w14:textFill>
        </w:rPr>
        <w:t>分包供应商名称</w:t>
      </w:r>
      <w:r>
        <w:rPr>
          <w:rFonts w:hint="eastAsia" w:ascii="仿宋_GB2312" w:hAnsi="仿宋" w:eastAsia="仿宋_GB2312"/>
          <w:color w:val="000000" w:themeColor="text1"/>
          <w:sz w:val="28"/>
          <w:szCs w:val="28"/>
          <w:highlight w:val="none"/>
          <w14:textFill>
            <w14:solidFill>
              <w14:schemeClr w14:val="tx1"/>
            </w14:solidFill>
          </w14:textFill>
        </w:rPr>
        <w:t>）的合同份额占到合同总金额</w:t>
      </w:r>
      <w:r>
        <w:rPr>
          <w:rFonts w:hint="eastAsia" w:ascii="仿宋_GB2312" w:hAnsi="仿宋" w:eastAsia="仿宋_GB2312"/>
          <w:color w:val="000000" w:themeColor="text1"/>
          <w:sz w:val="28"/>
          <w:szCs w:val="28"/>
          <w:highlight w:val="none"/>
          <w:u w:val="single"/>
          <w14:textFill>
            <w14:solidFill>
              <w14:schemeClr w14:val="tx1"/>
            </w14:solidFill>
          </w14:textFill>
        </w:rPr>
        <w:t xml:space="preserve">     </w:t>
      </w:r>
      <w:r>
        <w:rPr>
          <w:rFonts w:hint="eastAsia" w:ascii="仿宋_GB2312" w:hAnsi="仿宋" w:eastAsia="仿宋_GB2312"/>
          <w:color w:val="000000" w:themeColor="text1"/>
          <w:sz w:val="28"/>
          <w:szCs w:val="28"/>
          <w:highlight w:val="none"/>
          <w14:textFill>
            <w14:solidFill>
              <w14:schemeClr w14:val="tx1"/>
            </w14:solidFill>
          </w14:textFill>
        </w:rPr>
        <w:t>%以上。</w:t>
      </w:r>
    </w:p>
    <w:p>
      <w:pPr>
        <w:spacing w:line="400" w:lineRule="exact"/>
        <w:ind w:firstLine="562" w:firstLineChars="200"/>
        <w:rPr>
          <w:rFonts w:ascii="仿宋_GB2312" w:hAnsi="仿宋" w:eastAsia="仿宋_GB2312"/>
          <w:b/>
          <w:color w:val="000000" w:themeColor="text1"/>
          <w:sz w:val="28"/>
          <w:szCs w:val="28"/>
          <w:highlight w:val="none"/>
          <w14:textFill>
            <w14:solidFill>
              <w14:schemeClr w14:val="tx1"/>
            </w14:solidFill>
          </w14:textFill>
        </w:rPr>
      </w:pPr>
      <w:r>
        <w:rPr>
          <w:rFonts w:hint="eastAsia" w:ascii="仿宋_GB2312" w:hAnsi="仿宋" w:eastAsia="仿宋_GB2312"/>
          <w:b/>
          <w:color w:val="000000" w:themeColor="text1"/>
          <w:sz w:val="28"/>
          <w:szCs w:val="28"/>
          <w:highlight w:val="none"/>
          <w14:textFill>
            <w14:solidFill>
              <w14:schemeClr w14:val="tx1"/>
            </w14:solidFill>
          </w14:textFill>
        </w:rPr>
        <w:t>当分包份额占到合同总金额100%时，视为转包。此情况根据《中华人民共和国政府采购法实施条例》（国务院令第658号）文件第七十二条规定，将依照政府采购法第七十七条第一款的规定追究你公司法律责任。</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14:textFill>
            <w14:solidFill>
              <w14:schemeClr w14:val="tx1"/>
            </w14:solidFill>
          </w14:textFill>
        </w:rPr>
        <w:t>投标人名称</w:t>
      </w:r>
      <w:r>
        <w:rPr>
          <w:rFonts w:hint="eastAsia" w:ascii="仿宋_GB2312" w:hAnsi="仿宋" w:eastAsia="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olor w:val="000000" w:themeColor="text1"/>
          <w:sz w:val="28"/>
          <w:szCs w:val="28"/>
          <w:highlight w:val="none"/>
          <w14:textFill>
            <w14:solidFill>
              <w14:schemeClr w14:val="tx1"/>
            </w14:solidFill>
          </w14:textFill>
        </w:rPr>
        <w:t>盖公章</w:t>
      </w:r>
      <w:r>
        <w:rPr>
          <w:rFonts w:hint="eastAsia" w:ascii="仿宋_GB2312" w:hAnsi="仿宋" w:eastAsia="仿宋_GB2312"/>
          <w:color w:val="000000" w:themeColor="text1"/>
          <w:sz w:val="28"/>
          <w:szCs w:val="28"/>
          <w:highlight w:val="none"/>
          <w:lang w:val="zh-CN"/>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lang w:val="zh-CN"/>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分包供应商名称（</w:t>
      </w:r>
      <w:r>
        <w:rPr>
          <w:rFonts w:hint="eastAsia" w:ascii="仿宋_GB2312" w:hAnsi="仿宋" w:eastAsia="仿宋_GB2312"/>
          <w:color w:val="000000" w:themeColor="text1"/>
          <w:sz w:val="28"/>
          <w:szCs w:val="28"/>
          <w:highlight w:val="none"/>
          <w14:textFill>
            <w14:solidFill>
              <w14:schemeClr w14:val="tx1"/>
            </w14:solidFill>
          </w14:textFill>
        </w:rPr>
        <w:t>盖公章</w:t>
      </w:r>
      <w:r>
        <w:rPr>
          <w:rFonts w:hint="eastAsia" w:ascii="仿宋_GB2312" w:hAnsi="仿宋" w:eastAsia="仿宋_GB2312"/>
          <w:color w:val="000000" w:themeColor="text1"/>
          <w:sz w:val="28"/>
          <w:szCs w:val="28"/>
          <w:highlight w:val="none"/>
          <w:lang w:val="zh-CN"/>
          <w14:textFill>
            <w14:solidFill>
              <w14:schemeClr w14:val="tx1"/>
            </w14:solidFill>
          </w14:textFill>
        </w:rPr>
        <w:t>）：</w:t>
      </w:r>
    </w:p>
    <w:p>
      <w:pPr>
        <w:snapToGrid w:val="0"/>
        <w:spacing w:line="400" w:lineRule="exact"/>
        <w:ind w:firstLine="560" w:firstLineChars="200"/>
        <w:rPr>
          <w:rFonts w:ascii="仿宋_GB2312" w:hAnsi="仿宋" w:eastAsia="仿宋_GB2312"/>
          <w:color w:val="000000" w:themeColor="text1"/>
          <w:sz w:val="28"/>
          <w:szCs w:val="28"/>
          <w:highlight w:val="none"/>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w:t>
      </w:r>
    </w:p>
    <w:p>
      <w:pPr>
        <w:snapToGrid w:val="0"/>
        <w:spacing w:line="400" w:lineRule="exact"/>
        <w:ind w:firstLine="560" w:firstLineChars="200"/>
        <w:rPr>
          <w:rFonts w:ascii="仿宋" w:hAnsi="仿宋" w:eastAsia="仿宋"/>
          <w:b/>
          <w:bCs/>
          <w:color w:val="000000" w:themeColor="text1"/>
          <w:sz w:val="30"/>
          <w:szCs w:val="30"/>
          <w:highlight w:val="none"/>
          <w14:textFill>
            <w14:solidFill>
              <w14:schemeClr w14:val="tx1"/>
            </w14:solidFill>
          </w14:textFill>
        </w:rPr>
      </w:pPr>
      <w:r>
        <w:rPr>
          <w:rFonts w:hint="eastAsia" w:ascii="仿宋_GB2312" w:hAnsi="仿宋" w:eastAsia="仿宋_GB2312"/>
          <w:color w:val="000000" w:themeColor="text1"/>
          <w:sz w:val="28"/>
          <w:szCs w:val="28"/>
          <w:highlight w:val="none"/>
          <w:lang w:val="zh-CN"/>
          <w14:textFill>
            <w14:solidFill>
              <w14:schemeClr w14:val="tx1"/>
            </w14:solidFill>
          </w14:textFill>
        </w:rPr>
        <w:t xml:space="preserve">                                 日期：  年  月   日</w:t>
      </w: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7</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中小企业声明函（服务）</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本公司（联合体）郑重声明，根据《政府采购促进中小企业发展管理办法》（财库</w:t>
      </w:r>
      <w:r>
        <w:rPr>
          <w:rFonts w:hint="eastAsia" w:ascii="微软雅黑" w:hAnsi="微软雅黑" w:eastAsia="微软雅黑" w:cs="微软雅黑"/>
          <w:color w:val="000000" w:themeColor="text1"/>
          <w:sz w:val="30"/>
          <w:szCs w:val="30"/>
          <w:highlight w:val="none"/>
          <w14:textFill>
            <w14:solidFill>
              <w14:schemeClr w14:val="tx1"/>
            </w14:solidFill>
          </w14:textFill>
        </w:rPr>
        <w:t>﹝</w:t>
      </w:r>
      <w:r>
        <w:rPr>
          <w:rFonts w:ascii="Times New Roman" w:hAnsi="Times New Roman" w:eastAsia="仿宋_GB2312"/>
          <w:color w:val="000000" w:themeColor="text1"/>
          <w:sz w:val="30"/>
          <w:szCs w:val="30"/>
          <w:highlight w:val="none"/>
          <w14:textFill>
            <w14:solidFill>
              <w14:schemeClr w14:val="tx1"/>
            </w14:solidFill>
          </w14:textFill>
        </w:rPr>
        <w:t>2020</w:t>
      </w:r>
      <w:r>
        <w:rPr>
          <w:rFonts w:hint="eastAsia" w:ascii="微软雅黑" w:hAnsi="微软雅黑" w:eastAsia="微软雅黑" w:cs="微软雅黑"/>
          <w:color w:val="000000" w:themeColor="text1"/>
          <w:sz w:val="30"/>
          <w:szCs w:val="30"/>
          <w:highlight w:val="none"/>
          <w14:textFill>
            <w14:solidFill>
              <w14:schemeClr w14:val="tx1"/>
            </w14:solidFill>
          </w14:textFill>
        </w:rPr>
        <w:t>﹞</w:t>
      </w:r>
      <w:r>
        <w:rPr>
          <w:rFonts w:ascii="Times New Roman" w:hAnsi="Times New Roman" w:eastAsia="仿宋_GB2312"/>
          <w:color w:val="000000" w:themeColor="text1"/>
          <w:sz w:val="30"/>
          <w:szCs w:val="30"/>
          <w:highlight w:val="none"/>
          <w14:textFill>
            <w14:solidFill>
              <w14:schemeClr w14:val="tx1"/>
            </w14:solidFill>
          </w14:textFill>
        </w:rPr>
        <w:t xml:space="preserve">46 </w:t>
      </w:r>
      <w:r>
        <w:rPr>
          <w:rFonts w:hint="eastAsia" w:ascii="Times New Roman" w:hAnsi="Times New Roman" w:eastAsia="仿宋_GB2312"/>
          <w:color w:val="000000" w:themeColor="text1"/>
          <w:sz w:val="30"/>
          <w:szCs w:val="30"/>
          <w:highlight w:val="none"/>
          <w14:textFill>
            <w14:solidFill>
              <w14:schemeClr w14:val="tx1"/>
            </w14:solidFill>
          </w14:textFill>
        </w:rPr>
        <w:t>号）的规定，本公司（联合体）参加</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（单位名称）</w:t>
      </w:r>
      <w:r>
        <w:rPr>
          <w:rFonts w:hint="eastAsia" w:ascii="Times New Roman" w:hAnsi="Times New Roman" w:eastAsia="仿宋_GB2312"/>
          <w:color w:val="000000" w:themeColor="text1"/>
          <w:sz w:val="30"/>
          <w:szCs w:val="30"/>
          <w:highlight w:val="none"/>
          <w14:textFill>
            <w14:solidFill>
              <w14:schemeClr w14:val="tx1"/>
            </w14:solidFill>
          </w14:textFill>
        </w:rPr>
        <w:t>的</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（项目名称）</w:t>
      </w:r>
      <w:r>
        <w:rPr>
          <w:rFonts w:hint="eastAsia" w:ascii="Times New Roman" w:hAnsi="Times New Roman" w:eastAsia="仿宋_GB2312"/>
          <w:color w:val="000000" w:themeColor="text1"/>
          <w:sz w:val="30"/>
          <w:szCs w:val="30"/>
          <w:highlight w:val="none"/>
          <w14:textFill>
            <w14:solidFill>
              <w14:schemeClr w14:val="tx1"/>
            </w14:solidFill>
          </w14:textFill>
        </w:rPr>
        <w:t>采购活动</w:t>
      </w:r>
      <w:r>
        <w:rPr>
          <w:rFonts w:hint="eastAsia" w:ascii="Times New Roman" w:hAnsi="Times New Roman" w:eastAsia="仿宋_GB2312"/>
          <w:b/>
          <w:bCs/>
          <w:color w:val="000000" w:themeColor="text1"/>
          <w:sz w:val="30"/>
          <w:szCs w:val="30"/>
          <w:highlight w:val="none"/>
          <w14:textFill>
            <w14:solidFill>
              <w14:schemeClr w14:val="tx1"/>
            </w14:solidFill>
          </w14:textFill>
        </w:rPr>
        <w:t>，服务全部由符合政策要求的中小企业承接。</w:t>
      </w:r>
      <w:r>
        <w:rPr>
          <w:rFonts w:hint="eastAsia" w:ascii="Times New Roman" w:hAnsi="Times New Roman" w:eastAsia="仿宋_GB2312"/>
          <w:color w:val="000000" w:themeColor="text1"/>
          <w:sz w:val="30"/>
          <w:szCs w:val="30"/>
          <w:highlight w:val="none"/>
          <w14:textFill>
            <w14:solidFill>
              <w14:schemeClr w14:val="tx1"/>
            </w14:solidFill>
          </w14:textFill>
        </w:rPr>
        <w:t>相关企业</w:t>
      </w:r>
      <w:r>
        <w:rPr>
          <w:rFonts w:hint="eastAsia" w:ascii="Times New Roman" w:hAnsi="Times New Roman" w:eastAsia="仿宋_GB2312"/>
          <w:b/>
          <w:bCs/>
          <w:color w:val="000000" w:themeColor="text1"/>
          <w:sz w:val="30"/>
          <w:szCs w:val="30"/>
          <w:highlight w:val="none"/>
          <w14:textFill>
            <w14:solidFill>
              <w14:schemeClr w14:val="tx1"/>
            </w14:solidFill>
          </w14:textFill>
        </w:rPr>
        <w:t>（含联合体中的中小企业、签订分包意向协议的中小企业）</w:t>
      </w:r>
      <w:r>
        <w:rPr>
          <w:rFonts w:hint="eastAsia" w:ascii="Times New Roman" w:hAnsi="Times New Roman" w:eastAsia="仿宋_GB2312"/>
          <w:color w:val="000000" w:themeColor="text1"/>
          <w:sz w:val="30"/>
          <w:szCs w:val="30"/>
          <w:highlight w:val="none"/>
          <w14:textFill>
            <w14:solidFill>
              <w14:schemeClr w14:val="tx1"/>
            </w14:solidFill>
          </w14:textFill>
        </w:rPr>
        <w:t>的具体情况如下：</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 xml:space="preserve">1. </w:t>
      </w:r>
      <w:bookmarkStart w:id="59" w:name="_Hlk66717254"/>
      <w:r>
        <w:rPr>
          <w:rFonts w:hint="eastAsia" w:ascii="Times New Roman" w:hAnsi="Times New Roman" w:eastAsia="仿宋_GB2312"/>
          <w:i/>
          <w:iCs/>
          <w:color w:val="000000" w:themeColor="text1"/>
          <w:sz w:val="30"/>
          <w:szCs w:val="30"/>
          <w:highlight w:val="none"/>
          <w:u w:val="single"/>
          <w14:textFill>
            <w14:solidFill>
              <w14:schemeClr w14:val="tx1"/>
            </w14:solidFill>
          </w14:textFill>
        </w:rPr>
        <w:t>（标的名称）</w:t>
      </w:r>
      <w:r>
        <w:rPr>
          <w:rFonts w:ascii="Times New Roman" w:hAnsi="Times New Roman" w:eastAsia="仿宋_GB2312"/>
          <w:i/>
          <w:iCs/>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，属于</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（采购文件中明确的所属行业）</w:t>
      </w:r>
      <w:r>
        <w:rPr>
          <w:rFonts w:hint="eastAsia" w:ascii="Times New Roman" w:hAnsi="Times New Roman" w:eastAsia="仿宋_GB2312"/>
          <w:color w:val="000000" w:themeColor="text1"/>
          <w:sz w:val="30"/>
          <w:szCs w:val="30"/>
          <w:highlight w:val="none"/>
          <w14:textFill>
            <w14:solidFill>
              <w14:schemeClr w14:val="tx1"/>
            </w14:solidFill>
          </w14:textFill>
        </w:rPr>
        <w:t>；承建（承接）企业为</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（企业名称）</w:t>
      </w:r>
      <w:r>
        <w:rPr>
          <w:rFonts w:hint="eastAsia" w:ascii="Times New Roman" w:hAnsi="Times New Roman" w:eastAsia="仿宋_GB2312"/>
          <w:color w:val="000000" w:themeColor="text1"/>
          <w:sz w:val="30"/>
          <w:szCs w:val="30"/>
          <w:highlight w:val="none"/>
          <w14:textFill>
            <w14:solidFill>
              <w14:schemeClr w14:val="tx1"/>
            </w14:solidFill>
          </w14:textFill>
        </w:rPr>
        <w:t>，从业人员</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人，营业收入为</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万元，资产总额为</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万元</w:t>
      </w:r>
      <w:r>
        <w:rPr>
          <w:rFonts w:hint="eastAsia" w:ascii="Times New Roman" w:hAnsi="Times New Roman" w:eastAsia="仿宋_GB2312"/>
          <w:color w:val="000000" w:themeColor="text1"/>
          <w:sz w:val="30"/>
          <w:szCs w:val="30"/>
          <w:highlight w:val="none"/>
          <w:vertAlign w:val="superscript"/>
          <w14:textFill>
            <w14:solidFill>
              <w14:schemeClr w14:val="tx1"/>
            </w14:solidFill>
          </w14:textFill>
        </w:rPr>
        <w:t>1</w:t>
      </w:r>
      <w:r>
        <w:rPr>
          <w:rFonts w:hint="eastAsia" w:ascii="Times New Roman" w:hAnsi="Times New Roman" w:eastAsia="仿宋_GB2312"/>
          <w:color w:val="000000" w:themeColor="text1"/>
          <w:sz w:val="30"/>
          <w:szCs w:val="30"/>
          <w:highlight w:val="none"/>
          <w14:textFill>
            <w14:solidFill>
              <w14:schemeClr w14:val="tx1"/>
            </w14:solidFill>
          </w14:textFill>
        </w:rPr>
        <w:t>，属于</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（中型企业、小型企业、微型企业）</w:t>
      </w:r>
      <w:r>
        <w:rPr>
          <w:rFonts w:hint="eastAsia" w:ascii="Times New Roman" w:hAnsi="Times New Roman" w:eastAsia="仿宋_GB2312"/>
          <w:color w:val="000000" w:themeColor="text1"/>
          <w:sz w:val="30"/>
          <w:szCs w:val="30"/>
          <w:highlight w:val="none"/>
          <w14:textFill>
            <w14:solidFill>
              <w14:schemeClr w14:val="tx1"/>
            </w14:solidFill>
          </w14:textFill>
        </w:rPr>
        <w:t>；</w:t>
      </w:r>
      <w:bookmarkEnd w:id="59"/>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 xml:space="preserve">2. </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（标的名称）</w:t>
      </w:r>
      <w:r>
        <w:rPr>
          <w:rFonts w:ascii="Times New Roman" w:hAnsi="Times New Roman" w:eastAsia="仿宋_GB2312"/>
          <w:i/>
          <w:iCs/>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，属于</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（采购文件中明确的所属行业）</w:t>
      </w:r>
      <w:r>
        <w:rPr>
          <w:rFonts w:hint="eastAsia" w:ascii="Times New Roman" w:hAnsi="Times New Roman" w:eastAsia="仿宋_GB2312"/>
          <w:color w:val="000000" w:themeColor="text1"/>
          <w:sz w:val="30"/>
          <w:szCs w:val="30"/>
          <w:highlight w:val="none"/>
          <w14:textFill>
            <w14:solidFill>
              <w14:schemeClr w14:val="tx1"/>
            </w14:solidFill>
          </w14:textFill>
        </w:rPr>
        <w:t>；承建（承接）企业为</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（企业名称）</w:t>
      </w:r>
      <w:r>
        <w:rPr>
          <w:rFonts w:hint="eastAsia" w:ascii="Times New Roman" w:hAnsi="Times New Roman" w:eastAsia="仿宋_GB2312"/>
          <w:color w:val="000000" w:themeColor="text1"/>
          <w:sz w:val="30"/>
          <w:szCs w:val="30"/>
          <w:highlight w:val="none"/>
          <w14:textFill>
            <w14:solidFill>
              <w14:schemeClr w14:val="tx1"/>
            </w14:solidFill>
          </w14:textFill>
        </w:rPr>
        <w:t>，从业人员</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人，营业收入为</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万元，资产总额为</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万元，属于</w:t>
      </w:r>
      <w:r>
        <w:rPr>
          <w:rFonts w:hint="eastAsia" w:ascii="Times New Roman" w:hAnsi="Times New Roman" w:eastAsia="仿宋_GB2312"/>
          <w:i/>
          <w:iCs/>
          <w:color w:val="000000" w:themeColor="text1"/>
          <w:sz w:val="30"/>
          <w:szCs w:val="30"/>
          <w:highlight w:val="none"/>
          <w:u w:val="single"/>
          <w14:textFill>
            <w14:solidFill>
              <w14:schemeClr w14:val="tx1"/>
            </w14:solidFill>
          </w14:textFill>
        </w:rPr>
        <w:t>（中型企业、小型企业、微型企业）</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以上企业，不属于大企业的分支机构，不存在控股股东为大企业的情形，也不存在与大企业的负责人为同一人的情形。</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本企业对上述声明内容的真实性负责。如有虚假，将依法承担相应责任。</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line="480" w:lineRule="exact"/>
        <w:ind w:firstLine="5100" w:firstLineChars="17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企业名称（盖章）：</w:t>
      </w:r>
    </w:p>
    <w:p>
      <w:pPr>
        <w:snapToGrid w:val="0"/>
        <w:spacing w:line="480" w:lineRule="exact"/>
        <w:ind w:firstLine="5100" w:firstLineChars="17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 xml:space="preserve">日 </w:t>
      </w:r>
      <w:r>
        <w:rPr>
          <w:rFonts w:ascii="Times New Roman" w:hAnsi="Times New Roman" w:eastAsia="仿宋_GB2312"/>
          <w:color w:val="000000" w:themeColor="text1"/>
          <w:sz w:val="30"/>
          <w:szCs w:val="30"/>
          <w:highlight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期：</w:t>
      </w:r>
    </w:p>
    <w:p>
      <w:pPr>
        <w:snapToGrid w:val="0"/>
        <w:spacing w:line="480" w:lineRule="exact"/>
        <w:ind w:firstLine="5100" w:firstLineChars="1700"/>
        <w:rPr>
          <w:rFonts w:ascii="Times New Roman" w:hAnsi="Times New Roman" w:eastAsia="仿宋_GB2312"/>
          <w:color w:val="000000" w:themeColor="text1"/>
          <w:sz w:val="30"/>
          <w:szCs w:val="30"/>
          <w:highlight w:val="none"/>
          <w14:textFill>
            <w14:solidFill>
              <w14:schemeClr w14:val="tx1"/>
            </w14:solidFill>
          </w14:textFill>
        </w:rPr>
      </w:pPr>
    </w:p>
    <w:p>
      <w:pPr>
        <w:pStyle w:val="27"/>
        <w:ind w:firstLine="360" w:firstLineChars="20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rFonts w:hint="eastAsia" w:ascii="宋体" w:hAnsi="Times New Roman" w:cs="宋体"/>
          <w:color w:val="000000" w:themeColor="text1"/>
          <w:kern w:val="0"/>
          <w:highlight w:val="none"/>
          <w14:textFill>
            <w14:solidFill>
              <w14:schemeClr w14:val="tx1"/>
            </w14:solidFill>
          </w14:textFill>
        </w:rPr>
        <w:t>从业人员、营业收入、资产总额填报上一年度数据，无上一年度数据的新成立企业可不填报。</w:t>
      </w:r>
    </w:p>
    <w:p>
      <w:pPr>
        <w:snapToGrid w:val="0"/>
        <w:spacing w:line="480" w:lineRule="exact"/>
        <w:ind w:firstLine="5100" w:firstLineChars="1700"/>
        <w:rPr>
          <w:rFonts w:ascii="Times New Roman" w:hAnsi="Times New Roman" w:eastAsia="仿宋_GB2312"/>
          <w:color w:val="000000" w:themeColor="text1"/>
          <w:sz w:val="30"/>
          <w:szCs w:val="30"/>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8</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bookmarkStart w:id="60" w:name="OLE_LINK14"/>
      <w:bookmarkStart w:id="61" w:name="OLE_LINK13"/>
      <w:r>
        <w:rPr>
          <w:rFonts w:hint="eastAsia" w:ascii="仿宋_GB2312" w:hAnsi="Times New Roman" w:eastAsia="仿宋_GB2312"/>
          <w:bCs/>
          <w:color w:val="000000" w:themeColor="text1"/>
          <w:sz w:val="32"/>
          <w:szCs w:val="32"/>
          <w:highlight w:val="none"/>
          <w14:textFill>
            <w14:solidFill>
              <w14:schemeClr w14:val="tx1"/>
            </w14:solidFill>
          </w14:textFill>
        </w:rPr>
        <w:t>残疾人福利性单位声明函</w:t>
      </w:r>
    </w:p>
    <w:bookmarkEnd w:id="60"/>
    <w:bookmarkEnd w:id="61"/>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单位的</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本单位对上述声明的真实性负责。如有虚假，将依法承担相应责任。</w:t>
      </w:r>
    </w:p>
    <w:p>
      <w:pPr>
        <w:snapToGrid w:val="0"/>
        <w:spacing w:line="480" w:lineRule="exact"/>
        <w:ind w:firstLine="560" w:firstLineChars="200"/>
        <w:rPr>
          <w:rFonts w:ascii="Times New Roman" w:hAnsi="Times New Roman" w:eastAsia="仿宋"/>
          <w:color w:val="000000" w:themeColor="text1"/>
          <w:sz w:val="28"/>
          <w:szCs w:val="28"/>
          <w:highlight w:val="none"/>
          <w14:textFill>
            <w14:solidFill>
              <w14:schemeClr w14:val="tx1"/>
            </w14:solidFill>
          </w14:textFill>
        </w:rPr>
      </w:pPr>
    </w:p>
    <w:p>
      <w:pPr>
        <w:snapToGrid w:val="0"/>
        <w:spacing w:line="480" w:lineRule="exact"/>
        <w:ind w:firstLine="560" w:firstLineChars="200"/>
        <w:rPr>
          <w:rFonts w:ascii="Times New Roman" w:hAnsi="Times New Roman" w:eastAsia="仿宋"/>
          <w:color w:val="000000" w:themeColor="text1"/>
          <w:sz w:val="28"/>
          <w:szCs w:val="28"/>
          <w:highlight w:val="none"/>
          <w14:textFill>
            <w14:solidFill>
              <w14:schemeClr w14:val="tx1"/>
            </w14:solidFill>
          </w14:textFill>
        </w:rPr>
      </w:pPr>
    </w:p>
    <w:p>
      <w:pPr>
        <w:snapToGrid w:val="0"/>
        <w:spacing w:line="480" w:lineRule="exact"/>
        <w:ind w:right="60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法定代表人签名：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snapToGrid w:val="0"/>
        <w:spacing w:line="480" w:lineRule="exact"/>
        <w:ind w:right="600"/>
        <w:rPr>
          <w:rFonts w:ascii="Times New Roman" w:hAnsi="Times New Roman" w:eastAsia="仿宋_GB2312"/>
          <w:color w:val="000000" w:themeColor="text1"/>
          <w:sz w:val="30"/>
          <w:szCs w:val="30"/>
          <w:highlight w:val="none"/>
          <w:u w:val="single"/>
          <w14:textFill>
            <w14:solidFill>
              <w14:schemeClr w14:val="tx1"/>
            </w14:solidFill>
          </w14:textFill>
        </w:rPr>
      </w:pPr>
    </w:p>
    <w:p>
      <w:pPr>
        <w:snapToGrid w:val="0"/>
        <w:spacing w:line="480" w:lineRule="exact"/>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p>
    <w:p>
      <w:pPr>
        <w:snapToGrid w:val="0"/>
        <w:jc w:val="center"/>
        <w:rPr>
          <w:rFonts w:eastAsia="仿宋_GB2312"/>
          <w:b/>
          <w:color w:val="000000" w:themeColor="text1"/>
          <w:sz w:val="36"/>
          <w:szCs w:val="36"/>
          <w:highlight w:val="none"/>
          <w14:textFill>
            <w14:solidFill>
              <w14:schemeClr w14:val="tx1"/>
            </w14:solidFill>
          </w14:textFill>
        </w:rPr>
      </w:pPr>
    </w:p>
    <w:p>
      <w:pPr>
        <w:snapToGrid w:val="0"/>
        <w:jc w:val="center"/>
        <w:rPr>
          <w:rFonts w:eastAsia="仿宋_GB2312"/>
          <w:b/>
          <w:color w:val="000000" w:themeColor="text1"/>
          <w:sz w:val="36"/>
          <w:szCs w:val="36"/>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9</w:t>
      </w:r>
    </w:p>
    <w:p>
      <w:pPr>
        <w:ind w:firstLine="7050" w:firstLineChars="235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正本或副本</w:t>
      </w:r>
    </w:p>
    <w:p>
      <w:pPr>
        <w:ind w:right="-110"/>
        <w:jc w:val="center"/>
        <w:rPr>
          <w:rFonts w:ascii="Times New Roman" w:hAnsi="Times New Roman" w:eastAsia="仿宋_GB2312"/>
          <w:color w:val="000000" w:themeColor="text1"/>
          <w:spacing w:val="40"/>
          <w:sz w:val="52"/>
          <w:szCs w:val="52"/>
          <w:highlight w:val="none"/>
          <w14:textFill>
            <w14:solidFill>
              <w14:schemeClr w14:val="tx1"/>
            </w14:solidFill>
          </w14:textFill>
        </w:rPr>
      </w:pPr>
    </w:p>
    <w:p>
      <w:pPr>
        <w:ind w:right="-110"/>
        <w:jc w:val="center"/>
        <w:rPr>
          <w:rFonts w:ascii="Times New Roman" w:hAnsi="Times New Roman" w:eastAsia="仿宋_GB2312"/>
          <w:color w:val="000000" w:themeColor="text1"/>
          <w:spacing w:val="40"/>
          <w:sz w:val="52"/>
          <w:szCs w:val="52"/>
          <w:highlight w:val="none"/>
          <w14:textFill>
            <w14:solidFill>
              <w14:schemeClr w14:val="tx1"/>
            </w14:solidFill>
          </w14:textFill>
        </w:rPr>
      </w:pPr>
      <w:r>
        <w:rPr>
          <w:rFonts w:hint="eastAsia" w:ascii="Times New Roman" w:hAnsi="Times New Roman" w:eastAsia="仿宋_GB2312"/>
          <w:color w:val="000000" w:themeColor="text1"/>
          <w:spacing w:val="40"/>
          <w:sz w:val="52"/>
          <w:szCs w:val="52"/>
          <w:highlight w:val="none"/>
          <w14:textFill>
            <w14:solidFill>
              <w14:schemeClr w14:val="tx1"/>
            </w14:solidFill>
          </w14:textFill>
        </w:rPr>
        <w:t>***项目名称</w:t>
      </w:r>
    </w:p>
    <w:p>
      <w:pPr>
        <w:spacing w:before="240" w:beforeLines="100" w:line="240" w:lineRule="atLeast"/>
        <w:ind w:right="-108"/>
        <w:jc w:val="center"/>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项目编号：</w:t>
      </w:r>
      <w:r>
        <w:rPr>
          <w:rFonts w:hint="eastAsia" w:ascii="Times New Roman" w:hAnsi="Times New Roman" w:eastAsia="仿宋_GB2312"/>
          <w:b/>
          <w:color w:val="000000" w:themeColor="text1"/>
          <w:sz w:val="36"/>
          <w:szCs w:val="36"/>
          <w:highlight w:val="none"/>
          <w:lang w:eastAsia="zh-CN"/>
          <w14:textFill>
            <w14:solidFill>
              <w14:schemeClr w14:val="tx1"/>
            </w14:solidFill>
          </w14:textFill>
        </w:rPr>
        <w:t>2024-XXHGC-8</w:t>
      </w:r>
      <w:r>
        <w:rPr>
          <w:rFonts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color w:val="000000" w:themeColor="text1"/>
          <w:sz w:val="36"/>
          <w:szCs w:val="36"/>
          <w:highlight w:val="none"/>
          <w14:textFill>
            <w14:solidFill>
              <w14:schemeClr w14:val="tx1"/>
            </w14:solidFill>
          </w14:textFill>
        </w:rPr>
        <w:t xml:space="preserve">标项   </w:t>
      </w:r>
    </w:p>
    <w:p>
      <w:pPr>
        <w:jc w:val="center"/>
        <w:rPr>
          <w:rFonts w:ascii="Times New Roman" w:hAnsi="Times New Roman" w:eastAsia="仿宋_GB2312"/>
          <w:color w:val="000000" w:themeColor="text1"/>
          <w:sz w:val="36"/>
          <w:szCs w:val="36"/>
          <w:highlight w:val="none"/>
          <w14:textFill>
            <w14:solidFill>
              <w14:schemeClr w14:val="tx1"/>
            </w14:solidFill>
          </w14:textFill>
        </w:rPr>
      </w:pP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技</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术</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及</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商</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务</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文</w:t>
      </w:r>
    </w:p>
    <w:p>
      <w:pPr>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件</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单位全称（公章）：</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地    址：</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时    间：</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p>
    <w:p>
      <w:pPr>
        <w:pageBreakBefore/>
        <w:snapToGrid w:val="0"/>
        <w:spacing w:before="50" w:after="50" w:line="480" w:lineRule="exact"/>
        <w:ind w:firstLine="643" w:firstLineChars="200"/>
        <w:rPr>
          <w:rFonts w:ascii="Times New Roman" w:hAnsi="Times New Roman" w:eastAsia="仿宋_GB2312"/>
          <w:b/>
          <w:color w:val="000000" w:themeColor="text1"/>
          <w:sz w:val="32"/>
          <w:szCs w:val="32"/>
          <w:highlight w:val="none"/>
          <w14:textFill>
            <w14:solidFill>
              <w14:schemeClr w14:val="tx1"/>
            </w14:solidFill>
          </w14:textFill>
        </w:rPr>
      </w:pPr>
      <w:r>
        <w:rPr>
          <w:rFonts w:hint="eastAsia" w:ascii="Times New Roman" w:hAnsi="Times New Roman" w:eastAsia="仿宋_GB2312"/>
          <w:b/>
          <w:color w:val="000000" w:themeColor="text1"/>
          <w:sz w:val="32"/>
          <w:szCs w:val="32"/>
          <w:highlight w:val="none"/>
          <w14:textFill>
            <w14:solidFill>
              <w14:schemeClr w14:val="tx1"/>
            </w14:solidFill>
          </w14:textFill>
        </w:rPr>
        <w:t>二、技术及商务文件目录</w:t>
      </w:r>
    </w:p>
    <w:p>
      <w:pPr>
        <w:snapToGrid w:val="0"/>
        <w:spacing w:line="480" w:lineRule="exact"/>
        <w:ind w:firstLine="590" w:firstLineChars="196"/>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（一）技术文件</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1</w:t>
      </w:r>
      <w:r>
        <w:rPr>
          <w:rFonts w:ascii="Times New Roman" w:hAnsi="Times New Roman" w:eastAsia="仿宋_GB2312"/>
          <w:color w:val="000000" w:themeColor="text1"/>
          <w:sz w:val="30"/>
          <w:szCs w:val="30"/>
          <w:highlight w:val="none"/>
          <w14:textFill>
            <w14:solidFill>
              <w14:schemeClr w14:val="tx1"/>
            </w14:solidFill>
          </w14:textFill>
        </w:rPr>
        <w:t>.</w:t>
      </w:r>
      <w:bookmarkStart w:id="62" w:name="_Hlk98767093"/>
      <w:r>
        <w:rPr>
          <w:rFonts w:hint="eastAsia" w:ascii="Times New Roman" w:hAnsi="Times New Roman" w:eastAsia="仿宋_GB2312"/>
          <w:color w:val="000000" w:themeColor="text1"/>
          <w:sz w:val="30"/>
          <w:szCs w:val="30"/>
          <w:highlight w:val="none"/>
          <w14:textFill>
            <w14:solidFill>
              <w14:schemeClr w14:val="tx1"/>
            </w14:solidFill>
          </w14:textFill>
        </w:rPr>
        <w:t>评分标准索引（附件</w:t>
      </w:r>
      <w:bookmarkStart w:id="63" w:name="_Hlk98767018"/>
      <w:r>
        <w:rPr>
          <w:rFonts w:ascii="Times New Roman" w:hAnsi="Times New Roman" w:eastAsia="仿宋_GB2312"/>
          <w:color w:val="000000" w:themeColor="text1"/>
          <w:sz w:val="30"/>
          <w:szCs w:val="30"/>
          <w:highlight w:val="none"/>
          <w14:textFill>
            <w14:solidFill>
              <w14:schemeClr w14:val="tx1"/>
            </w14:solidFill>
          </w14:textFill>
        </w:rPr>
        <w:t>10</w:t>
      </w:r>
      <w:r>
        <w:rPr>
          <w:rFonts w:hint="eastAsia" w:ascii="Times New Roman" w:hAnsi="Times New Roman" w:eastAsia="仿宋_GB2312"/>
          <w:color w:val="000000" w:themeColor="text1"/>
          <w:sz w:val="30"/>
          <w:szCs w:val="30"/>
          <w:highlight w:val="none"/>
          <w14:textFill>
            <w14:solidFill>
              <w14:schemeClr w14:val="tx1"/>
            </w14:solidFill>
          </w14:textFill>
        </w:rPr>
        <w:t>，主要用于评委对应评分内容</w:t>
      </w:r>
      <w:bookmarkEnd w:id="63"/>
      <w:r>
        <w:rPr>
          <w:rFonts w:hint="eastAsia" w:ascii="Times New Roman" w:hAnsi="Times New Roman" w:eastAsia="仿宋_GB2312"/>
          <w:color w:val="000000" w:themeColor="text1"/>
          <w:sz w:val="30"/>
          <w:szCs w:val="30"/>
          <w:highlight w:val="none"/>
          <w14:textFill>
            <w14:solidFill>
              <w14:schemeClr w14:val="tx1"/>
            </w14:solidFill>
          </w14:textFill>
        </w:rPr>
        <w:t>）；</w:t>
      </w:r>
    </w:p>
    <w:bookmarkEnd w:id="62"/>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2</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投标项目明细清单（附件</w:t>
      </w:r>
      <w:r>
        <w:rPr>
          <w:rFonts w:ascii="Times New Roman" w:hAnsi="Times New Roman" w:eastAsia="仿宋_GB2312"/>
          <w:color w:val="000000" w:themeColor="text1"/>
          <w:sz w:val="30"/>
          <w:szCs w:val="30"/>
          <w:highlight w:val="none"/>
          <w14:textFill>
            <w14:solidFill>
              <w14:schemeClr w14:val="tx1"/>
            </w14:solidFill>
          </w14:textFill>
        </w:rPr>
        <w:t>11</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3</w:t>
      </w:r>
      <w:r>
        <w:rPr>
          <w:rFonts w:hint="eastAsia" w:ascii="Times New Roman" w:hAnsi="Times New Roman" w:eastAsia="仿宋_GB2312"/>
          <w:color w:val="000000" w:themeColor="text1"/>
          <w:sz w:val="30"/>
          <w:szCs w:val="30"/>
          <w:highlight w:val="none"/>
          <w14:textFill>
            <w14:solidFill>
              <w14:schemeClr w14:val="tx1"/>
            </w14:solidFill>
          </w14:textFill>
        </w:rPr>
        <w:t>.技术响应表（附件</w:t>
      </w:r>
      <w:r>
        <w:rPr>
          <w:rFonts w:ascii="Times New Roman" w:hAnsi="Times New Roman" w:eastAsia="仿宋_GB2312"/>
          <w:color w:val="000000" w:themeColor="text1"/>
          <w:sz w:val="30"/>
          <w:szCs w:val="30"/>
          <w:highlight w:val="none"/>
          <w14:textFill>
            <w14:solidFill>
              <w14:schemeClr w14:val="tx1"/>
            </w14:solidFill>
          </w14:textFill>
        </w:rPr>
        <w:t>12</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4</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项目总体解决方案（可包含且不限于对项目总体要求的理解、项目总体架构及技术解决方案等）；</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5</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保证项目质量的技术力量及技术措施；</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6.保证项目实施的组织方案及人力资源安排，其中软件开发项目需提供针对本项目的细化的工作内容及相关工程量，要求到人*天，格式自拟；</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7</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项目实施人员一览表（附件</w:t>
      </w:r>
      <w:r>
        <w:rPr>
          <w:rFonts w:ascii="Times New Roman" w:hAnsi="Times New Roman" w:eastAsia="仿宋_GB2312"/>
          <w:color w:val="000000" w:themeColor="text1"/>
          <w:sz w:val="30"/>
          <w:szCs w:val="30"/>
          <w:highlight w:val="none"/>
          <w14:textFill>
            <w14:solidFill>
              <w14:schemeClr w14:val="tx1"/>
            </w14:solidFill>
          </w14:textFill>
        </w:rPr>
        <w:t>13</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8</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技术服务、技术培训、项目维护、售后服务的内容和措施；</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9</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投标人认为需要的其他资料和说明（格式自拟）。</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line="480" w:lineRule="exact"/>
        <w:ind w:firstLine="590" w:firstLineChars="196"/>
        <w:rPr>
          <w:rFonts w:ascii="Times New Roman" w:hAnsi="Times New Roman" w:eastAsia="仿宋_GB2312"/>
          <w:b/>
          <w:color w:val="000000" w:themeColor="text1"/>
          <w:sz w:val="30"/>
          <w:szCs w:val="30"/>
          <w:highlight w:val="none"/>
          <w14:textFill>
            <w14:solidFill>
              <w14:schemeClr w14:val="tx1"/>
            </w14:solidFill>
          </w14:textFill>
        </w:rPr>
      </w:pPr>
      <w:r>
        <w:rPr>
          <w:rFonts w:hint="eastAsia" w:ascii="Times New Roman" w:hAnsi="Times New Roman" w:eastAsia="仿宋_GB2312"/>
          <w:b/>
          <w:color w:val="000000" w:themeColor="text1"/>
          <w:sz w:val="30"/>
          <w:szCs w:val="30"/>
          <w:highlight w:val="none"/>
          <w14:textFill>
            <w14:solidFill>
              <w14:schemeClr w14:val="tx1"/>
            </w14:solidFill>
          </w14:textFill>
        </w:rPr>
        <w:t>（二）商务文件</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1</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投标人情况介绍（主要产品或服务案例、技术力量、生产规模或服务能力、经营业绩等）；</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2</w:t>
      </w:r>
      <w:r>
        <w:rPr>
          <w:rFonts w:ascii="Times New Roman" w:hAnsi="Times New Roman" w:eastAsia="仿宋_GB2312"/>
          <w:color w:val="000000" w:themeColor="text1"/>
          <w:sz w:val="30"/>
          <w:szCs w:val="30"/>
          <w:highlight w:val="none"/>
          <w14:textFill>
            <w14:solidFill>
              <w14:schemeClr w14:val="tx1"/>
            </w14:solidFill>
          </w14:textFill>
        </w:rPr>
        <w:t>.</w:t>
      </w:r>
      <w:r>
        <w:rPr>
          <w:rFonts w:hint="eastAsia" w:ascii="Times New Roman" w:hAnsi="Times New Roman" w:eastAsia="仿宋_GB2312"/>
          <w:color w:val="000000" w:themeColor="text1"/>
          <w:sz w:val="30"/>
          <w:szCs w:val="30"/>
          <w:highlight w:val="none"/>
          <w14:textFill>
            <w14:solidFill>
              <w14:schemeClr w14:val="tx1"/>
            </w14:solidFill>
          </w14:textFill>
        </w:rPr>
        <w:t>类似成功案例的业绩证明（投标人</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业绩</w:t>
      </w:r>
      <w:r>
        <w:rPr>
          <w:rFonts w:hint="eastAsia" w:ascii="Times New Roman" w:hAnsi="Times New Roman" w:eastAsia="仿宋_GB2312"/>
          <w:color w:val="000000" w:themeColor="text1"/>
          <w:sz w:val="30"/>
          <w:szCs w:val="30"/>
          <w:highlight w:val="none"/>
          <w14:textFill>
            <w14:solidFill>
              <w14:schemeClr w14:val="tx1"/>
            </w14:solidFill>
          </w14:textFill>
        </w:rPr>
        <w:t>情况一览表）（附件</w:t>
      </w:r>
      <w:r>
        <w:rPr>
          <w:rFonts w:ascii="Times New Roman" w:hAnsi="Times New Roman" w:eastAsia="仿宋_GB2312"/>
          <w:color w:val="000000" w:themeColor="text1"/>
          <w:sz w:val="30"/>
          <w:szCs w:val="30"/>
          <w:highlight w:val="none"/>
          <w14:textFill>
            <w14:solidFill>
              <w14:schemeClr w14:val="tx1"/>
            </w14:solidFill>
          </w14:textFill>
        </w:rPr>
        <w:t>14</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3.</w:t>
      </w:r>
      <w:r>
        <w:rPr>
          <w:rFonts w:hint="eastAsia" w:ascii="Times New Roman" w:hAnsi="Times New Roman" w:eastAsia="仿宋_GB2312"/>
          <w:color w:val="000000" w:themeColor="text1"/>
          <w:sz w:val="30"/>
          <w:szCs w:val="30"/>
          <w:highlight w:val="none"/>
          <w14:textFill>
            <w14:solidFill>
              <w14:schemeClr w14:val="tx1"/>
            </w14:solidFill>
          </w14:textFill>
        </w:rPr>
        <w:t>商务响应表（附件</w:t>
      </w:r>
      <w:r>
        <w:rPr>
          <w:rFonts w:ascii="Times New Roman" w:hAnsi="Times New Roman" w:eastAsia="仿宋_GB2312"/>
          <w:color w:val="000000" w:themeColor="text1"/>
          <w:sz w:val="30"/>
          <w:szCs w:val="30"/>
          <w:highlight w:val="none"/>
          <w14:textFill>
            <w14:solidFill>
              <w14:schemeClr w14:val="tx1"/>
            </w14:solidFill>
          </w14:textFill>
        </w:rPr>
        <w:t>15</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4.</w:t>
      </w:r>
      <w:r>
        <w:rPr>
          <w:rFonts w:hint="eastAsia" w:ascii="Times New Roman" w:hAnsi="Times New Roman" w:eastAsia="仿宋_GB2312"/>
          <w:color w:val="000000" w:themeColor="text1"/>
          <w:sz w:val="30"/>
          <w:szCs w:val="30"/>
          <w:highlight w:val="none"/>
          <w14:textFill>
            <w14:solidFill>
              <w14:schemeClr w14:val="tx1"/>
            </w14:solidFill>
          </w14:textFill>
        </w:rPr>
        <w:t>自主创新、节能环保等方面资质证书或文件（若有，</w:t>
      </w:r>
      <w:r>
        <w:rPr>
          <w:rFonts w:hint="eastAsia" w:ascii="Times New Roman" w:hAnsi="Times New Roman" w:eastAsia="仿宋_GB2312"/>
          <w:b/>
          <w:bCs/>
          <w:color w:val="000000" w:themeColor="text1"/>
          <w:sz w:val="30"/>
          <w:szCs w:val="30"/>
          <w:highlight w:val="none"/>
          <w14:textFill>
            <w14:solidFill>
              <w14:schemeClr w14:val="tx1"/>
            </w14:solidFill>
          </w14:textFill>
        </w:rPr>
        <w:t>特别是评分内容要求的有关证书</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ascii="Times New Roman" w:hAnsi="Times New Roman" w:eastAsia="仿宋_GB2312"/>
          <w:color w:val="000000" w:themeColor="text1"/>
          <w:sz w:val="30"/>
          <w:szCs w:val="30"/>
          <w:highlight w:val="none"/>
          <w14:textFill>
            <w14:solidFill>
              <w14:schemeClr w14:val="tx1"/>
            </w14:solidFill>
          </w14:textFill>
        </w:rPr>
        <w:t>5.</w:t>
      </w:r>
      <w:r>
        <w:rPr>
          <w:rFonts w:hint="eastAsia" w:ascii="Times New Roman" w:hAnsi="Times New Roman" w:eastAsia="仿宋_GB2312"/>
          <w:color w:val="000000" w:themeColor="text1"/>
          <w:sz w:val="30"/>
          <w:szCs w:val="30"/>
          <w:highlight w:val="none"/>
          <w14:textFill>
            <w14:solidFill>
              <w14:schemeClr w14:val="tx1"/>
            </w14:solidFill>
          </w14:textFill>
        </w:rPr>
        <w:t>投标人认为需要的其他文件资料和说明（格式自拟）。</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spacing w:line="480" w:lineRule="exact"/>
        <w:ind w:firstLine="602" w:firstLineChars="200"/>
        <w:rPr>
          <w:rFonts w:ascii="Times New Roman" w:hAnsi="Times New Roman" w:eastAsia="仿宋_GB2312"/>
          <w:b/>
          <w:bCs/>
          <w:color w:val="000000" w:themeColor="text1"/>
          <w:sz w:val="30"/>
          <w:szCs w:val="30"/>
          <w:highlight w:val="none"/>
          <w14:textFill>
            <w14:solidFill>
              <w14:schemeClr w14:val="tx1"/>
            </w14:solidFill>
          </w14:textFill>
        </w:rPr>
      </w:pPr>
      <w:r>
        <w:rPr>
          <w:rFonts w:hint="eastAsia" w:ascii="Times New Roman" w:hAnsi="Times New Roman" w:eastAsia="仿宋_GB2312"/>
          <w:b/>
          <w:bCs/>
          <w:color w:val="000000" w:themeColor="text1"/>
          <w:sz w:val="30"/>
          <w:szCs w:val="30"/>
          <w:highlight w:val="none"/>
          <w14:textFill>
            <w14:solidFill>
              <w14:schemeClr w14:val="tx1"/>
            </w14:solidFill>
          </w14:textFill>
        </w:rPr>
        <w:t>注意：制作电子投标文件时，评分内容相关的各方案、清单和承诺等内容请按要求制作、列出标题并做好链接，以便专家评审查找。</w:t>
      </w: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10</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评分标准索引</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10"/>
        <w:snapToGrid w:val="0"/>
        <w:spacing w:before="0" w:after="0" w:line="520" w:lineRule="exact"/>
        <w:ind w:firstLine="600" w:firstLineChars="20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p>
    <w:p>
      <w:pPr>
        <w:ind w:firstLine="420" w:firstLineChars="200"/>
        <w:rPr>
          <w:color w:val="000000" w:themeColor="text1"/>
          <w:highlight w:val="none"/>
          <w14:textFill>
            <w14:solidFill>
              <w14:schemeClr w14:val="tx1"/>
            </w14:solidFill>
          </w14:textFill>
        </w:rPr>
      </w:pPr>
    </w:p>
    <w:tbl>
      <w:tblPr>
        <w:tblStyle w:val="36"/>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847"/>
        <w:gridCol w:w="2156"/>
        <w:gridCol w:w="3092"/>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tcBorders>
              <w:top w:val="single" w:color="auto" w:sz="4" w:space="0"/>
              <w:left w:val="single" w:color="auto" w:sz="4" w:space="0"/>
              <w:bottom w:val="single" w:color="auto" w:sz="4" w:space="0"/>
              <w:right w:val="single" w:color="auto" w:sz="4" w:space="0"/>
            </w:tcBorders>
            <w:vAlign w:val="center"/>
          </w:tcPr>
          <w:p>
            <w:pPr>
              <w:adjustRightInd w:val="0"/>
              <w:spacing w:line="280" w:lineRule="exact"/>
              <w:jc w:val="center"/>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hint="eastAsia" w:ascii="Times New Roman" w:hAnsi="Times New Roman" w:eastAsia="黑体"/>
                <w:color w:val="000000" w:themeColor="text1"/>
                <w:sz w:val="24"/>
                <w:szCs w:val="24"/>
                <w:highlight w:val="none"/>
                <w14:textFill>
                  <w14:solidFill>
                    <w14:schemeClr w14:val="tx1"/>
                  </w14:solidFill>
                </w14:textFill>
              </w:rPr>
              <w:t>评分项目</w:t>
            </w:r>
          </w:p>
        </w:tc>
        <w:tc>
          <w:tcPr>
            <w:tcW w:w="847" w:type="dxa"/>
            <w:tcBorders>
              <w:top w:val="single" w:color="auto" w:sz="4" w:space="0"/>
              <w:left w:val="single" w:color="auto" w:sz="4" w:space="0"/>
              <w:bottom w:val="single" w:color="auto" w:sz="4" w:space="0"/>
              <w:right w:val="single" w:color="auto" w:sz="4" w:space="0"/>
            </w:tcBorders>
            <w:vAlign w:val="center"/>
          </w:tcPr>
          <w:p>
            <w:pPr>
              <w:adjustRightInd w:val="0"/>
              <w:spacing w:line="280" w:lineRule="exact"/>
              <w:jc w:val="center"/>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hint="eastAsia" w:ascii="Times New Roman" w:hAnsi="Times New Roman" w:eastAsia="黑体"/>
                <w:color w:val="000000" w:themeColor="text1"/>
                <w:sz w:val="24"/>
                <w:szCs w:val="24"/>
                <w:highlight w:val="none"/>
                <w14:textFill>
                  <w14:solidFill>
                    <w14:schemeClr w14:val="tx1"/>
                  </w14:solidFill>
                </w14:textFill>
              </w:rPr>
              <w:t>分值</w:t>
            </w:r>
          </w:p>
        </w:tc>
        <w:tc>
          <w:tcPr>
            <w:tcW w:w="2156" w:type="dxa"/>
            <w:tcBorders>
              <w:top w:val="single" w:color="auto" w:sz="4" w:space="0"/>
              <w:left w:val="single" w:color="auto" w:sz="4" w:space="0"/>
              <w:bottom w:val="single" w:color="auto" w:sz="4" w:space="0"/>
              <w:right w:val="single" w:color="auto" w:sz="4" w:space="0"/>
            </w:tcBorders>
            <w:vAlign w:val="center"/>
          </w:tcPr>
          <w:p>
            <w:pPr>
              <w:adjustRightInd w:val="0"/>
              <w:spacing w:line="280" w:lineRule="exact"/>
              <w:jc w:val="center"/>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hint="eastAsia" w:ascii="Times New Roman" w:hAnsi="Times New Roman" w:eastAsia="黑体"/>
                <w:color w:val="000000" w:themeColor="text1"/>
                <w:sz w:val="24"/>
                <w:szCs w:val="24"/>
                <w:highlight w:val="none"/>
                <w14:textFill>
                  <w14:solidFill>
                    <w14:schemeClr w14:val="tx1"/>
                  </w14:solidFill>
                </w14:textFill>
              </w:rPr>
              <w:t>评审要点及说明</w:t>
            </w:r>
          </w:p>
        </w:tc>
        <w:tc>
          <w:tcPr>
            <w:tcW w:w="3092" w:type="dxa"/>
            <w:tcBorders>
              <w:top w:val="single" w:color="auto" w:sz="4" w:space="0"/>
              <w:left w:val="single" w:color="auto" w:sz="4" w:space="0"/>
              <w:bottom w:val="single" w:color="auto" w:sz="4" w:space="0"/>
              <w:right w:val="single" w:color="auto" w:sz="4" w:space="0"/>
            </w:tcBorders>
            <w:vAlign w:val="center"/>
          </w:tcPr>
          <w:p>
            <w:pPr>
              <w:adjustRightInd w:val="0"/>
              <w:spacing w:line="280" w:lineRule="exact"/>
              <w:jc w:val="center"/>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hint="eastAsia" w:ascii="Times New Roman" w:hAnsi="Times New Roman" w:eastAsia="黑体"/>
                <w:color w:val="000000" w:themeColor="text1"/>
                <w:sz w:val="24"/>
                <w:szCs w:val="24"/>
                <w:highlight w:val="none"/>
                <w14:textFill>
                  <w14:solidFill>
                    <w14:schemeClr w14:val="tx1"/>
                  </w14:solidFill>
                </w14:textFill>
              </w:rPr>
              <w:t>响应文件所在页码</w:t>
            </w:r>
          </w:p>
        </w:tc>
        <w:tc>
          <w:tcPr>
            <w:tcW w:w="2592" w:type="dxa"/>
            <w:tcBorders>
              <w:top w:val="single" w:color="auto" w:sz="4" w:space="0"/>
              <w:left w:val="single" w:color="auto" w:sz="4" w:space="0"/>
              <w:bottom w:val="single" w:color="auto" w:sz="4" w:space="0"/>
              <w:right w:val="single" w:color="auto" w:sz="4" w:space="0"/>
            </w:tcBorders>
          </w:tcPr>
          <w:p>
            <w:pPr>
              <w:adjustRightInd w:val="0"/>
              <w:spacing w:line="280" w:lineRule="exact"/>
              <w:jc w:val="center"/>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hint="eastAsia" w:ascii="Times New Roman" w:hAnsi="Times New Roman" w:eastAsia="黑体"/>
                <w:color w:val="000000" w:themeColor="text1"/>
                <w:sz w:val="24"/>
                <w:szCs w:val="24"/>
                <w:highlight w:val="none"/>
                <w14:textFill>
                  <w14:solidFill>
                    <w14:schemeClr w14:val="tx1"/>
                  </w14:solidFill>
                </w14:textFill>
              </w:rPr>
              <w:t>投标人自评分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报价</w:t>
            </w: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无需填写</w:t>
            </w: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无需填写</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商务</w:t>
            </w: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x</w:t>
            </w:r>
            <w:r>
              <w:rPr>
                <w:rFonts w:ascii="Times New Roman" w:hAnsi="Times New Roman" w:eastAsia="仿宋_GB2312"/>
                <w:color w:val="000000" w:themeColor="text1"/>
                <w:sz w:val="24"/>
                <w:szCs w:val="24"/>
                <w:highlight w:val="none"/>
                <w14:textFill>
                  <w14:solidFill>
                    <w14:schemeClr w14:val="tx1"/>
                  </w14:solidFill>
                </w14:textFill>
              </w:rPr>
              <w:t>x</w:t>
            </w:r>
            <w:r>
              <w:rPr>
                <w:rFonts w:hint="eastAsia" w:ascii="Times New Roman" w:hAnsi="Times New Roman" w:eastAsia="仿宋_GB2312"/>
                <w:color w:val="000000" w:themeColor="text1"/>
                <w:sz w:val="24"/>
                <w:szCs w:val="24"/>
                <w:highlight w:val="none"/>
                <w14:textFill>
                  <w14:solidFill>
                    <w14:schemeClr w14:val="tx1"/>
                  </w14:solidFill>
                </w14:textFill>
              </w:rPr>
              <w:t>文件第xx-xx页</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针对该评审要点的投标人自评分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widowControl/>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楷体_GB2312"/>
                <w:color w:val="000000" w:themeColor="text1"/>
                <w:sz w:val="24"/>
                <w:szCs w:val="24"/>
                <w:highlight w:val="none"/>
                <w14:textFill>
                  <w14:solidFill>
                    <w14:schemeClr w14:val="tx1"/>
                  </w14:solidFill>
                </w14:textFill>
              </w:rPr>
              <w:t>技术</w:t>
            </w: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x</w:t>
            </w:r>
            <w:r>
              <w:rPr>
                <w:rFonts w:ascii="Times New Roman" w:hAnsi="Times New Roman" w:eastAsia="仿宋_GB2312"/>
                <w:color w:val="000000" w:themeColor="text1"/>
                <w:sz w:val="24"/>
                <w:szCs w:val="24"/>
                <w:highlight w:val="none"/>
                <w14:textFill>
                  <w14:solidFill>
                    <w14:schemeClr w14:val="tx1"/>
                  </w14:solidFill>
                </w14:textFill>
              </w:rPr>
              <w:t>x</w:t>
            </w:r>
            <w:r>
              <w:rPr>
                <w:rFonts w:hint="eastAsia" w:ascii="Times New Roman" w:hAnsi="Times New Roman" w:eastAsia="仿宋_GB2312"/>
                <w:color w:val="000000" w:themeColor="text1"/>
                <w:sz w:val="24"/>
                <w:szCs w:val="24"/>
                <w:highlight w:val="none"/>
                <w14:textFill>
                  <w14:solidFill>
                    <w14:schemeClr w14:val="tx1"/>
                  </w14:solidFill>
                </w14:textFill>
              </w:rPr>
              <w:t>文件第xx-xx页</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nil"/>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仿宋_GB2312"/>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215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楷体_GB2312"/>
                <w:color w:val="000000" w:themeColor="text1"/>
                <w:sz w:val="24"/>
                <w:szCs w:val="24"/>
                <w:highlight w:val="none"/>
                <w14:textFill>
                  <w14:solidFill>
                    <w14:schemeClr w14:val="tx1"/>
                  </w14:solidFill>
                </w14:textFill>
              </w:rPr>
            </w:pPr>
          </w:p>
        </w:tc>
        <w:tc>
          <w:tcPr>
            <w:tcW w:w="309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楷体_GB2312"/>
                <w:color w:val="000000" w:themeColor="text1"/>
                <w:sz w:val="24"/>
                <w:szCs w:val="24"/>
                <w:highlight w:val="none"/>
                <w14:textFill>
                  <w14:solidFill>
                    <w14:schemeClr w14:val="tx1"/>
                  </w14:solidFill>
                </w14:textFill>
              </w:rPr>
            </w:pPr>
            <w:r>
              <w:rPr>
                <w:rFonts w:hint="eastAsia" w:ascii="Times New Roman" w:hAnsi="Times New Roman" w:eastAsia="仿宋_GB2312"/>
                <w:color w:val="000000" w:themeColor="text1"/>
                <w:sz w:val="24"/>
                <w:szCs w:val="24"/>
                <w:highlight w:val="none"/>
                <w14:textFill>
                  <w14:solidFill>
                    <w14:schemeClr w14:val="tx1"/>
                  </w14:solidFill>
                </w14:textFill>
              </w:rPr>
              <w:t>……</w:t>
            </w:r>
          </w:p>
        </w:tc>
        <w:tc>
          <w:tcPr>
            <w:tcW w:w="2592" w:type="dxa"/>
            <w:tcBorders>
              <w:top w:val="single" w:color="auto" w:sz="4" w:space="0"/>
              <w:left w:val="single" w:color="auto" w:sz="4" w:space="0"/>
              <w:bottom w:val="single" w:color="auto" w:sz="4" w:space="0"/>
              <w:right w:val="single" w:color="auto" w:sz="4" w:space="0"/>
            </w:tcBorders>
          </w:tcPr>
          <w:p>
            <w:pPr>
              <w:spacing w:line="280" w:lineRule="exact"/>
              <w:jc w:val="center"/>
              <w:rPr>
                <w:rFonts w:ascii="Times New Roman" w:hAnsi="Times New Roman" w:eastAsia="仿宋_GB2312"/>
                <w:color w:val="000000" w:themeColor="text1"/>
                <w:sz w:val="24"/>
                <w:szCs w:val="24"/>
                <w:highlight w:val="none"/>
                <w14:textFill>
                  <w14:solidFill>
                    <w14:schemeClr w14:val="tx1"/>
                  </w14:solidFill>
                </w14:textFill>
              </w:rPr>
            </w:pPr>
          </w:p>
        </w:tc>
      </w:tr>
    </w:tbl>
    <w:p>
      <w:pPr>
        <w:snapToGrid w:val="0"/>
        <w:spacing w:before="50" w:after="5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pacing w:val="20"/>
          <w:sz w:val="30"/>
          <w:szCs w:val="30"/>
          <w:highlight w:val="none"/>
          <w14:textFill>
            <w14:solidFill>
              <w14:schemeClr w14:val="tx1"/>
            </w14:solidFill>
          </w14:textFill>
        </w:rPr>
        <w:t>说明：本评分标准索引放在技术及商务响应文件目录页后面，并标注每一项“评分内容和标准”所在页码。</w:t>
      </w:r>
      <w:r>
        <w:rPr>
          <w:rFonts w:ascii="Times New Roman" w:hAnsi="Times New Roman" w:eastAsia="仿宋_GB2312"/>
          <w:color w:val="000000" w:themeColor="text1"/>
          <w:spacing w:val="20"/>
          <w:sz w:val="30"/>
          <w:szCs w:val="30"/>
          <w:highlight w:val="none"/>
          <w:u w:val="single"/>
          <w14:textFill>
            <w14:solidFill>
              <w14:schemeClr w14:val="tx1"/>
            </w14:solidFill>
          </w14:textFill>
        </w:rPr>
        <w:br w:type="page"/>
      </w: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11</w:t>
      </w:r>
    </w:p>
    <w:p>
      <w:pPr>
        <w:snapToGrid w:val="0"/>
        <w:spacing w:before="50" w:after="50"/>
        <w:jc w:val="center"/>
        <w:rPr>
          <w:rFonts w:hint="eastAsia" w:ascii="仿宋" w:hAnsi="仿宋" w:eastAsia="仿宋"/>
          <w:b/>
          <w:color w:val="000000" w:themeColor="text1"/>
          <w:sz w:val="36"/>
          <w:szCs w:val="36"/>
          <w:highlight w:val="none"/>
          <w14:textFill>
            <w14:solidFill>
              <w14:schemeClr w14:val="tx1"/>
            </w14:solidFill>
          </w14:textFill>
        </w:rPr>
      </w:pPr>
      <w:r>
        <w:rPr>
          <w:rFonts w:hint="eastAsia" w:ascii="仿宋" w:hAnsi="仿宋" w:eastAsia="仿宋"/>
          <w:b/>
          <w:color w:val="000000" w:themeColor="text1"/>
          <w:sz w:val="36"/>
          <w:szCs w:val="36"/>
          <w:highlight w:val="none"/>
          <w14:textFill>
            <w14:solidFill>
              <w14:schemeClr w14:val="tx1"/>
            </w14:solidFill>
          </w14:textFill>
        </w:rPr>
        <w:t>投标项目明细清单</w:t>
      </w:r>
    </w:p>
    <w:p>
      <w:pPr>
        <w:snapToGrid w:val="0"/>
        <w:spacing w:before="50" w:after="120" w:afterLines="50"/>
        <w:rPr>
          <w:rFonts w:ascii="仿宋" w:hAnsi="仿宋" w:eastAsia="仿宋"/>
          <w:b/>
          <w:color w:val="000000" w:themeColor="text1"/>
          <w:spacing w:val="40"/>
          <w:kern w:val="0"/>
          <w:sz w:val="36"/>
          <w:szCs w:val="36"/>
          <w:highlight w:val="none"/>
          <w14:textFill>
            <w14:solidFill>
              <w14:schemeClr w14:val="tx1"/>
            </w14:solidFill>
          </w14:textFill>
        </w:rPr>
      </w:pPr>
    </w:p>
    <w:p>
      <w:pPr>
        <w:pStyle w:val="10"/>
        <w:snapToGrid w:val="0"/>
        <w:ind w:firstLine="0" w:firstLineChars="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p>
      <w:pPr>
        <w:pStyle w:val="10"/>
        <w:snapToGrid w:val="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货物类</w:t>
      </w:r>
    </w:p>
    <w:tbl>
      <w:tblPr>
        <w:tblStyle w:val="36"/>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规格</w:t>
            </w:r>
          </w:p>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单位及</w:t>
            </w:r>
          </w:p>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r>
    </w:tbl>
    <w:p>
      <w:pPr>
        <w:snapToGrid w:val="0"/>
        <w:spacing w:before="120" w:beforeLines="5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服务类</w:t>
      </w:r>
    </w:p>
    <w:tbl>
      <w:tblPr>
        <w:tblStyle w:val="36"/>
        <w:tblW w:w="90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5"/>
        <w:gridCol w:w="2828"/>
        <w:gridCol w:w="2828"/>
        <w:gridCol w:w="28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序号</w:t>
            </w: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服务内容</w:t>
            </w: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服务人员数量</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highlight w:val="none"/>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c>
          <w:tcPr>
            <w:tcW w:w="2828"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highlight w:val="none"/>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highlight w:val="none"/>
                <w14:textFill>
                  <w14:solidFill>
                    <w14:schemeClr w14:val="tx1"/>
                  </w14:solidFill>
                </w14:textFill>
              </w:rPr>
            </w:pPr>
          </w:p>
        </w:tc>
      </w:tr>
    </w:tbl>
    <w:p>
      <w:pPr>
        <w:snapToGrid w:val="0"/>
        <w:spacing w:before="120" w:beforeLines="50"/>
        <w:rPr>
          <w:rFonts w:ascii="仿宋" w:hAnsi="仿宋" w:eastAsia="仿宋"/>
          <w:color w:val="000000" w:themeColor="text1"/>
          <w:sz w:val="30"/>
          <w:szCs w:val="30"/>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注：在填写时，如上表不适合本项目的实际情况，可在确保投标明细内容完整的情况下，根据上表格式自行划表填写。</w:t>
      </w:r>
    </w:p>
    <w:p>
      <w:pPr>
        <w:snapToGrid w:val="0"/>
        <w:spacing w:before="120" w:beforeLines="50" w:after="120" w:afterLines="50" w:line="440" w:lineRule="exact"/>
        <w:jc w:val="center"/>
        <w:rPr>
          <w:rFonts w:hint="eastAsia" w:ascii="仿宋_GB2312" w:hAnsi="Times New Roman" w:eastAsia="仿宋_GB2312"/>
          <w:bCs/>
          <w:color w:val="000000" w:themeColor="text1"/>
          <w:sz w:val="32"/>
          <w:szCs w:val="32"/>
          <w:highlight w:val="none"/>
          <w14:textFill>
            <w14:solidFill>
              <w14:schemeClr w14:val="tx1"/>
            </w14:solidFill>
          </w14:textFill>
        </w:rPr>
      </w:pPr>
    </w:p>
    <w:p>
      <w:pPr>
        <w:snapToGrid w:val="0"/>
        <w:spacing w:before="50" w:after="50"/>
        <w:rPr>
          <w:rFonts w:ascii="仿宋" w:hAnsi="仿宋" w:eastAsia="仿宋"/>
          <w:color w:val="000000" w:themeColor="text1"/>
          <w:spacing w:val="20"/>
          <w:sz w:val="30"/>
          <w:szCs w:val="30"/>
          <w:highlight w:val="none"/>
          <w14:textFill>
            <w14:solidFill>
              <w14:schemeClr w14:val="tx1"/>
            </w14:solidFill>
          </w14:textFill>
        </w:rPr>
      </w:pPr>
      <w:r>
        <w:rPr>
          <w:rFonts w:hint="eastAsia" w:ascii="Times New Roman" w:hAnsi="Times New Roman" w:eastAsia="仿宋_GB2312"/>
          <w:color w:val="000000" w:themeColor="text1"/>
          <w:spacing w:val="20"/>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pacing w:val="20"/>
          <w:sz w:val="30"/>
          <w:szCs w:val="30"/>
          <w:highlight w:val="none"/>
          <w14:textFill>
            <w14:solidFill>
              <w14:schemeClr w14:val="tx1"/>
            </w14:solidFill>
          </w14:textFill>
        </w:rPr>
        <w:t>签名：</w:t>
      </w:r>
      <w:r>
        <w:rPr>
          <w:rFonts w:hint="eastAsia" w:ascii="Times New Roman" w:hAnsi="Times New Roman" w:eastAsia="仿宋_GB2312"/>
          <w:color w:val="000000" w:themeColor="text1"/>
          <w:spacing w:val="20"/>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pacing w:val="20"/>
          <w:sz w:val="30"/>
          <w:szCs w:val="30"/>
          <w:highlight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spacing w:line="480" w:lineRule="exact"/>
        <w:ind w:firstLine="68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仿宋" w:hAnsi="仿宋" w:eastAsia="仿宋"/>
          <w:color w:val="000000" w:themeColor="text1"/>
          <w:spacing w:val="20"/>
          <w:sz w:val="30"/>
          <w:szCs w:val="30"/>
          <w:highlight w:val="none"/>
          <w14:textFill>
            <w14:solidFill>
              <w14:schemeClr w14:val="tx1"/>
            </w14:solidFill>
          </w14:textFill>
        </w:rPr>
        <w:br w:type="page"/>
      </w: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12</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技术响应表</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10"/>
        <w:snapToGrid w:val="0"/>
        <w:ind w:firstLine="600" w:firstLineChars="20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tbl>
      <w:tblPr>
        <w:tblStyle w:val="36"/>
        <w:tblW w:w="89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901"/>
        <w:gridCol w:w="2196"/>
        <w:gridCol w:w="28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序号</w:t>
            </w:r>
          </w:p>
        </w:tc>
        <w:tc>
          <w:tcPr>
            <w:tcW w:w="29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招标文件要求</w:t>
            </w:r>
          </w:p>
        </w:tc>
        <w:tc>
          <w:tcPr>
            <w:tcW w:w="219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投标文件响应</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rPr>
                <w:rFonts w:ascii="Times New Roman" w:hAnsi="Times New Roman" w:eastAsia="仿宋_GB2312"/>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90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c>
          <w:tcPr>
            <w:tcW w:w="2823" w:type="dxa"/>
            <w:tcBorders>
              <w:top w:val="single" w:color="auto" w:sz="4" w:space="0"/>
              <w:left w:val="single" w:color="auto" w:sz="4" w:space="0"/>
              <w:right w:val="single" w:color="auto" w:sz="4" w:space="0"/>
            </w:tcBorders>
          </w:tcPr>
          <w:p>
            <w:pPr>
              <w:snapToGrid w:val="0"/>
              <w:spacing w:before="120" w:beforeLines="50" w:after="120" w:afterLines="50" w:line="360" w:lineRule="auto"/>
              <w:outlineLvl w:val="0"/>
              <w:rPr>
                <w:rFonts w:ascii="Times New Roman" w:hAnsi="Times New Roman" w:eastAsia="仿宋_GB2312"/>
                <w:color w:val="000000" w:themeColor="text1"/>
                <w:sz w:val="30"/>
                <w:szCs w:val="30"/>
                <w:highlight w:val="none"/>
                <w14:textFill>
                  <w14:solidFill>
                    <w14:schemeClr w14:val="tx1"/>
                  </w14:solidFill>
                </w14:textFill>
              </w:rPr>
            </w:pPr>
          </w:p>
        </w:tc>
      </w:tr>
    </w:tbl>
    <w:p>
      <w:pPr>
        <w:pStyle w:val="13"/>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注：投标人应根据响应情况对照招标文件要求在“偏离情况”栏注明“正偏离”、“负偏离”或“无偏离”。</w:t>
      </w:r>
    </w:p>
    <w:p>
      <w:pPr>
        <w:snapToGrid w:val="0"/>
        <w:spacing w:before="50" w:after="50"/>
        <w:rPr>
          <w:rFonts w:ascii="Times New Roman" w:hAnsi="Times New Roman" w:eastAsia="仿宋_GB2312"/>
          <w:color w:val="000000" w:themeColor="text1"/>
          <w:spacing w:val="20"/>
          <w:sz w:val="30"/>
          <w:szCs w:val="30"/>
          <w:highlight w:val="none"/>
          <w14:textFill>
            <w14:solidFill>
              <w14:schemeClr w14:val="tx1"/>
            </w14:solidFill>
          </w14:textFill>
        </w:rPr>
      </w:pPr>
    </w:p>
    <w:p>
      <w:pPr>
        <w:snapToGrid w:val="0"/>
        <w:spacing w:before="50" w:after="50"/>
        <w:rPr>
          <w:rFonts w:ascii="Times New Roman" w:hAnsi="Times New Roman" w:eastAsia="仿宋_GB2312"/>
          <w:color w:val="000000" w:themeColor="text1"/>
          <w:spacing w:val="20"/>
          <w:sz w:val="30"/>
          <w:szCs w:val="30"/>
          <w:highlight w:val="none"/>
          <w14:textFill>
            <w14:solidFill>
              <w14:schemeClr w14:val="tx1"/>
            </w14:solidFill>
          </w14:textFill>
        </w:rPr>
      </w:pPr>
    </w:p>
    <w:p>
      <w:pPr>
        <w:snapToGrid w:val="0"/>
        <w:spacing w:before="50" w:after="50"/>
        <w:rPr>
          <w:rFonts w:ascii="Times New Roman" w:hAnsi="Times New Roman" w:eastAsia="仿宋_GB2312"/>
          <w:color w:val="000000" w:themeColor="text1"/>
          <w:spacing w:val="20"/>
          <w:sz w:val="30"/>
          <w:szCs w:val="30"/>
          <w:highlight w:val="none"/>
          <w:u w:val="none"/>
          <w14:textFill>
            <w14:solidFill>
              <w14:schemeClr w14:val="tx1"/>
            </w14:solidFill>
          </w14:textFill>
        </w:rPr>
      </w:pPr>
      <w:r>
        <w:rPr>
          <w:rFonts w:hint="eastAsia" w:ascii="Times New Roman" w:hAnsi="Times New Roman" w:eastAsia="仿宋_GB2312"/>
          <w:color w:val="000000" w:themeColor="text1"/>
          <w:spacing w:val="20"/>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pacing w:val="20"/>
          <w:sz w:val="30"/>
          <w:szCs w:val="30"/>
          <w:highlight w:val="none"/>
          <w14:textFill>
            <w14:solidFill>
              <w14:schemeClr w14:val="tx1"/>
            </w14:solidFill>
          </w14:textFill>
        </w:rPr>
        <w:t>签名：</w:t>
      </w:r>
      <w:r>
        <w:rPr>
          <w:rFonts w:hint="eastAsia" w:ascii="Times New Roman" w:hAnsi="Times New Roman" w:eastAsia="仿宋_GB2312"/>
          <w:color w:val="000000" w:themeColor="text1"/>
          <w:spacing w:val="20"/>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pacing w:val="20"/>
          <w:sz w:val="30"/>
          <w:szCs w:val="30"/>
          <w:highlight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日 期：</w:t>
      </w:r>
      <w:r>
        <w:rPr>
          <w:rFonts w:hint="eastAsia" w:ascii="Times New Roman" w:hAnsi="Times New Roman" w:eastAsia="仿宋_GB2312"/>
          <w:color w:val="000000" w:themeColor="text1"/>
          <w:sz w:val="30"/>
          <w:szCs w:val="30"/>
          <w:highlight w:val="none"/>
          <w:lang w:val="en-US" w:eastAsia="zh-CN"/>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年</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 xml:space="preserve">月 </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日</w:t>
      </w:r>
    </w:p>
    <w:p>
      <w:pPr>
        <w:snapToGrid w:val="0"/>
        <w:spacing w:before="50" w:after="50"/>
        <w:rPr>
          <w:rFonts w:ascii="Times New Roman" w:hAnsi="Times New Roman" w:eastAsia="仿宋_GB2312"/>
          <w:color w:val="000000" w:themeColor="text1"/>
          <w:spacing w:val="20"/>
          <w:sz w:val="30"/>
          <w:szCs w:val="30"/>
          <w:highlight w:val="none"/>
          <w:u w:val="single"/>
          <w14:textFill>
            <w14:solidFill>
              <w14:schemeClr w14:val="tx1"/>
            </w14:solidFill>
          </w14:textFill>
        </w:rPr>
      </w:pPr>
    </w:p>
    <w:p>
      <w:pPr>
        <w:snapToGrid w:val="0"/>
        <w:spacing w:before="50" w:after="50"/>
        <w:rPr>
          <w:rFonts w:ascii="Times New Roman" w:hAnsi="Times New Roman" w:eastAsia="仿宋_GB2312"/>
          <w:color w:val="000000" w:themeColor="text1"/>
          <w:spacing w:val="20"/>
          <w:sz w:val="30"/>
          <w:szCs w:val="30"/>
          <w:highlight w:val="none"/>
          <w:u w:val="single"/>
          <w14:textFill>
            <w14:solidFill>
              <w14:schemeClr w14:val="tx1"/>
            </w14:solidFill>
          </w14:textFill>
        </w:rPr>
      </w:pPr>
    </w:p>
    <w:p>
      <w:pPr>
        <w:snapToGrid w:val="0"/>
        <w:spacing w:before="50" w:after="50"/>
        <w:rPr>
          <w:rFonts w:ascii="Times New Roman" w:hAnsi="Times New Roman" w:eastAsia="仿宋_GB2312"/>
          <w:color w:val="000000" w:themeColor="text1"/>
          <w:spacing w:val="20"/>
          <w:sz w:val="30"/>
          <w:szCs w:val="30"/>
          <w:highlight w:val="none"/>
          <w:u w:val="singl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13</w:t>
      </w:r>
    </w:p>
    <w:p>
      <w:pPr>
        <w:snapToGrid w:val="0"/>
        <w:spacing w:before="120" w:beforeLines="50" w:after="120" w:afterLines="50"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项目实施人员（主要从业人员及其技术资格）一览表</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10"/>
        <w:snapToGrid w:val="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tbl>
      <w:tblPr>
        <w:tblStyle w:val="36"/>
        <w:tblW w:w="96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7"/>
        <w:gridCol w:w="1367"/>
        <w:gridCol w:w="1654"/>
        <w:gridCol w:w="1306"/>
        <w:gridCol w:w="2240"/>
        <w:gridCol w:w="16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姓名</w:t>
            </w:r>
          </w:p>
        </w:tc>
        <w:tc>
          <w:tcPr>
            <w:tcW w:w="136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职务</w:t>
            </w:r>
          </w:p>
        </w:tc>
        <w:tc>
          <w:tcPr>
            <w:tcW w:w="165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专业技</w:t>
            </w:r>
          </w:p>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术资格</w:t>
            </w:r>
          </w:p>
        </w:tc>
        <w:tc>
          <w:tcPr>
            <w:tcW w:w="130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证书</w:t>
            </w:r>
          </w:p>
          <w:p>
            <w:pPr>
              <w:snapToGrid w:val="0"/>
              <w:spacing w:before="120" w:beforeLines="50" w:after="50" w:line="460" w:lineRule="exact"/>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编号</w:t>
            </w:r>
          </w:p>
        </w:tc>
        <w:tc>
          <w:tcPr>
            <w:tcW w:w="22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参加本单位工作时间</w:t>
            </w:r>
          </w:p>
        </w:tc>
        <w:tc>
          <w:tcPr>
            <w:tcW w:w="169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劳动合</w:t>
            </w:r>
          </w:p>
          <w:p>
            <w:pPr>
              <w:snapToGrid w:val="0"/>
              <w:spacing w:before="120" w:beforeLines="50" w:after="50" w:line="460" w:lineRule="exact"/>
              <w:jc w:val="center"/>
              <w:rPr>
                <w:rFonts w:ascii="Times New Roman" w:hAnsi="Times New Roman" w:eastAsia="楷体_GB2312"/>
                <w:b/>
                <w:bCs/>
                <w:color w:val="000000" w:themeColor="text1"/>
                <w:sz w:val="28"/>
                <w:szCs w:val="28"/>
                <w:highlight w:val="none"/>
                <w14:textFill>
                  <w14:solidFill>
                    <w14:schemeClr w14:val="tx1"/>
                  </w14:solidFill>
                </w14:textFill>
              </w:rPr>
            </w:pPr>
            <w:r>
              <w:rPr>
                <w:rFonts w:hint="eastAsia" w:ascii="Times New Roman" w:hAnsi="Times New Roman" w:eastAsia="楷体_GB2312"/>
                <w:b/>
                <w:bCs/>
                <w:color w:val="000000" w:themeColor="text1"/>
                <w:sz w:val="28"/>
                <w:szCs w:val="28"/>
                <w:highlight w:val="none"/>
                <w14:textFill>
                  <w14:solidFill>
                    <w14:schemeClr w14:val="tx1"/>
                  </w14:solidFill>
                </w14:textFill>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pStyle w:val="20"/>
              <w:snapToGrid w:val="0"/>
              <w:spacing w:before="120" w:beforeLines="50" w:after="50" w:line="460" w:lineRule="exact"/>
              <w:ind w:left="5250"/>
              <w:rPr>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5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306"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224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c>
          <w:tcPr>
            <w:tcW w:w="169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Times New Roman" w:hAnsi="Times New Roman" w:eastAsia="楷体_GB2312"/>
                <w:color w:val="000000" w:themeColor="text1"/>
                <w:sz w:val="28"/>
                <w:szCs w:val="28"/>
                <w:highlight w:val="none"/>
                <w14:textFill>
                  <w14:solidFill>
                    <w14:schemeClr w14:val="tx1"/>
                  </w14:solidFill>
                </w14:textFill>
              </w:rPr>
            </w:pPr>
          </w:p>
        </w:tc>
      </w:tr>
    </w:tbl>
    <w:p>
      <w:pPr>
        <w:snapToGrid w:val="0"/>
        <w:spacing w:before="50" w:after="120" w:afterLines="50" w:line="460" w:lineRule="exact"/>
        <w:jc w:val="lef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说明：1.在填写时，如本表格不适合投标人的实际情况，可根据本表格式自行划表填写。</w:t>
      </w:r>
    </w:p>
    <w:p>
      <w:pPr>
        <w:snapToGrid w:val="0"/>
        <w:spacing w:before="50" w:after="120" w:afterLines="50" w:line="460" w:lineRule="exact"/>
        <w:jc w:val="lef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 xml:space="preserve">      2.需附人员（特别是各标项采购需求中明确需要的人员）简历及学历、职称等证书复印件及社保缴纳证明。</w:t>
      </w:r>
    </w:p>
    <w:p>
      <w:pPr>
        <w:snapToGrid w:val="0"/>
        <w:spacing w:before="50" w:after="50" w:line="460" w:lineRule="exact"/>
        <w:rPr>
          <w:rFonts w:ascii="Times New Roman" w:hAnsi="Times New Roman" w:eastAsia="仿宋_GB2312"/>
          <w:color w:val="000000" w:themeColor="text1"/>
          <w:spacing w:val="20"/>
          <w:sz w:val="30"/>
          <w:szCs w:val="30"/>
          <w:highlight w:val="none"/>
          <w14:textFill>
            <w14:solidFill>
              <w14:schemeClr w14:val="tx1"/>
            </w14:solidFill>
          </w14:textFill>
        </w:rPr>
      </w:pPr>
    </w:p>
    <w:p>
      <w:pPr>
        <w:snapToGrid w:val="0"/>
        <w:spacing w:before="50" w:after="50" w:line="460" w:lineRule="exact"/>
        <w:rPr>
          <w:rFonts w:ascii="Times New Roman" w:hAnsi="Times New Roman" w:eastAsia="仿宋_GB2312"/>
          <w:color w:val="000000" w:themeColor="text1"/>
          <w:spacing w:val="20"/>
          <w:sz w:val="30"/>
          <w:szCs w:val="30"/>
          <w:highlight w:val="none"/>
          <w14:textFill>
            <w14:solidFill>
              <w14:schemeClr w14:val="tx1"/>
            </w14:solidFill>
          </w14:textFill>
        </w:rPr>
      </w:pPr>
    </w:p>
    <w:p>
      <w:pPr>
        <w:snapToGrid w:val="0"/>
        <w:spacing w:before="50" w:after="50" w:line="460" w:lineRule="exact"/>
        <w:rPr>
          <w:rFonts w:ascii="Times New Roman" w:hAnsi="Times New Roman" w:eastAsia="仿宋_GB2312"/>
          <w:color w:val="000000" w:themeColor="text1"/>
          <w:spacing w:val="20"/>
          <w:sz w:val="30"/>
          <w:szCs w:val="30"/>
          <w:highlight w:val="none"/>
          <w:u w:val="single"/>
          <w14:textFill>
            <w14:solidFill>
              <w14:schemeClr w14:val="tx1"/>
            </w14:solidFill>
          </w14:textFill>
        </w:rPr>
      </w:pPr>
      <w:r>
        <w:rPr>
          <w:rFonts w:hint="eastAsia" w:ascii="Times New Roman" w:hAnsi="Times New Roman" w:eastAsia="仿宋_GB2312"/>
          <w:color w:val="000000" w:themeColor="text1"/>
          <w:spacing w:val="20"/>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pacing w:val="20"/>
          <w:sz w:val="30"/>
          <w:szCs w:val="30"/>
          <w:highlight w:val="none"/>
          <w14:textFill>
            <w14:solidFill>
              <w14:schemeClr w14:val="tx1"/>
            </w14:solidFill>
          </w14:textFill>
        </w:rPr>
        <w:t>签名：</w:t>
      </w:r>
      <w:r>
        <w:rPr>
          <w:rFonts w:hint="eastAsia" w:ascii="Times New Roman" w:hAnsi="Times New Roman" w:eastAsia="仿宋_GB2312"/>
          <w:color w:val="000000" w:themeColor="text1"/>
          <w:spacing w:val="20"/>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pacing w:val="20"/>
          <w:sz w:val="30"/>
          <w:szCs w:val="30"/>
          <w:highlight w:val="none"/>
          <w14:textFill>
            <w14:solidFill>
              <w14:schemeClr w14:val="tx1"/>
            </w14:solidFill>
          </w14:textFill>
        </w:rPr>
        <w:t xml:space="preserve"> </w:t>
      </w:r>
      <w:r>
        <w:rPr>
          <w:rFonts w:ascii="Times New Roman" w:hAnsi="Times New Roman" w:eastAsia="仿宋_GB2312"/>
          <w:color w:val="000000" w:themeColor="text1"/>
          <w:spacing w:val="20"/>
          <w:sz w:val="30"/>
          <w:szCs w:val="30"/>
          <w:highlight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14</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投标人</w:t>
      </w:r>
      <w:r>
        <w:rPr>
          <w:rFonts w:hint="eastAsia" w:ascii="仿宋_GB2312" w:hAnsi="Times New Roman" w:eastAsia="仿宋_GB2312"/>
          <w:bCs/>
          <w:color w:val="000000" w:themeColor="text1"/>
          <w:sz w:val="32"/>
          <w:szCs w:val="32"/>
          <w:highlight w:val="none"/>
          <w:lang w:val="en-US" w:eastAsia="zh-CN"/>
          <w14:textFill>
            <w14:solidFill>
              <w14:schemeClr w14:val="tx1"/>
            </w14:solidFill>
          </w14:textFill>
        </w:rPr>
        <w:t>业绩</w:t>
      </w:r>
      <w:r>
        <w:rPr>
          <w:rFonts w:hint="eastAsia" w:ascii="仿宋_GB2312" w:hAnsi="Times New Roman" w:eastAsia="仿宋_GB2312"/>
          <w:bCs/>
          <w:color w:val="000000" w:themeColor="text1"/>
          <w:sz w:val="32"/>
          <w:szCs w:val="32"/>
          <w:highlight w:val="none"/>
          <w14:textFill>
            <w14:solidFill>
              <w14:schemeClr w14:val="tx1"/>
            </w14:solidFill>
          </w14:textFill>
        </w:rPr>
        <w:t>情况一览表</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10"/>
        <w:snapToGrid w:val="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tbl>
      <w:tblPr>
        <w:tblStyle w:val="36"/>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900"/>
        <w:gridCol w:w="900"/>
        <w:gridCol w:w="1440"/>
        <w:gridCol w:w="900"/>
        <w:gridCol w:w="900"/>
        <w:gridCol w:w="16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采购单位名称</w:t>
            </w:r>
          </w:p>
        </w:tc>
        <w:tc>
          <w:tcPr>
            <w:tcW w:w="133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项目</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采购</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数量</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合同</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金额</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（万元）</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附件页码</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采购单位联系人及</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合</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同</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验</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收</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报</w:t>
            </w:r>
          </w:p>
          <w:p>
            <w:pPr>
              <w:snapToGrid w:val="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告</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332"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360" w:lineRule="auto"/>
              <w:jc w:val="center"/>
              <w:rPr>
                <w:rFonts w:ascii="Times New Roman" w:hAnsi="Times New Roman" w:eastAsia="楷体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备注</w:t>
            </w:r>
          </w:p>
        </w:tc>
        <w:tc>
          <w:tcPr>
            <w:tcW w:w="7992" w:type="dxa"/>
            <w:gridSpan w:val="7"/>
            <w:tcBorders>
              <w:top w:val="single" w:color="auto" w:sz="4" w:space="0"/>
              <w:left w:val="single" w:color="auto" w:sz="4" w:space="0"/>
              <w:bottom w:val="single" w:color="auto" w:sz="4" w:space="0"/>
              <w:right w:val="single" w:color="auto" w:sz="4" w:space="0"/>
            </w:tcBorders>
            <w:vAlign w:val="center"/>
          </w:tcPr>
          <w:p>
            <w:pPr>
              <w:snapToGrid w:val="0"/>
              <w:jc w:val="left"/>
              <w:rPr>
                <w:rFonts w:ascii="Times New Roman" w:hAnsi="Times New Roman" w:eastAsia="楷体_GB2312"/>
                <w:color w:val="000000" w:themeColor="text1"/>
                <w:sz w:val="28"/>
                <w:szCs w:val="28"/>
                <w:highlight w:val="none"/>
                <w14:textFill>
                  <w14:solidFill>
                    <w14:schemeClr w14:val="tx1"/>
                  </w14:solidFill>
                </w14:textFill>
              </w:rPr>
            </w:pPr>
            <w:r>
              <w:rPr>
                <w:rFonts w:hint="eastAsia" w:ascii="Times New Roman" w:hAnsi="Times New Roman" w:eastAsia="楷体_GB2312"/>
                <w:color w:val="000000" w:themeColor="text1"/>
                <w:sz w:val="28"/>
                <w:szCs w:val="28"/>
                <w:highlight w:val="none"/>
                <w14:textFill>
                  <w14:solidFill>
                    <w14:schemeClr w14:val="tx1"/>
                  </w14:solidFill>
                </w14:textFill>
              </w:rPr>
              <w:t>须提供投标人同类项目合同复印件、用户验收报告或使用意见。</w:t>
            </w:r>
          </w:p>
        </w:tc>
      </w:tr>
    </w:tbl>
    <w:p>
      <w:pPr>
        <w:rPr>
          <w:rFonts w:ascii="Times New Roman" w:hAnsi="Times New Roman" w:eastAsia="仿宋_GB2312"/>
          <w:color w:val="000000" w:themeColor="text1"/>
          <w:highlight w:val="none"/>
          <w14:textFill>
            <w14:solidFill>
              <w14:schemeClr w14:val="tx1"/>
            </w14:solidFill>
          </w14:textFill>
        </w:rPr>
      </w:pPr>
    </w:p>
    <w:p>
      <w:pPr>
        <w:rPr>
          <w:rFonts w:ascii="Times New Roman" w:hAnsi="Times New Roman" w:eastAsia="仿宋_GB2312"/>
          <w:color w:val="000000" w:themeColor="text1"/>
          <w:highlight w:val="none"/>
          <w14:textFill>
            <w14:solidFill>
              <w14:schemeClr w14:val="tx1"/>
            </w14:solidFill>
          </w14:textFill>
        </w:rPr>
      </w:pPr>
    </w:p>
    <w:p>
      <w:pPr>
        <w:snapToGrid w:val="0"/>
        <w:spacing w:before="120" w:beforeLines="50" w:line="480" w:lineRule="exact"/>
        <w:rPr>
          <w:rFonts w:ascii="Times New Roman" w:hAnsi="Times New Roman" w:eastAsia="仿宋_GB2312"/>
          <w:color w:val="000000" w:themeColor="text1"/>
          <w:sz w:val="30"/>
          <w:szCs w:val="30"/>
          <w:highlight w:val="none"/>
          <w:u w:val="non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 期：</w:t>
      </w:r>
      <w:r>
        <w:rPr>
          <w:rFonts w:hint="eastAsia"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lang w:val="en-US" w:eastAsia="zh-CN"/>
          <w14:textFill>
            <w14:solidFill>
              <w14:schemeClr w14:val="tx1"/>
            </w14:solidFill>
          </w14:textFill>
        </w:rPr>
        <w:t xml:space="preserve"> </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年</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 xml:space="preserve">月 </w:t>
      </w:r>
      <w:r>
        <w:rPr>
          <w:rFonts w:ascii="Times New Roman" w:hAnsi="Times New Roman" w:eastAsia="仿宋_GB2312"/>
          <w:color w:val="000000" w:themeColor="text1"/>
          <w:sz w:val="30"/>
          <w:szCs w:val="30"/>
          <w:highlight w:val="none"/>
          <w:u w:val="non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14:textFill>
            <w14:solidFill>
              <w14:schemeClr w14:val="tx1"/>
            </w14:solidFill>
          </w14:textFill>
        </w:rPr>
        <w:t>日</w:t>
      </w:r>
    </w:p>
    <w:p>
      <w:pPr>
        <w:snapToGrid w:val="0"/>
        <w:spacing w:before="120" w:beforeLines="50" w:line="480" w:lineRule="exact"/>
        <w:rPr>
          <w:rFonts w:ascii="Times New Roman" w:hAnsi="Times New Roman" w:eastAsia="仿宋_GB2312"/>
          <w:color w:val="000000" w:themeColor="text1"/>
          <w:sz w:val="30"/>
          <w:szCs w:val="30"/>
          <w:highlight w:val="none"/>
          <w:u w:val="singl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15</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商务响应表</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10"/>
        <w:snapToGrid w:val="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标项：</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p>
    <w:tbl>
      <w:tblPr>
        <w:tblStyle w:val="36"/>
        <w:tblW w:w="85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2591"/>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项目</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是否</w:t>
            </w:r>
          </w:p>
          <w:p>
            <w:pPr>
              <w:snapToGrid w:val="0"/>
              <w:spacing w:before="120" w:beforeLines="5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响应</w:t>
            </w: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Times New Roman" w:hAnsi="Times New Roman" w:eastAsia="楷体_GB2312"/>
                <w:b/>
                <w:color w:val="000000" w:themeColor="text1"/>
                <w:sz w:val="28"/>
                <w:szCs w:val="28"/>
                <w:highlight w:val="none"/>
                <w14:textFill>
                  <w14:solidFill>
                    <w14:schemeClr w14:val="tx1"/>
                  </w14:solidFill>
                </w14:textFill>
              </w:rPr>
            </w:pPr>
            <w:r>
              <w:rPr>
                <w:rFonts w:hint="eastAsia" w:ascii="Times New Roman" w:hAnsi="Times New Roman" w:eastAsia="楷体_GB2312"/>
                <w:b/>
                <w:color w:val="000000" w:themeColor="text1"/>
                <w:sz w:val="28"/>
                <w:szCs w:val="28"/>
                <w:highlight w:val="none"/>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default"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具体实施响应要求</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default"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培训要求</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备品备件及耗材等要求</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服务</w:t>
            </w:r>
            <w:r>
              <w:rPr>
                <w:rFonts w:hint="eastAsia" w:ascii="楷体_GB2312" w:hAnsi="仿宋" w:eastAsia="楷体_GB2312"/>
                <w:b/>
                <w:color w:val="000000" w:themeColor="text1"/>
                <w:sz w:val="28"/>
                <w:szCs w:val="28"/>
                <w:highlight w:val="none"/>
                <w:lang w:val="en-US" w:eastAsia="zh-CN"/>
                <w14:textFill>
                  <w14:solidFill>
                    <w14:schemeClr w14:val="tx1"/>
                  </w14:solidFill>
                </w14:textFill>
              </w:rPr>
              <w:t>期</w:t>
            </w:r>
            <w:r>
              <w:rPr>
                <w:rFonts w:hint="eastAsia" w:ascii="楷体_GB2312" w:hAnsi="仿宋" w:eastAsia="楷体_GB2312"/>
                <w:b/>
                <w:color w:val="000000" w:themeColor="text1"/>
                <w:sz w:val="28"/>
                <w:szCs w:val="28"/>
                <w:highlight w:val="none"/>
                <w14:textFill>
                  <w14:solidFill>
                    <w14:schemeClr w14:val="tx1"/>
                  </w14:solidFill>
                </w14:textFill>
              </w:rPr>
              <w:t>及地点</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项目验收</w:t>
            </w:r>
          </w:p>
        </w:tc>
        <w:tc>
          <w:tcPr>
            <w:tcW w:w="2591"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000000" w:themeColor="text1"/>
                <w:kern w:val="2"/>
                <w:sz w:val="21"/>
                <w:szCs w:val="22"/>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产权要求</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履约保证金</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r>
              <w:rPr>
                <w:rFonts w:hint="eastAsia" w:ascii="楷体_GB2312" w:hAnsi="仿宋" w:eastAsia="楷体_GB2312"/>
                <w:b/>
                <w:color w:val="000000" w:themeColor="text1"/>
                <w:sz w:val="28"/>
                <w:szCs w:val="28"/>
                <w:highlight w:val="none"/>
                <w14:textFill>
                  <w14:solidFill>
                    <w14:schemeClr w14:val="tx1"/>
                  </w14:solidFill>
                </w14:textFill>
              </w:rPr>
              <w:t>付款条件</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top"/>
          </w:tcPr>
          <w:p>
            <w:pPr>
              <w:snapToGrid w:val="0"/>
              <w:jc w:val="center"/>
              <w:rPr>
                <w:rFonts w:ascii="仿宋_GB2312" w:hAnsi="宋体" w:eastAsia="仿宋_GB2312"/>
                <w:color w:val="000000" w:themeColor="text1"/>
                <w:sz w:val="28"/>
                <w:szCs w:val="28"/>
                <w:highlight w:val="none"/>
                <w14:textFill>
                  <w14:solidFill>
                    <w14:schemeClr w14:val="tx1"/>
                  </w14:solidFill>
                </w14:textFill>
              </w:rPr>
            </w:pPr>
            <w:r>
              <w:rPr>
                <w:rFonts w:hint="eastAsia" w:ascii="仿宋" w:hAnsi="仿宋" w:eastAsia="仿宋"/>
                <w:color w:val="000000" w:themeColor="text1"/>
                <w:sz w:val="30"/>
                <w:szCs w:val="30"/>
                <w:highlight w:val="none"/>
                <w14:textFill>
                  <w14:solidFill>
                    <w14:schemeClr w14:val="tx1"/>
                  </w14:solidFill>
                </w14:textFill>
              </w:rPr>
              <w:t>……</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jc w:val="center"/>
              <w:rPr>
                <w:rFonts w:hint="eastAsia" w:ascii="楷体_GB2312" w:hAnsi="仿宋" w:eastAsia="楷体_GB2312" w:cs="Times New Roman"/>
                <w:b/>
                <w:color w:val="000000" w:themeColor="text1"/>
                <w:kern w:val="2"/>
                <w:sz w:val="28"/>
                <w:szCs w:val="28"/>
                <w:highlight w:val="none"/>
                <w:lang w:val="en-US" w:eastAsia="zh-CN" w:bidi="ar-SA"/>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c>
          <w:tcPr>
            <w:tcW w:w="302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_GB2312" w:hAnsi="Times New Roman" w:eastAsia="仿宋_GB2312"/>
                <w:color w:val="000000" w:themeColor="text1"/>
                <w:sz w:val="28"/>
                <w:szCs w:val="28"/>
                <w:highlight w:val="none"/>
                <w14:textFill>
                  <w14:solidFill>
                    <w14:schemeClr w14:val="tx1"/>
                  </w14:solidFill>
                </w14:textFill>
              </w:rPr>
            </w:pPr>
          </w:p>
        </w:tc>
      </w:tr>
    </w:tbl>
    <w:p>
      <w:pPr>
        <w:snapToGrid w:val="0"/>
        <w:spacing w:before="120" w:beforeLines="50" w:line="480" w:lineRule="exact"/>
        <w:rPr>
          <w:rFonts w:ascii="Times New Roman" w:hAnsi="Times New Roman" w:eastAsia="仿宋_GB2312"/>
          <w:color w:val="000000" w:themeColor="text1"/>
          <w:sz w:val="30"/>
          <w:szCs w:val="30"/>
          <w:highlight w:val="none"/>
          <w14:textFill>
            <w14:solidFill>
              <w14:schemeClr w14:val="tx1"/>
            </w14:solidFill>
          </w14:textFill>
        </w:rPr>
      </w:pPr>
    </w:p>
    <w:p>
      <w:pPr>
        <w:snapToGrid w:val="0"/>
        <w:spacing w:before="120" w:beforeLines="50" w:line="480" w:lineRule="exact"/>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签名：</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 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年</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月 </w:t>
      </w:r>
      <w:r>
        <w:rPr>
          <w:rFonts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日</w:t>
      </w:r>
    </w:p>
    <w:p>
      <w:pPr>
        <w:rPr>
          <w:rFonts w:ascii="Times New Roman" w:hAnsi="Times New Roman"/>
          <w:b/>
          <w:bCs/>
          <w:color w:val="000000" w:themeColor="text1"/>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16</w:t>
      </w:r>
    </w:p>
    <w:p>
      <w:pPr>
        <w:snapToGrid w:val="0"/>
        <w:spacing w:before="120" w:beforeLines="50" w:after="50"/>
        <w:jc w:val="right"/>
        <w:rPr>
          <w:rFonts w:ascii="Times New Roman" w:hAnsi="Times New Roman" w:eastAsia="仿宋_GB2312"/>
          <w:bCs/>
          <w:color w:val="000000" w:themeColor="text1"/>
          <w:sz w:val="30"/>
          <w:szCs w:val="30"/>
          <w:highlight w:val="none"/>
          <w14:textFill>
            <w14:solidFill>
              <w14:schemeClr w14:val="tx1"/>
            </w14:solidFill>
          </w14:textFill>
        </w:rPr>
      </w:pPr>
      <w:r>
        <w:rPr>
          <w:rFonts w:hint="eastAsia" w:ascii="Times New Roman" w:hAnsi="Times New Roman" w:eastAsia="仿宋_GB2312"/>
          <w:bCs/>
          <w:color w:val="000000" w:themeColor="text1"/>
          <w:sz w:val="30"/>
          <w:szCs w:val="30"/>
          <w:highlight w:val="none"/>
          <w14:textFill>
            <w14:solidFill>
              <w14:schemeClr w14:val="tx1"/>
            </w14:solidFill>
          </w14:textFill>
        </w:rPr>
        <w:t>正本或副本</w:t>
      </w:r>
    </w:p>
    <w:p>
      <w:pPr>
        <w:ind w:right="-110"/>
        <w:jc w:val="center"/>
        <w:rPr>
          <w:rFonts w:ascii="Times New Roman" w:hAnsi="Times New Roman" w:eastAsia="仿宋_GB2312"/>
          <w:color w:val="000000" w:themeColor="text1"/>
          <w:spacing w:val="40"/>
          <w:sz w:val="52"/>
          <w:szCs w:val="52"/>
          <w:highlight w:val="none"/>
          <w14:textFill>
            <w14:solidFill>
              <w14:schemeClr w14:val="tx1"/>
            </w14:solidFill>
          </w14:textFill>
        </w:rPr>
      </w:pPr>
    </w:p>
    <w:p>
      <w:pPr>
        <w:ind w:right="-110"/>
        <w:jc w:val="center"/>
        <w:rPr>
          <w:rFonts w:ascii="Times New Roman" w:hAnsi="Times New Roman" w:eastAsia="仿宋_GB2312"/>
          <w:color w:val="000000" w:themeColor="text1"/>
          <w:spacing w:val="40"/>
          <w:sz w:val="52"/>
          <w:szCs w:val="52"/>
          <w:highlight w:val="none"/>
          <w14:textFill>
            <w14:solidFill>
              <w14:schemeClr w14:val="tx1"/>
            </w14:solidFill>
          </w14:textFill>
        </w:rPr>
      </w:pPr>
      <w:r>
        <w:rPr>
          <w:rFonts w:hint="eastAsia" w:ascii="Times New Roman" w:hAnsi="Times New Roman" w:eastAsia="仿宋_GB2312"/>
          <w:color w:val="000000" w:themeColor="text1"/>
          <w:spacing w:val="40"/>
          <w:sz w:val="52"/>
          <w:szCs w:val="52"/>
          <w:highlight w:val="none"/>
          <w14:textFill>
            <w14:solidFill>
              <w14:schemeClr w14:val="tx1"/>
            </w14:solidFill>
          </w14:textFill>
        </w:rPr>
        <w:t>***项目名称</w:t>
      </w:r>
    </w:p>
    <w:p>
      <w:pPr>
        <w:spacing w:before="240" w:beforeLines="100" w:line="240" w:lineRule="atLeast"/>
        <w:ind w:right="-108"/>
        <w:jc w:val="center"/>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项目编号：</w:t>
      </w:r>
      <w:r>
        <w:rPr>
          <w:rFonts w:hint="eastAsia" w:ascii="Times New Roman" w:hAnsi="Times New Roman" w:eastAsia="仿宋_GB2312"/>
          <w:b/>
          <w:color w:val="000000" w:themeColor="text1"/>
          <w:sz w:val="36"/>
          <w:szCs w:val="36"/>
          <w:highlight w:val="none"/>
          <w:lang w:eastAsia="zh-CN"/>
          <w14:textFill>
            <w14:solidFill>
              <w14:schemeClr w14:val="tx1"/>
            </w14:solidFill>
          </w14:textFill>
        </w:rPr>
        <w:t>2024-XXHGC-8</w:t>
      </w:r>
      <w:r>
        <w:rPr>
          <w:rFonts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b/>
          <w:color w:val="000000" w:themeColor="text1"/>
          <w:sz w:val="36"/>
          <w:szCs w:val="36"/>
          <w:highlight w:val="none"/>
          <w14:textFill>
            <w14:solidFill>
              <w14:schemeClr w14:val="tx1"/>
            </w14:solidFill>
          </w14:textFill>
        </w:rPr>
        <w:t xml:space="preserve"> </w:t>
      </w:r>
      <w:r>
        <w:rPr>
          <w:rFonts w:hint="eastAsia" w:ascii="Times New Roman" w:hAnsi="Times New Roman" w:eastAsia="仿宋_GB2312"/>
          <w:color w:val="000000" w:themeColor="text1"/>
          <w:sz w:val="36"/>
          <w:szCs w:val="36"/>
          <w:highlight w:val="none"/>
          <w14:textFill>
            <w14:solidFill>
              <w14:schemeClr w14:val="tx1"/>
            </w14:solidFill>
          </w14:textFill>
        </w:rPr>
        <w:t>标项</w:t>
      </w:r>
    </w:p>
    <w:p>
      <w:pPr>
        <w:spacing w:before="240" w:beforeLines="100" w:line="240" w:lineRule="atLeast"/>
        <w:ind w:right="-108"/>
        <w:jc w:val="center"/>
        <w:rPr>
          <w:rFonts w:ascii="Times New Roman" w:hAnsi="Times New Roman" w:eastAsia="仿宋_GB2312"/>
          <w:b/>
          <w:color w:val="000000" w:themeColor="text1"/>
          <w:spacing w:val="40"/>
          <w:sz w:val="32"/>
          <w:szCs w:val="32"/>
          <w:highlight w:val="none"/>
          <w14:textFill>
            <w14:solidFill>
              <w14:schemeClr w14:val="tx1"/>
            </w14:solidFill>
          </w14:textFill>
        </w:rPr>
      </w:pPr>
    </w:p>
    <w:p>
      <w:pPr>
        <w:spacing w:after="100" w:afterAutospacing="1"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报</w:t>
      </w:r>
    </w:p>
    <w:p>
      <w:pPr>
        <w:spacing w:after="100" w:afterAutospacing="1"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价</w:t>
      </w:r>
    </w:p>
    <w:p>
      <w:pPr>
        <w:spacing w:after="100" w:afterAutospacing="1"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文</w:t>
      </w:r>
    </w:p>
    <w:p>
      <w:pPr>
        <w:spacing w:after="100" w:afterAutospacing="1" w:line="360" w:lineRule="auto"/>
        <w:ind w:right="-108"/>
        <w:jc w:val="center"/>
        <w:rPr>
          <w:rFonts w:ascii="Times New Roman" w:hAnsi="Times New Roman" w:eastAsia="仿宋_GB2312"/>
          <w:b/>
          <w:color w:val="000000" w:themeColor="text1"/>
          <w:spacing w:val="40"/>
          <w:sz w:val="84"/>
          <w:szCs w:val="84"/>
          <w:highlight w:val="none"/>
          <w14:textFill>
            <w14:solidFill>
              <w14:schemeClr w14:val="tx1"/>
            </w14:solidFill>
          </w14:textFill>
        </w:rPr>
      </w:pPr>
      <w:r>
        <w:rPr>
          <w:rFonts w:hint="eastAsia" w:ascii="Times New Roman" w:hAnsi="Times New Roman" w:eastAsia="仿宋_GB2312"/>
          <w:b/>
          <w:color w:val="000000" w:themeColor="text1"/>
          <w:spacing w:val="40"/>
          <w:sz w:val="84"/>
          <w:szCs w:val="84"/>
          <w:highlight w:val="none"/>
          <w14:textFill>
            <w14:solidFill>
              <w14:schemeClr w14:val="tx1"/>
            </w14:solidFill>
          </w14:textFill>
        </w:rPr>
        <w:t>件</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单位全称（公章）：</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地  址：</w:t>
      </w:r>
    </w:p>
    <w:p>
      <w:pPr>
        <w:spacing w:line="600" w:lineRule="exact"/>
        <w:ind w:right="-108" w:firstLine="720" w:firstLineChars="200"/>
        <w:rPr>
          <w:rFonts w:ascii="Times New Roman" w:hAnsi="Times New Roman" w:eastAsia="仿宋_GB2312"/>
          <w:color w:val="000000" w:themeColor="text1"/>
          <w:sz w:val="36"/>
          <w:szCs w:val="36"/>
          <w:highlight w:val="none"/>
          <w14:textFill>
            <w14:solidFill>
              <w14:schemeClr w14:val="tx1"/>
            </w14:solidFill>
          </w14:textFill>
        </w:rPr>
      </w:pPr>
      <w:r>
        <w:rPr>
          <w:rFonts w:hint="eastAsia" w:ascii="Times New Roman" w:hAnsi="Times New Roman" w:eastAsia="仿宋_GB2312"/>
          <w:color w:val="000000" w:themeColor="text1"/>
          <w:sz w:val="36"/>
          <w:szCs w:val="36"/>
          <w:highlight w:val="none"/>
          <w14:textFill>
            <w14:solidFill>
              <w14:schemeClr w14:val="tx1"/>
            </w14:solidFill>
          </w14:textFill>
        </w:rPr>
        <w:t>时  间：</w:t>
      </w:r>
    </w:p>
    <w:p>
      <w:pPr>
        <w:pStyle w:val="20"/>
        <w:pageBreakBefore/>
        <w:snapToGrid w:val="0"/>
        <w:ind w:left="0" w:leftChars="0" w:firstLine="720" w:firstLineChars="200"/>
        <w:jc w:val="left"/>
        <w:rPr>
          <w:rFonts w:eastAsia="仿宋_GB2312"/>
          <w:b/>
          <w:color w:val="000000" w:themeColor="text1"/>
          <w:sz w:val="36"/>
          <w:szCs w:val="36"/>
          <w:highlight w:val="none"/>
          <w14:textFill>
            <w14:solidFill>
              <w14:schemeClr w14:val="tx1"/>
            </w14:solidFill>
          </w14:textFill>
        </w:rPr>
      </w:pPr>
      <w:r>
        <w:rPr>
          <w:rFonts w:hint="eastAsia" w:eastAsia="仿宋_GB2312"/>
          <w:color w:val="000000" w:themeColor="text1"/>
          <w:sz w:val="36"/>
          <w:szCs w:val="36"/>
          <w:highlight w:val="none"/>
          <w14:textFill>
            <w14:solidFill>
              <w14:schemeClr w14:val="tx1"/>
            </w14:solidFill>
          </w14:textFill>
        </w:rPr>
        <w:t>3.</w:t>
      </w:r>
      <w:r>
        <w:rPr>
          <w:rFonts w:hint="eastAsia" w:eastAsia="仿宋_GB2312"/>
          <w:b/>
          <w:color w:val="000000" w:themeColor="text1"/>
          <w:sz w:val="36"/>
          <w:szCs w:val="36"/>
          <w:highlight w:val="none"/>
          <w14:textFill>
            <w14:solidFill>
              <w14:schemeClr w14:val="tx1"/>
            </w14:solidFill>
          </w14:textFill>
        </w:rPr>
        <w:t>报价文件目录</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（1）开标一览表（附件</w:t>
      </w:r>
      <w:r>
        <w:rPr>
          <w:rFonts w:ascii="Times New Roman" w:hAnsi="Times New Roman" w:eastAsia="仿宋_GB2312"/>
          <w:color w:val="000000" w:themeColor="text1"/>
          <w:sz w:val="30"/>
          <w:szCs w:val="30"/>
          <w:highlight w:val="none"/>
          <w14:textFill>
            <w14:solidFill>
              <w14:schemeClr w14:val="tx1"/>
            </w14:solidFill>
          </w14:textFill>
        </w:rPr>
        <w:t>14</w:t>
      </w:r>
      <w:r>
        <w:rPr>
          <w:rFonts w:hint="eastAsia" w:ascii="Times New Roman" w:hAnsi="Times New Roman" w:eastAsia="仿宋_GB2312"/>
          <w:color w:val="000000" w:themeColor="text1"/>
          <w:sz w:val="30"/>
          <w:szCs w:val="30"/>
          <w:highlight w:val="none"/>
          <w14:textFill>
            <w14:solidFill>
              <w14:schemeClr w14:val="tx1"/>
            </w14:solidFill>
          </w14:textFill>
        </w:rPr>
        <w:t>）；</w:t>
      </w:r>
    </w:p>
    <w:p>
      <w:pPr>
        <w:snapToGrid w:val="0"/>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（2）投标人认为需要的其他资料和说明（格式自拟）。</w:t>
      </w:r>
    </w:p>
    <w:p>
      <w:pPr>
        <w:spacing w:line="480" w:lineRule="exact"/>
        <w:ind w:firstLine="600" w:firstLineChars="200"/>
        <w:rPr>
          <w:rFonts w:ascii="Times New Roman" w:hAnsi="Times New Roman" w:eastAsia="仿宋_GB2312"/>
          <w:color w:val="000000" w:themeColor="text1"/>
          <w:sz w:val="30"/>
          <w:szCs w:val="30"/>
          <w:highlight w:val="none"/>
          <w14:textFill>
            <w14:solidFill>
              <w14:schemeClr w14:val="tx1"/>
            </w14:solidFill>
          </w14:textFill>
        </w:rPr>
      </w:pPr>
    </w:p>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17</w:t>
      </w:r>
    </w:p>
    <w:p>
      <w:pPr>
        <w:snapToGrid w:val="0"/>
        <w:spacing w:before="120" w:beforeLines="50" w:after="120" w:afterLines="50" w:line="44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开标一览表</w:t>
      </w:r>
    </w:p>
    <w:p>
      <w:pPr>
        <w:snapToGrid w:val="0"/>
        <w:spacing w:line="440" w:lineRule="exact"/>
        <w:jc w:val="center"/>
        <w:rPr>
          <w:rFonts w:ascii="Times New Roman" w:hAnsi="Times New Roman" w:eastAsia="仿宋_GB2312"/>
          <w:b/>
          <w:color w:val="000000" w:themeColor="text1"/>
          <w:sz w:val="36"/>
          <w:szCs w:val="36"/>
          <w:highlight w:val="none"/>
          <w14:textFill>
            <w14:solidFill>
              <w14:schemeClr w14:val="tx1"/>
            </w14:solidFill>
          </w14:textFill>
        </w:rPr>
      </w:pPr>
    </w:p>
    <w:p>
      <w:pPr>
        <w:pStyle w:val="20"/>
        <w:snapToGrid w:val="0"/>
        <w:spacing w:line="540" w:lineRule="exact"/>
        <w:ind w:left="0" w:leftChars="0" w:firstLine="0" w:firstLineChars="0"/>
        <w:jc w:val="left"/>
        <w:rPr>
          <w:rFonts w:eastAsia="仿宋_GB2312"/>
          <w:color w:val="000000" w:themeColor="text1"/>
          <w:sz w:val="30"/>
          <w:szCs w:val="30"/>
          <w:highlight w:val="none"/>
          <w:u w:val="singl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项目编号：</w:t>
      </w:r>
      <w:r>
        <w:rPr>
          <w:rFonts w:hint="eastAsia" w:eastAsia="仿宋_GB2312"/>
          <w:color w:val="000000" w:themeColor="text1"/>
          <w:sz w:val="30"/>
          <w:szCs w:val="30"/>
          <w:highlight w:val="none"/>
          <w:u w:val="single"/>
          <w:lang w:eastAsia="zh-CN"/>
          <w14:textFill>
            <w14:solidFill>
              <w14:schemeClr w14:val="tx1"/>
            </w14:solidFill>
          </w14:textFill>
        </w:rPr>
        <w:t>2024-XXHGC-8</w:t>
      </w:r>
      <w:r>
        <w:rPr>
          <w:rFonts w:hint="eastAsia" w:eastAsia="仿宋_GB2312"/>
          <w:color w:val="000000" w:themeColor="text1"/>
          <w:sz w:val="30"/>
          <w:szCs w:val="30"/>
          <w:highlight w:val="none"/>
          <w14:textFill>
            <w14:solidFill>
              <w14:schemeClr w14:val="tx1"/>
            </w14:solidFill>
          </w14:textFill>
        </w:rPr>
        <w:t xml:space="preserve">    </w:t>
      </w:r>
      <w:r>
        <w:rPr>
          <w:rFonts w:hint="eastAsia" w:eastAsia="仿宋_GB2312"/>
          <w:color w:val="000000" w:themeColor="text1"/>
          <w:sz w:val="30"/>
          <w:szCs w:val="30"/>
          <w:highlight w:val="none"/>
          <w:lang w:val="en-US" w:eastAsia="zh-CN"/>
          <w14:textFill>
            <w14:solidFill>
              <w14:schemeClr w14:val="tx1"/>
            </w14:solidFill>
          </w14:textFill>
        </w:rPr>
        <w:t xml:space="preserve">    </w:t>
      </w:r>
      <w:r>
        <w:rPr>
          <w:rFonts w:hint="eastAsia" w:eastAsia="仿宋_GB2312"/>
          <w:color w:val="000000" w:themeColor="text1"/>
          <w:sz w:val="30"/>
          <w:szCs w:val="30"/>
          <w:highlight w:val="none"/>
          <w14:textFill>
            <w14:solidFill>
              <w14:schemeClr w14:val="tx1"/>
            </w14:solidFill>
          </w14:textFill>
        </w:rPr>
        <w:t xml:space="preserve">   </w:t>
      </w:r>
      <w:r>
        <w:rPr>
          <w:rFonts w:hint="eastAsia" w:eastAsia="仿宋_GB2312"/>
          <w:color w:val="000000" w:themeColor="text1"/>
          <w:sz w:val="30"/>
          <w:szCs w:val="30"/>
          <w:highlight w:val="none"/>
          <w:lang w:val="en-US" w:eastAsia="zh-CN"/>
          <w14:textFill>
            <w14:solidFill>
              <w14:schemeClr w14:val="tx1"/>
            </w14:solidFill>
          </w14:textFill>
        </w:rPr>
        <w:t xml:space="preserve">         </w:t>
      </w:r>
      <w:r>
        <w:rPr>
          <w:rFonts w:hint="eastAsia" w:eastAsia="仿宋_GB2312"/>
          <w:color w:val="000000" w:themeColor="text1"/>
          <w:sz w:val="30"/>
          <w:szCs w:val="30"/>
          <w:highlight w:val="none"/>
          <w14:textFill>
            <w14:solidFill>
              <w14:schemeClr w14:val="tx1"/>
            </w14:solidFill>
          </w14:textFill>
        </w:rPr>
        <w:t xml:space="preserve">       标项：</w:t>
      </w:r>
      <w:r>
        <w:rPr>
          <w:rFonts w:hint="eastAsia" w:eastAsia="仿宋_GB2312"/>
          <w:color w:val="000000" w:themeColor="text1"/>
          <w:sz w:val="30"/>
          <w:szCs w:val="30"/>
          <w:highlight w:val="none"/>
          <w:u w:val="single"/>
          <w14:textFill>
            <w14:solidFill>
              <w14:schemeClr w14:val="tx1"/>
            </w14:solidFill>
          </w14:textFill>
        </w:rPr>
        <w:t xml:space="preserve">    </w:t>
      </w:r>
    </w:p>
    <w:p>
      <w:pPr>
        <w:snapToGrid w:val="0"/>
        <w:spacing w:line="540" w:lineRule="exact"/>
        <w:ind w:left="0" w:leftChars="0" w:firstLine="0" w:firstLineChars="0"/>
        <w:jc w:val="lef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单位全称（公章）：</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none"/>
          <w:lang w:val="en-US" w:eastAsia="zh-CN"/>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金额单位：人民币元</w:t>
      </w:r>
    </w:p>
    <w:tbl>
      <w:tblPr>
        <w:tblStyle w:val="36"/>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71"/>
        <w:gridCol w:w="1845"/>
        <w:gridCol w:w="957"/>
        <w:gridCol w:w="852"/>
        <w:gridCol w:w="891"/>
        <w:gridCol w:w="847"/>
        <w:gridCol w:w="709"/>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9558" w:type="dxa"/>
            <w:gridSpan w:val="9"/>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804" w:type="dxa"/>
            <w:gridSpan w:val="2"/>
            <w:vMerge w:val="restart"/>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服务内容</w:t>
            </w:r>
          </w:p>
        </w:tc>
        <w:tc>
          <w:tcPr>
            <w:tcW w:w="1845" w:type="dxa"/>
            <w:vMerge w:val="restart"/>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服务人员数量</w:t>
            </w:r>
          </w:p>
        </w:tc>
        <w:tc>
          <w:tcPr>
            <w:tcW w:w="957" w:type="dxa"/>
            <w:vMerge w:val="restart"/>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工作量</w:t>
            </w:r>
          </w:p>
        </w:tc>
        <w:tc>
          <w:tcPr>
            <w:tcW w:w="852" w:type="dxa"/>
            <w:vMerge w:val="restart"/>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单价</w:t>
            </w:r>
          </w:p>
        </w:tc>
        <w:tc>
          <w:tcPr>
            <w:tcW w:w="891" w:type="dxa"/>
            <w:vMerge w:val="restart"/>
            <w:vAlign w:val="center"/>
          </w:tcPr>
          <w:p>
            <w:pPr>
              <w:snapToGrid w:val="0"/>
              <w:spacing w:line="400" w:lineRule="exact"/>
              <w:jc w:val="center"/>
              <w:rPr>
                <w:rFonts w:hint="eastAsia" w:ascii="仿宋_GB2312" w:hAnsi="仿宋" w:eastAsia="仿宋_GB2312"/>
                <w:b/>
                <w:color w:val="000000" w:themeColor="text1"/>
                <w:sz w:val="24"/>
                <w:szCs w:val="24"/>
                <w:highlight w:val="none"/>
                <w:lang w:eastAsia="zh-CN"/>
                <w14:textFill>
                  <w14:solidFill>
                    <w14:schemeClr w14:val="tx1"/>
                  </w14:solidFill>
                </w14:textFill>
              </w:rPr>
            </w:pPr>
            <w:r>
              <w:rPr>
                <w:rFonts w:hint="eastAsia" w:ascii="仿宋_GB2312" w:hAnsi="仿宋" w:eastAsia="仿宋_GB2312"/>
                <w:b/>
                <w:color w:val="000000" w:themeColor="text1"/>
                <w:sz w:val="24"/>
                <w:szCs w:val="24"/>
                <w:highlight w:val="none"/>
                <w:lang w:val="en-US" w:eastAsia="zh-CN"/>
                <w14:textFill>
                  <w14:solidFill>
                    <w14:schemeClr w14:val="tx1"/>
                  </w14:solidFill>
                </w14:textFill>
              </w:rPr>
              <w:t>小计</w:t>
            </w:r>
          </w:p>
        </w:tc>
        <w:tc>
          <w:tcPr>
            <w:tcW w:w="3209" w:type="dxa"/>
            <w:gridSpan w:val="3"/>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承接服务的企业情况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04" w:type="dxa"/>
            <w:gridSpan w:val="2"/>
            <w:vMerge w:val="continue"/>
            <w:vAlign w:val="center"/>
          </w:tcPr>
          <w:p>
            <w:pPr>
              <w:widowControl/>
              <w:jc w:val="left"/>
              <w:rPr>
                <w:rFonts w:ascii="仿宋_GB2312" w:hAnsi="仿宋" w:eastAsia="仿宋_GB2312"/>
                <w:b/>
                <w:color w:val="000000" w:themeColor="text1"/>
                <w:sz w:val="24"/>
                <w:szCs w:val="24"/>
                <w:highlight w:val="none"/>
                <w14:textFill>
                  <w14:solidFill>
                    <w14:schemeClr w14:val="tx1"/>
                  </w14:solidFill>
                </w14:textFill>
              </w:rPr>
            </w:pPr>
          </w:p>
        </w:tc>
        <w:tc>
          <w:tcPr>
            <w:tcW w:w="1845" w:type="dxa"/>
            <w:vMerge w:val="continue"/>
            <w:vAlign w:val="center"/>
          </w:tcPr>
          <w:p>
            <w:pPr>
              <w:widowControl/>
              <w:jc w:val="left"/>
              <w:rPr>
                <w:rFonts w:ascii="仿宋_GB2312" w:hAnsi="仿宋" w:eastAsia="仿宋_GB2312"/>
                <w:b/>
                <w:color w:val="000000" w:themeColor="text1"/>
                <w:sz w:val="24"/>
                <w:szCs w:val="24"/>
                <w:highlight w:val="none"/>
                <w14:textFill>
                  <w14:solidFill>
                    <w14:schemeClr w14:val="tx1"/>
                  </w14:solidFill>
                </w14:textFill>
              </w:rPr>
            </w:pPr>
          </w:p>
        </w:tc>
        <w:tc>
          <w:tcPr>
            <w:tcW w:w="957" w:type="dxa"/>
            <w:vMerge w:val="continue"/>
            <w:vAlign w:val="center"/>
          </w:tcPr>
          <w:p>
            <w:pPr>
              <w:widowControl/>
              <w:jc w:val="left"/>
              <w:rPr>
                <w:rFonts w:ascii="仿宋_GB2312" w:hAnsi="仿宋" w:eastAsia="仿宋_GB2312"/>
                <w:b/>
                <w:color w:val="000000" w:themeColor="text1"/>
                <w:sz w:val="24"/>
                <w:szCs w:val="24"/>
                <w:highlight w:val="none"/>
                <w14:textFill>
                  <w14:solidFill>
                    <w14:schemeClr w14:val="tx1"/>
                  </w14:solidFill>
                </w14:textFill>
              </w:rPr>
            </w:pPr>
          </w:p>
        </w:tc>
        <w:tc>
          <w:tcPr>
            <w:tcW w:w="852" w:type="dxa"/>
            <w:vMerge w:val="continue"/>
            <w:vAlign w:val="center"/>
          </w:tcPr>
          <w:p>
            <w:pPr>
              <w:widowControl/>
              <w:jc w:val="left"/>
              <w:rPr>
                <w:rFonts w:ascii="仿宋_GB2312" w:hAnsi="仿宋" w:eastAsia="仿宋_GB2312"/>
                <w:b/>
                <w:color w:val="000000" w:themeColor="text1"/>
                <w:sz w:val="24"/>
                <w:szCs w:val="24"/>
                <w:highlight w:val="none"/>
                <w14:textFill>
                  <w14:solidFill>
                    <w14:schemeClr w14:val="tx1"/>
                  </w14:solidFill>
                </w14:textFill>
              </w:rPr>
            </w:pPr>
          </w:p>
        </w:tc>
        <w:tc>
          <w:tcPr>
            <w:tcW w:w="891" w:type="dxa"/>
            <w:vMerge w:val="continue"/>
            <w:vAlign w:val="center"/>
          </w:tcPr>
          <w:p>
            <w:pPr>
              <w:widowControl/>
              <w:jc w:val="left"/>
              <w:rPr>
                <w:rFonts w:ascii="仿宋_GB2312" w:hAnsi="仿宋" w:eastAsia="仿宋_GB2312"/>
                <w:b/>
                <w:color w:val="000000" w:themeColor="text1"/>
                <w:sz w:val="24"/>
                <w:szCs w:val="24"/>
                <w:highlight w:val="none"/>
                <w14:textFill>
                  <w14:solidFill>
                    <w14:schemeClr w14:val="tx1"/>
                  </w14:solidFill>
                </w14:textFill>
              </w:rPr>
            </w:pPr>
          </w:p>
        </w:tc>
        <w:tc>
          <w:tcPr>
            <w:tcW w:w="847" w:type="dxa"/>
            <w:vAlign w:val="center"/>
          </w:tcPr>
          <w:p>
            <w:pPr>
              <w:snapToGrid w:val="0"/>
              <w:spacing w:line="400" w:lineRule="exact"/>
              <w:jc w:val="center"/>
              <w:rPr>
                <w:rFonts w:ascii="仿宋_GB2312" w:hAnsi="仿宋" w:eastAsia="仿宋_GB2312"/>
                <w:b/>
                <w:color w:val="000000" w:themeColor="text1"/>
                <w:szCs w:val="21"/>
                <w:highlight w:val="none"/>
                <w14:textFill>
                  <w14:solidFill>
                    <w14:schemeClr w14:val="tx1"/>
                  </w14:solidFill>
                </w14:textFill>
              </w:rPr>
            </w:pPr>
            <w:r>
              <w:rPr>
                <w:rFonts w:hint="eastAsia" w:ascii="仿宋_GB2312" w:hAnsi="仿宋" w:eastAsia="仿宋_GB2312"/>
                <w:b/>
                <w:color w:val="000000" w:themeColor="text1"/>
                <w:szCs w:val="21"/>
                <w:highlight w:val="none"/>
                <w14:textFill>
                  <w14:solidFill>
                    <w14:schemeClr w14:val="tx1"/>
                  </w14:solidFill>
                </w14:textFill>
              </w:rPr>
              <w:t>是否中小企业承接</w:t>
            </w:r>
          </w:p>
        </w:tc>
        <w:tc>
          <w:tcPr>
            <w:tcW w:w="709" w:type="dxa"/>
            <w:vAlign w:val="center"/>
          </w:tcPr>
          <w:p>
            <w:pPr>
              <w:snapToGrid w:val="0"/>
              <w:spacing w:line="400" w:lineRule="exact"/>
              <w:jc w:val="center"/>
              <w:rPr>
                <w:rFonts w:ascii="仿宋_GB2312" w:hAnsi="仿宋" w:eastAsia="仿宋_GB2312"/>
                <w:b/>
                <w:color w:val="000000" w:themeColor="text1"/>
                <w:szCs w:val="21"/>
                <w:highlight w:val="none"/>
                <w14:textFill>
                  <w14:solidFill>
                    <w14:schemeClr w14:val="tx1"/>
                  </w14:solidFill>
                </w14:textFill>
              </w:rPr>
            </w:pPr>
            <w:r>
              <w:rPr>
                <w:rFonts w:hint="eastAsia" w:ascii="仿宋_GB2312" w:hAnsi="仿宋" w:eastAsia="仿宋_GB2312"/>
                <w:b/>
                <w:color w:val="000000" w:themeColor="text1"/>
                <w:szCs w:val="21"/>
                <w:highlight w:val="none"/>
                <w14:textFill>
                  <w14:solidFill>
                    <w14:schemeClr w14:val="tx1"/>
                  </w14:solidFill>
                </w14:textFill>
              </w:rPr>
              <w:t>企业全称</w:t>
            </w:r>
          </w:p>
        </w:tc>
        <w:tc>
          <w:tcPr>
            <w:tcW w:w="1653" w:type="dxa"/>
            <w:vAlign w:val="center"/>
          </w:tcPr>
          <w:p>
            <w:pPr>
              <w:snapToGrid w:val="0"/>
              <w:spacing w:line="400" w:lineRule="exact"/>
              <w:jc w:val="center"/>
              <w:rPr>
                <w:rFonts w:ascii="仿宋_GB2312" w:hAnsi="仿宋" w:eastAsia="仿宋_GB2312"/>
                <w:b/>
                <w:color w:val="000000" w:themeColor="text1"/>
                <w:szCs w:val="21"/>
                <w:highlight w:val="none"/>
                <w14:textFill>
                  <w14:solidFill>
                    <w14:schemeClr w14:val="tx1"/>
                  </w14:solidFill>
                </w14:textFill>
              </w:rPr>
            </w:pPr>
            <w:r>
              <w:rPr>
                <w:rFonts w:hint="eastAsia" w:ascii="仿宋_GB2312" w:hAnsi="仿宋" w:eastAsia="仿宋_GB2312"/>
                <w:b/>
                <w:color w:val="000000" w:themeColor="text1"/>
                <w:szCs w:val="21"/>
                <w:highlight w:val="none"/>
                <w14:textFill>
                  <w14:solidFill>
                    <w14:schemeClr w14:val="tx1"/>
                  </w14:solidFill>
                </w14:textFill>
              </w:rPr>
              <w:t>服务人员是否依照《中华人民共和国劳动合同法》订立劳动合同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804" w:type="dxa"/>
            <w:gridSpan w:val="2"/>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w:t>
            </w:r>
          </w:p>
        </w:tc>
        <w:tc>
          <w:tcPr>
            <w:tcW w:w="1845"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95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52"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91"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4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709"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1653"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804" w:type="dxa"/>
            <w:gridSpan w:val="2"/>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1845"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95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52"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91"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4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709"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1653"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804" w:type="dxa"/>
            <w:gridSpan w:val="2"/>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1845"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95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52"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91"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847"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709"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c>
          <w:tcPr>
            <w:tcW w:w="1653" w:type="dxa"/>
            <w:vAlign w:val="center"/>
          </w:tcPr>
          <w:p>
            <w:pPr>
              <w:snapToGrid w:val="0"/>
              <w:spacing w:line="400" w:lineRule="exact"/>
              <w:jc w:val="center"/>
              <w:rPr>
                <w:rFonts w:ascii="仿宋_GB2312" w:hAnsi="仿宋" w:eastAsia="仿宋_GB2312"/>
                <w:b/>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558" w:type="dxa"/>
            <w:gridSpan w:val="9"/>
            <w:vAlign w:val="center"/>
          </w:tcPr>
          <w:p>
            <w:pPr>
              <w:snapToGrid w:val="0"/>
              <w:spacing w:line="400" w:lineRule="exact"/>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投标总价合计金额大写：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558" w:type="dxa"/>
            <w:gridSpan w:val="9"/>
            <w:vAlign w:val="center"/>
          </w:tcPr>
          <w:p>
            <w:pPr>
              <w:snapToGrid w:val="0"/>
              <w:spacing w:line="400" w:lineRule="exact"/>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lang w:val="en-US" w:eastAsia="zh-CN"/>
                <w14:textFill>
                  <w14:solidFill>
                    <w14:schemeClr w14:val="tx1"/>
                  </w14:solidFill>
                </w14:textFill>
              </w:rPr>
              <w:t>项目完成</w:t>
            </w:r>
            <w:r>
              <w:rPr>
                <w:rFonts w:hint="eastAsia" w:ascii="仿宋_GB2312" w:hAnsi="仿宋" w:eastAsia="仿宋_GB2312"/>
                <w:b/>
                <w:color w:val="000000" w:themeColor="text1"/>
                <w:sz w:val="24"/>
                <w:szCs w:val="24"/>
                <w:highlight w:val="none"/>
                <w14:textFill>
                  <w14:solidFill>
                    <w14:schemeClr w14:val="tx1"/>
                  </w14:solidFill>
                </w14:textFill>
              </w:rPr>
              <w:t xml:space="preserve">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558" w:type="dxa"/>
            <w:gridSpan w:val="9"/>
            <w:vAlign w:val="center"/>
          </w:tcPr>
          <w:p>
            <w:pPr>
              <w:snapToGrid w:val="0"/>
              <w:spacing w:line="400" w:lineRule="exact"/>
              <w:rPr>
                <w:rFonts w:hint="default" w:ascii="仿宋_GB2312" w:hAnsi="仿宋" w:eastAsia="仿宋_GB2312"/>
                <w:b/>
                <w:color w:val="000000" w:themeColor="text1"/>
                <w:sz w:val="24"/>
                <w:szCs w:val="24"/>
                <w:highlight w:val="none"/>
                <w:lang w:val="en-US" w:eastAsia="zh-CN"/>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项目负责人：</w:t>
            </w:r>
            <w:r>
              <w:rPr>
                <w:rFonts w:hint="eastAsia" w:ascii="仿宋_GB2312" w:hAnsi="仿宋" w:eastAsia="仿宋_GB2312"/>
                <w:b/>
                <w:color w:val="000000" w:themeColor="text1"/>
                <w:sz w:val="24"/>
                <w:szCs w:val="24"/>
                <w:highlight w:val="non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533" w:type="dxa"/>
            <w:vAlign w:val="center"/>
          </w:tcPr>
          <w:p>
            <w:pPr>
              <w:snapToGrid w:val="0"/>
              <w:rPr>
                <w:rFonts w:ascii="仿宋_GB2312" w:hAnsi="仿宋" w:eastAsia="仿宋_GB2312"/>
                <w:color w:val="000000" w:themeColor="text1"/>
                <w:sz w:val="24"/>
                <w:szCs w:val="24"/>
                <w:highlight w:val="none"/>
                <w14:textFill>
                  <w14:solidFill>
                    <w14:schemeClr w14:val="tx1"/>
                  </w14:solidFill>
                </w14:textFill>
              </w:rPr>
            </w:pPr>
            <w:r>
              <w:rPr>
                <w:rFonts w:hint="eastAsia" w:ascii="仿宋_GB2312" w:hAnsi="仿宋" w:eastAsia="仿宋_GB2312"/>
                <w:color w:val="000000" w:themeColor="text1"/>
                <w:sz w:val="24"/>
                <w:szCs w:val="24"/>
                <w:highlight w:val="none"/>
                <w14:textFill>
                  <w14:solidFill>
                    <w14:schemeClr w14:val="tx1"/>
                  </w14:solidFill>
                </w14:textFill>
              </w:rPr>
              <w:t>备注</w:t>
            </w:r>
          </w:p>
        </w:tc>
        <w:tc>
          <w:tcPr>
            <w:tcW w:w="9025" w:type="dxa"/>
            <w:gridSpan w:val="8"/>
            <w:vAlign w:val="center"/>
          </w:tcPr>
          <w:p>
            <w:pPr>
              <w:snapToGrid w:val="0"/>
              <w:jc w:val="left"/>
              <w:rPr>
                <w:rFonts w:ascii="仿宋_GB2312" w:hAnsi="仿宋" w:eastAsia="仿宋_GB2312"/>
                <w:color w:val="000000" w:themeColor="text1"/>
                <w:sz w:val="24"/>
                <w:szCs w:val="24"/>
                <w:highlight w:val="none"/>
                <w14:textFill>
                  <w14:solidFill>
                    <w14:schemeClr w14:val="tx1"/>
                  </w14:solidFill>
                </w14:textFill>
              </w:rPr>
            </w:pPr>
            <w:r>
              <w:rPr>
                <w:rFonts w:hint="eastAsia" w:ascii="仿宋_GB2312" w:hAnsi="仿宋" w:eastAsia="仿宋_GB2312"/>
                <w:color w:val="000000" w:themeColor="text1"/>
                <w:sz w:val="24"/>
                <w:szCs w:val="24"/>
                <w:highlight w:val="none"/>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_GB2312" w:hAnsi="仿宋" w:eastAsia="仿宋_GB2312"/>
                <w:color w:val="000000" w:themeColor="text1"/>
                <w:sz w:val="24"/>
                <w:szCs w:val="24"/>
                <w:highlight w:val="none"/>
                <w14:textFill>
                  <w14:solidFill>
                    <w14:schemeClr w14:val="tx1"/>
                  </w14:solidFill>
                </w14:textFill>
              </w:rPr>
            </w:pPr>
            <w:r>
              <w:rPr>
                <w:rFonts w:hint="eastAsia" w:ascii="仿宋_GB2312" w:hAnsi="仿宋" w:eastAsia="仿宋_GB2312"/>
                <w:color w:val="000000" w:themeColor="text1"/>
                <w:sz w:val="24"/>
                <w:szCs w:val="24"/>
                <w:highlight w:val="none"/>
                <w14:textFill>
                  <w14:solidFill>
                    <w14:schemeClr w14:val="tx1"/>
                  </w14:solidFill>
                </w14:textFill>
              </w:rPr>
              <w:t>2.报价要求：投标报价应包含项目所需全部产品和服务，不得缺漏，是履行合同的最终价格，包括项目实施所需的工程费、工时费、服务费、运输费、安装调试费、税费及其他一切费用。</w:t>
            </w:r>
          </w:p>
          <w:p>
            <w:pPr>
              <w:snapToGrid w:val="0"/>
              <w:rPr>
                <w:rFonts w:ascii="仿宋_GB2312" w:hAnsi="仿宋" w:eastAsia="仿宋_GB2312"/>
                <w:color w:val="000000" w:themeColor="text1"/>
                <w:sz w:val="24"/>
                <w:szCs w:val="24"/>
                <w:highlight w:val="none"/>
                <w14:textFill>
                  <w14:solidFill>
                    <w14:schemeClr w14:val="tx1"/>
                  </w14:solidFill>
                </w14:textFill>
              </w:rPr>
            </w:pPr>
            <w:r>
              <w:rPr>
                <w:rFonts w:hint="eastAsia" w:ascii="仿宋_GB2312" w:hAnsi="仿宋" w:eastAsia="仿宋_GB2312"/>
                <w:color w:val="000000" w:themeColor="text1"/>
                <w:sz w:val="24"/>
                <w:szCs w:val="24"/>
                <w:highlight w:val="none"/>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_GB2312" w:hAnsi="仿宋" w:eastAsia="仿宋_GB2312"/>
                <w:bCs/>
                <w:color w:val="000000" w:themeColor="text1"/>
                <w:sz w:val="24"/>
                <w:szCs w:val="24"/>
                <w:highlight w:val="none"/>
                <w14:textFill>
                  <w14:solidFill>
                    <w14:schemeClr w14:val="tx1"/>
                  </w14:solidFill>
                </w14:textFill>
              </w:rPr>
            </w:pPr>
            <w:r>
              <w:rPr>
                <w:rFonts w:hint="eastAsia" w:ascii="仿宋_GB2312" w:hAnsi="仿宋" w:eastAsia="仿宋_GB2312"/>
                <w:bCs/>
                <w:color w:val="000000" w:themeColor="text1"/>
                <w:sz w:val="24"/>
                <w:highlight w:val="none"/>
                <w14:textFill>
                  <w14:solidFill>
                    <w14:schemeClr w14:val="tx1"/>
                  </w14:solidFill>
                </w14:textFill>
              </w:rPr>
              <w:t>4</w:t>
            </w:r>
            <w:r>
              <w:rPr>
                <w:rFonts w:hint="eastAsia" w:ascii="仿宋_GB2312" w:hAnsi="仿宋" w:eastAsia="仿宋_GB2312"/>
                <w:bCs/>
                <w:color w:val="000000" w:themeColor="text1"/>
                <w:sz w:val="24"/>
                <w:szCs w:val="24"/>
                <w:highlight w:val="none"/>
                <w14:textFill>
                  <w14:solidFill>
                    <w14:schemeClr w14:val="tx1"/>
                  </w14:solidFill>
                </w14:textFill>
              </w:rPr>
              <w:t>.须提供交货、安装时间及供货期/服务项目负责人。</w:t>
            </w:r>
          </w:p>
          <w:p>
            <w:pPr>
              <w:snapToGrid w:val="0"/>
              <w:rPr>
                <w:rFonts w:ascii="仿宋_GB2312" w:hAnsi="仿宋" w:eastAsia="仿宋_GB2312"/>
                <w:b/>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5</w:t>
            </w:r>
            <w:r>
              <w:rPr>
                <w:rFonts w:ascii="仿宋_GB2312" w:hAnsi="仿宋" w:eastAsia="仿宋_GB2312"/>
                <w:b/>
                <w:color w:val="000000" w:themeColor="text1"/>
                <w:sz w:val="24"/>
                <w:szCs w:val="24"/>
                <w:highlight w:val="none"/>
                <w14:textFill>
                  <w14:solidFill>
                    <w14:schemeClr w14:val="tx1"/>
                  </w14:solidFill>
                </w14:textFill>
              </w:rPr>
              <w:t>.</w:t>
            </w:r>
            <w:r>
              <w:rPr>
                <w:rFonts w:hint="eastAsia" w:ascii="仿宋_GB2312" w:hAnsi="仿宋" w:eastAsia="仿宋_GB2312"/>
                <w:b/>
                <w:color w:val="000000" w:themeColor="text1"/>
                <w:sz w:val="24"/>
                <w:szCs w:val="24"/>
                <w:highlight w:val="none"/>
                <w14:textFill>
                  <w14:solidFill>
                    <w14:schemeClr w14:val="tx1"/>
                  </w14:solidFill>
                </w14:textFill>
              </w:rPr>
              <w:t>开标时，招标方在电子交易平台公开投标人的报价信息，投标人对报价信息进行确认。投标人对报价信息不予确认的不影响后续评标过程。</w:t>
            </w:r>
          </w:p>
          <w:p>
            <w:pPr>
              <w:snapToGrid w:val="0"/>
              <w:rPr>
                <w:rFonts w:ascii="仿宋_GB2312" w:hAnsi="仿宋" w:eastAsia="仿宋_GB2312"/>
                <w:color w:val="000000" w:themeColor="text1"/>
                <w:sz w:val="24"/>
                <w:szCs w:val="24"/>
                <w:highlight w:val="none"/>
                <w14:textFill>
                  <w14:solidFill>
                    <w14:schemeClr w14:val="tx1"/>
                  </w14:solidFill>
                </w14:textFill>
              </w:rPr>
            </w:pPr>
            <w:r>
              <w:rPr>
                <w:rFonts w:hint="eastAsia" w:ascii="仿宋_GB2312" w:hAnsi="仿宋" w:eastAsia="仿宋_GB2312"/>
                <w:b/>
                <w:color w:val="000000" w:themeColor="text1"/>
                <w:sz w:val="24"/>
                <w:szCs w:val="24"/>
                <w:highlight w:val="none"/>
                <w14:textFill>
                  <w14:solidFill>
                    <w14:schemeClr w14:val="tx1"/>
                  </w14:solidFill>
                </w14:textFill>
              </w:rPr>
              <w:t>6</w:t>
            </w:r>
            <w:r>
              <w:rPr>
                <w:rFonts w:ascii="仿宋_GB2312" w:hAnsi="仿宋" w:eastAsia="仿宋_GB2312"/>
                <w:b/>
                <w:color w:val="000000" w:themeColor="text1"/>
                <w:sz w:val="24"/>
                <w:szCs w:val="24"/>
                <w:highlight w:val="none"/>
                <w14:textFill>
                  <w14:solidFill>
                    <w14:schemeClr w14:val="tx1"/>
                  </w14:solidFill>
                </w14:textFill>
              </w:rPr>
              <w:t>.</w:t>
            </w:r>
            <w:r>
              <w:rPr>
                <w:rFonts w:hint="eastAsia" w:ascii="仿宋_GB2312" w:hAnsi="仿宋" w:eastAsia="仿宋_GB2312"/>
                <w:b/>
                <w:color w:val="000000" w:themeColor="text1"/>
                <w:sz w:val="24"/>
                <w:szCs w:val="24"/>
                <w:highlight w:val="none"/>
                <w14:textFill>
                  <w14:solidFill>
                    <w14:schemeClr w14:val="tx1"/>
                  </w14:solidFill>
                </w14:textFill>
              </w:rPr>
              <w:t>报价低于项目预算50%的，应当在报价文件中详细阐述不影响产品质量或者诚信履约的具体原因。</w:t>
            </w:r>
          </w:p>
        </w:tc>
      </w:tr>
    </w:tbl>
    <w:p>
      <w:pPr>
        <w:keepNext w:val="0"/>
        <w:keepLines w:val="0"/>
        <w:widowControl w:val="0"/>
        <w:suppressLineNumbers w:val="0"/>
        <w:snapToGrid w:val="0"/>
        <w:spacing w:before="0" w:beforeAutospacing="0" w:after="0" w:afterAutospacing="0"/>
        <w:ind w:left="0" w:right="0"/>
        <w:jc w:val="both"/>
        <w:rPr>
          <w:rFonts w:hint="eastAsia" w:ascii="仿宋" w:hAnsi="仿宋" w:eastAsia="仿宋" w:cs="仿宋"/>
          <w:b/>
          <w:color w:val="000000" w:themeColor="text1"/>
          <w:kern w:val="2"/>
          <w:sz w:val="24"/>
          <w:szCs w:val="24"/>
          <w:highlight w:val="none"/>
          <w:u w:val="single"/>
          <w:lang w:val="en-US" w:eastAsia="zh-CN" w:bidi="ar"/>
          <w14:textFill>
            <w14:solidFill>
              <w14:schemeClr w14:val="tx1"/>
            </w14:solidFill>
          </w14:textFill>
        </w:rPr>
      </w:pPr>
    </w:p>
    <w:p>
      <w:pPr>
        <w:pStyle w:val="10"/>
        <w:snapToGrid w:val="0"/>
        <w:spacing w:before="240"/>
        <w:ind w:firstLine="600" w:firstLineChars="200"/>
        <w:rPr>
          <w:rFonts w:hint="eastAsia" w:ascii="Times New Roman" w:hAnsi="Times New Roman" w:eastAsia="仿宋_GB2312"/>
          <w:color w:val="000000" w:themeColor="text1"/>
          <w:sz w:val="30"/>
          <w:szCs w:val="30"/>
          <w:highlight w:val="none"/>
          <w14:textFill>
            <w14:solidFill>
              <w14:schemeClr w14:val="tx1"/>
            </w14:solidFill>
          </w14:textFill>
        </w:rPr>
      </w:pPr>
    </w:p>
    <w:p>
      <w:pPr>
        <w:pStyle w:val="10"/>
        <w:snapToGrid w:val="0"/>
        <w:spacing w:before="240"/>
        <w:ind w:firstLine="600" w:firstLineChars="200"/>
        <w:rPr>
          <w:rFonts w:ascii="Times New Roman" w:hAnsi="Times New Roman" w:eastAsia="仿宋_GB2312"/>
          <w:color w:val="000000" w:themeColor="text1"/>
          <w:sz w:val="30"/>
          <w:szCs w:val="30"/>
          <w:highlight w:val="none"/>
          <w:u w:val="single"/>
          <w14:textFill>
            <w14:solidFill>
              <w14:schemeClr w14:val="tx1"/>
            </w14:solidFill>
          </w14:textFill>
        </w:rPr>
      </w:pPr>
      <w:r>
        <w:rPr>
          <w:rFonts w:hint="eastAsia" w:ascii="Times New Roman" w:hAnsi="Times New Roman" w:eastAsia="仿宋_GB2312"/>
          <w:color w:val="000000" w:themeColor="text1"/>
          <w:sz w:val="30"/>
          <w:szCs w:val="30"/>
          <w:highlight w:val="none"/>
          <w:lang w:eastAsia="zh-CN"/>
          <w14:textFill>
            <w14:solidFill>
              <w14:schemeClr w14:val="tx1"/>
            </w14:solidFill>
          </w14:textFill>
        </w:rPr>
        <w:t>授权代表</w:t>
      </w:r>
      <w:r>
        <w:rPr>
          <w:rFonts w:hint="eastAsia" w:ascii="Times New Roman" w:hAnsi="Times New Roman" w:eastAsia="仿宋_GB2312"/>
          <w:color w:val="000000" w:themeColor="text1"/>
          <w:sz w:val="30"/>
          <w:szCs w:val="30"/>
          <w:highlight w:val="none"/>
          <w14:textFill>
            <w14:solidFill>
              <w14:schemeClr w14:val="tx1"/>
            </w14:solidFill>
          </w14:textFill>
        </w:rPr>
        <w:t>签字：</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14:textFill>
            <w14:solidFill>
              <w14:schemeClr w14:val="tx1"/>
            </w14:solidFill>
          </w14:textFill>
        </w:rPr>
        <w:t xml:space="preserve">       日期：</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lang w:val="en-US" w:eastAsia="zh-CN"/>
          <w14:textFill>
            <w14:solidFill>
              <w14:schemeClr w14:val="tx1"/>
            </w14:solidFill>
          </w14:textFill>
        </w:rPr>
        <w:t xml:space="preserve"> </w:t>
      </w:r>
      <w:r>
        <w:rPr>
          <w:rFonts w:hint="eastAsia" w:ascii="Times New Roman" w:hAnsi="Times New Roman" w:eastAsia="仿宋_GB2312"/>
          <w:color w:val="000000" w:themeColor="text1"/>
          <w:sz w:val="30"/>
          <w:szCs w:val="30"/>
          <w:highlight w:val="none"/>
          <w:u w:val="single"/>
          <w14:textFill>
            <w14:solidFill>
              <w14:schemeClr w14:val="tx1"/>
            </w14:solidFill>
          </w14:textFill>
        </w:rPr>
        <w:t xml:space="preserve"> 年  月   日</w:t>
      </w:r>
    </w:p>
    <w:bookmarkEnd w:id="55"/>
    <w:p>
      <w:pPr>
        <w:pStyle w:val="4"/>
        <w:pageBreakBefore/>
        <w:spacing w:before="0" w:after="0" w:line="480" w:lineRule="exact"/>
        <w:rPr>
          <w:rFonts w:ascii="Times New Roman" w:hAnsi="Times New Roman" w:eastAsia="仿宋_GB2312"/>
          <w:color w:val="000000" w:themeColor="text1"/>
          <w:sz w:val="30"/>
          <w:szCs w:val="30"/>
          <w:highlight w:val="none"/>
          <w14:textFill>
            <w14:solidFill>
              <w14:schemeClr w14:val="tx1"/>
            </w14:solidFill>
          </w14:textFill>
        </w:rPr>
      </w:pPr>
      <w:r>
        <w:rPr>
          <w:rFonts w:hint="eastAsia" w:ascii="Times New Roman" w:hAnsi="Times New Roman" w:eastAsia="仿宋_GB2312"/>
          <w:color w:val="000000" w:themeColor="text1"/>
          <w:sz w:val="30"/>
          <w:szCs w:val="30"/>
          <w:highlight w:val="none"/>
          <w14:textFill>
            <w14:solidFill>
              <w14:schemeClr w14:val="tx1"/>
            </w14:solidFill>
          </w14:textFill>
        </w:rPr>
        <w:t>附件</w:t>
      </w:r>
      <w:r>
        <w:rPr>
          <w:rFonts w:ascii="Times New Roman" w:hAnsi="Times New Roman" w:eastAsia="仿宋_GB2312"/>
          <w:color w:val="000000" w:themeColor="text1"/>
          <w:sz w:val="30"/>
          <w:szCs w:val="30"/>
          <w:highlight w:val="none"/>
          <w14:textFill>
            <w14:solidFill>
              <w14:schemeClr w14:val="tx1"/>
            </w14:solidFill>
          </w14:textFill>
        </w:rPr>
        <w:t>18</w:t>
      </w:r>
    </w:p>
    <w:p>
      <w:pPr>
        <w:snapToGrid w:val="0"/>
        <w:spacing w:before="120" w:beforeLines="50" w:after="120" w:afterLines="50" w:line="360" w:lineRule="exact"/>
        <w:jc w:val="center"/>
        <w:rPr>
          <w:rFonts w:ascii="仿宋_GB2312" w:hAnsi="Times New Roman" w:eastAsia="仿宋_GB2312"/>
          <w:bCs/>
          <w:color w:val="000000" w:themeColor="text1"/>
          <w:sz w:val="32"/>
          <w:szCs w:val="32"/>
          <w:highlight w:val="none"/>
          <w14:textFill>
            <w14:solidFill>
              <w14:schemeClr w14:val="tx1"/>
            </w14:solidFill>
          </w14:textFill>
        </w:rPr>
      </w:pPr>
      <w:r>
        <w:rPr>
          <w:rFonts w:hint="eastAsia" w:ascii="仿宋_GB2312" w:hAnsi="Times New Roman" w:eastAsia="仿宋_GB2312"/>
          <w:bCs/>
          <w:color w:val="000000" w:themeColor="text1"/>
          <w:sz w:val="32"/>
          <w:szCs w:val="32"/>
          <w:highlight w:val="none"/>
          <w14:textFill>
            <w14:solidFill>
              <w14:schemeClr w14:val="tx1"/>
            </w14:solidFill>
          </w14:textFill>
        </w:rPr>
        <w:t>政府采购活动现场确认声明书</w:t>
      </w:r>
    </w:p>
    <w:p>
      <w:pPr>
        <w:spacing w:line="360" w:lineRule="exact"/>
        <w:rPr>
          <w:rFonts w:ascii="仿宋_GB2312" w:hAnsi="宋体" w:eastAsia="仿宋_GB2312" w:cs="宋体"/>
          <w:color w:val="000000" w:themeColor="text1"/>
          <w:sz w:val="28"/>
          <w:szCs w:val="28"/>
          <w:highlight w:val="none"/>
          <w14:textFill>
            <w14:solidFill>
              <w14:schemeClr w14:val="tx1"/>
            </w14:solidFill>
          </w14:textFill>
        </w:rPr>
      </w:pPr>
    </w:p>
    <w:p>
      <w:pPr>
        <w:spacing w:line="360" w:lineRule="exact"/>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浙江省教育技术中心：</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本人经由</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（单位）</w:t>
      </w:r>
      <w:r>
        <w:rPr>
          <w:rFonts w:hint="eastAsia" w:ascii="仿宋_GB2312" w:hAnsi="宋体" w:eastAsia="仿宋_GB2312" w:cs="宋体"/>
          <w:color w:val="000000" w:themeColor="text1"/>
          <w:sz w:val="28"/>
          <w:szCs w:val="28"/>
          <w:highlight w:val="none"/>
          <w14:textFill>
            <w14:solidFill>
              <w14:schemeClr w14:val="tx1"/>
            </w14:solidFill>
          </w14:textFill>
        </w:rPr>
        <w:t>负责人（法人代表）</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u w:val="single"/>
          <w14:textFill>
            <w14:solidFill>
              <w14:schemeClr w14:val="tx1"/>
            </w14:solidFill>
          </w14:textFill>
        </w:rPr>
        <w:t>（姓名）</w:t>
      </w:r>
      <w:r>
        <w:rPr>
          <w:rFonts w:hint="eastAsia" w:ascii="仿宋_GB2312" w:hAnsi="宋体" w:eastAsia="仿宋_GB2312" w:cs="宋体"/>
          <w:color w:val="000000" w:themeColor="text1"/>
          <w:sz w:val="28"/>
          <w:szCs w:val="28"/>
          <w:highlight w:val="none"/>
          <w14:textFill>
            <w14:solidFill>
              <w14:schemeClr w14:val="tx1"/>
            </w14:solidFill>
          </w14:textFill>
        </w:rPr>
        <w:t>合法授权参加</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 xml:space="preserve"> </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***项目</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（项目编号：</w:t>
      </w:r>
      <w:r>
        <w:rPr>
          <w:rFonts w:hint="eastAsia" w:ascii="Times New Roman" w:hAnsi="Times New Roman" w:eastAsia="仿宋_GB2312"/>
          <w:b/>
          <w:bCs/>
          <w:color w:val="000000" w:themeColor="text1"/>
          <w:sz w:val="30"/>
          <w:szCs w:val="30"/>
          <w:highlight w:val="none"/>
          <w:u w:val="single"/>
          <w:lang w:eastAsia="zh-CN"/>
          <w14:textFill>
            <w14:solidFill>
              <w14:schemeClr w14:val="tx1"/>
            </w14:solidFill>
          </w14:textFill>
        </w:rPr>
        <w:t>2024-XXHGC-8</w:t>
      </w:r>
      <w:r>
        <w:rPr>
          <w:rFonts w:hint="eastAsia" w:ascii="Times New Roman" w:hAnsi="Times New Roman" w:eastAsia="仿宋_GB2312"/>
          <w:b/>
          <w:bCs/>
          <w:color w:val="000000" w:themeColor="text1"/>
          <w:sz w:val="30"/>
          <w:szCs w:val="30"/>
          <w:highlight w:val="none"/>
          <w:u w:val="single"/>
          <w14:textFill>
            <w14:solidFill>
              <w14:schemeClr w14:val="tx1"/>
            </w14:solidFill>
          </w14:textFill>
        </w:rPr>
        <w:t>）</w:t>
      </w:r>
      <w:r>
        <w:rPr>
          <w:rFonts w:hint="eastAsia" w:ascii="仿宋_GB2312" w:hAnsi="宋体" w:eastAsia="仿宋_GB2312" w:cs="宋体"/>
          <w:color w:val="000000" w:themeColor="text1"/>
          <w:sz w:val="28"/>
          <w:szCs w:val="28"/>
          <w:highlight w:val="none"/>
          <w14:textFill>
            <w14:solidFill>
              <w14:schemeClr w14:val="tx1"/>
            </w14:solidFill>
          </w14:textFill>
        </w:rPr>
        <w:t>采购活动，经与本单位法人代表（负责人）联系确认，现就有关公平竞争事项郑重声明如下：</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一、本单位与采购人之间：</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□不存在利害关系；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□存在下列利害关系：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A.投资关系    B.行政隶属关系    C.业务指导关系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D.其他可能影响采购公正的利害关系（如有，请如实说明）</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二、现已清楚知道参加本项目采购活动的其他所有投标人名称，本单位：</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□与其他所有投标人之间均不存在利害关系；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□与</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（投标人名称）之间存在下列利害关系：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A.法定代表人或负责人或实际控制人是同一人</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B.法定代表人或负责人或实际控制人是夫妻关系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C.法定代表人或负责人或实际控制人是直系血亲关系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D.法定代表人或负责人或实际控制人存在三代以内旁系血亲关系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E.法定代表人或负责人或实际控制人存在近姻亲关系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F.法定代表人或负责人或实际控制人存在股份控制或实际控制关系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G.存在共同直接或间接投资设立子公司、联营企业和合营企业情况</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H.存在分级代理或代销关系、同一生产制造商关系、管理关系、重要业务（占主营业务收入50%以上）或重要财务往来关系（如融资）等其他实质性控制关系</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I.其他利害关系情况</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三、现已清楚知道并严格遵守政府采购法律法规和现场纪律。</w:t>
      </w: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四、我发现投标人</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之间存在或可能存在上述第二条第</w:t>
      </w:r>
      <w:r>
        <w:rPr>
          <w:rFonts w:hint="eastAsia"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项利害关系。</w:t>
      </w:r>
    </w:p>
    <w:p>
      <w:pPr>
        <w:spacing w:line="360" w:lineRule="exact"/>
        <w:ind w:firstLine="560" w:firstLineChars="200"/>
        <w:rPr>
          <w:rFonts w:ascii="仿宋_GB2312" w:hAnsi="宋体" w:eastAsia="仿宋_GB2312" w:cs="宋体"/>
          <w:color w:val="000000" w:themeColor="text1"/>
          <w:sz w:val="28"/>
          <w:szCs w:val="28"/>
          <w:highlight w:val="none"/>
          <w:u w:val="single"/>
          <w14:textFill>
            <w14:solidFill>
              <w14:schemeClr w14:val="tx1"/>
            </w14:solidFill>
          </w14:textFill>
        </w:rPr>
      </w:pPr>
    </w:p>
    <w:p>
      <w:pPr>
        <w:spacing w:line="360" w:lineRule="exact"/>
        <w:ind w:firstLine="560" w:firstLineChars="200"/>
        <w:rPr>
          <w:rFonts w:ascii="仿宋_GB2312" w:hAnsi="宋体" w:eastAsia="仿宋_GB2312" w:cs="宋体"/>
          <w:color w:val="000000" w:themeColor="text1"/>
          <w:sz w:val="28"/>
          <w:szCs w:val="28"/>
          <w:highlight w:val="none"/>
          <w14:textFill>
            <w14:solidFill>
              <w14:schemeClr w14:val="tx1"/>
            </w14:solidFill>
          </w14:textFill>
        </w:rPr>
      </w:pPr>
      <w:r>
        <w:rPr>
          <w:rFonts w:hint="eastAsia" w:ascii="仿宋_GB2312" w:hAnsi="宋体" w:eastAsia="仿宋_GB2312" w:cs="宋体"/>
          <w:color w:val="000000" w:themeColor="text1"/>
          <w:sz w:val="28"/>
          <w:szCs w:val="28"/>
          <w:highlight w:val="non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lang w:eastAsia="zh-CN"/>
          <w14:textFill>
            <w14:solidFill>
              <w14:schemeClr w14:val="tx1"/>
            </w14:solidFill>
          </w14:textFill>
        </w:rPr>
        <w:t>授权代表</w:t>
      </w:r>
      <w:r>
        <w:rPr>
          <w:rFonts w:hint="eastAsia" w:ascii="仿宋_GB2312" w:hAnsi="宋体" w:eastAsia="仿宋_GB2312" w:cs="宋体"/>
          <w:color w:val="000000" w:themeColor="text1"/>
          <w:sz w:val="28"/>
          <w:szCs w:val="28"/>
          <w:highlight w:val="none"/>
          <w14:textFill>
            <w14:solidFill>
              <w14:schemeClr w14:val="tx1"/>
            </w14:solidFill>
          </w14:textFill>
        </w:rPr>
        <w:t>（签名）：</w:t>
      </w:r>
    </w:p>
    <w:p>
      <w:pPr>
        <w:spacing w:line="360" w:lineRule="exact"/>
        <w:ind w:firstLine="5040" w:firstLineChars="1800"/>
        <w:rPr>
          <w:rFonts w:ascii="仿宋_GB2312" w:hAnsi="宋体" w:eastAsia="仿宋_GB2312" w:cs="宋体"/>
          <w:color w:val="000000" w:themeColor="text1"/>
          <w:sz w:val="28"/>
          <w:szCs w:val="28"/>
          <w:highlight w:val="none"/>
          <w14:textFill>
            <w14:solidFill>
              <w14:schemeClr w14:val="tx1"/>
            </w14:solidFill>
          </w14:textFill>
        </w:rPr>
      </w:pP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u w:val="single"/>
          <w:lang w:val="en-US" w:eastAsia="zh-CN"/>
          <w14:textFill>
            <w14:solidFill>
              <w14:schemeClr w14:val="tx1"/>
            </w14:solidFill>
          </w14:textFill>
        </w:rPr>
        <w:t xml:space="preserve"> </w:t>
      </w: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年</w:t>
      </w: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月</w:t>
      </w:r>
      <w:r>
        <w:rPr>
          <w:rFonts w:ascii="仿宋_GB2312" w:hAnsi="宋体" w:eastAsia="仿宋_GB2312" w:cs="宋体"/>
          <w:color w:val="000000" w:themeColor="text1"/>
          <w:sz w:val="28"/>
          <w:szCs w:val="28"/>
          <w:highlight w:val="none"/>
          <w:u w:val="single"/>
          <w14:textFill>
            <w14:solidFill>
              <w14:schemeClr w14:val="tx1"/>
            </w14:solidFill>
          </w14:textFill>
        </w:rPr>
        <w:t xml:space="preserve">   </w:t>
      </w:r>
      <w:r>
        <w:rPr>
          <w:rFonts w:hint="eastAsia" w:ascii="仿宋_GB2312" w:hAnsi="宋体" w:eastAsia="仿宋_GB2312" w:cs="宋体"/>
          <w:color w:val="000000" w:themeColor="text1"/>
          <w:sz w:val="28"/>
          <w:szCs w:val="28"/>
          <w:highlight w:val="none"/>
          <w14:textFill>
            <w14:solidFill>
              <w14:schemeClr w14:val="tx1"/>
            </w14:solidFill>
          </w14:textFill>
        </w:rPr>
        <w:t>日</w:t>
      </w:r>
    </w:p>
    <w:p>
      <w:pPr>
        <w:rPr>
          <w:color w:val="000000" w:themeColor="text1"/>
          <w:highlight w:val="none"/>
          <w14:textFill>
            <w14:solidFill>
              <w14:schemeClr w14:val="tx1"/>
            </w14:solidFill>
          </w14:textFill>
        </w:rPr>
      </w:pPr>
    </w:p>
    <w:p>
      <w:pPr>
        <w:spacing w:line="360" w:lineRule="exact"/>
        <w:ind w:firstLine="562" w:firstLineChars="200"/>
        <w:rPr>
          <w:color w:val="000000" w:themeColor="text1"/>
          <w:highlight w:val="none"/>
          <w14:textFill>
            <w14:solidFill>
              <w14:schemeClr w14:val="tx1"/>
            </w14:solidFill>
          </w14:textFill>
        </w:rPr>
      </w:pPr>
      <w:r>
        <w:rPr>
          <w:rFonts w:hint="eastAsia" w:ascii="仿宋_GB2312" w:hAnsi="宋体" w:eastAsia="仿宋_GB2312" w:cs="宋体"/>
          <w:b/>
          <w:bCs/>
          <w:color w:val="000000" w:themeColor="text1"/>
          <w:sz w:val="28"/>
          <w:szCs w:val="28"/>
          <w:highlight w:val="none"/>
          <w14:textFill>
            <w14:solidFill>
              <w14:schemeClr w14:val="tx1"/>
            </w14:solidFill>
          </w14:textFill>
        </w:rPr>
        <w:t>备注：投标人须在投标文件解密后，通过电子邮件形式，向邮箱地址（</w:t>
      </w:r>
      <w:r>
        <w:rPr>
          <w:rFonts w:ascii="仿宋_GB2312" w:hAnsi="宋体" w:eastAsia="仿宋_GB2312" w:cs="宋体"/>
          <w:b/>
          <w:bCs/>
          <w:color w:val="000000" w:themeColor="text1"/>
          <w:sz w:val="28"/>
          <w:szCs w:val="28"/>
          <w:highlight w:val="none"/>
          <w14:textFill>
            <w14:solidFill>
              <w14:schemeClr w14:val="tx1"/>
            </w14:solidFill>
          </w14:textFill>
        </w:rPr>
        <w:t>529131452@qq.com</w:t>
      </w:r>
      <w:r>
        <w:rPr>
          <w:rFonts w:hint="eastAsia" w:ascii="仿宋_GB2312" w:hAnsi="宋体" w:eastAsia="仿宋_GB2312" w:cs="宋体"/>
          <w:b/>
          <w:bCs/>
          <w:color w:val="000000" w:themeColor="text1"/>
          <w:sz w:val="28"/>
          <w:szCs w:val="28"/>
          <w:highlight w:val="none"/>
          <w14:textFill>
            <w14:solidFill>
              <w14:schemeClr w14:val="tx1"/>
            </w14:solidFill>
          </w14:textFill>
        </w:rPr>
        <w:t>）发送《政府采购活动现场确认声明书》（上表，签字盖章扫描件）。</w:t>
      </w:r>
    </w:p>
    <w:sectPr>
      <w:headerReference r:id="rId5" w:type="default"/>
      <w:footerReference r:id="rId6" w:type="default"/>
      <w:footerReference r:id="rId7" w:type="even"/>
      <w:pgSz w:w="11906" w:h="16838"/>
      <w:pgMar w:top="1247" w:right="1247" w:bottom="1247" w:left="124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492801-1358-4536-846E-1764FF904BA7}"/>
  </w:font>
  <w:font w:name="黑体">
    <w:panose1 w:val="02010609060101010101"/>
    <w:charset w:val="86"/>
    <w:family w:val="auto"/>
    <w:pitch w:val="default"/>
    <w:sig w:usb0="800002BF" w:usb1="38CF7CFA" w:usb2="00000016" w:usb3="00000000" w:csb0="00040001" w:csb1="00000000"/>
    <w:embedRegular r:id="rId2" w:fontKey="{92904BDD-E98F-4699-BFC9-09A1C53F81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91B8A14-8234-4872-BE48-3CAEAB13DFA3}"/>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4" w:fontKey="{723861AA-3D7B-4F7B-9BF9-6F17EB2B4332}"/>
  </w:font>
  <w:font w:name="仿宋_GB2312">
    <w:panose1 w:val="02010609030101010101"/>
    <w:charset w:val="86"/>
    <w:family w:val="modern"/>
    <w:pitch w:val="default"/>
    <w:sig w:usb0="00000001" w:usb1="080E0000" w:usb2="00000000" w:usb3="00000000" w:csb0="00040000" w:csb1="00000000"/>
    <w:embedRegular r:id="rId5" w:fontKey="{E72843DA-F904-4D91-A30F-EADC4EE6CFF8}"/>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6" w:fontKey="{96B6731B-0139-4437-860E-B683494F9A5D}"/>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7" w:fontKey="{FF504B2D-AEB8-4AB4-B519-7FBE77685BDE}"/>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方正仿宋_GB2312">
    <w:altName w:val="仿宋"/>
    <w:panose1 w:val="02000000000000000000"/>
    <w:charset w:val="86"/>
    <w:family w:val="auto"/>
    <w:pitch w:val="default"/>
    <w:sig w:usb0="00000000" w:usb1="00000000" w:usb2="00000012" w:usb3="00000000" w:csb0="00040001" w:csb1="00000000"/>
    <w:embedRegular r:id="rId8" w:fontKey="{D53642F0-1D44-452B-BBB4-DB0CD7249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t>-</w:t>
    </w:r>
    <w:sdt>
      <w:sdtPr>
        <w:id w:val="3"/>
      </w:sdtPr>
      <w:sdtContent>
        <w:r>
          <w:fldChar w:fldCharType="begin"/>
        </w:r>
        <w:r>
          <w:instrText xml:space="preserve">PAGE   \* MERGEFORMAT</w:instrText>
        </w:r>
        <w:r>
          <w:fldChar w:fldCharType="separate"/>
        </w:r>
        <w:r>
          <w:rPr>
            <w:lang w:val="zh-CN"/>
          </w:rPr>
          <w:t>2</w:t>
        </w:r>
        <w:r>
          <w:fldChar w:fldCharType="end"/>
        </w:r>
      </w:sdtContent>
    </w:sdt>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t>-</w:t>
    </w:r>
    <w:sdt>
      <w:sdtPr>
        <w:id w:val="4"/>
      </w:sdtPr>
      <w:sdtContent>
        <w:r>
          <w:fldChar w:fldCharType="begin"/>
        </w:r>
        <w:r>
          <w:instrText xml:space="preserve">PAGE   \* MERGEFORMAT</w:instrText>
        </w:r>
        <w:r>
          <w:fldChar w:fldCharType="separate"/>
        </w:r>
        <w:r>
          <w:rPr>
            <w:lang w:val="zh-CN"/>
          </w:rPr>
          <w:t>2</w:t>
        </w:r>
        <w:r>
          <w:fldChar w:fldCharType="end"/>
        </w:r>
      </w:sdtContent>
    </w:sdt>
    <w: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C7E07"/>
    <w:multiLevelType w:val="singleLevel"/>
    <w:tmpl w:val="92DC7E07"/>
    <w:lvl w:ilvl="0" w:tentative="0">
      <w:start w:val="1"/>
      <w:numFmt w:val="decimal"/>
      <w:suff w:val="nothing"/>
      <w:lvlText w:val="%1）"/>
      <w:lvlJc w:val="left"/>
    </w:lvl>
  </w:abstractNum>
  <w:abstractNum w:abstractNumId="1">
    <w:nsid w:val="9DDEFA58"/>
    <w:multiLevelType w:val="singleLevel"/>
    <w:tmpl w:val="9DDEFA58"/>
    <w:lvl w:ilvl="0" w:tentative="0">
      <w:start w:val="3"/>
      <w:numFmt w:val="chineseCounting"/>
      <w:suff w:val="nothing"/>
      <w:lvlText w:val="（%1）"/>
      <w:lvlJc w:val="left"/>
      <w:rPr>
        <w:rFonts w:hint="eastAsia"/>
      </w:rPr>
    </w:lvl>
  </w:abstractNum>
  <w:abstractNum w:abstractNumId="2">
    <w:nsid w:val="A966EA5C"/>
    <w:multiLevelType w:val="singleLevel"/>
    <w:tmpl w:val="A966EA5C"/>
    <w:lvl w:ilvl="0" w:tentative="0">
      <w:start w:val="1"/>
      <w:numFmt w:val="chineseCounting"/>
      <w:suff w:val="nothing"/>
      <w:lvlText w:val="（%1）"/>
      <w:lvlJc w:val="left"/>
      <w:rPr>
        <w:rFonts w:hint="eastAsia"/>
      </w:rPr>
    </w:lvl>
  </w:abstractNum>
  <w:abstractNum w:abstractNumId="3">
    <w:nsid w:val="00000005"/>
    <w:multiLevelType w:val="singleLevel"/>
    <w:tmpl w:val="00000005"/>
    <w:lvl w:ilvl="0" w:tentative="0">
      <w:start w:val="1"/>
      <w:numFmt w:val="decimal"/>
      <w:pStyle w:val="16"/>
      <w:lvlText w:val="%1."/>
      <w:lvlJc w:val="left"/>
      <w:pPr>
        <w:tabs>
          <w:tab w:val="left" w:pos="1200"/>
        </w:tabs>
        <w:ind w:left="1200" w:hanging="360"/>
      </w:pPr>
    </w:lvl>
  </w:abstractNum>
  <w:abstractNum w:abstractNumId="4">
    <w:nsid w:val="2AFA31AA"/>
    <w:multiLevelType w:val="singleLevel"/>
    <w:tmpl w:val="2AFA31AA"/>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revisionView w:markup="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yMzkzOWZkYzVjMWZkNjcxZTFiMjI0ZWFkZTRkYWIifQ=="/>
    <w:docVar w:name="KSO_WPS_MARK_KEY" w:val="63791383-b0cd-4a29-aaf4-084879fa23bf"/>
  </w:docVars>
  <w:rsids>
    <w:rsidRoot w:val="00172A27"/>
    <w:rsid w:val="000001B6"/>
    <w:rsid w:val="0000074F"/>
    <w:rsid w:val="000007D5"/>
    <w:rsid w:val="00001CA9"/>
    <w:rsid w:val="000023FE"/>
    <w:rsid w:val="00003542"/>
    <w:rsid w:val="00003E23"/>
    <w:rsid w:val="0000518B"/>
    <w:rsid w:val="00006650"/>
    <w:rsid w:val="000067DB"/>
    <w:rsid w:val="00006DD9"/>
    <w:rsid w:val="000071C7"/>
    <w:rsid w:val="000076EE"/>
    <w:rsid w:val="000079B0"/>
    <w:rsid w:val="00007F3E"/>
    <w:rsid w:val="00011041"/>
    <w:rsid w:val="000134D8"/>
    <w:rsid w:val="000164A1"/>
    <w:rsid w:val="00016567"/>
    <w:rsid w:val="0001700F"/>
    <w:rsid w:val="00017E06"/>
    <w:rsid w:val="00020C8C"/>
    <w:rsid w:val="000222E9"/>
    <w:rsid w:val="000223A5"/>
    <w:rsid w:val="00022577"/>
    <w:rsid w:val="0002284D"/>
    <w:rsid w:val="00022C8F"/>
    <w:rsid w:val="0002504B"/>
    <w:rsid w:val="00025088"/>
    <w:rsid w:val="000254D2"/>
    <w:rsid w:val="000254F2"/>
    <w:rsid w:val="0002644C"/>
    <w:rsid w:val="0002729D"/>
    <w:rsid w:val="00027552"/>
    <w:rsid w:val="000279C2"/>
    <w:rsid w:val="00027D20"/>
    <w:rsid w:val="00027EE3"/>
    <w:rsid w:val="000307C9"/>
    <w:rsid w:val="00030921"/>
    <w:rsid w:val="00031DC6"/>
    <w:rsid w:val="000322A9"/>
    <w:rsid w:val="0003334E"/>
    <w:rsid w:val="00033FC1"/>
    <w:rsid w:val="000340FF"/>
    <w:rsid w:val="00035535"/>
    <w:rsid w:val="00036B90"/>
    <w:rsid w:val="00036CA4"/>
    <w:rsid w:val="0003739F"/>
    <w:rsid w:val="000403B9"/>
    <w:rsid w:val="000406FE"/>
    <w:rsid w:val="00040CE6"/>
    <w:rsid w:val="00040D3B"/>
    <w:rsid w:val="00042154"/>
    <w:rsid w:val="00042591"/>
    <w:rsid w:val="00042BDA"/>
    <w:rsid w:val="000435A1"/>
    <w:rsid w:val="000436B1"/>
    <w:rsid w:val="000441AD"/>
    <w:rsid w:val="00044752"/>
    <w:rsid w:val="000447EA"/>
    <w:rsid w:val="00044B6D"/>
    <w:rsid w:val="0004543C"/>
    <w:rsid w:val="00045491"/>
    <w:rsid w:val="00045D4E"/>
    <w:rsid w:val="00045DAD"/>
    <w:rsid w:val="00046316"/>
    <w:rsid w:val="00046CE7"/>
    <w:rsid w:val="000474F1"/>
    <w:rsid w:val="00047658"/>
    <w:rsid w:val="00050EC7"/>
    <w:rsid w:val="00051623"/>
    <w:rsid w:val="00051859"/>
    <w:rsid w:val="00052D61"/>
    <w:rsid w:val="00053338"/>
    <w:rsid w:val="00054078"/>
    <w:rsid w:val="000545A7"/>
    <w:rsid w:val="00054DB0"/>
    <w:rsid w:val="00055951"/>
    <w:rsid w:val="00055A71"/>
    <w:rsid w:val="0005642E"/>
    <w:rsid w:val="000575C0"/>
    <w:rsid w:val="00061191"/>
    <w:rsid w:val="000617FD"/>
    <w:rsid w:val="00061A3A"/>
    <w:rsid w:val="00063982"/>
    <w:rsid w:val="00063EF3"/>
    <w:rsid w:val="000643D1"/>
    <w:rsid w:val="000646E8"/>
    <w:rsid w:val="000670B8"/>
    <w:rsid w:val="00067477"/>
    <w:rsid w:val="00067AF1"/>
    <w:rsid w:val="00067DEE"/>
    <w:rsid w:val="000701AD"/>
    <w:rsid w:val="000701C0"/>
    <w:rsid w:val="0007042D"/>
    <w:rsid w:val="00070A77"/>
    <w:rsid w:val="00070C75"/>
    <w:rsid w:val="000718D3"/>
    <w:rsid w:val="0007368F"/>
    <w:rsid w:val="00074DB7"/>
    <w:rsid w:val="00075EEF"/>
    <w:rsid w:val="00076993"/>
    <w:rsid w:val="00076A46"/>
    <w:rsid w:val="00076ACA"/>
    <w:rsid w:val="00077508"/>
    <w:rsid w:val="00081ADD"/>
    <w:rsid w:val="00082673"/>
    <w:rsid w:val="000836CB"/>
    <w:rsid w:val="00083B54"/>
    <w:rsid w:val="00083FE0"/>
    <w:rsid w:val="00084370"/>
    <w:rsid w:val="000843C7"/>
    <w:rsid w:val="0008473B"/>
    <w:rsid w:val="000847C7"/>
    <w:rsid w:val="00084ED7"/>
    <w:rsid w:val="00084FA4"/>
    <w:rsid w:val="0008504D"/>
    <w:rsid w:val="0008515C"/>
    <w:rsid w:val="00085E5F"/>
    <w:rsid w:val="0008660D"/>
    <w:rsid w:val="000870D5"/>
    <w:rsid w:val="000877C5"/>
    <w:rsid w:val="00087A2C"/>
    <w:rsid w:val="00090251"/>
    <w:rsid w:val="00090454"/>
    <w:rsid w:val="00090EE9"/>
    <w:rsid w:val="00092A45"/>
    <w:rsid w:val="00093419"/>
    <w:rsid w:val="00093692"/>
    <w:rsid w:val="00093A79"/>
    <w:rsid w:val="0009420D"/>
    <w:rsid w:val="000942B7"/>
    <w:rsid w:val="00094C29"/>
    <w:rsid w:val="00095F91"/>
    <w:rsid w:val="0009603D"/>
    <w:rsid w:val="00096940"/>
    <w:rsid w:val="00096A78"/>
    <w:rsid w:val="00096ACE"/>
    <w:rsid w:val="000975A6"/>
    <w:rsid w:val="00097A03"/>
    <w:rsid w:val="00097DD1"/>
    <w:rsid w:val="000A097A"/>
    <w:rsid w:val="000A18F9"/>
    <w:rsid w:val="000A1A74"/>
    <w:rsid w:val="000A1B2B"/>
    <w:rsid w:val="000A34BC"/>
    <w:rsid w:val="000A3557"/>
    <w:rsid w:val="000A3828"/>
    <w:rsid w:val="000A5FA4"/>
    <w:rsid w:val="000A6ACD"/>
    <w:rsid w:val="000A6B9E"/>
    <w:rsid w:val="000A7279"/>
    <w:rsid w:val="000B0337"/>
    <w:rsid w:val="000B0390"/>
    <w:rsid w:val="000B0750"/>
    <w:rsid w:val="000B1043"/>
    <w:rsid w:val="000B1D8B"/>
    <w:rsid w:val="000B2751"/>
    <w:rsid w:val="000B27DB"/>
    <w:rsid w:val="000B2E07"/>
    <w:rsid w:val="000B30F8"/>
    <w:rsid w:val="000B31A1"/>
    <w:rsid w:val="000B31B0"/>
    <w:rsid w:val="000B3705"/>
    <w:rsid w:val="000B3892"/>
    <w:rsid w:val="000B4DE7"/>
    <w:rsid w:val="000B53B9"/>
    <w:rsid w:val="000B5992"/>
    <w:rsid w:val="000B62A7"/>
    <w:rsid w:val="000B7A7A"/>
    <w:rsid w:val="000B7D77"/>
    <w:rsid w:val="000C00B3"/>
    <w:rsid w:val="000C0611"/>
    <w:rsid w:val="000C1657"/>
    <w:rsid w:val="000C1ADA"/>
    <w:rsid w:val="000C1C0C"/>
    <w:rsid w:val="000C2579"/>
    <w:rsid w:val="000C25BB"/>
    <w:rsid w:val="000C39C6"/>
    <w:rsid w:val="000C3EA7"/>
    <w:rsid w:val="000C4BCA"/>
    <w:rsid w:val="000C4CF1"/>
    <w:rsid w:val="000C72B5"/>
    <w:rsid w:val="000C7C62"/>
    <w:rsid w:val="000D1201"/>
    <w:rsid w:val="000D1246"/>
    <w:rsid w:val="000D158D"/>
    <w:rsid w:val="000D1C41"/>
    <w:rsid w:val="000D240A"/>
    <w:rsid w:val="000D2417"/>
    <w:rsid w:val="000D280F"/>
    <w:rsid w:val="000D2921"/>
    <w:rsid w:val="000D3EF2"/>
    <w:rsid w:val="000D3FD3"/>
    <w:rsid w:val="000D4529"/>
    <w:rsid w:val="000D49E1"/>
    <w:rsid w:val="000D56F1"/>
    <w:rsid w:val="000D5D4A"/>
    <w:rsid w:val="000D6512"/>
    <w:rsid w:val="000D6A44"/>
    <w:rsid w:val="000D6BFA"/>
    <w:rsid w:val="000D7725"/>
    <w:rsid w:val="000E02A9"/>
    <w:rsid w:val="000E06EB"/>
    <w:rsid w:val="000E102A"/>
    <w:rsid w:val="000E1349"/>
    <w:rsid w:val="000E14A1"/>
    <w:rsid w:val="000E3054"/>
    <w:rsid w:val="000E4615"/>
    <w:rsid w:val="000E4E4F"/>
    <w:rsid w:val="000E5DC6"/>
    <w:rsid w:val="000E644C"/>
    <w:rsid w:val="000E69A2"/>
    <w:rsid w:val="000E72EE"/>
    <w:rsid w:val="000E7B0B"/>
    <w:rsid w:val="000E7C8A"/>
    <w:rsid w:val="000F0789"/>
    <w:rsid w:val="000F09E5"/>
    <w:rsid w:val="000F11FC"/>
    <w:rsid w:val="000F1B63"/>
    <w:rsid w:val="000F221F"/>
    <w:rsid w:val="000F4014"/>
    <w:rsid w:val="000F465A"/>
    <w:rsid w:val="000F51E1"/>
    <w:rsid w:val="000F5AD1"/>
    <w:rsid w:val="000F608D"/>
    <w:rsid w:val="000F6764"/>
    <w:rsid w:val="000F6793"/>
    <w:rsid w:val="001014FC"/>
    <w:rsid w:val="0010226C"/>
    <w:rsid w:val="00102A20"/>
    <w:rsid w:val="00102B9E"/>
    <w:rsid w:val="00102EC1"/>
    <w:rsid w:val="00103620"/>
    <w:rsid w:val="0010378E"/>
    <w:rsid w:val="00103BCE"/>
    <w:rsid w:val="00103C33"/>
    <w:rsid w:val="0010536B"/>
    <w:rsid w:val="0010761D"/>
    <w:rsid w:val="00107CEF"/>
    <w:rsid w:val="001106F8"/>
    <w:rsid w:val="00110B26"/>
    <w:rsid w:val="00111477"/>
    <w:rsid w:val="00112C3A"/>
    <w:rsid w:val="00112F68"/>
    <w:rsid w:val="00113477"/>
    <w:rsid w:val="001135E2"/>
    <w:rsid w:val="0011378E"/>
    <w:rsid w:val="00113981"/>
    <w:rsid w:val="00113A40"/>
    <w:rsid w:val="00113BA9"/>
    <w:rsid w:val="00114A91"/>
    <w:rsid w:val="00114F51"/>
    <w:rsid w:val="00115E6F"/>
    <w:rsid w:val="00116B80"/>
    <w:rsid w:val="001200A4"/>
    <w:rsid w:val="001200AC"/>
    <w:rsid w:val="001210E0"/>
    <w:rsid w:val="001216A7"/>
    <w:rsid w:val="001220DC"/>
    <w:rsid w:val="001234BC"/>
    <w:rsid w:val="0012362E"/>
    <w:rsid w:val="00123C98"/>
    <w:rsid w:val="001242C2"/>
    <w:rsid w:val="00124BF3"/>
    <w:rsid w:val="00124EBD"/>
    <w:rsid w:val="001255DE"/>
    <w:rsid w:val="00126B55"/>
    <w:rsid w:val="00127442"/>
    <w:rsid w:val="001278E7"/>
    <w:rsid w:val="00127B3E"/>
    <w:rsid w:val="001326A6"/>
    <w:rsid w:val="00132E84"/>
    <w:rsid w:val="00133D4E"/>
    <w:rsid w:val="001343CB"/>
    <w:rsid w:val="001349B5"/>
    <w:rsid w:val="0013604D"/>
    <w:rsid w:val="00136363"/>
    <w:rsid w:val="001364D6"/>
    <w:rsid w:val="00136749"/>
    <w:rsid w:val="00137F7C"/>
    <w:rsid w:val="001406F6"/>
    <w:rsid w:val="00141D1F"/>
    <w:rsid w:val="00141F1D"/>
    <w:rsid w:val="00142698"/>
    <w:rsid w:val="00142EBC"/>
    <w:rsid w:val="00143436"/>
    <w:rsid w:val="001437B9"/>
    <w:rsid w:val="001437EE"/>
    <w:rsid w:val="00143998"/>
    <w:rsid w:val="00143CF0"/>
    <w:rsid w:val="00145731"/>
    <w:rsid w:val="0014601E"/>
    <w:rsid w:val="00146B50"/>
    <w:rsid w:val="00146F36"/>
    <w:rsid w:val="001473B4"/>
    <w:rsid w:val="001476CD"/>
    <w:rsid w:val="0014783C"/>
    <w:rsid w:val="00147CA5"/>
    <w:rsid w:val="00151208"/>
    <w:rsid w:val="00151268"/>
    <w:rsid w:val="001513FD"/>
    <w:rsid w:val="0015329A"/>
    <w:rsid w:val="00155A47"/>
    <w:rsid w:val="00155CCB"/>
    <w:rsid w:val="00155FA9"/>
    <w:rsid w:val="00156399"/>
    <w:rsid w:val="00157527"/>
    <w:rsid w:val="001605EB"/>
    <w:rsid w:val="001611E8"/>
    <w:rsid w:val="00161D2D"/>
    <w:rsid w:val="00162A1E"/>
    <w:rsid w:val="00164135"/>
    <w:rsid w:val="00164200"/>
    <w:rsid w:val="0016447F"/>
    <w:rsid w:val="0016710D"/>
    <w:rsid w:val="00167E98"/>
    <w:rsid w:val="001700C5"/>
    <w:rsid w:val="001701F9"/>
    <w:rsid w:val="001702AE"/>
    <w:rsid w:val="00170DB9"/>
    <w:rsid w:val="00171DDB"/>
    <w:rsid w:val="00172184"/>
    <w:rsid w:val="00172A27"/>
    <w:rsid w:val="00172C73"/>
    <w:rsid w:val="00173A9D"/>
    <w:rsid w:val="00174211"/>
    <w:rsid w:val="00174CB6"/>
    <w:rsid w:val="00175ABE"/>
    <w:rsid w:val="00175BA0"/>
    <w:rsid w:val="00176032"/>
    <w:rsid w:val="00176048"/>
    <w:rsid w:val="00176F9A"/>
    <w:rsid w:val="00177D7C"/>
    <w:rsid w:val="001821B9"/>
    <w:rsid w:val="00183120"/>
    <w:rsid w:val="0018321A"/>
    <w:rsid w:val="0018325B"/>
    <w:rsid w:val="0018359F"/>
    <w:rsid w:val="00183B7A"/>
    <w:rsid w:val="00184546"/>
    <w:rsid w:val="00184828"/>
    <w:rsid w:val="001849D5"/>
    <w:rsid w:val="00184B11"/>
    <w:rsid w:val="0018526E"/>
    <w:rsid w:val="001856F0"/>
    <w:rsid w:val="00185E57"/>
    <w:rsid w:val="00187596"/>
    <w:rsid w:val="001877AE"/>
    <w:rsid w:val="001904EA"/>
    <w:rsid w:val="0019164C"/>
    <w:rsid w:val="001924B7"/>
    <w:rsid w:val="00193CE6"/>
    <w:rsid w:val="00194197"/>
    <w:rsid w:val="001947DC"/>
    <w:rsid w:val="00194E30"/>
    <w:rsid w:val="00195239"/>
    <w:rsid w:val="00195449"/>
    <w:rsid w:val="001958E3"/>
    <w:rsid w:val="00195913"/>
    <w:rsid w:val="00196055"/>
    <w:rsid w:val="001960C7"/>
    <w:rsid w:val="001A1B2D"/>
    <w:rsid w:val="001A1BD2"/>
    <w:rsid w:val="001A25CE"/>
    <w:rsid w:val="001A2B18"/>
    <w:rsid w:val="001A2D04"/>
    <w:rsid w:val="001A2EB3"/>
    <w:rsid w:val="001A2F9B"/>
    <w:rsid w:val="001A3815"/>
    <w:rsid w:val="001A398D"/>
    <w:rsid w:val="001A3BF8"/>
    <w:rsid w:val="001A4D5F"/>
    <w:rsid w:val="001A5741"/>
    <w:rsid w:val="001A5950"/>
    <w:rsid w:val="001A680B"/>
    <w:rsid w:val="001A694C"/>
    <w:rsid w:val="001A6B89"/>
    <w:rsid w:val="001A7052"/>
    <w:rsid w:val="001A7B54"/>
    <w:rsid w:val="001B310B"/>
    <w:rsid w:val="001B3179"/>
    <w:rsid w:val="001B42A1"/>
    <w:rsid w:val="001B4309"/>
    <w:rsid w:val="001B519F"/>
    <w:rsid w:val="001B5536"/>
    <w:rsid w:val="001B6B3B"/>
    <w:rsid w:val="001B74B7"/>
    <w:rsid w:val="001B78FE"/>
    <w:rsid w:val="001B7C5D"/>
    <w:rsid w:val="001C05F5"/>
    <w:rsid w:val="001C17E3"/>
    <w:rsid w:val="001C1A75"/>
    <w:rsid w:val="001C25EA"/>
    <w:rsid w:val="001C37B9"/>
    <w:rsid w:val="001C3A3B"/>
    <w:rsid w:val="001C4150"/>
    <w:rsid w:val="001C5223"/>
    <w:rsid w:val="001C6118"/>
    <w:rsid w:val="001C65AE"/>
    <w:rsid w:val="001C6E13"/>
    <w:rsid w:val="001C705E"/>
    <w:rsid w:val="001C73C6"/>
    <w:rsid w:val="001C7925"/>
    <w:rsid w:val="001C7EEC"/>
    <w:rsid w:val="001D1588"/>
    <w:rsid w:val="001D1A26"/>
    <w:rsid w:val="001D1AAA"/>
    <w:rsid w:val="001D2379"/>
    <w:rsid w:val="001D26AC"/>
    <w:rsid w:val="001D27B3"/>
    <w:rsid w:val="001D27C4"/>
    <w:rsid w:val="001D28D9"/>
    <w:rsid w:val="001D28DC"/>
    <w:rsid w:val="001D2CBE"/>
    <w:rsid w:val="001D34FF"/>
    <w:rsid w:val="001D3AFD"/>
    <w:rsid w:val="001D4331"/>
    <w:rsid w:val="001D5CE6"/>
    <w:rsid w:val="001D7265"/>
    <w:rsid w:val="001D7777"/>
    <w:rsid w:val="001D779C"/>
    <w:rsid w:val="001E1052"/>
    <w:rsid w:val="001E1267"/>
    <w:rsid w:val="001E1696"/>
    <w:rsid w:val="001E1F5D"/>
    <w:rsid w:val="001E2468"/>
    <w:rsid w:val="001E26B8"/>
    <w:rsid w:val="001E4CDC"/>
    <w:rsid w:val="001E4DBD"/>
    <w:rsid w:val="001E5AFB"/>
    <w:rsid w:val="001E5B50"/>
    <w:rsid w:val="001E6CA5"/>
    <w:rsid w:val="001F133C"/>
    <w:rsid w:val="001F19B1"/>
    <w:rsid w:val="001F1A56"/>
    <w:rsid w:val="001F1AB6"/>
    <w:rsid w:val="001F3D53"/>
    <w:rsid w:val="001F3FA2"/>
    <w:rsid w:val="001F408A"/>
    <w:rsid w:val="001F4359"/>
    <w:rsid w:val="001F47ED"/>
    <w:rsid w:val="001F66D5"/>
    <w:rsid w:val="001F6DD1"/>
    <w:rsid w:val="001F7644"/>
    <w:rsid w:val="00200C6C"/>
    <w:rsid w:val="00202A38"/>
    <w:rsid w:val="00202ECC"/>
    <w:rsid w:val="0020301A"/>
    <w:rsid w:val="00203C5D"/>
    <w:rsid w:val="00204274"/>
    <w:rsid w:val="00204892"/>
    <w:rsid w:val="00205A00"/>
    <w:rsid w:val="00205D1D"/>
    <w:rsid w:val="0020685E"/>
    <w:rsid w:val="00206E80"/>
    <w:rsid w:val="00206F1E"/>
    <w:rsid w:val="0020701D"/>
    <w:rsid w:val="0021070D"/>
    <w:rsid w:val="00210C04"/>
    <w:rsid w:val="00211B1F"/>
    <w:rsid w:val="00211C07"/>
    <w:rsid w:val="002121A1"/>
    <w:rsid w:val="00212B20"/>
    <w:rsid w:val="00212FDD"/>
    <w:rsid w:val="002130CC"/>
    <w:rsid w:val="00213538"/>
    <w:rsid w:val="0021365C"/>
    <w:rsid w:val="0021474B"/>
    <w:rsid w:val="002153B9"/>
    <w:rsid w:val="00215EB6"/>
    <w:rsid w:val="002166D1"/>
    <w:rsid w:val="002166FC"/>
    <w:rsid w:val="00216CFE"/>
    <w:rsid w:val="00217498"/>
    <w:rsid w:val="002174B8"/>
    <w:rsid w:val="00217E2C"/>
    <w:rsid w:val="002203B1"/>
    <w:rsid w:val="00221666"/>
    <w:rsid w:val="00221C0B"/>
    <w:rsid w:val="00222EC3"/>
    <w:rsid w:val="00223870"/>
    <w:rsid w:val="00223E55"/>
    <w:rsid w:val="00223E68"/>
    <w:rsid w:val="00223FB0"/>
    <w:rsid w:val="0022417B"/>
    <w:rsid w:val="00225E57"/>
    <w:rsid w:val="0022626C"/>
    <w:rsid w:val="002269C2"/>
    <w:rsid w:val="00227254"/>
    <w:rsid w:val="002273B4"/>
    <w:rsid w:val="00227CAD"/>
    <w:rsid w:val="0023061C"/>
    <w:rsid w:val="00231F0C"/>
    <w:rsid w:val="00231FD8"/>
    <w:rsid w:val="00232315"/>
    <w:rsid w:val="00232A35"/>
    <w:rsid w:val="00232AAA"/>
    <w:rsid w:val="00232CCB"/>
    <w:rsid w:val="00232E56"/>
    <w:rsid w:val="00232FE3"/>
    <w:rsid w:val="002332F4"/>
    <w:rsid w:val="00233FEF"/>
    <w:rsid w:val="002343CA"/>
    <w:rsid w:val="00234B98"/>
    <w:rsid w:val="002350BB"/>
    <w:rsid w:val="0023559E"/>
    <w:rsid w:val="00235743"/>
    <w:rsid w:val="00235BE6"/>
    <w:rsid w:val="0023600E"/>
    <w:rsid w:val="00236411"/>
    <w:rsid w:val="002369E8"/>
    <w:rsid w:val="0023729E"/>
    <w:rsid w:val="002372D3"/>
    <w:rsid w:val="00237C7F"/>
    <w:rsid w:val="00240DB3"/>
    <w:rsid w:val="00240EFF"/>
    <w:rsid w:val="0024142E"/>
    <w:rsid w:val="00243814"/>
    <w:rsid w:val="00243F90"/>
    <w:rsid w:val="00244ADA"/>
    <w:rsid w:val="00246269"/>
    <w:rsid w:val="002463CE"/>
    <w:rsid w:val="00251A2D"/>
    <w:rsid w:val="0025216F"/>
    <w:rsid w:val="00252B9D"/>
    <w:rsid w:val="002538B4"/>
    <w:rsid w:val="00253C5F"/>
    <w:rsid w:val="00254D11"/>
    <w:rsid w:val="00255085"/>
    <w:rsid w:val="00255C1C"/>
    <w:rsid w:val="00256044"/>
    <w:rsid w:val="0025705A"/>
    <w:rsid w:val="00260783"/>
    <w:rsid w:val="00260E35"/>
    <w:rsid w:val="00260F8A"/>
    <w:rsid w:val="00261DB3"/>
    <w:rsid w:val="00261DEF"/>
    <w:rsid w:val="00261ED0"/>
    <w:rsid w:val="002624E4"/>
    <w:rsid w:val="00262538"/>
    <w:rsid w:val="002627BB"/>
    <w:rsid w:val="00262B00"/>
    <w:rsid w:val="0026301A"/>
    <w:rsid w:val="0026320E"/>
    <w:rsid w:val="00263991"/>
    <w:rsid w:val="00267272"/>
    <w:rsid w:val="00267C8A"/>
    <w:rsid w:val="00267D6F"/>
    <w:rsid w:val="002700AF"/>
    <w:rsid w:val="00270711"/>
    <w:rsid w:val="0027140A"/>
    <w:rsid w:val="00271748"/>
    <w:rsid w:val="002722C5"/>
    <w:rsid w:val="002725C3"/>
    <w:rsid w:val="00272B9E"/>
    <w:rsid w:val="00273DB4"/>
    <w:rsid w:val="002745B9"/>
    <w:rsid w:val="00274C37"/>
    <w:rsid w:val="00274D6A"/>
    <w:rsid w:val="002753EC"/>
    <w:rsid w:val="00275A6E"/>
    <w:rsid w:val="00276359"/>
    <w:rsid w:val="00276DFB"/>
    <w:rsid w:val="00277033"/>
    <w:rsid w:val="002774AC"/>
    <w:rsid w:val="00277753"/>
    <w:rsid w:val="002800F5"/>
    <w:rsid w:val="00280996"/>
    <w:rsid w:val="00281004"/>
    <w:rsid w:val="0028102C"/>
    <w:rsid w:val="0028133F"/>
    <w:rsid w:val="00281838"/>
    <w:rsid w:val="00282418"/>
    <w:rsid w:val="0028348B"/>
    <w:rsid w:val="002838B0"/>
    <w:rsid w:val="0028656D"/>
    <w:rsid w:val="00287425"/>
    <w:rsid w:val="002876C4"/>
    <w:rsid w:val="00287F64"/>
    <w:rsid w:val="00287FF9"/>
    <w:rsid w:val="00290363"/>
    <w:rsid w:val="0029040D"/>
    <w:rsid w:val="00290A69"/>
    <w:rsid w:val="002920EB"/>
    <w:rsid w:val="002928FE"/>
    <w:rsid w:val="002940E8"/>
    <w:rsid w:val="00294AF0"/>
    <w:rsid w:val="00294E4C"/>
    <w:rsid w:val="00294F77"/>
    <w:rsid w:val="00295DE8"/>
    <w:rsid w:val="0029654C"/>
    <w:rsid w:val="00296B67"/>
    <w:rsid w:val="00297E08"/>
    <w:rsid w:val="002A0392"/>
    <w:rsid w:val="002A0E9F"/>
    <w:rsid w:val="002A1CDE"/>
    <w:rsid w:val="002A2129"/>
    <w:rsid w:val="002A2750"/>
    <w:rsid w:val="002A2773"/>
    <w:rsid w:val="002A32C8"/>
    <w:rsid w:val="002A33CC"/>
    <w:rsid w:val="002A346B"/>
    <w:rsid w:val="002A35C3"/>
    <w:rsid w:val="002A380F"/>
    <w:rsid w:val="002A424C"/>
    <w:rsid w:val="002A469A"/>
    <w:rsid w:val="002A57EA"/>
    <w:rsid w:val="002A5E60"/>
    <w:rsid w:val="002A6406"/>
    <w:rsid w:val="002A6D6D"/>
    <w:rsid w:val="002B0BEC"/>
    <w:rsid w:val="002B0EFD"/>
    <w:rsid w:val="002B14BD"/>
    <w:rsid w:val="002B3038"/>
    <w:rsid w:val="002B4011"/>
    <w:rsid w:val="002B4426"/>
    <w:rsid w:val="002B561C"/>
    <w:rsid w:val="002B5DED"/>
    <w:rsid w:val="002B6A05"/>
    <w:rsid w:val="002B7862"/>
    <w:rsid w:val="002C06FC"/>
    <w:rsid w:val="002C0A25"/>
    <w:rsid w:val="002C0C32"/>
    <w:rsid w:val="002C0D75"/>
    <w:rsid w:val="002C0E95"/>
    <w:rsid w:val="002C0EC4"/>
    <w:rsid w:val="002C34F5"/>
    <w:rsid w:val="002C380E"/>
    <w:rsid w:val="002C3FC8"/>
    <w:rsid w:val="002C4494"/>
    <w:rsid w:val="002C5F72"/>
    <w:rsid w:val="002C5F78"/>
    <w:rsid w:val="002C6245"/>
    <w:rsid w:val="002D046D"/>
    <w:rsid w:val="002D1285"/>
    <w:rsid w:val="002D2634"/>
    <w:rsid w:val="002D38DE"/>
    <w:rsid w:val="002D43B1"/>
    <w:rsid w:val="002D5C95"/>
    <w:rsid w:val="002D6706"/>
    <w:rsid w:val="002D6C7E"/>
    <w:rsid w:val="002D719C"/>
    <w:rsid w:val="002D7C31"/>
    <w:rsid w:val="002D7EC8"/>
    <w:rsid w:val="002E0B5E"/>
    <w:rsid w:val="002E1B00"/>
    <w:rsid w:val="002E1C39"/>
    <w:rsid w:val="002E370B"/>
    <w:rsid w:val="002E3E03"/>
    <w:rsid w:val="002E4D8D"/>
    <w:rsid w:val="002E514F"/>
    <w:rsid w:val="002E5219"/>
    <w:rsid w:val="002E5720"/>
    <w:rsid w:val="002E5832"/>
    <w:rsid w:val="002E5C95"/>
    <w:rsid w:val="002E6A47"/>
    <w:rsid w:val="002E6D91"/>
    <w:rsid w:val="002E71FF"/>
    <w:rsid w:val="002E7908"/>
    <w:rsid w:val="002F0334"/>
    <w:rsid w:val="002F0D02"/>
    <w:rsid w:val="002F143F"/>
    <w:rsid w:val="002F1548"/>
    <w:rsid w:val="002F1BA0"/>
    <w:rsid w:val="002F1CC4"/>
    <w:rsid w:val="002F24C3"/>
    <w:rsid w:val="002F251B"/>
    <w:rsid w:val="002F26EE"/>
    <w:rsid w:val="002F29B3"/>
    <w:rsid w:val="002F40BC"/>
    <w:rsid w:val="002F4F36"/>
    <w:rsid w:val="002F5294"/>
    <w:rsid w:val="002F535E"/>
    <w:rsid w:val="002F59D8"/>
    <w:rsid w:val="002F5DC1"/>
    <w:rsid w:val="002F6FDC"/>
    <w:rsid w:val="002F71B3"/>
    <w:rsid w:val="002F77FB"/>
    <w:rsid w:val="00300912"/>
    <w:rsid w:val="00300A5D"/>
    <w:rsid w:val="00301145"/>
    <w:rsid w:val="003011AF"/>
    <w:rsid w:val="003011CB"/>
    <w:rsid w:val="00302205"/>
    <w:rsid w:val="0030249F"/>
    <w:rsid w:val="00302A32"/>
    <w:rsid w:val="0030306A"/>
    <w:rsid w:val="00303C74"/>
    <w:rsid w:val="0030503E"/>
    <w:rsid w:val="003055C8"/>
    <w:rsid w:val="003079F0"/>
    <w:rsid w:val="00310797"/>
    <w:rsid w:val="00310C79"/>
    <w:rsid w:val="00312159"/>
    <w:rsid w:val="0031225E"/>
    <w:rsid w:val="00312810"/>
    <w:rsid w:val="0031286A"/>
    <w:rsid w:val="003128B2"/>
    <w:rsid w:val="00312C84"/>
    <w:rsid w:val="00312EF0"/>
    <w:rsid w:val="003132D3"/>
    <w:rsid w:val="0031393B"/>
    <w:rsid w:val="003142FC"/>
    <w:rsid w:val="00314F6C"/>
    <w:rsid w:val="00316F51"/>
    <w:rsid w:val="00317056"/>
    <w:rsid w:val="003177C5"/>
    <w:rsid w:val="00320280"/>
    <w:rsid w:val="00320BD2"/>
    <w:rsid w:val="00320DC1"/>
    <w:rsid w:val="00320DE6"/>
    <w:rsid w:val="0032139F"/>
    <w:rsid w:val="003215D7"/>
    <w:rsid w:val="003224DB"/>
    <w:rsid w:val="003228D9"/>
    <w:rsid w:val="00323F65"/>
    <w:rsid w:val="003246D6"/>
    <w:rsid w:val="00324AFA"/>
    <w:rsid w:val="00325595"/>
    <w:rsid w:val="00325EDE"/>
    <w:rsid w:val="003263A1"/>
    <w:rsid w:val="0032673B"/>
    <w:rsid w:val="00326792"/>
    <w:rsid w:val="00327152"/>
    <w:rsid w:val="0032721F"/>
    <w:rsid w:val="0032778A"/>
    <w:rsid w:val="00327803"/>
    <w:rsid w:val="0032792C"/>
    <w:rsid w:val="00327D47"/>
    <w:rsid w:val="00330876"/>
    <w:rsid w:val="00330AF1"/>
    <w:rsid w:val="00330C43"/>
    <w:rsid w:val="00330EEB"/>
    <w:rsid w:val="00331038"/>
    <w:rsid w:val="0033199A"/>
    <w:rsid w:val="00332B73"/>
    <w:rsid w:val="00332D7E"/>
    <w:rsid w:val="0033358F"/>
    <w:rsid w:val="003346E3"/>
    <w:rsid w:val="00334B62"/>
    <w:rsid w:val="00334BB0"/>
    <w:rsid w:val="003361CC"/>
    <w:rsid w:val="00336490"/>
    <w:rsid w:val="00336558"/>
    <w:rsid w:val="00336BC1"/>
    <w:rsid w:val="00336F60"/>
    <w:rsid w:val="0033700B"/>
    <w:rsid w:val="003373AC"/>
    <w:rsid w:val="00337DD2"/>
    <w:rsid w:val="0034042D"/>
    <w:rsid w:val="00341333"/>
    <w:rsid w:val="00341F4A"/>
    <w:rsid w:val="003420AC"/>
    <w:rsid w:val="003428DB"/>
    <w:rsid w:val="00342D54"/>
    <w:rsid w:val="00342FE9"/>
    <w:rsid w:val="00344054"/>
    <w:rsid w:val="003444C7"/>
    <w:rsid w:val="00344BCF"/>
    <w:rsid w:val="00344E1A"/>
    <w:rsid w:val="00345A8D"/>
    <w:rsid w:val="003460EF"/>
    <w:rsid w:val="00346C78"/>
    <w:rsid w:val="0034702C"/>
    <w:rsid w:val="003479AC"/>
    <w:rsid w:val="00347F1B"/>
    <w:rsid w:val="003505B3"/>
    <w:rsid w:val="00350669"/>
    <w:rsid w:val="003509A6"/>
    <w:rsid w:val="00350BD0"/>
    <w:rsid w:val="00350DF5"/>
    <w:rsid w:val="00352B7D"/>
    <w:rsid w:val="003531F2"/>
    <w:rsid w:val="00354802"/>
    <w:rsid w:val="00354D52"/>
    <w:rsid w:val="00354DB7"/>
    <w:rsid w:val="00355974"/>
    <w:rsid w:val="00355A7B"/>
    <w:rsid w:val="00356196"/>
    <w:rsid w:val="0035705F"/>
    <w:rsid w:val="0035755B"/>
    <w:rsid w:val="00357E15"/>
    <w:rsid w:val="00360C89"/>
    <w:rsid w:val="00361BEB"/>
    <w:rsid w:val="003620EF"/>
    <w:rsid w:val="00363564"/>
    <w:rsid w:val="003663DF"/>
    <w:rsid w:val="003664A1"/>
    <w:rsid w:val="00366536"/>
    <w:rsid w:val="003671A0"/>
    <w:rsid w:val="00367278"/>
    <w:rsid w:val="00367E38"/>
    <w:rsid w:val="00370171"/>
    <w:rsid w:val="0037057F"/>
    <w:rsid w:val="003712F5"/>
    <w:rsid w:val="00372214"/>
    <w:rsid w:val="0037226D"/>
    <w:rsid w:val="00372307"/>
    <w:rsid w:val="0037242A"/>
    <w:rsid w:val="003724BC"/>
    <w:rsid w:val="00373BA0"/>
    <w:rsid w:val="00373DDA"/>
    <w:rsid w:val="0037491F"/>
    <w:rsid w:val="00374DAC"/>
    <w:rsid w:val="003753A3"/>
    <w:rsid w:val="0037566F"/>
    <w:rsid w:val="00375EBB"/>
    <w:rsid w:val="00375F5D"/>
    <w:rsid w:val="00376204"/>
    <w:rsid w:val="003764D3"/>
    <w:rsid w:val="00376AE0"/>
    <w:rsid w:val="00377388"/>
    <w:rsid w:val="00377589"/>
    <w:rsid w:val="003800AD"/>
    <w:rsid w:val="00380217"/>
    <w:rsid w:val="0038083E"/>
    <w:rsid w:val="003816A2"/>
    <w:rsid w:val="0038253D"/>
    <w:rsid w:val="00382A18"/>
    <w:rsid w:val="003837C5"/>
    <w:rsid w:val="00383DE5"/>
    <w:rsid w:val="00383F4F"/>
    <w:rsid w:val="003847B1"/>
    <w:rsid w:val="00385E45"/>
    <w:rsid w:val="0038671C"/>
    <w:rsid w:val="00386906"/>
    <w:rsid w:val="00386AC4"/>
    <w:rsid w:val="00386CCD"/>
    <w:rsid w:val="00387569"/>
    <w:rsid w:val="00387715"/>
    <w:rsid w:val="00387802"/>
    <w:rsid w:val="00390CBE"/>
    <w:rsid w:val="0039170F"/>
    <w:rsid w:val="00391988"/>
    <w:rsid w:val="00391E28"/>
    <w:rsid w:val="00392BDF"/>
    <w:rsid w:val="00392CA6"/>
    <w:rsid w:val="00394E53"/>
    <w:rsid w:val="00394FE7"/>
    <w:rsid w:val="003963ED"/>
    <w:rsid w:val="00397605"/>
    <w:rsid w:val="00397959"/>
    <w:rsid w:val="003A0579"/>
    <w:rsid w:val="003A0F09"/>
    <w:rsid w:val="003A0F73"/>
    <w:rsid w:val="003A1F2F"/>
    <w:rsid w:val="003A2EB5"/>
    <w:rsid w:val="003A3078"/>
    <w:rsid w:val="003A431A"/>
    <w:rsid w:val="003A4799"/>
    <w:rsid w:val="003A4C55"/>
    <w:rsid w:val="003A4EC1"/>
    <w:rsid w:val="003A5334"/>
    <w:rsid w:val="003A5755"/>
    <w:rsid w:val="003A5B1C"/>
    <w:rsid w:val="003A6C53"/>
    <w:rsid w:val="003A6EF3"/>
    <w:rsid w:val="003A73F2"/>
    <w:rsid w:val="003A796C"/>
    <w:rsid w:val="003A7DFD"/>
    <w:rsid w:val="003A7E71"/>
    <w:rsid w:val="003B0CB1"/>
    <w:rsid w:val="003B227E"/>
    <w:rsid w:val="003B26A4"/>
    <w:rsid w:val="003B2AE3"/>
    <w:rsid w:val="003B2AEC"/>
    <w:rsid w:val="003B3103"/>
    <w:rsid w:val="003B3543"/>
    <w:rsid w:val="003B3C1A"/>
    <w:rsid w:val="003B423E"/>
    <w:rsid w:val="003B5249"/>
    <w:rsid w:val="003B52AD"/>
    <w:rsid w:val="003B5491"/>
    <w:rsid w:val="003B5864"/>
    <w:rsid w:val="003B5C6E"/>
    <w:rsid w:val="003B6152"/>
    <w:rsid w:val="003B7D71"/>
    <w:rsid w:val="003C0787"/>
    <w:rsid w:val="003C0F96"/>
    <w:rsid w:val="003C1821"/>
    <w:rsid w:val="003C1D04"/>
    <w:rsid w:val="003C20A8"/>
    <w:rsid w:val="003C26F3"/>
    <w:rsid w:val="003C2C56"/>
    <w:rsid w:val="003C2C93"/>
    <w:rsid w:val="003C2F5F"/>
    <w:rsid w:val="003C2FB6"/>
    <w:rsid w:val="003C3DF7"/>
    <w:rsid w:val="003C4BFD"/>
    <w:rsid w:val="003C4C75"/>
    <w:rsid w:val="003C4F3A"/>
    <w:rsid w:val="003C62D3"/>
    <w:rsid w:val="003C6736"/>
    <w:rsid w:val="003C7631"/>
    <w:rsid w:val="003C7BAC"/>
    <w:rsid w:val="003D06A7"/>
    <w:rsid w:val="003D0A53"/>
    <w:rsid w:val="003D0AA7"/>
    <w:rsid w:val="003D130C"/>
    <w:rsid w:val="003D177B"/>
    <w:rsid w:val="003D25FF"/>
    <w:rsid w:val="003D3FB7"/>
    <w:rsid w:val="003D6F8D"/>
    <w:rsid w:val="003D75CC"/>
    <w:rsid w:val="003E14ED"/>
    <w:rsid w:val="003E157D"/>
    <w:rsid w:val="003E21BA"/>
    <w:rsid w:val="003E2C5E"/>
    <w:rsid w:val="003E315C"/>
    <w:rsid w:val="003E4120"/>
    <w:rsid w:val="003E4BF9"/>
    <w:rsid w:val="003E59EE"/>
    <w:rsid w:val="003E5AB8"/>
    <w:rsid w:val="003E61FD"/>
    <w:rsid w:val="003E6EED"/>
    <w:rsid w:val="003E7922"/>
    <w:rsid w:val="003E7C51"/>
    <w:rsid w:val="003E7C6E"/>
    <w:rsid w:val="003F016A"/>
    <w:rsid w:val="003F0A7F"/>
    <w:rsid w:val="003F0CD7"/>
    <w:rsid w:val="003F1838"/>
    <w:rsid w:val="003F262E"/>
    <w:rsid w:val="003F3298"/>
    <w:rsid w:val="003F4E9D"/>
    <w:rsid w:val="003F5F86"/>
    <w:rsid w:val="003F5FA5"/>
    <w:rsid w:val="003F64D2"/>
    <w:rsid w:val="003F6637"/>
    <w:rsid w:val="003F6B9A"/>
    <w:rsid w:val="003F6CF7"/>
    <w:rsid w:val="003F7806"/>
    <w:rsid w:val="00400963"/>
    <w:rsid w:val="00401996"/>
    <w:rsid w:val="004023BA"/>
    <w:rsid w:val="00402B9E"/>
    <w:rsid w:val="00402F6F"/>
    <w:rsid w:val="00403615"/>
    <w:rsid w:val="00403CB5"/>
    <w:rsid w:val="004045C7"/>
    <w:rsid w:val="004046DE"/>
    <w:rsid w:val="00404AAF"/>
    <w:rsid w:val="004059A6"/>
    <w:rsid w:val="00406269"/>
    <w:rsid w:val="00406998"/>
    <w:rsid w:val="004070A0"/>
    <w:rsid w:val="0040715C"/>
    <w:rsid w:val="004076A1"/>
    <w:rsid w:val="004077EC"/>
    <w:rsid w:val="00407886"/>
    <w:rsid w:val="00407922"/>
    <w:rsid w:val="004100DD"/>
    <w:rsid w:val="00410822"/>
    <w:rsid w:val="00410F95"/>
    <w:rsid w:val="00411294"/>
    <w:rsid w:val="0041158E"/>
    <w:rsid w:val="00411684"/>
    <w:rsid w:val="00412713"/>
    <w:rsid w:val="00413258"/>
    <w:rsid w:val="00413BC0"/>
    <w:rsid w:val="00420801"/>
    <w:rsid w:val="00421523"/>
    <w:rsid w:val="00422245"/>
    <w:rsid w:val="00422FAC"/>
    <w:rsid w:val="00422FBD"/>
    <w:rsid w:val="00423286"/>
    <w:rsid w:val="0042407A"/>
    <w:rsid w:val="00424167"/>
    <w:rsid w:val="0042543F"/>
    <w:rsid w:val="004255E5"/>
    <w:rsid w:val="00425697"/>
    <w:rsid w:val="00425867"/>
    <w:rsid w:val="004258D0"/>
    <w:rsid w:val="00426A20"/>
    <w:rsid w:val="00426A70"/>
    <w:rsid w:val="00430044"/>
    <w:rsid w:val="00432B9F"/>
    <w:rsid w:val="00432C97"/>
    <w:rsid w:val="00433871"/>
    <w:rsid w:val="00434037"/>
    <w:rsid w:val="00434776"/>
    <w:rsid w:val="0043515F"/>
    <w:rsid w:val="0043527B"/>
    <w:rsid w:val="00435A19"/>
    <w:rsid w:val="00435ACE"/>
    <w:rsid w:val="004366BB"/>
    <w:rsid w:val="00436DDE"/>
    <w:rsid w:val="0043713C"/>
    <w:rsid w:val="00437613"/>
    <w:rsid w:val="00437832"/>
    <w:rsid w:val="00437D50"/>
    <w:rsid w:val="00437DC2"/>
    <w:rsid w:val="00440272"/>
    <w:rsid w:val="004411AA"/>
    <w:rsid w:val="0044191F"/>
    <w:rsid w:val="00441D04"/>
    <w:rsid w:val="0044503A"/>
    <w:rsid w:val="004451E3"/>
    <w:rsid w:val="004453AC"/>
    <w:rsid w:val="004460EC"/>
    <w:rsid w:val="004460F8"/>
    <w:rsid w:val="0044625B"/>
    <w:rsid w:val="004469E7"/>
    <w:rsid w:val="00446E0B"/>
    <w:rsid w:val="00447113"/>
    <w:rsid w:val="004472B9"/>
    <w:rsid w:val="00447C99"/>
    <w:rsid w:val="004516E8"/>
    <w:rsid w:val="0045173C"/>
    <w:rsid w:val="0045183C"/>
    <w:rsid w:val="00451EEF"/>
    <w:rsid w:val="00452468"/>
    <w:rsid w:val="004527A8"/>
    <w:rsid w:val="0045282D"/>
    <w:rsid w:val="004534B8"/>
    <w:rsid w:val="00453996"/>
    <w:rsid w:val="00453A8F"/>
    <w:rsid w:val="00453CD5"/>
    <w:rsid w:val="00453F28"/>
    <w:rsid w:val="00455B98"/>
    <w:rsid w:val="00455EF3"/>
    <w:rsid w:val="004564BC"/>
    <w:rsid w:val="0045655C"/>
    <w:rsid w:val="004567B6"/>
    <w:rsid w:val="00456954"/>
    <w:rsid w:val="00457560"/>
    <w:rsid w:val="004605CA"/>
    <w:rsid w:val="0046087F"/>
    <w:rsid w:val="0046120C"/>
    <w:rsid w:val="0046139C"/>
    <w:rsid w:val="00461D28"/>
    <w:rsid w:val="0046228C"/>
    <w:rsid w:val="00462BC8"/>
    <w:rsid w:val="004639FE"/>
    <w:rsid w:val="00464EB0"/>
    <w:rsid w:val="00465A39"/>
    <w:rsid w:val="00465EAF"/>
    <w:rsid w:val="004660BF"/>
    <w:rsid w:val="0046634E"/>
    <w:rsid w:val="004666F1"/>
    <w:rsid w:val="00466947"/>
    <w:rsid w:val="00466A2C"/>
    <w:rsid w:val="004673DB"/>
    <w:rsid w:val="00467516"/>
    <w:rsid w:val="00470B26"/>
    <w:rsid w:val="00470E03"/>
    <w:rsid w:val="0047155B"/>
    <w:rsid w:val="0047186D"/>
    <w:rsid w:val="00471ED2"/>
    <w:rsid w:val="00472647"/>
    <w:rsid w:val="00472BE7"/>
    <w:rsid w:val="00473B76"/>
    <w:rsid w:val="0047418C"/>
    <w:rsid w:val="004755CD"/>
    <w:rsid w:val="0047576D"/>
    <w:rsid w:val="00475F92"/>
    <w:rsid w:val="004763D3"/>
    <w:rsid w:val="00476F64"/>
    <w:rsid w:val="00477737"/>
    <w:rsid w:val="004778B3"/>
    <w:rsid w:val="004801F7"/>
    <w:rsid w:val="004812D9"/>
    <w:rsid w:val="00482F99"/>
    <w:rsid w:val="0048321B"/>
    <w:rsid w:val="00483358"/>
    <w:rsid w:val="00483553"/>
    <w:rsid w:val="004844E6"/>
    <w:rsid w:val="004848CF"/>
    <w:rsid w:val="00485EF0"/>
    <w:rsid w:val="004861CF"/>
    <w:rsid w:val="00486D64"/>
    <w:rsid w:val="00486F1C"/>
    <w:rsid w:val="004902F7"/>
    <w:rsid w:val="00490B4E"/>
    <w:rsid w:val="0049206D"/>
    <w:rsid w:val="004960C2"/>
    <w:rsid w:val="00496408"/>
    <w:rsid w:val="004964F4"/>
    <w:rsid w:val="0049670A"/>
    <w:rsid w:val="00497100"/>
    <w:rsid w:val="00497BBC"/>
    <w:rsid w:val="004A0004"/>
    <w:rsid w:val="004A00A6"/>
    <w:rsid w:val="004A0859"/>
    <w:rsid w:val="004A1168"/>
    <w:rsid w:val="004A119D"/>
    <w:rsid w:val="004A1E40"/>
    <w:rsid w:val="004A2CE3"/>
    <w:rsid w:val="004A2CF3"/>
    <w:rsid w:val="004A33E0"/>
    <w:rsid w:val="004A3AE4"/>
    <w:rsid w:val="004A3D3B"/>
    <w:rsid w:val="004A3D5A"/>
    <w:rsid w:val="004A405B"/>
    <w:rsid w:val="004A40DF"/>
    <w:rsid w:val="004A4180"/>
    <w:rsid w:val="004A431D"/>
    <w:rsid w:val="004A5CD6"/>
    <w:rsid w:val="004A5DCE"/>
    <w:rsid w:val="004A6123"/>
    <w:rsid w:val="004A6778"/>
    <w:rsid w:val="004A7201"/>
    <w:rsid w:val="004B03E2"/>
    <w:rsid w:val="004B061F"/>
    <w:rsid w:val="004B06C7"/>
    <w:rsid w:val="004B0D52"/>
    <w:rsid w:val="004B11A0"/>
    <w:rsid w:val="004B20D4"/>
    <w:rsid w:val="004B2D57"/>
    <w:rsid w:val="004B378D"/>
    <w:rsid w:val="004B37BA"/>
    <w:rsid w:val="004B48F7"/>
    <w:rsid w:val="004B492A"/>
    <w:rsid w:val="004B4A9A"/>
    <w:rsid w:val="004B55B2"/>
    <w:rsid w:val="004B6610"/>
    <w:rsid w:val="004B6963"/>
    <w:rsid w:val="004B6A18"/>
    <w:rsid w:val="004B720E"/>
    <w:rsid w:val="004C192E"/>
    <w:rsid w:val="004C2F30"/>
    <w:rsid w:val="004C327C"/>
    <w:rsid w:val="004C3E4E"/>
    <w:rsid w:val="004C418E"/>
    <w:rsid w:val="004C4201"/>
    <w:rsid w:val="004C55DC"/>
    <w:rsid w:val="004C5C69"/>
    <w:rsid w:val="004C6768"/>
    <w:rsid w:val="004C6A97"/>
    <w:rsid w:val="004C70AC"/>
    <w:rsid w:val="004C70EA"/>
    <w:rsid w:val="004C729C"/>
    <w:rsid w:val="004C7773"/>
    <w:rsid w:val="004C777F"/>
    <w:rsid w:val="004C7A30"/>
    <w:rsid w:val="004D0549"/>
    <w:rsid w:val="004D1934"/>
    <w:rsid w:val="004D26A9"/>
    <w:rsid w:val="004D2787"/>
    <w:rsid w:val="004D279A"/>
    <w:rsid w:val="004D3745"/>
    <w:rsid w:val="004D3CF5"/>
    <w:rsid w:val="004D3DB4"/>
    <w:rsid w:val="004D65C7"/>
    <w:rsid w:val="004D661A"/>
    <w:rsid w:val="004D6C5F"/>
    <w:rsid w:val="004D74A5"/>
    <w:rsid w:val="004D7F64"/>
    <w:rsid w:val="004D7F7D"/>
    <w:rsid w:val="004E0BB6"/>
    <w:rsid w:val="004E13F1"/>
    <w:rsid w:val="004E1EBE"/>
    <w:rsid w:val="004E25C4"/>
    <w:rsid w:val="004E37C4"/>
    <w:rsid w:val="004E3B39"/>
    <w:rsid w:val="004E3E49"/>
    <w:rsid w:val="004E3E68"/>
    <w:rsid w:val="004E466C"/>
    <w:rsid w:val="004E603B"/>
    <w:rsid w:val="004E644B"/>
    <w:rsid w:val="004E68BC"/>
    <w:rsid w:val="004E76F2"/>
    <w:rsid w:val="004E77D9"/>
    <w:rsid w:val="004F0EC0"/>
    <w:rsid w:val="004F18E5"/>
    <w:rsid w:val="004F35C2"/>
    <w:rsid w:val="004F389D"/>
    <w:rsid w:val="004F4771"/>
    <w:rsid w:val="004F5300"/>
    <w:rsid w:val="004F6829"/>
    <w:rsid w:val="004F7795"/>
    <w:rsid w:val="0050005D"/>
    <w:rsid w:val="005000CB"/>
    <w:rsid w:val="005009DF"/>
    <w:rsid w:val="00500E58"/>
    <w:rsid w:val="00502999"/>
    <w:rsid w:val="00502F95"/>
    <w:rsid w:val="005031F5"/>
    <w:rsid w:val="00503235"/>
    <w:rsid w:val="0050383A"/>
    <w:rsid w:val="00503984"/>
    <w:rsid w:val="00503EC1"/>
    <w:rsid w:val="005040AE"/>
    <w:rsid w:val="00504E6E"/>
    <w:rsid w:val="00506283"/>
    <w:rsid w:val="00507830"/>
    <w:rsid w:val="00507FB0"/>
    <w:rsid w:val="00510321"/>
    <w:rsid w:val="0051047D"/>
    <w:rsid w:val="00511D9C"/>
    <w:rsid w:val="00511DD6"/>
    <w:rsid w:val="005126B4"/>
    <w:rsid w:val="00513C5A"/>
    <w:rsid w:val="00513FAF"/>
    <w:rsid w:val="005142B7"/>
    <w:rsid w:val="00514AF3"/>
    <w:rsid w:val="00515A9A"/>
    <w:rsid w:val="00515C97"/>
    <w:rsid w:val="005169D4"/>
    <w:rsid w:val="005174E6"/>
    <w:rsid w:val="005209AB"/>
    <w:rsid w:val="00520A43"/>
    <w:rsid w:val="00520C97"/>
    <w:rsid w:val="00522080"/>
    <w:rsid w:val="005222FC"/>
    <w:rsid w:val="00522829"/>
    <w:rsid w:val="0052308D"/>
    <w:rsid w:val="00523A0E"/>
    <w:rsid w:val="00525286"/>
    <w:rsid w:val="005252D6"/>
    <w:rsid w:val="00525AD1"/>
    <w:rsid w:val="00526CB4"/>
    <w:rsid w:val="005270E5"/>
    <w:rsid w:val="00527B92"/>
    <w:rsid w:val="005302CE"/>
    <w:rsid w:val="00530495"/>
    <w:rsid w:val="00532E74"/>
    <w:rsid w:val="005335F9"/>
    <w:rsid w:val="00533C7D"/>
    <w:rsid w:val="005350C7"/>
    <w:rsid w:val="00535799"/>
    <w:rsid w:val="005359BB"/>
    <w:rsid w:val="005364C3"/>
    <w:rsid w:val="005369E0"/>
    <w:rsid w:val="00536D1F"/>
    <w:rsid w:val="00537136"/>
    <w:rsid w:val="00540240"/>
    <w:rsid w:val="005417BF"/>
    <w:rsid w:val="005418D4"/>
    <w:rsid w:val="00541F90"/>
    <w:rsid w:val="0054220C"/>
    <w:rsid w:val="0054257A"/>
    <w:rsid w:val="00543888"/>
    <w:rsid w:val="0054429D"/>
    <w:rsid w:val="00544386"/>
    <w:rsid w:val="00544444"/>
    <w:rsid w:val="005447D5"/>
    <w:rsid w:val="00545083"/>
    <w:rsid w:val="005455FC"/>
    <w:rsid w:val="00546D63"/>
    <w:rsid w:val="0054701D"/>
    <w:rsid w:val="00550494"/>
    <w:rsid w:val="00552539"/>
    <w:rsid w:val="00552BA7"/>
    <w:rsid w:val="00553049"/>
    <w:rsid w:val="00554916"/>
    <w:rsid w:val="00554BEE"/>
    <w:rsid w:val="005553A5"/>
    <w:rsid w:val="00555996"/>
    <w:rsid w:val="00555BFB"/>
    <w:rsid w:val="00555C09"/>
    <w:rsid w:val="00555CEC"/>
    <w:rsid w:val="00555DB6"/>
    <w:rsid w:val="00556F57"/>
    <w:rsid w:val="00557CE9"/>
    <w:rsid w:val="005604C7"/>
    <w:rsid w:val="00560A32"/>
    <w:rsid w:val="00560BA2"/>
    <w:rsid w:val="00560CAF"/>
    <w:rsid w:val="00561558"/>
    <w:rsid w:val="005616A5"/>
    <w:rsid w:val="00561719"/>
    <w:rsid w:val="00561746"/>
    <w:rsid w:val="00562E2A"/>
    <w:rsid w:val="005631ED"/>
    <w:rsid w:val="0056344B"/>
    <w:rsid w:val="00563B97"/>
    <w:rsid w:val="005640F9"/>
    <w:rsid w:val="005644B3"/>
    <w:rsid w:val="00564756"/>
    <w:rsid w:val="00564A1C"/>
    <w:rsid w:val="00564AD7"/>
    <w:rsid w:val="00565B82"/>
    <w:rsid w:val="00566001"/>
    <w:rsid w:val="005662D2"/>
    <w:rsid w:val="00566322"/>
    <w:rsid w:val="00566B06"/>
    <w:rsid w:val="00566E40"/>
    <w:rsid w:val="00566F07"/>
    <w:rsid w:val="005674E3"/>
    <w:rsid w:val="0056772F"/>
    <w:rsid w:val="005678C0"/>
    <w:rsid w:val="0057017B"/>
    <w:rsid w:val="00570CBD"/>
    <w:rsid w:val="005713C0"/>
    <w:rsid w:val="00571901"/>
    <w:rsid w:val="00571D1F"/>
    <w:rsid w:val="00571D97"/>
    <w:rsid w:val="00572477"/>
    <w:rsid w:val="00573156"/>
    <w:rsid w:val="00574DFD"/>
    <w:rsid w:val="00575D3B"/>
    <w:rsid w:val="00576315"/>
    <w:rsid w:val="00576630"/>
    <w:rsid w:val="0057670C"/>
    <w:rsid w:val="00576790"/>
    <w:rsid w:val="00576FAC"/>
    <w:rsid w:val="00581111"/>
    <w:rsid w:val="005820BB"/>
    <w:rsid w:val="00582AE5"/>
    <w:rsid w:val="00582F3D"/>
    <w:rsid w:val="00584470"/>
    <w:rsid w:val="005845A7"/>
    <w:rsid w:val="00584706"/>
    <w:rsid w:val="005853D5"/>
    <w:rsid w:val="00585634"/>
    <w:rsid w:val="00585A8E"/>
    <w:rsid w:val="00585E4A"/>
    <w:rsid w:val="005867F0"/>
    <w:rsid w:val="00587933"/>
    <w:rsid w:val="00587EDC"/>
    <w:rsid w:val="00587F2B"/>
    <w:rsid w:val="00590E06"/>
    <w:rsid w:val="00593487"/>
    <w:rsid w:val="00593A5D"/>
    <w:rsid w:val="00593CAF"/>
    <w:rsid w:val="005953DA"/>
    <w:rsid w:val="00595AC1"/>
    <w:rsid w:val="00595B04"/>
    <w:rsid w:val="0059605B"/>
    <w:rsid w:val="005961BB"/>
    <w:rsid w:val="00597461"/>
    <w:rsid w:val="00597689"/>
    <w:rsid w:val="00597963"/>
    <w:rsid w:val="005A0FB6"/>
    <w:rsid w:val="005A1073"/>
    <w:rsid w:val="005A116F"/>
    <w:rsid w:val="005A19C0"/>
    <w:rsid w:val="005A2011"/>
    <w:rsid w:val="005A2096"/>
    <w:rsid w:val="005A221A"/>
    <w:rsid w:val="005A3187"/>
    <w:rsid w:val="005A4829"/>
    <w:rsid w:val="005A49CB"/>
    <w:rsid w:val="005A5641"/>
    <w:rsid w:val="005A56B4"/>
    <w:rsid w:val="005A593A"/>
    <w:rsid w:val="005A64AD"/>
    <w:rsid w:val="005A6894"/>
    <w:rsid w:val="005A690B"/>
    <w:rsid w:val="005A6F3B"/>
    <w:rsid w:val="005A71C0"/>
    <w:rsid w:val="005A72D0"/>
    <w:rsid w:val="005A786A"/>
    <w:rsid w:val="005A7F14"/>
    <w:rsid w:val="005B03AB"/>
    <w:rsid w:val="005B23E6"/>
    <w:rsid w:val="005B30D1"/>
    <w:rsid w:val="005B32B2"/>
    <w:rsid w:val="005B3321"/>
    <w:rsid w:val="005B36FE"/>
    <w:rsid w:val="005B44CA"/>
    <w:rsid w:val="005B5436"/>
    <w:rsid w:val="005B58FD"/>
    <w:rsid w:val="005B615E"/>
    <w:rsid w:val="005B6870"/>
    <w:rsid w:val="005B6C1B"/>
    <w:rsid w:val="005B7835"/>
    <w:rsid w:val="005B7892"/>
    <w:rsid w:val="005C04C5"/>
    <w:rsid w:val="005C1878"/>
    <w:rsid w:val="005C1D25"/>
    <w:rsid w:val="005C41D5"/>
    <w:rsid w:val="005C456D"/>
    <w:rsid w:val="005C5D70"/>
    <w:rsid w:val="005C6276"/>
    <w:rsid w:val="005C6591"/>
    <w:rsid w:val="005C693D"/>
    <w:rsid w:val="005C6D23"/>
    <w:rsid w:val="005C71F5"/>
    <w:rsid w:val="005C7605"/>
    <w:rsid w:val="005C762E"/>
    <w:rsid w:val="005D10B7"/>
    <w:rsid w:val="005D1345"/>
    <w:rsid w:val="005D1891"/>
    <w:rsid w:val="005D2046"/>
    <w:rsid w:val="005D251F"/>
    <w:rsid w:val="005D5155"/>
    <w:rsid w:val="005D57B1"/>
    <w:rsid w:val="005E13AC"/>
    <w:rsid w:val="005E1854"/>
    <w:rsid w:val="005E1E28"/>
    <w:rsid w:val="005E1F35"/>
    <w:rsid w:val="005E2B17"/>
    <w:rsid w:val="005E33A0"/>
    <w:rsid w:val="005E33DA"/>
    <w:rsid w:val="005E3A44"/>
    <w:rsid w:val="005E459A"/>
    <w:rsid w:val="005E4BBF"/>
    <w:rsid w:val="005E4EC5"/>
    <w:rsid w:val="005E50B0"/>
    <w:rsid w:val="005E5151"/>
    <w:rsid w:val="005E5C45"/>
    <w:rsid w:val="005E6520"/>
    <w:rsid w:val="005E7AB4"/>
    <w:rsid w:val="005F0AB1"/>
    <w:rsid w:val="005F123E"/>
    <w:rsid w:val="005F16AB"/>
    <w:rsid w:val="005F1B6F"/>
    <w:rsid w:val="005F1FBE"/>
    <w:rsid w:val="005F2C9C"/>
    <w:rsid w:val="005F47C3"/>
    <w:rsid w:val="005F4C23"/>
    <w:rsid w:val="005F4C57"/>
    <w:rsid w:val="005F531F"/>
    <w:rsid w:val="005F5522"/>
    <w:rsid w:val="005F61FD"/>
    <w:rsid w:val="005F79FF"/>
    <w:rsid w:val="00600C04"/>
    <w:rsid w:val="0060199E"/>
    <w:rsid w:val="00601F99"/>
    <w:rsid w:val="006026EF"/>
    <w:rsid w:val="00603004"/>
    <w:rsid w:val="006033EF"/>
    <w:rsid w:val="00603536"/>
    <w:rsid w:val="006035D9"/>
    <w:rsid w:val="00603817"/>
    <w:rsid w:val="006044F9"/>
    <w:rsid w:val="006045E7"/>
    <w:rsid w:val="00604E0C"/>
    <w:rsid w:val="006055BF"/>
    <w:rsid w:val="0060567E"/>
    <w:rsid w:val="00605B7A"/>
    <w:rsid w:val="006060D1"/>
    <w:rsid w:val="006063EF"/>
    <w:rsid w:val="006068C0"/>
    <w:rsid w:val="00606BE4"/>
    <w:rsid w:val="00610101"/>
    <w:rsid w:val="00611D1E"/>
    <w:rsid w:val="0061268A"/>
    <w:rsid w:val="0061273F"/>
    <w:rsid w:val="00612BFD"/>
    <w:rsid w:val="006131BB"/>
    <w:rsid w:val="006135C1"/>
    <w:rsid w:val="00613AC2"/>
    <w:rsid w:val="00613EEB"/>
    <w:rsid w:val="00614E8A"/>
    <w:rsid w:val="00615D07"/>
    <w:rsid w:val="006160C0"/>
    <w:rsid w:val="006167BC"/>
    <w:rsid w:val="00616CD0"/>
    <w:rsid w:val="00616E7F"/>
    <w:rsid w:val="006172FA"/>
    <w:rsid w:val="006174F2"/>
    <w:rsid w:val="00617DF2"/>
    <w:rsid w:val="00617EA5"/>
    <w:rsid w:val="0062010A"/>
    <w:rsid w:val="00621467"/>
    <w:rsid w:val="00621644"/>
    <w:rsid w:val="006224E3"/>
    <w:rsid w:val="00622A7D"/>
    <w:rsid w:val="006236F9"/>
    <w:rsid w:val="00623FD2"/>
    <w:rsid w:val="00624793"/>
    <w:rsid w:val="00626149"/>
    <w:rsid w:val="00626288"/>
    <w:rsid w:val="00626617"/>
    <w:rsid w:val="006277E7"/>
    <w:rsid w:val="00627DD5"/>
    <w:rsid w:val="00630E5F"/>
    <w:rsid w:val="0063198F"/>
    <w:rsid w:val="0063233C"/>
    <w:rsid w:val="00632D7D"/>
    <w:rsid w:val="0063379C"/>
    <w:rsid w:val="00634C4C"/>
    <w:rsid w:val="0063500E"/>
    <w:rsid w:val="0063712E"/>
    <w:rsid w:val="006375C1"/>
    <w:rsid w:val="00637C55"/>
    <w:rsid w:val="00637DE1"/>
    <w:rsid w:val="00640713"/>
    <w:rsid w:val="00640823"/>
    <w:rsid w:val="00640BFF"/>
    <w:rsid w:val="006411E9"/>
    <w:rsid w:val="0064255E"/>
    <w:rsid w:val="00642AFF"/>
    <w:rsid w:val="006439C1"/>
    <w:rsid w:val="00643C52"/>
    <w:rsid w:val="00643E6F"/>
    <w:rsid w:val="00644749"/>
    <w:rsid w:val="00646BAC"/>
    <w:rsid w:val="00646BF3"/>
    <w:rsid w:val="00647481"/>
    <w:rsid w:val="00647DAC"/>
    <w:rsid w:val="00647F20"/>
    <w:rsid w:val="00650528"/>
    <w:rsid w:val="006506B1"/>
    <w:rsid w:val="00651FD0"/>
    <w:rsid w:val="006520A9"/>
    <w:rsid w:val="00652115"/>
    <w:rsid w:val="00652AC0"/>
    <w:rsid w:val="00652BAE"/>
    <w:rsid w:val="00653263"/>
    <w:rsid w:val="00653579"/>
    <w:rsid w:val="00653B08"/>
    <w:rsid w:val="00653E96"/>
    <w:rsid w:val="006540D0"/>
    <w:rsid w:val="0065500F"/>
    <w:rsid w:val="00655876"/>
    <w:rsid w:val="00655E55"/>
    <w:rsid w:val="006563D9"/>
    <w:rsid w:val="0065642A"/>
    <w:rsid w:val="00657176"/>
    <w:rsid w:val="006571DE"/>
    <w:rsid w:val="0065744B"/>
    <w:rsid w:val="00660375"/>
    <w:rsid w:val="0066066B"/>
    <w:rsid w:val="0066339E"/>
    <w:rsid w:val="00664767"/>
    <w:rsid w:val="00664CCE"/>
    <w:rsid w:val="00665E9C"/>
    <w:rsid w:val="00666505"/>
    <w:rsid w:val="00667221"/>
    <w:rsid w:val="00667D21"/>
    <w:rsid w:val="00667FD8"/>
    <w:rsid w:val="0067136C"/>
    <w:rsid w:val="00672848"/>
    <w:rsid w:val="00673837"/>
    <w:rsid w:val="00674F9D"/>
    <w:rsid w:val="0067666C"/>
    <w:rsid w:val="00676B04"/>
    <w:rsid w:val="006774F2"/>
    <w:rsid w:val="00677BFB"/>
    <w:rsid w:val="00677D88"/>
    <w:rsid w:val="00680E6F"/>
    <w:rsid w:val="006815D3"/>
    <w:rsid w:val="00681DC8"/>
    <w:rsid w:val="00681DCD"/>
    <w:rsid w:val="00681EC9"/>
    <w:rsid w:val="00681F4B"/>
    <w:rsid w:val="006823AE"/>
    <w:rsid w:val="0068334B"/>
    <w:rsid w:val="00684128"/>
    <w:rsid w:val="00684181"/>
    <w:rsid w:val="006842C6"/>
    <w:rsid w:val="00684451"/>
    <w:rsid w:val="006848F2"/>
    <w:rsid w:val="00684B0E"/>
    <w:rsid w:val="00684F02"/>
    <w:rsid w:val="00685FF7"/>
    <w:rsid w:val="0068622E"/>
    <w:rsid w:val="00686462"/>
    <w:rsid w:val="006866B9"/>
    <w:rsid w:val="00687A7D"/>
    <w:rsid w:val="00690E7F"/>
    <w:rsid w:val="006923D2"/>
    <w:rsid w:val="006927E3"/>
    <w:rsid w:val="006938E7"/>
    <w:rsid w:val="00694110"/>
    <w:rsid w:val="006943C0"/>
    <w:rsid w:val="0069505F"/>
    <w:rsid w:val="0069559F"/>
    <w:rsid w:val="00695A38"/>
    <w:rsid w:val="00695A55"/>
    <w:rsid w:val="00696031"/>
    <w:rsid w:val="006971E0"/>
    <w:rsid w:val="0069786F"/>
    <w:rsid w:val="006978FC"/>
    <w:rsid w:val="006A1463"/>
    <w:rsid w:val="006A2B3A"/>
    <w:rsid w:val="006A35B6"/>
    <w:rsid w:val="006A3900"/>
    <w:rsid w:val="006A3F25"/>
    <w:rsid w:val="006A45FB"/>
    <w:rsid w:val="006A477D"/>
    <w:rsid w:val="006A49C0"/>
    <w:rsid w:val="006A53B5"/>
    <w:rsid w:val="006A5767"/>
    <w:rsid w:val="006A5802"/>
    <w:rsid w:val="006A5C90"/>
    <w:rsid w:val="006A5D95"/>
    <w:rsid w:val="006A5E28"/>
    <w:rsid w:val="006A6B61"/>
    <w:rsid w:val="006A6D85"/>
    <w:rsid w:val="006A6ECD"/>
    <w:rsid w:val="006A7062"/>
    <w:rsid w:val="006B0B36"/>
    <w:rsid w:val="006B18D5"/>
    <w:rsid w:val="006B1E21"/>
    <w:rsid w:val="006B2022"/>
    <w:rsid w:val="006B26EC"/>
    <w:rsid w:val="006B319D"/>
    <w:rsid w:val="006B35EC"/>
    <w:rsid w:val="006B3BF9"/>
    <w:rsid w:val="006B4FB7"/>
    <w:rsid w:val="006B5BE0"/>
    <w:rsid w:val="006B6493"/>
    <w:rsid w:val="006B65E4"/>
    <w:rsid w:val="006B738F"/>
    <w:rsid w:val="006C061B"/>
    <w:rsid w:val="006C0662"/>
    <w:rsid w:val="006C1BD5"/>
    <w:rsid w:val="006C1EFC"/>
    <w:rsid w:val="006C29C4"/>
    <w:rsid w:val="006C306E"/>
    <w:rsid w:val="006C378D"/>
    <w:rsid w:val="006C3A43"/>
    <w:rsid w:val="006C3AA6"/>
    <w:rsid w:val="006C3FD0"/>
    <w:rsid w:val="006C42E7"/>
    <w:rsid w:val="006C554A"/>
    <w:rsid w:val="006C5585"/>
    <w:rsid w:val="006C6460"/>
    <w:rsid w:val="006C661F"/>
    <w:rsid w:val="006C6B6F"/>
    <w:rsid w:val="006C6E8B"/>
    <w:rsid w:val="006C7853"/>
    <w:rsid w:val="006D163F"/>
    <w:rsid w:val="006D189D"/>
    <w:rsid w:val="006D3202"/>
    <w:rsid w:val="006D40AD"/>
    <w:rsid w:val="006D4541"/>
    <w:rsid w:val="006D4682"/>
    <w:rsid w:val="006D4B4D"/>
    <w:rsid w:val="006D4C31"/>
    <w:rsid w:val="006D6063"/>
    <w:rsid w:val="006D62C4"/>
    <w:rsid w:val="006D6B0E"/>
    <w:rsid w:val="006D768F"/>
    <w:rsid w:val="006D7D24"/>
    <w:rsid w:val="006E00C5"/>
    <w:rsid w:val="006E061E"/>
    <w:rsid w:val="006E089A"/>
    <w:rsid w:val="006E14EF"/>
    <w:rsid w:val="006E256B"/>
    <w:rsid w:val="006E2C45"/>
    <w:rsid w:val="006E380C"/>
    <w:rsid w:val="006E3D13"/>
    <w:rsid w:val="006E3E9A"/>
    <w:rsid w:val="006E44B3"/>
    <w:rsid w:val="006E4C13"/>
    <w:rsid w:val="006E4C3D"/>
    <w:rsid w:val="006E50D2"/>
    <w:rsid w:val="006E571B"/>
    <w:rsid w:val="006E5B2E"/>
    <w:rsid w:val="006E5B77"/>
    <w:rsid w:val="006E6821"/>
    <w:rsid w:val="006E6D87"/>
    <w:rsid w:val="006E700F"/>
    <w:rsid w:val="006E7560"/>
    <w:rsid w:val="006E75FC"/>
    <w:rsid w:val="006E7C4F"/>
    <w:rsid w:val="006E7FE3"/>
    <w:rsid w:val="006F01D7"/>
    <w:rsid w:val="006F10BB"/>
    <w:rsid w:val="006F279E"/>
    <w:rsid w:val="006F3804"/>
    <w:rsid w:val="006F38C4"/>
    <w:rsid w:val="006F3F34"/>
    <w:rsid w:val="006F417B"/>
    <w:rsid w:val="006F51A8"/>
    <w:rsid w:val="006F546C"/>
    <w:rsid w:val="006F559C"/>
    <w:rsid w:val="006F55E5"/>
    <w:rsid w:val="006F5F21"/>
    <w:rsid w:val="006F6AD9"/>
    <w:rsid w:val="006F6E42"/>
    <w:rsid w:val="006F76D5"/>
    <w:rsid w:val="006F7D08"/>
    <w:rsid w:val="007006DE"/>
    <w:rsid w:val="007011F5"/>
    <w:rsid w:val="00701CDB"/>
    <w:rsid w:val="00702032"/>
    <w:rsid w:val="00702858"/>
    <w:rsid w:val="00702D85"/>
    <w:rsid w:val="0070366E"/>
    <w:rsid w:val="007043BA"/>
    <w:rsid w:val="0070491E"/>
    <w:rsid w:val="00704A2F"/>
    <w:rsid w:val="00704B6E"/>
    <w:rsid w:val="007050FA"/>
    <w:rsid w:val="007052E3"/>
    <w:rsid w:val="00705F56"/>
    <w:rsid w:val="00706D6E"/>
    <w:rsid w:val="007075CF"/>
    <w:rsid w:val="00707682"/>
    <w:rsid w:val="00707757"/>
    <w:rsid w:val="00707E21"/>
    <w:rsid w:val="00707F31"/>
    <w:rsid w:val="0071145B"/>
    <w:rsid w:val="007122B9"/>
    <w:rsid w:val="00712418"/>
    <w:rsid w:val="00712D7D"/>
    <w:rsid w:val="0071362B"/>
    <w:rsid w:val="0071397B"/>
    <w:rsid w:val="00713C75"/>
    <w:rsid w:val="00714527"/>
    <w:rsid w:val="00714770"/>
    <w:rsid w:val="00714C54"/>
    <w:rsid w:val="00714D68"/>
    <w:rsid w:val="00715455"/>
    <w:rsid w:val="00715D3C"/>
    <w:rsid w:val="00715D4F"/>
    <w:rsid w:val="00716F33"/>
    <w:rsid w:val="00717EA1"/>
    <w:rsid w:val="00721885"/>
    <w:rsid w:val="00721A25"/>
    <w:rsid w:val="007221B5"/>
    <w:rsid w:val="00722C6F"/>
    <w:rsid w:val="007237C1"/>
    <w:rsid w:val="007238C1"/>
    <w:rsid w:val="007240E7"/>
    <w:rsid w:val="00725747"/>
    <w:rsid w:val="007262A0"/>
    <w:rsid w:val="007268B3"/>
    <w:rsid w:val="00726DE4"/>
    <w:rsid w:val="0072786D"/>
    <w:rsid w:val="007303BB"/>
    <w:rsid w:val="00730ADF"/>
    <w:rsid w:val="00731666"/>
    <w:rsid w:val="00731B6C"/>
    <w:rsid w:val="00732170"/>
    <w:rsid w:val="00732A58"/>
    <w:rsid w:val="007338B2"/>
    <w:rsid w:val="00733D73"/>
    <w:rsid w:val="00735315"/>
    <w:rsid w:val="0073632B"/>
    <w:rsid w:val="007363A9"/>
    <w:rsid w:val="007363F1"/>
    <w:rsid w:val="00736577"/>
    <w:rsid w:val="007378FE"/>
    <w:rsid w:val="00737D91"/>
    <w:rsid w:val="00740E9F"/>
    <w:rsid w:val="00740EE5"/>
    <w:rsid w:val="00741ADD"/>
    <w:rsid w:val="007427AC"/>
    <w:rsid w:val="00743138"/>
    <w:rsid w:val="007432D2"/>
    <w:rsid w:val="00743498"/>
    <w:rsid w:val="007445DC"/>
    <w:rsid w:val="00744E64"/>
    <w:rsid w:val="00744FB4"/>
    <w:rsid w:val="00747255"/>
    <w:rsid w:val="007472B6"/>
    <w:rsid w:val="0074741F"/>
    <w:rsid w:val="00747493"/>
    <w:rsid w:val="007478A7"/>
    <w:rsid w:val="007501E8"/>
    <w:rsid w:val="007512C1"/>
    <w:rsid w:val="0075158D"/>
    <w:rsid w:val="00752CDA"/>
    <w:rsid w:val="00754420"/>
    <w:rsid w:val="00754F08"/>
    <w:rsid w:val="00754F60"/>
    <w:rsid w:val="007557C6"/>
    <w:rsid w:val="007602EF"/>
    <w:rsid w:val="007602F9"/>
    <w:rsid w:val="00760D7D"/>
    <w:rsid w:val="00760E05"/>
    <w:rsid w:val="0076133F"/>
    <w:rsid w:val="007617E7"/>
    <w:rsid w:val="00761930"/>
    <w:rsid w:val="007621A3"/>
    <w:rsid w:val="0076225C"/>
    <w:rsid w:val="007636CD"/>
    <w:rsid w:val="00763A21"/>
    <w:rsid w:val="00764BC2"/>
    <w:rsid w:val="00764D18"/>
    <w:rsid w:val="00765A86"/>
    <w:rsid w:val="00766010"/>
    <w:rsid w:val="007669BB"/>
    <w:rsid w:val="00766A69"/>
    <w:rsid w:val="00766FD3"/>
    <w:rsid w:val="00766FE4"/>
    <w:rsid w:val="00767C81"/>
    <w:rsid w:val="00767FA5"/>
    <w:rsid w:val="007713C6"/>
    <w:rsid w:val="00771442"/>
    <w:rsid w:val="00771988"/>
    <w:rsid w:val="007743AF"/>
    <w:rsid w:val="007749E4"/>
    <w:rsid w:val="00774B45"/>
    <w:rsid w:val="00775927"/>
    <w:rsid w:val="00775D79"/>
    <w:rsid w:val="00775F63"/>
    <w:rsid w:val="007763DB"/>
    <w:rsid w:val="00776C0C"/>
    <w:rsid w:val="007812DE"/>
    <w:rsid w:val="0078153C"/>
    <w:rsid w:val="00781B6A"/>
    <w:rsid w:val="00781CF0"/>
    <w:rsid w:val="007824E9"/>
    <w:rsid w:val="0078279F"/>
    <w:rsid w:val="00782B5D"/>
    <w:rsid w:val="00782B7E"/>
    <w:rsid w:val="00782E5E"/>
    <w:rsid w:val="007831C8"/>
    <w:rsid w:val="00783D30"/>
    <w:rsid w:val="007851FA"/>
    <w:rsid w:val="007857AC"/>
    <w:rsid w:val="00785D4E"/>
    <w:rsid w:val="00786639"/>
    <w:rsid w:val="00790518"/>
    <w:rsid w:val="007905FD"/>
    <w:rsid w:val="00790717"/>
    <w:rsid w:val="00790F26"/>
    <w:rsid w:val="00792825"/>
    <w:rsid w:val="00793FB0"/>
    <w:rsid w:val="00794BD8"/>
    <w:rsid w:val="007954E3"/>
    <w:rsid w:val="007961DF"/>
    <w:rsid w:val="00796F67"/>
    <w:rsid w:val="0079757F"/>
    <w:rsid w:val="007A03E3"/>
    <w:rsid w:val="007A1A6B"/>
    <w:rsid w:val="007A3282"/>
    <w:rsid w:val="007A3574"/>
    <w:rsid w:val="007A35A6"/>
    <w:rsid w:val="007A3642"/>
    <w:rsid w:val="007A51FB"/>
    <w:rsid w:val="007A54F9"/>
    <w:rsid w:val="007A5A0B"/>
    <w:rsid w:val="007A5DD8"/>
    <w:rsid w:val="007A688C"/>
    <w:rsid w:val="007A747D"/>
    <w:rsid w:val="007A7E26"/>
    <w:rsid w:val="007B09AC"/>
    <w:rsid w:val="007B0F82"/>
    <w:rsid w:val="007B26B7"/>
    <w:rsid w:val="007B2846"/>
    <w:rsid w:val="007B3088"/>
    <w:rsid w:val="007B3E04"/>
    <w:rsid w:val="007B3FE8"/>
    <w:rsid w:val="007B4956"/>
    <w:rsid w:val="007B5CB1"/>
    <w:rsid w:val="007B6A50"/>
    <w:rsid w:val="007B7084"/>
    <w:rsid w:val="007B70AF"/>
    <w:rsid w:val="007C17CE"/>
    <w:rsid w:val="007C1A92"/>
    <w:rsid w:val="007C21F9"/>
    <w:rsid w:val="007C257D"/>
    <w:rsid w:val="007C36A2"/>
    <w:rsid w:val="007C373D"/>
    <w:rsid w:val="007C430F"/>
    <w:rsid w:val="007C6B6D"/>
    <w:rsid w:val="007C6EC4"/>
    <w:rsid w:val="007D0B5D"/>
    <w:rsid w:val="007D143E"/>
    <w:rsid w:val="007D274B"/>
    <w:rsid w:val="007D2BCD"/>
    <w:rsid w:val="007D392F"/>
    <w:rsid w:val="007D3FF3"/>
    <w:rsid w:val="007D410A"/>
    <w:rsid w:val="007D53D0"/>
    <w:rsid w:val="007D5592"/>
    <w:rsid w:val="007D579D"/>
    <w:rsid w:val="007D5FFA"/>
    <w:rsid w:val="007D72BF"/>
    <w:rsid w:val="007D79E2"/>
    <w:rsid w:val="007D7C89"/>
    <w:rsid w:val="007E08E9"/>
    <w:rsid w:val="007E198C"/>
    <w:rsid w:val="007E2358"/>
    <w:rsid w:val="007E4FB3"/>
    <w:rsid w:val="007E65B6"/>
    <w:rsid w:val="007E6ADD"/>
    <w:rsid w:val="007E7EC3"/>
    <w:rsid w:val="007E7F53"/>
    <w:rsid w:val="007F02EC"/>
    <w:rsid w:val="007F1161"/>
    <w:rsid w:val="007F1A5F"/>
    <w:rsid w:val="007F21E3"/>
    <w:rsid w:val="007F2626"/>
    <w:rsid w:val="007F3921"/>
    <w:rsid w:val="007F3BC9"/>
    <w:rsid w:val="007F3C32"/>
    <w:rsid w:val="007F3EF7"/>
    <w:rsid w:val="007F4041"/>
    <w:rsid w:val="007F520E"/>
    <w:rsid w:val="007F5FE4"/>
    <w:rsid w:val="008000AB"/>
    <w:rsid w:val="008005C3"/>
    <w:rsid w:val="008009F7"/>
    <w:rsid w:val="00801B5E"/>
    <w:rsid w:val="00802242"/>
    <w:rsid w:val="008023E3"/>
    <w:rsid w:val="00802472"/>
    <w:rsid w:val="008024DF"/>
    <w:rsid w:val="0080380E"/>
    <w:rsid w:val="0080436A"/>
    <w:rsid w:val="00804C5F"/>
    <w:rsid w:val="00805251"/>
    <w:rsid w:val="00805388"/>
    <w:rsid w:val="0080619A"/>
    <w:rsid w:val="0081055E"/>
    <w:rsid w:val="00811DB1"/>
    <w:rsid w:val="00811EA7"/>
    <w:rsid w:val="0081216A"/>
    <w:rsid w:val="0081253B"/>
    <w:rsid w:val="00812966"/>
    <w:rsid w:val="00812A01"/>
    <w:rsid w:val="00812FA9"/>
    <w:rsid w:val="00813AB0"/>
    <w:rsid w:val="008144BD"/>
    <w:rsid w:val="00814BB3"/>
    <w:rsid w:val="00815027"/>
    <w:rsid w:val="00815708"/>
    <w:rsid w:val="00816387"/>
    <w:rsid w:val="008167DE"/>
    <w:rsid w:val="00817810"/>
    <w:rsid w:val="0081791C"/>
    <w:rsid w:val="008200BE"/>
    <w:rsid w:val="0082051D"/>
    <w:rsid w:val="008218D8"/>
    <w:rsid w:val="008219F3"/>
    <w:rsid w:val="00821CF5"/>
    <w:rsid w:val="0082276B"/>
    <w:rsid w:val="00823062"/>
    <w:rsid w:val="00823287"/>
    <w:rsid w:val="00823549"/>
    <w:rsid w:val="008238BB"/>
    <w:rsid w:val="0082456B"/>
    <w:rsid w:val="008248A8"/>
    <w:rsid w:val="00824A77"/>
    <w:rsid w:val="008255A5"/>
    <w:rsid w:val="00825A31"/>
    <w:rsid w:val="008262A0"/>
    <w:rsid w:val="0082648D"/>
    <w:rsid w:val="00826D2D"/>
    <w:rsid w:val="00826E1A"/>
    <w:rsid w:val="0082708F"/>
    <w:rsid w:val="00827AA3"/>
    <w:rsid w:val="00827E01"/>
    <w:rsid w:val="00830192"/>
    <w:rsid w:val="008312B2"/>
    <w:rsid w:val="008312E6"/>
    <w:rsid w:val="00831B92"/>
    <w:rsid w:val="008320C4"/>
    <w:rsid w:val="008328B1"/>
    <w:rsid w:val="0083382D"/>
    <w:rsid w:val="00833C48"/>
    <w:rsid w:val="00834084"/>
    <w:rsid w:val="00834796"/>
    <w:rsid w:val="00835166"/>
    <w:rsid w:val="0083519D"/>
    <w:rsid w:val="00835B93"/>
    <w:rsid w:val="00835ED1"/>
    <w:rsid w:val="008360C2"/>
    <w:rsid w:val="008361B4"/>
    <w:rsid w:val="0083764D"/>
    <w:rsid w:val="00841576"/>
    <w:rsid w:val="00841CC1"/>
    <w:rsid w:val="00842BC7"/>
    <w:rsid w:val="0084326C"/>
    <w:rsid w:val="00843602"/>
    <w:rsid w:val="00843927"/>
    <w:rsid w:val="00843D92"/>
    <w:rsid w:val="00843E98"/>
    <w:rsid w:val="0084467A"/>
    <w:rsid w:val="00845167"/>
    <w:rsid w:val="00847D04"/>
    <w:rsid w:val="0085013A"/>
    <w:rsid w:val="00850182"/>
    <w:rsid w:val="00850D48"/>
    <w:rsid w:val="0085120A"/>
    <w:rsid w:val="00851709"/>
    <w:rsid w:val="0085264E"/>
    <w:rsid w:val="008536C3"/>
    <w:rsid w:val="008543C4"/>
    <w:rsid w:val="00854E4E"/>
    <w:rsid w:val="008551CE"/>
    <w:rsid w:val="008564B0"/>
    <w:rsid w:val="008578F5"/>
    <w:rsid w:val="00857B9C"/>
    <w:rsid w:val="00857DAD"/>
    <w:rsid w:val="00860D3E"/>
    <w:rsid w:val="008613C4"/>
    <w:rsid w:val="00861626"/>
    <w:rsid w:val="00862711"/>
    <w:rsid w:val="008628B3"/>
    <w:rsid w:val="00863DAA"/>
    <w:rsid w:val="00865BF6"/>
    <w:rsid w:val="00865DF2"/>
    <w:rsid w:val="00866599"/>
    <w:rsid w:val="008670C1"/>
    <w:rsid w:val="00870DD6"/>
    <w:rsid w:val="008714FE"/>
    <w:rsid w:val="00871A0A"/>
    <w:rsid w:val="00872236"/>
    <w:rsid w:val="008732BD"/>
    <w:rsid w:val="00874788"/>
    <w:rsid w:val="00874DB8"/>
    <w:rsid w:val="00876566"/>
    <w:rsid w:val="008800CA"/>
    <w:rsid w:val="00880409"/>
    <w:rsid w:val="008805D9"/>
    <w:rsid w:val="00881125"/>
    <w:rsid w:val="00881767"/>
    <w:rsid w:val="008817E5"/>
    <w:rsid w:val="008826D8"/>
    <w:rsid w:val="00882CFE"/>
    <w:rsid w:val="00883617"/>
    <w:rsid w:val="00883F4E"/>
    <w:rsid w:val="00884335"/>
    <w:rsid w:val="008846EE"/>
    <w:rsid w:val="00885900"/>
    <w:rsid w:val="00886633"/>
    <w:rsid w:val="00886CA5"/>
    <w:rsid w:val="008870A3"/>
    <w:rsid w:val="00887B48"/>
    <w:rsid w:val="00890B51"/>
    <w:rsid w:val="008926F8"/>
    <w:rsid w:val="00892DF3"/>
    <w:rsid w:val="00892E77"/>
    <w:rsid w:val="008933DE"/>
    <w:rsid w:val="008936A8"/>
    <w:rsid w:val="008950DB"/>
    <w:rsid w:val="00895152"/>
    <w:rsid w:val="008957E2"/>
    <w:rsid w:val="00895A7F"/>
    <w:rsid w:val="00896BA9"/>
    <w:rsid w:val="008A03BE"/>
    <w:rsid w:val="008A13C7"/>
    <w:rsid w:val="008A3D8A"/>
    <w:rsid w:val="008A3E88"/>
    <w:rsid w:val="008A49B4"/>
    <w:rsid w:val="008A55E3"/>
    <w:rsid w:val="008A5E40"/>
    <w:rsid w:val="008A6086"/>
    <w:rsid w:val="008A6183"/>
    <w:rsid w:val="008A7069"/>
    <w:rsid w:val="008A70AD"/>
    <w:rsid w:val="008A71BD"/>
    <w:rsid w:val="008A7335"/>
    <w:rsid w:val="008A7F2B"/>
    <w:rsid w:val="008B048F"/>
    <w:rsid w:val="008B0E70"/>
    <w:rsid w:val="008B15B9"/>
    <w:rsid w:val="008B17F9"/>
    <w:rsid w:val="008B27DA"/>
    <w:rsid w:val="008B2A72"/>
    <w:rsid w:val="008B3439"/>
    <w:rsid w:val="008B3C85"/>
    <w:rsid w:val="008B4DCC"/>
    <w:rsid w:val="008B51E7"/>
    <w:rsid w:val="008B5774"/>
    <w:rsid w:val="008B5A87"/>
    <w:rsid w:val="008B60F5"/>
    <w:rsid w:val="008B71B4"/>
    <w:rsid w:val="008B7249"/>
    <w:rsid w:val="008B7385"/>
    <w:rsid w:val="008B7EBF"/>
    <w:rsid w:val="008C064B"/>
    <w:rsid w:val="008C07BF"/>
    <w:rsid w:val="008C10A2"/>
    <w:rsid w:val="008C20A7"/>
    <w:rsid w:val="008C2584"/>
    <w:rsid w:val="008C277D"/>
    <w:rsid w:val="008C320B"/>
    <w:rsid w:val="008C413A"/>
    <w:rsid w:val="008C425C"/>
    <w:rsid w:val="008C4663"/>
    <w:rsid w:val="008C473E"/>
    <w:rsid w:val="008C50EA"/>
    <w:rsid w:val="008C6FE7"/>
    <w:rsid w:val="008D0E7F"/>
    <w:rsid w:val="008D1632"/>
    <w:rsid w:val="008D3010"/>
    <w:rsid w:val="008D3B84"/>
    <w:rsid w:val="008D462B"/>
    <w:rsid w:val="008D4CA9"/>
    <w:rsid w:val="008D52D9"/>
    <w:rsid w:val="008D5999"/>
    <w:rsid w:val="008D599D"/>
    <w:rsid w:val="008D59F4"/>
    <w:rsid w:val="008D7961"/>
    <w:rsid w:val="008E06A7"/>
    <w:rsid w:val="008E0F81"/>
    <w:rsid w:val="008E20A4"/>
    <w:rsid w:val="008E35AE"/>
    <w:rsid w:val="008E3B78"/>
    <w:rsid w:val="008E3C2F"/>
    <w:rsid w:val="008E5302"/>
    <w:rsid w:val="008E5617"/>
    <w:rsid w:val="008E564A"/>
    <w:rsid w:val="008E58CA"/>
    <w:rsid w:val="008E6337"/>
    <w:rsid w:val="008E6A21"/>
    <w:rsid w:val="008F0514"/>
    <w:rsid w:val="008F09CB"/>
    <w:rsid w:val="008F0C02"/>
    <w:rsid w:val="008F13D4"/>
    <w:rsid w:val="008F2342"/>
    <w:rsid w:val="008F2D33"/>
    <w:rsid w:val="008F35F6"/>
    <w:rsid w:val="008F6479"/>
    <w:rsid w:val="008F64E7"/>
    <w:rsid w:val="008F666C"/>
    <w:rsid w:val="008F6D27"/>
    <w:rsid w:val="008F6F17"/>
    <w:rsid w:val="008F7215"/>
    <w:rsid w:val="008F73DB"/>
    <w:rsid w:val="008F79EB"/>
    <w:rsid w:val="00900D6E"/>
    <w:rsid w:val="00900FD4"/>
    <w:rsid w:val="009012BB"/>
    <w:rsid w:val="00901696"/>
    <w:rsid w:val="009019C7"/>
    <w:rsid w:val="00901A0B"/>
    <w:rsid w:val="00901B20"/>
    <w:rsid w:val="00902395"/>
    <w:rsid w:val="0090294C"/>
    <w:rsid w:val="009033A7"/>
    <w:rsid w:val="009044DE"/>
    <w:rsid w:val="00904A43"/>
    <w:rsid w:val="00905409"/>
    <w:rsid w:val="009056A6"/>
    <w:rsid w:val="00905E03"/>
    <w:rsid w:val="00907C56"/>
    <w:rsid w:val="009105FF"/>
    <w:rsid w:val="009108E8"/>
    <w:rsid w:val="00910EE4"/>
    <w:rsid w:val="00911871"/>
    <w:rsid w:val="00911C22"/>
    <w:rsid w:val="009121D1"/>
    <w:rsid w:val="0091365F"/>
    <w:rsid w:val="009141C0"/>
    <w:rsid w:val="0091445A"/>
    <w:rsid w:val="00914597"/>
    <w:rsid w:val="00916D77"/>
    <w:rsid w:val="0092138F"/>
    <w:rsid w:val="0092148B"/>
    <w:rsid w:val="009214B5"/>
    <w:rsid w:val="00921B9B"/>
    <w:rsid w:val="00921BCF"/>
    <w:rsid w:val="00921CBF"/>
    <w:rsid w:val="009229AD"/>
    <w:rsid w:val="0092458C"/>
    <w:rsid w:val="00925078"/>
    <w:rsid w:val="00925395"/>
    <w:rsid w:val="00926635"/>
    <w:rsid w:val="00926C16"/>
    <w:rsid w:val="0092788D"/>
    <w:rsid w:val="00927F46"/>
    <w:rsid w:val="009301FB"/>
    <w:rsid w:val="00930B66"/>
    <w:rsid w:val="00931315"/>
    <w:rsid w:val="00931983"/>
    <w:rsid w:val="00931ED9"/>
    <w:rsid w:val="009320C9"/>
    <w:rsid w:val="00932E88"/>
    <w:rsid w:val="00933E70"/>
    <w:rsid w:val="009342E4"/>
    <w:rsid w:val="0093483D"/>
    <w:rsid w:val="009348CA"/>
    <w:rsid w:val="00934D0E"/>
    <w:rsid w:val="00934D37"/>
    <w:rsid w:val="00935305"/>
    <w:rsid w:val="00935BA3"/>
    <w:rsid w:val="00935E65"/>
    <w:rsid w:val="009368A2"/>
    <w:rsid w:val="009403C7"/>
    <w:rsid w:val="00940D8B"/>
    <w:rsid w:val="00940F39"/>
    <w:rsid w:val="00941A44"/>
    <w:rsid w:val="009422C4"/>
    <w:rsid w:val="00942CFE"/>
    <w:rsid w:val="009447C8"/>
    <w:rsid w:val="00944BEB"/>
    <w:rsid w:val="009460E8"/>
    <w:rsid w:val="009464DC"/>
    <w:rsid w:val="00947816"/>
    <w:rsid w:val="00947891"/>
    <w:rsid w:val="00950F3E"/>
    <w:rsid w:val="009512F2"/>
    <w:rsid w:val="0095133B"/>
    <w:rsid w:val="00951F00"/>
    <w:rsid w:val="00952B6A"/>
    <w:rsid w:val="00952C4A"/>
    <w:rsid w:val="00952C91"/>
    <w:rsid w:val="00953CC0"/>
    <w:rsid w:val="00954EAD"/>
    <w:rsid w:val="00955CC4"/>
    <w:rsid w:val="00955CE0"/>
    <w:rsid w:val="00955CF3"/>
    <w:rsid w:val="00957223"/>
    <w:rsid w:val="0095783D"/>
    <w:rsid w:val="00957E08"/>
    <w:rsid w:val="00960304"/>
    <w:rsid w:val="00960F07"/>
    <w:rsid w:val="00961488"/>
    <w:rsid w:val="00962009"/>
    <w:rsid w:val="00962ECD"/>
    <w:rsid w:val="00962FAF"/>
    <w:rsid w:val="00962FED"/>
    <w:rsid w:val="00963741"/>
    <w:rsid w:val="009646B2"/>
    <w:rsid w:val="009647B1"/>
    <w:rsid w:val="00964AD7"/>
    <w:rsid w:val="00964F47"/>
    <w:rsid w:val="0096521F"/>
    <w:rsid w:val="00965850"/>
    <w:rsid w:val="0096609C"/>
    <w:rsid w:val="009679F6"/>
    <w:rsid w:val="00972F3C"/>
    <w:rsid w:val="00973564"/>
    <w:rsid w:val="009735C6"/>
    <w:rsid w:val="00973C20"/>
    <w:rsid w:val="00973E19"/>
    <w:rsid w:val="00974D43"/>
    <w:rsid w:val="009755D2"/>
    <w:rsid w:val="00975765"/>
    <w:rsid w:val="00975886"/>
    <w:rsid w:val="00975B89"/>
    <w:rsid w:val="00976462"/>
    <w:rsid w:val="00977C61"/>
    <w:rsid w:val="0098017A"/>
    <w:rsid w:val="0098087C"/>
    <w:rsid w:val="009816F0"/>
    <w:rsid w:val="0098183B"/>
    <w:rsid w:val="00981899"/>
    <w:rsid w:val="00982E46"/>
    <w:rsid w:val="00983257"/>
    <w:rsid w:val="009840C4"/>
    <w:rsid w:val="00984B9A"/>
    <w:rsid w:val="0098573A"/>
    <w:rsid w:val="00985857"/>
    <w:rsid w:val="00987267"/>
    <w:rsid w:val="0098733F"/>
    <w:rsid w:val="00987609"/>
    <w:rsid w:val="0098787E"/>
    <w:rsid w:val="00987BF4"/>
    <w:rsid w:val="0099028C"/>
    <w:rsid w:val="009906D9"/>
    <w:rsid w:val="0099178C"/>
    <w:rsid w:val="009917DB"/>
    <w:rsid w:val="00991B8A"/>
    <w:rsid w:val="009937E5"/>
    <w:rsid w:val="00993886"/>
    <w:rsid w:val="00993A06"/>
    <w:rsid w:val="00993B44"/>
    <w:rsid w:val="009941C2"/>
    <w:rsid w:val="009955DB"/>
    <w:rsid w:val="00995C5E"/>
    <w:rsid w:val="00995EB5"/>
    <w:rsid w:val="00996116"/>
    <w:rsid w:val="00996DD9"/>
    <w:rsid w:val="00997C5F"/>
    <w:rsid w:val="009A2B74"/>
    <w:rsid w:val="009A2C6B"/>
    <w:rsid w:val="009A315F"/>
    <w:rsid w:val="009A3897"/>
    <w:rsid w:val="009A3D6A"/>
    <w:rsid w:val="009A4BD3"/>
    <w:rsid w:val="009A4DAA"/>
    <w:rsid w:val="009A5317"/>
    <w:rsid w:val="009A5681"/>
    <w:rsid w:val="009A6659"/>
    <w:rsid w:val="009A70E4"/>
    <w:rsid w:val="009A755A"/>
    <w:rsid w:val="009A7BB2"/>
    <w:rsid w:val="009B1208"/>
    <w:rsid w:val="009B1E0D"/>
    <w:rsid w:val="009B2DBB"/>
    <w:rsid w:val="009B34F8"/>
    <w:rsid w:val="009B3D9C"/>
    <w:rsid w:val="009B4580"/>
    <w:rsid w:val="009B4F53"/>
    <w:rsid w:val="009B50FF"/>
    <w:rsid w:val="009B5965"/>
    <w:rsid w:val="009B5DDD"/>
    <w:rsid w:val="009B660F"/>
    <w:rsid w:val="009B667C"/>
    <w:rsid w:val="009B72D8"/>
    <w:rsid w:val="009B77E9"/>
    <w:rsid w:val="009B7984"/>
    <w:rsid w:val="009C0B44"/>
    <w:rsid w:val="009C129F"/>
    <w:rsid w:val="009C26FB"/>
    <w:rsid w:val="009C27AF"/>
    <w:rsid w:val="009C3019"/>
    <w:rsid w:val="009C34D5"/>
    <w:rsid w:val="009C4E23"/>
    <w:rsid w:val="009C4F59"/>
    <w:rsid w:val="009C7525"/>
    <w:rsid w:val="009C7A67"/>
    <w:rsid w:val="009C7B16"/>
    <w:rsid w:val="009C7F0D"/>
    <w:rsid w:val="009D192C"/>
    <w:rsid w:val="009D1A79"/>
    <w:rsid w:val="009D216F"/>
    <w:rsid w:val="009D50C3"/>
    <w:rsid w:val="009E0D85"/>
    <w:rsid w:val="009E10B8"/>
    <w:rsid w:val="009E134F"/>
    <w:rsid w:val="009E1739"/>
    <w:rsid w:val="009E1E03"/>
    <w:rsid w:val="009E495E"/>
    <w:rsid w:val="009E5DC9"/>
    <w:rsid w:val="009E6106"/>
    <w:rsid w:val="009E6561"/>
    <w:rsid w:val="009E6B7D"/>
    <w:rsid w:val="009E6DDA"/>
    <w:rsid w:val="009E726B"/>
    <w:rsid w:val="009F0BCC"/>
    <w:rsid w:val="009F12D2"/>
    <w:rsid w:val="009F1CF5"/>
    <w:rsid w:val="009F2925"/>
    <w:rsid w:val="009F35FF"/>
    <w:rsid w:val="009F4CD9"/>
    <w:rsid w:val="009F622B"/>
    <w:rsid w:val="009F67B4"/>
    <w:rsid w:val="009F6A95"/>
    <w:rsid w:val="009F7181"/>
    <w:rsid w:val="009F7283"/>
    <w:rsid w:val="009F76E9"/>
    <w:rsid w:val="009F78A8"/>
    <w:rsid w:val="00A00EE0"/>
    <w:rsid w:val="00A0188D"/>
    <w:rsid w:val="00A02222"/>
    <w:rsid w:val="00A023E8"/>
    <w:rsid w:val="00A030E3"/>
    <w:rsid w:val="00A03A24"/>
    <w:rsid w:val="00A041C0"/>
    <w:rsid w:val="00A04250"/>
    <w:rsid w:val="00A0435F"/>
    <w:rsid w:val="00A049A3"/>
    <w:rsid w:val="00A055EA"/>
    <w:rsid w:val="00A062F9"/>
    <w:rsid w:val="00A07C8F"/>
    <w:rsid w:val="00A10287"/>
    <w:rsid w:val="00A109BA"/>
    <w:rsid w:val="00A10A7E"/>
    <w:rsid w:val="00A10DB1"/>
    <w:rsid w:val="00A11EB3"/>
    <w:rsid w:val="00A12440"/>
    <w:rsid w:val="00A1299A"/>
    <w:rsid w:val="00A12F34"/>
    <w:rsid w:val="00A13ADE"/>
    <w:rsid w:val="00A15C63"/>
    <w:rsid w:val="00A15CE0"/>
    <w:rsid w:val="00A15FCE"/>
    <w:rsid w:val="00A164BB"/>
    <w:rsid w:val="00A212B7"/>
    <w:rsid w:val="00A21689"/>
    <w:rsid w:val="00A222D6"/>
    <w:rsid w:val="00A22CDE"/>
    <w:rsid w:val="00A23327"/>
    <w:rsid w:val="00A2456A"/>
    <w:rsid w:val="00A246F5"/>
    <w:rsid w:val="00A24B20"/>
    <w:rsid w:val="00A24B9E"/>
    <w:rsid w:val="00A24D56"/>
    <w:rsid w:val="00A24E17"/>
    <w:rsid w:val="00A2724C"/>
    <w:rsid w:val="00A308BD"/>
    <w:rsid w:val="00A328EC"/>
    <w:rsid w:val="00A3301E"/>
    <w:rsid w:val="00A34499"/>
    <w:rsid w:val="00A34663"/>
    <w:rsid w:val="00A34717"/>
    <w:rsid w:val="00A34BF1"/>
    <w:rsid w:val="00A36553"/>
    <w:rsid w:val="00A36AD2"/>
    <w:rsid w:val="00A40B65"/>
    <w:rsid w:val="00A40CCB"/>
    <w:rsid w:val="00A4295C"/>
    <w:rsid w:val="00A42CFD"/>
    <w:rsid w:val="00A44F9F"/>
    <w:rsid w:val="00A45DAB"/>
    <w:rsid w:val="00A46E5E"/>
    <w:rsid w:val="00A4753B"/>
    <w:rsid w:val="00A52634"/>
    <w:rsid w:val="00A52C3B"/>
    <w:rsid w:val="00A52E74"/>
    <w:rsid w:val="00A53D2C"/>
    <w:rsid w:val="00A5402D"/>
    <w:rsid w:val="00A54D13"/>
    <w:rsid w:val="00A55366"/>
    <w:rsid w:val="00A55A84"/>
    <w:rsid w:val="00A56203"/>
    <w:rsid w:val="00A5666F"/>
    <w:rsid w:val="00A56C45"/>
    <w:rsid w:val="00A57334"/>
    <w:rsid w:val="00A57346"/>
    <w:rsid w:val="00A57889"/>
    <w:rsid w:val="00A57B9F"/>
    <w:rsid w:val="00A57BA8"/>
    <w:rsid w:val="00A61107"/>
    <w:rsid w:val="00A6145C"/>
    <w:rsid w:val="00A61C97"/>
    <w:rsid w:val="00A622C8"/>
    <w:rsid w:val="00A62FBC"/>
    <w:rsid w:val="00A63890"/>
    <w:rsid w:val="00A63F22"/>
    <w:rsid w:val="00A63FAC"/>
    <w:rsid w:val="00A64C94"/>
    <w:rsid w:val="00A66298"/>
    <w:rsid w:val="00A663FC"/>
    <w:rsid w:val="00A66A55"/>
    <w:rsid w:val="00A66C91"/>
    <w:rsid w:val="00A66DAF"/>
    <w:rsid w:val="00A66E9F"/>
    <w:rsid w:val="00A676C2"/>
    <w:rsid w:val="00A67D4A"/>
    <w:rsid w:val="00A67DA9"/>
    <w:rsid w:val="00A70B7A"/>
    <w:rsid w:val="00A711F7"/>
    <w:rsid w:val="00A735DE"/>
    <w:rsid w:val="00A7375C"/>
    <w:rsid w:val="00A737A9"/>
    <w:rsid w:val="00A7396C"/>
    <w:rsid w:val="00A760E1"/>
    <w:rsid w:val="00A76E8E"/>
    <w:rsid w:val="00A7774B"/>
    <w:rsid w:val="00A77900"/>
    <w:rsid w:val="00A803C8"/>
    <w:rsid w:val="00A80418"/>
    <w:rsid w:val="00A80602"/>
    <w:rsid w:val="00A807AA"/>
    <w:rsid w:val="00A809A8"/>
    <w:rsid w:val="00A8133D"/>
    <w:rsid w:val="00A824A4"/>
    <w:rsid w:val="00A838D8"/>
    <w:rsid w:val="00A83C70"/>
    <w:rsid w:val="00A840CF"/>
    <w:rsid w:val="00A84A09"/>
    <w:rsid w:val="00A85A79"/>
    <w:rsid w:val="00A85F1C"/>
    <w:rsid w:val="00A861A9"/>
    <w:rsid w:val="00A86A27"/>
    <w:rsid w:val="00A86A3B"/>
    <w:rsid w:val="00A870F3"/>
    <w:rsid w:val="00A871F0"/>
    <w:rsid w:val="00A8795C"/>
    <w:rsid w:val="00A900AD"/>
    <w:rsid w:val="00A9035A"/>
    <w:rsid w:val="00A90A10"/>
    <w:rsid w:val="00A90F7A"/>
    <w:rsid w:val="00A912E1"/>
    <w:rsid w:val="00A91B82"/>
    <w:rsid w:val="00A91C6B"/>
    <w:rsid w:val="00A927D6"/>
    <w:rsid w:val="00A934C3"/>
    <w:rsid w:val="00A93EBC"/>
    <w:rsid w:val="00A948B2"/>
    <w:rsid w:val="00A950D4"/>
    <w:rsid w:val="00A95842"/>
    <w:rsid w:val="00A96489"/>
    <w:rsid w:val="00A96C04"/>
    <w:rsid w:val="00A97825"/>
    <w:rsid w:val="00AA0EE6"/>
    <w:rsid w:val="00AA0EEA"/>
    <w:rsid w:val="00AA1FE9"/>
    <w:rsid w:val="00AA2419"/>
    <w:rsid w:val="00AA3257"/>
    <w:rsid w:val="00AA338F"/>
    <w:rsid w:val="00AA3EA5"/>
    <w:rsid w:val="00AA451E"/>
    <w:rsid w:val="00AA4766"/>
    <w:rsid w:val="00AA4D3C"/>
    <w:rsid w:val="00AA5EAC"/>
    <w:rsid w:val="00AA5FA5"/>
    <w:rsid w:val="00AA7229"/>
    <w:rsid w:val="00AB04B3"/>
    <w:rsid w:val="00AB0585"/>
    <w:rsid w:val="00AB0654"/>
    <w:rsid w:val="00AB0C80"/>
    <w:rsid w:val="00AB1BD3"/>
    <w:rsid w:val="00AB2256"/>
    <w:rsid w:val="00AB2455"/>
    <w:rsid w:val="00AB3404"/>
    <w:rsid w:val="00AB3DE3"/>
    <w:rsid w:val="00AB3E84"/>
    <w:rsid w:val="00AB46FD"/>
    <w:rsid w:val="00AB5525"/>
    <w:rsid w:val="00AB5AAB"/>
    <w:rsid w:val="00AB6C80"/>
    <w:rsid w:val="00AB71DF"/>
    <w:rsid w:val="00AB71F0"/>
    <w:rsid w:val="00AC01EB"/>
    <w:rsid w:val="00AC03C7"/>
    <w:rsid w:val="00AC1519"/>
    <w:rsid w:val="00AC2BCF"/>
    <w:rsid w:val="00AC3038"/>
    <w:rsid w:val="00AC36D8"/>
    <w:rsid w:val="00AC616F"/>
    <w:rsid w:val="00AC6435"/>
    <w:rsid w:val="00AD2398"/>
    <w:rsid w:val="00AD25C0"/>
    <w:rsid w:val="00AD3508"/>
    <w:rsid w:val="00AD4541"/>
    <w:rsid w:val="00AD4740"/>
    <w:rsid w:val="00AD7610"/>
    <w:rsid w:val="00AE024D"/>
    <w:rsid w:val="00AE117F"/>
    <w:rsid w:val="00AE1467"/>
    <w:rsid w:val="00AE1565"/>
    <w:rsid w:val="00AE2C3E"/>
    <w:rsid w:val="00AE43D2"/>
    <w:rsid w:val="00AE4551"/>
    <w:rsid w:val="00AE45F1"/>
    <w:rsid w:val="00AE4E4A"/>
    <w:rsid w:val="00AE550E"/>
    <w:rsid w:val="00AE696A"/>
    <w:rsid w:val="00AE70D3"/>
    <w:rsid w:val="00AE7693"/>
    <w:rsid w:val="00AE7B2C"/>
    <w:rsid w:val="00AF01A5"/>
    <w:rsid w:val="00AF0288"/>
    <w:rsid w:val="00AF0F88"/>
    <w:rsid w:val="00AF179D"/>
    <w:rsid w:val="00AF2073"/>
    <w:rsid w:val="00AF2608"/>
    <w:rsid w:val="00AF3391"/>
    <w:rsid w:val="00AF4256"/>
    <w:rsid w:val="00AF6530"/>
    <w:rsid w:val="00AF6EA6"/>
    <w:rsid w:val="00AF730C"/>
    <w:rsid w:val="00AF738F"/>
    <w:rsid w:val="00AF7479"/>
    <w:rsid w:val="00AF766A"/>
    <w:rsid w:val="00B00999"/>
    <w:rsid w:val="00B011C0"/>
    <w:rsid w:val="00B011EC"/>
    <w:rsid w:val="00B018D7"/>
    <w:rsid w:val="00B01FA6"/>
    <w:rsid w:val="00B02518"/>
    <w:rsid w:val="00B02701"/>
    <w:rsid w:val="00B0373E"/>
    <w:rsid w:val="00B04526"/>
    <w:rsid w:val="00B0457B"/>
    <w:rsid w:val="00B0550F"/>
    <w:rsid w:val="00B05975"/>
    <w:rsid w:val="00B06814"/>
    <w:rsid w:val="00B06F9F"/>
    <w:rsid w:val="00B07204"/>
    <w:rsid w:val="00B106AF"/>
    <w:rsid w:val="00B10A76"/>
    <w:rsid w:val="00B10B0B"/>
    <w:rsid w:val="00B119EB"/>
    <w:rsid w:val="00B1227C"/>
    <w:rsid w:val="00B12754"/>
    <w:rsid w:val="00B12994"/>
    <w:rsid w:val="00B12AE0"/>
    <w:rsid w:val="00B13FBD"/>
    <w:rsid w:val="00B14350"/>
    <w:rsid w:val="00B14413"/>
    <w:rsid w:val="00B144F2"/>
    <w:rsid w:val="00B1465D"/>
    <w:rsid w:val="00B14E69"/>
    <w:rsid w:val="00B15326"/>
    <w:rsid w:val="00B15589"/>
    <w:rsid w:val="00B15707"/>
    <w:rsid w:val="00B15AA7"/>
    <w:rsid w:val="00B15B1F"/>
    <w:rsid w:val="00B166C0"/>
    <w:rsid w:val="00B17909"/>
    <w:rsid w:val="00B21595"/>
    <w:rsid w:val="00B217BA"/>
    <w:rsid w:val="00B22095"/>
    <w:rsid w:val="00B222B0"/>
    <w:rsid w:val="00B238D8"/>
    <w:rsid w:val="00B24693"/>
    <w:rsid w:val="00B2491E"/>
    <w:rsid w:val="00B24D58"/>
    <w:rsid w:val="00B2516C"/>
    <w:rsid w:val="00B25263"/>
    <w:rsid w:val="00B25D51"/>
    <w:rsid w:val="00B25EA2"/>
    <w:rsid w:val="00B262B0"/>
    <w:rsid w:val="00B26CA9"/>
    <w:rsid w:val="00B26DEC"/>
    <w:rsid w:val="00B30172"/>
    <w:rsid w:val="00B305A1"/>
    <w:rsid w:val="00B30D20"/>
    <w:rsid w:val="00B30EFA"/>
    <w:rsid w:val="00B3210B"/>
    <w:rsid w:val="00B321A2"/>
    <w:rsid w:val="00B33090"/>
    <w:rsid w:val="00B33858"/>
    <w:rsid w:val="00B33908"/>
    <w:rsid w:val="00B3390A"/>
    <w:rsid w:val="00B35928"/>
    <w:rsid w:val="00B36476"/>
    <w:rsid w:val="00B365B5"/>
    <w:rsid w:val="00B36E9F"/>
    <w:rsid w:val="00B37010"/>
    <w:rsid w:val="00B37FD8"/>
    <w:rsid w:val="00B40163"/>
    <w:rsid w:val="00B402AF"/>
    <w:rsid w:val="00B4149C"/>
    <w:rsid w:val="00B434E0"/>
    <w:rsid w:val="00B45471"/>
    <w:rsid w:val="00B45ACE"/>
    <w:rsid w:val="00B45B18"/>
    <w:rsid w:val="00B45DF0"/>
    <w:rsid w:val="00B46A0C"/>
    <w:rsid w:val="00B46F4B"/>
    <w:rsid w:val="00B472AD"/>
    <w:rsid w:val="00B5144A"/>
    <w:rsid w:val="00B520FC"/>
    <w:rsid w:val="00B529C3"/>
    <w:rsid w:val="00B52CD1"/>
    <w:rsid w:val="00B52F8C"/>
    <w:rsid w:val="00B54E19"/>
    <w:rsid w:val="00B55169"/>
    <w:rsid w:val="00B55ED8"/>
    <w:rsid w:val="00B55F6E"/>
    <w:rsid w:val="00B55FD1"/>
    <w:rsid w:val="00B56244"/>
    <w:rsid w:val="00B56797"/>
    <w:rsid w:val="00B567FC"/>
    <w:rsid w:val="00B5750E"/>
    <w:rsid w:val="00B6034C"/>
    <w:rsid w:val="00B60552"/>
    <w:rsid w:val="00B606B0"/>
    <w:rsid w:val="00B60B1D"/>
    <w:rsid w:val="00B60EFC"/>
    <w:rsid w:val="00B615C1"/>
    <w:rsid w:val="00B61B0E"/>
    <w:rsid w:val="00B61E4B"/>
    <w:rsid w:val="00B625B4"/>
    <w:rsid w:val="00B62605"/>
    <w:rsid w:val="00B63C06"/>
    <w:rsid w:val="00B64571"/>
    <w:rsid w:val="00B648D2"/>
    <w:rsid w:val="00B64EA2"/>
    <w:rsid w:val="00B65F7F"/>
    <w:rsid w:val="00B66A32"/>
    <w:rsid w:val="00B66BFC"/>
    <w:rsid w:val="00B67730"/>
    <w:rsid w:val="00B6784C"/>
    <w:rsid w:val="00B6791D"/>
    <w:rsid w:val="00B67ACB"/>
    <w:rsid w:val="00B701B7"/>
    <w:rsid w:val="00B70B72"/>
    <w:rsid w:val="00B72817"/>
    <w:rsid w:val="00B730F6"/>
    <w:rsid w:val="00B738EB"/>
    <w:rsid w:val="00B73906"/>
    <w:rsid w:val="00B746DE"/>
    <w:rsid w:val="00B754B2"/>
    <w:rsid w:val="00B75D39"/>
    <w:rsid w:val="00B75D6F"/>
    <w:rsid w:val="00B766F0"/>
    <w:rsid w:val="00B772DE"/>
    <w:rsid w:val="00B77463"/>
    <w:rsid w:val="00B77964"/>
    <w:rsid w:val="00B807B5"/>
    <w:rsid w:val="00B814BF"/>
    <w:rsid w:val="00B82140"/>
    <w:rsid w:val="00B830CD"/>
    <w:rsid w:val="00B831C0"/>
    <w:rsid w:val="00B84F8D"/>
    <w:rsid w:val="00B85558"/>
    <w:rsid w:val="00B85FD8"/>
    <w:rsid w:val="00B87489"/>
    <w:rsid w:val="00B903AE"/>
    <w:rsid w:val="00B906A8"/>
    <w:rsid w:val="00B911D6"/>
    <w:rsid w:val="00B91989"/>
    <w:rsid w:val="00B91D93"/>
    <w:rsid w:val="00B91E4E"/>
    <w:rsid w:val="00B92613"/>
    <w:rsid w:val="00B934ED"/>
    <w:rsid w:val="00B94198"/>
    <w:rsid w:val="00B95542"/>
    <w:rsid w:val="00B960F4"/>
    <w:rsid w:val="00BA06C7"/>
    <w:rsid w:val="00BA194E"/>
    <w:rsid w:val="00BA1F0E"/>
    <w:rsid w:val="00BA20DD"/>
    <w:rsid w:val="00BA21B1"/>
    <w:rsid w:val="00BA25B3"/>
    <w:rsid w:val="00BA2835"/>
    <w:rsid w:val="00BA3CBF"/>
    <w:rsid w:val="00BA526E"/>
    <w:rsid w:val="00BA5C2B"/>
    <w:rsid w:val="00BA5D93"/>
    <w:rsid w:val="00BA67E9"/>
    <w:rsid w:val="00BA6AE7"/>
    <w:rsid w:val="00BA7159"/>
    <w:rsid w:val="00BA7476"/>
    <w:rsid w:val="00BA7653"/>
    <w:rsid w:val="00BB0CD3"/>
    <w:rsid w:val="00BB1268"/>
    <w:rsid w:val="00BB1404"/>
    <w:rsid w:val="00BB28EF"/>
    <w:rsid w:val="00BB30F1"/>
    <w:rsid w:val="00BB3745"/>
    <w:rsid w:val="00BB3D7A"/>
    <w:rsid w:val="00BB41EF"/>
    <w:rsid w:val="00BB4381"/>
    <w:rsid w:val="00BB4878"/>
    <w:rsid w:val="00BB4A29"/>
    <w:rsid w:val="00BB5117"/>
    <w:rsid w:val="00BB54DA"/>
    <w:rsid w:val="00BB653E"/>
    <w:rsid w:val="00BB6854"/>
    <w:rsid w:val="00BB6BFA"/>
    <w:rsid w:val="00BB7D34"/>
    <w:rsid w:val="00BC060F"/>
    <w:rsid w:val="00BC1622"/>
    <w:rsid w:val="00BC16B4"/>
    <w:rsid w:val="00BC1DD7"/>
    <w:rsid w:val="00BC20D0"/>
    <w:rsid w:val="00BC2A12"/>
    <w:rsid w:val="00BC38F5"/>
    <w:rsid w:val="00BC442D"/>
    <w:rsid w:val="00BC63A7"/>
    <w:rsid w:val="00BC7578"/>
    <w:rsid w:val="00BD0A6E"/>
    <w:rsid w:val="00BD0BCF"/>
    <w:rsid w:val="00BD1A3D"/>
    <w:rsid w:val="00BD20AB"/>
    <w:rsid w:val="00BD2EA0"/>
    <w:rsid w:val="00BD3148"/>
    <w:rsid w:val="00BD3DF0"/>
    <w:rsid w:val="00BD4F20"/>
    <w:rsid w:val="00BD7D08"/>
    <w:rsid w:val="00BE0893"/>
    <w:rsid w:val="00BE0AD5"/>
    <w:rsid w:val="00BE18D4"/>
    <w:rsid w:val="00BE1D48"/>
    <w:rsid w:val="00BE2229"/>
    <w:rsid w:val="00BE2454"/>
    <w:rsid w:val="00BE2B49"/>
    <w:rsid w:val="00BE2C27"/>
    <w:rsid w:val="00BE338B"/>
    <w:rsid w:val="00BE34A8"/>
    <w:rsid w:val="00BE4147"/>
    <w:rsid w:val="00BE49E5"/>
    <w:rsid w:val="00BE4F4F"/>
    <w:rsid w:val="00BE5356"/>
    <w:rsid w:val="00BE54C7"/>
    <w:rsid w:val="00BE757F"/>
    <w:rsid w:val="00BF0B2E"/>
    <w:rsid w:val="00BF1B5D"/>
    <w:rsid w:val="00BF1C76"/>
    <w:rsid w:val="00BF1FA2"/>
    <w:rsid w:val="00BF254F"/>
    <w:rsid w:val="00BF2AA4"/>
    <w:rsid w:val="00BF2D70"/>
    <w:rsid w:val="00BF30EA"/>
    <w:rsid w:val="00BF364B"/>
    <w:rsid w:val="00BF367D"/>
    <w:rsid w:val="00BF3D8C"/>
    <w:rsid w:val="00BF4948"/>
    <w:rsid w:val="00BF4A09"/>
    <w:rsid w:val="00BF4DF7"/>
    <w:rsid w:val="00BF55D4"/>
    <w:rsid w:val="00BF6042"/>
    <w:rsid w:val="00BF64EC"/>
    <w:rsid w:val="00BF743A"/>
    <w:rsid w:val="00C00C8B"/>
    <w:rsid w:val="00C01536"/>
    <w:rsid w:val="00C02547"/>
    <w:rsid w:val="00C02C5E"/>
    <w:rsid w:val="00C02FBB"/>
    <w:rsid w:val="00C03947"/>
    <w:rsid w:val="00C05156"/>
    <w:rsid w:val="00C052D1"/>
    <w:rsid w:val="00C07085"/>
    <w:rsid w:val="00C07270"/>
    <w:rsid w:val="00C0784D"/>
    <w:rsid w:val="00C1078A"/>
    <w:rsid w:val="00C107CE"/>
    <w:rsid w:val="00C11733"/>
    <w:rsid w:val="00C11E6C"/>
    <w:rsid w:val="00C1218D"/>
    <w:rsid w:val="00C12DB4"/>
    <w:rsid w:val="00C139BC"/>
    <w:rsid w:val="00C13B2A"/>
    <w:rsid w:val="00C143C7"/>
    <w:rsid w:val="00C14C50"/>
    <w:rsid w:val="00C14FCD"/>
    <w:rsid w:val="00C150BE"/>
    <w:rsid w:val="00C171F6"/>
    <w:rsid w:val="00C2038A"/>
    <w:rsid w:val="00C20AEF"/>
    <w:rsid w:val="00C20CA1"/>
    <w:rsid w:val="00C20E33"/>
    <w:rsid w:val="00C20EA8"/>
    <w:rsid w:val="00C2130E"/>
    <w:rsid w:val="00C216D1"/>
    <w:rsid w:val="00C217E8"/>
    <w:rsid w:val="00C219A8"/>
    <w:rsid w:val="00C22B14"/>
    <w:rsid w:val="00C264AB"/>
    <w:rsid w:val="00C26ED8"/>
    <w:rsid w:val="00C27117"/>
    <w:rsid w:val="00C30CF1"/>
    <w:rsid w:val="00C31997"/>
    <w:rsid w:val="00C33236"/>
    <w:rsid w:val="00C332D3"/>
    <w:rsid w:val="00C33941"/>
    <w:rsid w:val="00C34594"/>
    <w:rsid w:val="00C34E29"/>
    <w:rsid w:val="00C3562B"/>
    <w:rsid w:val="00C35652"/>
    <w:rsid w:val="00C35786"/>
    <w:rsid w:val="00C36367"/>
    <w:rsid w:val="00C36B5B"/>
    <w:rsid w:val="00C378D3"/>
    <w:rsid w:val="00C405E4"/>
    <w:rsid w:val="00C406D9"/>
    <w:rsid w:val="00C40A9A"/>
    <w:rsid w:val="00C40DA9"/>
    <w:rsid w:val="00C4177F"/>
    <w:rsid w:val="00C419D8"/>
    <w:rsid w:val="00C41B7E"/>
    <w:rsid w:val="00C422CB"/>
    <w:rsid w:val="00C4253D"/>
    <w:rsid w:val="00C425C6"/>
    <w:rsid w:val="00C42CB8"/>
    <w:rsid w:val="00C43205"/>
    <w:rsid w:val="00C438F4"/>
    <w:rsid w:val="00C43AE5"/>
    <w:rsid w:val="00C447D2"/>
    <w:rsid w:val="00C44FE3"/>
    <w:rsid w:val="00C46327"/>
    <w:rsid w:val="00C4683E"/>
    <w:rsid w:val="00C47899"/>
    <w:rsid w:val="00C47D06"/>
    <w:rsid w:val="00C50AD2"/>
    <w:rsid w:val="00C51616"/>
    <w:rsid w:val="00C520D1"/>
    <w:rsid w:val="00C525DD"/>
    <w:rsid w:val="00C528D4"/>
    <w:rsid w:val="00C53339"/>
    <w:rsid w:val="00C54569"/>
    <w:rsid w:val="00C545AD"/>
    <w:rsid w:val="00C55CA3"/>
    <w:rsid w:val="00C56DC1"/>
    <w:rsid w:val="00C571D4"/>
    <w:rsid w:val="00C573AF"/>
    <w:rsid w:val="00C574E3"/>
    <w:rsid w:val="00C57C45"/>
    <w:rsid w:val="00C6041E"/>
    <w:rsid w:val="00C6098A"/>
    <w:rsid w:val="00C6156B"/>
    <w:rsid w:val="00C61D07"/>
    <w:rsid w:val="00C621C4"/>
    <w:rsid w:val="00C6257F"/>
    <w:rsid w:val="00C6305B"/>
    <w:rsid w:val="00C63F02"/>
    <w:rsid w:val="00C64162"/>
    <w:rsid w:val="00C65312"/>
    <w:rsid w:val="00C661CA"/>
    <w:rsid w:val="00C665F4"/>
    <w:rsid w:val="00C67080"/>
    <w:rsid w:val="00C7015D"/>
    <w:rsid w:val="00C7038D"/>
    <w:rsid w:val="00C70996"/>
    <w:rsid w:val="00C70F66"/>
    <w:rsid w:val="00C70F86"/>
    <w:rsid w:val="00C718C1"/>
    <w:rsid w:val="00C71C72"/>
    <w:rsid w:val="00C72E7A"/>
    <w:rsid w:val="00C73036"/>
    <w:rsid w:val="00C74C65"/>
    <w:rsid w:val="00C7504C"/>
    <w:rsid w:val="00C75507"/>
    <w:rsid w:val="00C75619"/>
    <w:rsid w:val="00C7597B"/>
    <w:rsid w:val="00C762AA"/>
    <w:rsid w:val="00C76875"/>
    <w:rsid w:val="00C76A44"/>
    <w:rsid w:val="00C76FDB"/>
    <w:rsid w:val="00C77130"/>
    <w:rsid w:val="00C80969"/>
    <w:rsid w:val="00C80D2E"/>
    <w:rsid w:val="00C80F6A"/>
    <w:rsid w:val="00C82B1E"/>
    <w:rsid w:val="00C83481"/>
    <w:rsid w:val="00C83B23"/>
    <w:rsid w:val="00C84436"/>
    <w:rsid w:val="00C847B9"/>
    <w:rsid w:val="00C86206"/>
    <w:rsid w:val="00C8684F"/>
    <w:rsid w:val="00C86ED2"/>
    <w:rsid w:val="00C87704"/>
    <w:rsid w:val="00C903F2"/>
    <w:rsid w:val="00C90C3D"/>
    <w:rsid w:val="00C919ED"/>
    <w:rsid w:val="00C91A16"/>
    <w:rsid w:val="00C91B5C"/>
    <w:rsid w:val="00C923A4"/>
    <w:rsid w:val="00C943F7"/>
    <w:rsid w:val="00C94682"/>
    <w:rsid w:val="00C946E4"/>
    <w:rsid w:val="00C94FDC"/>
    <w:rsid w:val="00C95178"/>
    <w:rsid w:val="00C95D3C"/>
    <w:rsid w:val="00C96C81"/>
    <w:rsid w:val="00CA0293"/>
    <w:rsid w:val="00CA09D5"/>
    <w:rsid w:val="00CA0D84"/>
    <w:rsid w:val="00CA1F17"/>
    <w:rsid w:val="00CA252B"/>
    <w:rsid w:val="00CA2A66"/>
    <w:rsid w:val="00CA30E9"/>
    <w:rsid w:val="00CA462D"/>
    <w:rsid w:val="00CA48AE"/>
    <w:rsid w:val="00CA5675"/>
    <w:rsid w:val="00CA72B2"/>
    <w:rsid w:val="00CA7536"/>
    <w:rsid w:val="00CB035D"/>
    <w:rsid w:val="00CB0D4E"/>
    <w:rsid w:val="00CB1A48"/>
    <w:rsid w:val="00CB2430"/>
    <w:rsid w:val="00CB2829"/>
    <w:rsid w:val="00CB2A06"/>
    <w:rsid w:val="00CB330A"/>
    <w:rsid w:val="00CB3880"/>
    <w:rsid w:val="00CB3A34"/>
    <w:rsid w:val="00CB40D9"/>
    <w:rsid w:val="00CB522C"/>
    <w:rsid w:val="00CB55EA"/>
    <w:rsid w:val="00CB55F3"/>
    <w:rsid w:val="00CB5F65"/>
    <w:rsid w:val="00CB641E"/>
    <w:rsid w:val="00CB6978"/>
    <w:rsid w:val="00CB7E8A"/>
    <w:rsid w:val="00CC0464"/>
    <w:rsid w:val="00CC0CE4"/>
    <w:rsid w:val="00CC0D6E"/>
    <w:rsid w:val="00CC170C"/>
    <w:rsid w:val="00CC173A"/>
    <w:rsid w:val="00CC1B46"/>
    <w:rsid w:val="00CC24D5"/>
    <w:rsid w:val="00CC4373"/>
    <w:rsid w:val="00CC512B"/>
    <w:rsid w:val="00CC55D5"/>
    <w:rsid w:val="00CC6685"/>
    <w:rsid w:val="00CC6743"/>
    <w:rsid w:val="00CC6D85"/>
    <w:rsid w:val="00CC77E5"/>
    <w:rsid w:val="00CC7F4B"/>
    <w:rsid w:val="00CD0878"/>
    <w:rsid w:val="00CD1017"/>
    <w:rsid w:val="00CD1726"/>
    <w:rsid w:val="00CD18B2"/>
    <w:rsid w:val="00CD221B"/>
    <w:rsid w:val="00CD23D8"/>
    <w:rsid w:val="00CD2400"/>
    <w:rsid w:val="00CD2AAE"/>
    <w:rsid w:val="00CD32AE"/>
    <w:rsid w:val="00CD487E"/>
    <w:rsid w:val="00CD57AB"/>
    <w:rsid w:val="00CD5B09"/>
    <w:rsid w:val="00CD5DFF"/>
    <w:rsid w:val="00CE0061"/>
    <w:rsid w:val="00CE11C6"/>
    <w:rsid w:val="00CE14B4"/>
    <w:rsid w:val="00CE22D4"/>
    <w:rsid w:val="00CE2A11"/>
    <w:rsid w:val="00CE2FF3"/>
    <w:rsid w:val="00CE38A7"/>
    <w:rsid w:val="00CE3B4A"/>
    <w:rsid w:val="00CE6379"/>
    <w:rsid w:val="00CE661F"/>
    <w:rsid w:val="00CE6673"/>
    <w:rsid w:val="00CE7481"/>
    <w:rsid w:val="00CE768E"/>
    <w:rsid w:val="00CE7DBB"/>
    <w:rsid w:val="00CF014D"/>
    <w:rsid w:val="00CF0301"/>
    <w:rsid w:val="00CF0A5C"/>
    <w:rsid w:val="00CF2524"/>
    <w:rsid w:val="00CF30B2"/>
    <w:rsid w:val="00CF3BE7"/>
    <w:rsid w:val="00CF3C1B"/>
    <w:rsid w:val="00CF451C"/>
    <w:rsid w:val="00CF471B"/>
    <w:rsid w:val="00CF4F3A"/>
    <w:rsid w:val="00CF6A2A"/>
    <w:rsid w:val="00D0084C"/>
    <w:rsid w:val="00D00999"/>
    <w:rsid w:val="00D00BAE"/>
    <w:rsid w:val="00D01278"/>
    <w:rsid w:val="00D013A9"/>
    <w:rsid w:val="00D014D8"/>
    <w:rsid w:val="00D01F7B"/>
    <w:rsid w:val="00D0300A"/>
    <w:rsid w:val="00D036FA"/>
    <w:rsid w:val="00D03DBF"/>
    <w:rsid w:val="00D03EAD"/>
    <w:rsid w:val="00D04612"/>
    <w:rsid w:val="00D05649"/>
    <w:rsid w:val="00D0703F"/>
    <w:rsid w:val="00D07618"/>
    <w:rsid w:val="00D078FC"/>
    <w:rsid w:val="00D07FA3"/>
    <w:rsid w:val="00D10163"/>
    <w:rsid w:val="00D11116"/>
    <w:rsid w:val="00D11158"/>
    <w:rsid w:val="00D117F8"/>
    <w:rsid w:val="00D11CE8"/>
    <w:rsid w:val="00D120C7"/>
    <w:rsid w:val="00D138DD"/>
    <w:rsid w:val="00D13B26"/>
    <w:rsid w:val="00D13D4D"/>
    <w:rsid w:val="00D1461B"/>
    <w:rsid w:val="00D14AD8"/>
    <w:rsid w:val="00D151EF"/>
    <w:rsid w:val="00D155EA"/>
    <w:rsid w:val="00D15654"/>
    <w:rsid w:val="00D1639F"/>
    <w:rsid w:val="00D175DA"/>
    <w:rsid w:val="00D2006E"/>
    <w:rsid w:val="00D2089D"/>
    <w:rsid w:val="00D21DBA"/>
    <w:rsid w:val="00D220AD"/>
    <w:rsid w:val="00D22858"/>
    <w:rsid w:val="00D22C1C"/>
    <w:rsid w:val="00D247B6"/>
    <w:rsid w:val="00D2511E"/>
    <w:rsid w:val="00D2531E"/>
    <w:rsid w:val="00D25451"/>
    <w:rsid w:val="00D254F1"/>
    <w:rsid w:val="00D25670"/>
    <w:rsid w:val="00D25AC7"/>
    <w:rsid w:val="00D265DE"/>
    <w:rsid w:val="00D26C5E"/>
    <w:rsid w:val="00D274AC"/>
    <w:rsid w:val="00D27C8A"/>
    <w:rsid w:val="00D27D98"/>
    <w:rsid w:val="00D3030F"/>
    <w:rsid w:val="00D30871"/>
    <w:rsid w:val="00D30FCB"/>
    <w:rsid w:val="00D3114C"/>
    <w:rsid w:val="00D31632"/>
    <w:rsid w:val="00D317B3"/>
    <w:rsid w:val="00D318E2"/>
    <w:rsid w:val="00D319D0"/>
    <w:rsid w:val="00D31FDC"/>
    <w:rsid w:val="00D320DB"/>
    <w:rsid w:val="00D32841"/>
    <w:rsid w:val="00D33645"/>
    <w:rsid w:val="00D338E0"/>
    <w:rsid w:val="00D34154"/>
    <w:rsid w:val="00D3459D"/>
    <w:rsid w:val="00D34B47"/>
    <w:rsid w:val="00D34C26"/>
    <w:rsid w:val="00D350D7"/>
    <w:rsid w:val="00D35635"/>
    <w:rsid w:val="00D36A4A"/>
    <w:rsid w:val="00D37E05"/>
    <w:rsid w:val="00D4012D"/>
    <w:rsid w:val="00D4144E"/>
    <w:rsid w:val="00D41AB1"/>
    <w:rsid w:val="00D4206E"/>
    <w:rsid w:val="00D42F2D"/>
    <w:rsid w:val="00D4513C"/>
    <w:rsid w:val="00D451B7"/>
    <w:rsid w:val="00D4526C"/>
    <w:rsid w:val="00D454F5"/>
    <w:rsid w:val="00D45DD8"/>
    <w:rsid w:val="00D45F0C"/>
    <w:rsid w:val="00D47198"/>
    <w:rsid w:val="00D4778F"/>
    <w:rsid w:val="00D4796D"/>
    <w:rsid w:val="00D47FC6"/>
    <w:rsid w:val="00D50043"/>
    <w:rsid w:val="00D5029D"/>
    <w:rsid w:val="00D502DA"/>
    <w:rsid w:val="00D50608"/>
    <w:rsid w:val="00D50D92"/>
    <w:rsid w:val="00D51243"/>
    <w:rsid w:val="00D51323"/>
    <w:rsid w:val="00D51BFF"/>
    <w:rsid w:val="00D522FB"/>
    <w:rsid w:val="00D52394"/>
    <w:rsid w:val="00D528C4"/>
    <w:rsid w:val="00D529EB"/>
    <w:rsid w:val="00D52A92"/>
    <w:rsid w:val="00D52BAA"/>
    <w:rsid w:val="00D5330A"/>
    <w:rsid w:val="00D5363D"/>
    <w:rsid w:val="00D53E7B"/>
    <w:rsid w:val="00D5446E"/>
    <w:rsid w:val="00D54B66"/>
    <w:rsid w:val="00D54D4F"/>
    <w:rsid w:val="00D54F5B"/>
    <w:rsid w:val="00D5504C"/>
    <w:rsid w:val="00D56AA5"/>
    <w:rsid w:val="00D5706F"/>
    <w:rsid w:val="00D5746E"/>
    <w:rsid w:val="00D5788A"/>
    <w:rsid w:val="00D5799F"/>
    <w:rsid w:val="00D6002A"/>
    <w:rsid w:val="00D6121F"/>
    <w:rsid w:val="00D62388"/>
    <w:rsid w:val="00D62856"/>
    <w:rsid w:val="00D63410"/>
    <w:rsid w:val="00D6344D"/>
    <w:rsid w:val="00D63ED5"/>
    <w:rsid w:val="00D643D9"/>
    <w:rsid w:val="00D6462B"/>
    <w:rsid w:val="00D64844"/>
    <w:rsid w:val="00D6535C"/>
    <w:rsid w:val="00D659E3"/>
    <w:rsid w:val="00D65F16"/>
    <w:rsid w:val="00D661C8"/>
    <w:rsid w:val="00D67718"/>
    <w:rsid w:val="00D7076B"/>
    <w:rsid w:val="00D70862"/>
    <w:rsid w:val="00D70982"/>
    <w:rsid w:val="00D713CF"/>
    <w:rsid w:val="00D7276D"/>
    <w:rsid w:val="00D72DAB"/>
    <w:rsid w:val="00D73093"/>
    <w:rsid w:val="00D73436"/>
    <w:rsid w:val="00D7347F"/>
    <w:rsid w:val="00D73915"/>
    <w:rsid w:val="00D73DE9"/>
    <w:rsid w:val="00D7596A"/>
    <w:rsid w:val="00D76994"/>
    <w:rsid w:val="00D76B0A"/>
    <w:rsid w:val="00D76F53"/>
    <w:rsid w:val="00D77085"/>
    <w:rsid w:val="00D7796E"/>
    <w:rsid w:val="00D8047E"/>
    <w:rsid w:val="00D805D6"/>
    <w:rsid w:val="00D807FD"/>
    <w:rsid w:val="00D80F32"/>
    <w:rsid w:val="00D817D9"/>
    <w:rsid w:val="00D826E2"/>
    <w:rsid w:val="00D82B42"/>
    <w:rsid w:val="00D82C70"/>
    <w:rsid w:val="00D836E8"/>
    <w:rsid w:val="00D8451C"/>
    <w:rsid w:val="00D848EE"/>
    <w:rsid w:val="00D84A04"/>
    <w:rsid w:val="00D84DC2"/>
    <w:rsid w:val="00D85383"/>
    <w:rsid w:val="00D8712A"/>
    <w:rsid w:val="00D875D3"/>
    <w:rsid w:val="00D912B6"/>
    <w:rsid w:val="00D919D8"/>
    <w:rsid w:val="00D91F4A"/>
    <w:rsid w:val="00D9219B"/>
    <w:rsid w:val="00D92715"/>
    <w:rsid w:val="00D92948"/>
    <w:rsid w:val="00D93153"/>
    <w:rsid w:val="00D93C69"/>
    <w:rsid w:val="00D948A3"/>
    <w:rsid w:val="00D94E00"/>
    <w:rsid w:val="00D94F9F"/>
    <w:rsid w:val="00D95F6E"/>
    <w:rsid w:val="00D9694B"/>
    <w:rsid w:val="00D96DC9"/>
    <w:rsid w:val="00D97041"/>
    <w:rsid w:val="00D97C8E"/>
    <w:rsid w:val="00DA07C9"/>
    <w:rsid w:val="00DA23BC"/>
    <w:rsid w:val="00DA24CB"/>
    <w:rsid w:val="00DA28AF"/>
    <w:rsid w:val="00DA2DA7"/>
    <w:rsid w:val="00DA360D"/>
    <w:rsid w:val="00DA4469"/>
    <w:rsid w:val="00DA448E"/>
    <w:rsid w:val="00DA4DFE"/>
    <w:rsid w:val="00DA5900"/>
    <w:rsid w:val="00DA66FC"/>
    <w:rsid w:val="00DA6836"/>
    <w:rsid w:val="00DA6A61"/>
    <w:rsid w:val="00DA78C0"/>
    <w:rsid w:val="00DB072B"/>
    <w:rsid w:val="00DB10C3"/>
    <w:rsid w:val="00DB170D"/>
    <w:rsid w:val="00DB19FE"/>
    <w:rsid w:val="00DB2937"/>
    <w:rsid w:val="00DB3F66"/>
    <w:rsid w:val="00DB434B"/>
    <w:rsid w:val="00DB5193"/>
    <w:rsid w:val="00DB6980"/>
    <w:rsid w:val="00DB69AD"/>
    <w:rsid w:val="00DB6EE7"/>
    <w:rsid w:val="00DB7819"/>
    <w:rsid w:val="00DC0958"/>
    <w:rsid w:val="00DC0C8A"/>
    <w:rsid w:val="00DC16E2"/>
    <w:rsid w:val="00DC2659"/>
    <w:rsid w:val="00DC2704"/>
    <w:rsid w:val="00DC3752"/>
    <w:rsid w:val="00DC3BBF"/>
    <w:rsid w:val="00DC400E"/>
    <w:rsid w:val="00DC41B0"/>
    <w:rsid w:val="00DC4CB1"/>
    <w:rsid w:val="00DC4CD2"/>
    <w:rsid w:val="00DC4E3F"/>
    <w:rsid w:val="00DC4F0F"/>
    <w:rsid w:val="00DC5512"/>
    <w:rsid w:val="00DC5A0C"/>
    <w:rsid w:val="00DC5A2C"/>
    <w:rsid w:val="00DC5D7E"/>
    <w:rsid w:val="00DC6161"/>
    <w:rsid w:val="00DC67F9"/>
    <w:rsid w:val="00DD1558"/>
    <w:rsid w:val="00DD159E"/>
    <w:rsid w:val="00DD16A5"/>
    <w:rsid w:val="00DD1C37"/>
    <w:rsid w:val="00DD2111"/>
    <w:rsid w:val="00DD34E3"/>
    <w:rsid w:val="00DD3818"/>
    <w:rsid w:val="00DD383A"/>
    <w:rsid w:val="00DD39CF"/>
    <w:rsid w:val="00DD3AC2"/>
    <w:rsid w:val="00DD45F5"/>
    <w:rsid w:val="00DD4891"/>
    <w:rsid w:val="00DD4FBB"/>
    <w:rsid w:val="00DD51DB"/>
    <w:rsid w:val="00DD52E7"/>
    <w:rsid w:val="00DD5387"/>
    <w:rsid w:val="00DD561B"/>
    <w:rsid w:val="00DD5AD6"/>
    <w:rsid w:val="00DD5B4B"/>
    <w:rsid w:val="00DD60C0"/>
    <w:rsid w:val="00DD6C76"/>
    <w:rsid w:val="00DD701E"/>
    <w:rsid w:val="00DE045C"/>
    <w:rsid w:val="00DE046D"/>
    <w:rsid w:val="00DE0896"/>
    <w:rsid w:val="00DE0AED"/>
    <w:rsid w:val="00DE118B"/>
    <w:rsid w:val="00DE1ABE"/>
    <w:rsid w:val="00DE1E9A"/>
    <w:rsid w:val="00DE2149"/>
    <w:rsid w:val="00DE2C9B"/>
    <w:rsid w:val="00DE41EB"/>
    <w:rsid w:val="00DE4245"/>
    <w:rsid w:val="00DE4966"/>
    <w:rsid w:val="00DE5B70"/>
    <w:rsid w:val="00DE605D"/>
    <w:rsid w:val="00DE6594"/>
    <w:rsid w:val="00DE7297"/>
    <w:rsid w:val="00DF023E"/>
    <w:rsid w:val="00DF0430"/>
    <w:rsid w:val="00DF1420"/>
    <w:rsid w:val="00DF16AD"/>
    <w:rsid w:val="00DF1984"/>
    <w:rsid w:val="00DF1FED"/>
    <w:rsid w:val="00DF2BF4"/>
    <w:rsid w:val="00DF3787"/>
    <w:rsid w:val="00DF43A1"/>
    <w:rsid w:val="00DF45D6"/>
    <w:rsid w:val="00DF7135"/>
    <w:rsid w:val="00DF74F2"/>
    <w:rsid w:val="00DF75DE"/>
    <w:rsid w:val="00DF76C9"/>
    <w:rsid w:val="00E00060"/>
    <w:rsid w:val="00E000A1"/>
    <w:rsid w:val="00E011C6"/>
    <w:rsid w:val="00E01449"/>
    <w:rsid w:val="00E0163F"/>
    <w:rsid w:val="00E0173D"/>
    <w:rsid w:val="00E017E7"/>
    <w:rsid w:val="00E018A5"/>
    <w:rsid w:val="00E026CE"/>
    <w:rsid w:val="00E027C2"/>
    <w:rsid w:val="00E03AFB"/>
    <w:rsid w:val="00E03E79"/>
    <w:rsid w:val="00E04129"/>
    <w:rsid w:val="00E047B7"/>
    <w:rsid w:val="00E04941"/>
    <w:rsid w:val="00E04F56"/>
    <w:rsid w:val="00E05CB5"/>
    <w:rsid w:val="00E06951"/>
    <w:rsid w:val="00E06A5E"/>
    <w:rsid w:val="00E07457"/>
    <w:rsid w:val="00E1037E"/>
    <w:rsid w:val="00E11844"/>
    <w:rsid w:val="00E12DA1"/>
    <w:rsid w:val="00E132BC"/>
    <w:rsid w:val="00E13F76"/>
    <w:rsid w:val="00E14387"/>
    <w:rsid w:val="00E14B99"/>
    <w:rsid w:val="00E1544D"/>
    <w:rsid w:val="00E16923"/>
    <w:rsid w:val="00E21FC7"/>
    <w:rsid w:val="00E23477"/>
    <w:rsid w:val="00E234CA"/>
    <w:rsid w:val="00E235BA"/>
    <w:rsid w:val="00E25039"/>
    <w:rsid w:val="00E25A2C"/>
    <w:rsid w:val="00E26852"/>
    <w:rsid w:val="00E27885"/>
    <w:rsid w:val="00E279FC"/>
    <w:rsid w:val="00E31328"/>
    <w:rsid w:val="00E31512"/>
    <w:rsid w:val="00E3154F"/>
    <w:rsid w:val="00E31D23"/>
    <w:rsid w:val="00E31EF8"/>
    <w:rsid w:val="00E33B9C"/>
    <w:rsid w:val="00E33E75"/>
    <w:rsid w:val="00E344F2"/>
    <w:rsid w:val="00E35F0D"/>
    <w:rsid w:val="00E364A7"/>
    <w:rsid w:val="00E4190A"/>
    <w:rsid w:val="00E42878"/>
    <w:rsid w:val="00E42CB5"/>
    <w:rsid w:val="00E433C8"/>
    <w:rsid w:val="00E44298"/>
    <w:rsid w:val="00E44DC1"/>
    <w:rsid w:val="00E45B38"/>
    <w:rsid w:val="00E45C4F"/>
    <w:rsid w:val="00E46AA1"/>
    <w:rsid w:val="00E502AF"/>
    <w:rsid w:val="00E5031D"/>
    <w:rsid w:val="00E5189D"/>
    <w:rsid w:val="00E5214D"/>
    <w:rsid w:val="00E52A3A"/>
    <w:rsid w:val="00E53004"/>
    <w:rsid w:val="00E53D74"/>
    <w:rsid w:val="00E53DB8"/>
    <w:rsid w:val="00E54D24"/>
    <w:rsid w:val="00E55109"/>
    <w:rsid w:val="00E5521D"/>
    <w:rsid w:val="00E575BA"/>
    <w:rsid w:val="00E579FD"/>
    <w:rsid w:val="00E60EEC"/>
    <w:rsid w:val="00E60FF5"/>
    <w:rsid w:val="00E61852"/>
    <w:rsid w:val="00E634D6"/>
    <w:rsid w:val="00E63D4E"/>
    <w:rsid w:val="00E64054"/>
    <w:rsid w:val="00E64C24"/>
    <w:rsid w:val="00E657EF"/>
    <w:rsid w:val="00E65DA1"/>
    <w:rsid w:val="00E6681B"/>
    <w:rsid w:val="00E67646"/>
    <w:rsid w:val="00E6792A"/>
    <w:rsid w:val="00E707A9"/>
    <w:rsid w:val="00E70A8B"/>
    <w:rsid w:val="00E70C04"/>
    <w:rsid w:val="00E70E49"/>
    <w:rsid w:val="00E71F01"/>
    <w:rsid w:val="00E7235A"/>
    <w:rsid w:val="00E7240C"/>
    <w:rsid w:val="00E725D2"/>
    <w:rsid w:val="00E726E0"/>
    <w:rsid w:val="00E72CA6"/>
    <w:rsid w:val="00E731EE"/>
    <w:rsid w:val="00E74063"/>
    <w:rsid w:val="00E746B7"/>
    <w:rsid w:val="00E74ED5"/>
    <w:rsid w:val="00E7596D"/>
    <w:rsid w:val="00E75CCE"/>
    <w:rsid w:val="00E75EA2"/>
    <w:rsid w:val="00E772EB"/>
    <w:rsid w:val="00E77FD9"/>
    <w:rsid w:val="00E833A1"/>
    <w:rsid w:val="00E849D2"/>
    <w:rsid w:val="00E84E0C"/>
    <w:rsid w:val="00E85617"/>
    <w:rsid w:val="00E85A5F"/>
    <w:rsid w:val="00E86373"/>
    <w:rsid w:val="00E87555"/>
    <w:rsid w:val="00E877DD"/>
    <w:rsid w:val="00E908FC"/>
    <w:rsid w:val="00E90AFA"/>
    <w:rsid w:val="00E90B71"/>
    <w:rsid w:val="00E90E26"/>
    <w:rsid w:val="00E90F24"/>
    <w:rsid w:val="00E91C9A"/>
    <w:rsid w:val="00E92A41"/>
    <w:rsid w:val="00E93103"/>
    <w:rsid w:val="00E93504"/>
    <w:rsid w:val="00E94876"/>
    <w:rsid w:val="00E94B16"/>
    <w:rsid w:val="00E953A7"/>
    <w:rsid w:val="00E96201"/>
    <w:rsid w:val="00E96A67"/>
    <w:rsid w:val="00E96CDE"/>
    <w:rsid w:val="00E975DF"/>
    <w:rsid w:val="00E977C4"/>
    <w:rsid w:val="00E97FB4"/>
    <w:rsid w:val="00EA0048"/>
    <w:rsid w:val="00EA00CF"/>
    <w:rsid w:val="00EA0171"/>
    <w:rsid w:val="00EA07C5"/>
    <w:rsid w:val="00EA1DD1"/>
    <w:rsid w:val="00EA1FFC"/>
    <w:rsid w:val="00EA2F9E"/>
    <w:rsid w:val="00EA4222"/>
    <w:rsid w:val="00EA45AF"/>
    <w:rsid w:val="00EA5874"/>
    <w:rsid w:val="00EA6864"/>
    <w:rsid w:val="00EA6D5F"/>
    <w:rsid w:val="00EB1BC9"/>
    <w:rsid w:val="00EB25BD"/>
    <w:rsid w:val="00EB3B8D"/>
    <w:rsid w:val="00EB4765"/>
    <w:rsid w:val="00EB47C5"/>
    <w:rsid w:val="00EB5313"/>
    <w:rsid w:val="00EB5770"/>
    <w:rsid w:val="00EB5E88"/>
    <w:rsid w:val="00EB61F4"/>
    <w:rsid w:val="00EB6670"/>
    <w:rsid w:val="00EB77F8"/>
    <w:rsid w:val="00EC0E72"/>
    <w:rsid w:val="00EC0F41"/>
    <w:rsid w:val="00EC1172"/>
    <w:rsid w:val="00EC26F2"/>
    <w:rsid w:val="00EC3993"/>
    <w:rsid w:val="00EC39F5"/>
    <w:rsid w:val="00EC3C2F"/>
    <w:rsid w:val="00EC4335"/>
    <w:rsid w:val="00EC438B"/>
    <w:rsid w:val="00EC4AD3"/>
    <w:rsid w:val="00EC5974"/>
    <w:rsid w:val="00EC6480"/>
    <w:rsid w:val="00EC649D"/>
    <w:rsid w:val="00ED04FE"/>
    <w:rsid w:val="00ED1423"/>
    <w:rsid w:val="00ED14BE"/>
    <w:rsid w:val="00ED1E45"/>
    <w:rsid w:val="00ED2687"/>
    <w:rsid w:val="00ED275A"/>
    <w:rsid w:val="00ED29A1"/>
    <w:rsid w:val="00ED3265"/>
    <w:rsid w:val="00ED37BA"/>
    <w:rsid w:val="00ED45FB"/>
    <w:rsid w:val="00ED52AC"/>
    <w:rsid w:val="00ED5752"/>
    <w:rsid w:val="00ED5C6A"/>
    <w:rsid w:val="00ED5D31"/>
    <w:rsid w:val="00ED5F9F"/>
    <w:rsid w:val="00ED6EB6"/>
    <w:rsid w:val="00EE09B8"/>
    <w:rsid w:val="00EE1D23"/>
    <w:rsid w:val="00EE1ED5"/>
    <w:rsid w:val="00EE2333"/>
    <w:rsid w:val="00EE29C1"/>
    <w:rsid w:val="00EE2A1D"/>
    <w:rsid w:val="00EE3BD0"/>
    <w:rsid w:val="00EE40E1"/>
    <w:rsid w:val="00EE431D"/>
    <w:rsid w:val="00EE51E9"/>
    <w:rsid w:val="00EE536D"/>
    <w:rsid w:val="00EE57B1"/>
    <w:rsid w:val="00EE5BB3"/>
    <w:rsid w:val="00EE5EA2"/>
    <w:rsid w:val="00EE7571"/>
    <w:rsid w:val="00EE7BF9"/>
    <w:rsid w:val="00EE7D54"/>
    <w:rsid w:val="00EF0CE1"/>
    <w:rsid w:val="00EF2970"/>
    <w:rsid w:val="00EF2A5C"/>
    <w:rsid w:val="00EF3FD0"/>
    <w:rsid w:val="00EF3FD2"/>
    <w:rsid w:val="00EF5192"/>
    <w:rsid w:val="00EF5519"/>
    <w:rsid w:val="00EF6B89"/>
    <w:rsid w:val="00EF6C35"/>
    <w:rsid w:val="00EF7697"/>
    <w:rsid w:val="00EF7850"/>
    <w:rsid w:val="00EF7DFD"/>
    <w:rsid w:val="00F01BB7"/>
    <w:rsid w:val="00F025B6"/>
    <w:rsid w:val="00F0329E"/>
    <w:rsid w:val="00F0352B"/>
    <w:rsid w:val="00F035CD"/>
    <w:rsid w:val="00F03A37"/>
    <w:rsid w:val="00F03DD6"/>
    <w:rsid w:val="00F04592"/>
    <w:rsid w:val="00F04B97"/>
    <w:rsid w:val="00F0569E"/>
    <w:rsid w:val="00F05D05"/>
    <w:rsid w:val="00F06601"/>
    <w:rsid w:val="00F0790B"/>
    <w:rsid w:val="00F10455"/>
    <w:rsid w:val="00F11399"/>
    <w:rsid w:val="00F120C0"/>
    <w:rsid w:val="00F12A7E"/>
    <w:rsid w:val="00F13833"/>
    <w:rsid w:val="00F13DFB"/>
    <w:rsid w:val="00F13ED3"/>
    <w:rsid w:val="00F1401E"/>
    <w:rsid w:val="00F14029"/>
    <w:rsid w:val="00F1428A"/>
    <w:rsid w:val="00F144C8"/>
    <w:rsid w:val="00F15267"/>
    <w:rsid w:val="00F1595F"/>
    <w:rsid w:val="00F15CA9"/>
    <w:rsid w:val="00F166F9"/>
    <w:rsid w:val="00F17209"/>
    <w:rsid w:val="00F20935"/>
    <w:rsid w:val="00F21467"/>
    <w:rsid w:val="00F22162"/>
    <w:rsid w:val="00F22265"/>
    <w:rsid w:val="00F22FCE"/>
    <w:rsid w:val="00F241A9"/>
    <w:rsid w:val="00F24856"/>
    <w:rsid w:val="00F24D3F"/>
    <w:rsid w:val="00F2590E"/>
    <w:rsid w:val="00F25C80"/>
    <w:rsid w:val="00F261A0"/>
    <w:rsid w:val="00F277B0"/>
    <w:rsid w:val="00F27CD7"/>
    <w:rsid w:val="00F300AB"/>
    <w:rsid w:val="00F3031B"/>
    <w:rsid w:val="00F30592"/>
    <w:rsid w:val="00F30E4B"/>
    <w:rsid w:val="00F30F93"/>
    <w:rsid w:val="00F31AFD"/>
    <w:rsid w:val="00F333A2"/>
    <w:rsid w:val="00F33820"/>
    <w:rsid w:val="00F339DB"/>
    <w:rsid w:val="00F35917"/>
    <w:rsid w:val="00F35B3C"/>
    <w:rsid w:val="00F360C1"/>
    <w:rsid w:val="00F366F3"/>
    <w:rsid w:val="00F36D3D"/>
    <w:rsid w:val="00F36D44"/>
    <w:rsid w:val="00F37225"/>
    <w:rsid w:val="00F373CA"/>
    <w:rsid w:val="00F37A6F"/>
    <w:rsid w:val="00F406E6"/>
    <w:rsid w:val="00F40807"/>
    <w:rsid w:val="00F408A8"/>
    <w:rsid w:val="00F40A99"/>
    <w:rsid w:val="00F40FD0"/>
    <w:rsid w:val="00F4191B"/>
    <w:rsid w:val="00F434BF"/>
    <w:rsid w:val="00F4354D"/>
    <w:rsid w:val="00F4391B"/>
    <w:rsid w:val="00F43A4A"/>
    <w:rsid w:val="00F440B1"/>
    <w:rsid w:val="00F4422B"/>
    <w:rsid w:val="00F44E70"/>
    <w:rsid w:val="00F45932"/>
    <w:rsid w:val="00F45958"/>
    <w:rsid w:val="00F46722"/>
    <w:rsid w:val="00F4767D"/>
    <w:rsid w:val="00F50037"/>
    <w:rsid w:val="00F50642"/>
    <w:rsid w:val="00F51EDC"/>
    <w:rsid w:val="00F52215"/>
    <w:rsid w:val="00F52654"/>
    <w:rsid w:val="00F53016"/>
    <w:rsid w:val="00F531E3"/>
    <w:rsid w:val="00F5454C"/>
    <w:rsid w:val="00F54720"/>
    <w:rsid w:val="00F552BC"/>
    <w:rsid w:val="00F56280"/>
    <w:rsid w:val="00F57361"/>
    <w:rsid w:val="00F577CD"/>
    <w:rsid w:val="00F57A60"/>
    <w:rsid w:val="00F57ACA"/>
    <w:rsid w:val="00F600C4"/>
    <w:rsid w:val="00F6076D"/>
    <w:rsid w:val="00F6200B"/>
    <w:rsid w:val="00F627E5"/>
    <w:rsid w:val="00F638D3"/>
    <w:rsid w:val="00F63D52"/>
    <w:rsid w:val="00F65649"/>
    <w:rsid w:val="00F66DE6"/>
    <w:rsid w:val="00F66E51"/>
    <w:rsid w:val="00F674FA"/>
    <w:rsid w:val="00F70183"/>
    <w:rsid w:val="00F70B09"/>
    <w:rsid w:val="00F70D66"/>
    <w:rsid w:val="00F70F98"/>
    <w:rsid w:val="00F7186E"/>
    <w:rsid w:val="00F72978"/>
    <w:rsid w:val="00F72CA9"/>
    <w:rsid w:val="00F72E0C"/>
    <w:rsid w:val="00F72F29"/>
    <w:rsid w:val="00F74F47"/>
    <w:rsid w:val="00F750F1"/>
    <w:rsid w:val="00F75189"/>
    <w:rsid w:val="00F752A0"/>
    <w:rsid w:val="00F75862"/>
    <w:rsid w:val="00F75A1B"/>
    <w:rsid w:val="00F76D67"/>
    <w:rsid w:val="00F80B78"/>
    <w:rsid w:val="00F81094"/>
    <w:rsid w:val="00F81135"/>
    <w:rsid w:val="00F81B9F"/>
    <w:rsid w:val="00F82850"/>
    <w:rsid w:val="00F82EBE"/>
    <w:rsid w:val="00F83673"/>
    <w:rsid w:val="00F83764"/>
    <w:rsid w:val="00F8479F"/>
    <w:rsid w:val="00F8512B"/>
    <w:rsid w:val="00F85791"/>
    <w:rsid w:val="00F8734A"/>
    <w:rsid w:val="00F87509"/>
    <w:rsid w:val="00F875EA"/>
    <w:rsid w:val="00F87BCF"/>
    <w:rsid w:val="00F90205"/>
    <w:rsid w:val="00F904AA"/>
    <w:rsid w:val="00F9076A"/>
    <w:rsid w:val="00F90BDF"/>
    <w:rsid w:val="00F9157A"/>
    <w:rsid w:val="00F91FA2"/>
    <w:rsid w:val="00F92F85"/>
    <w:rsid w:val="00F931F6"/>
    <w:rsid w:val="00F93657"/>
    <w:rsid w:val="00F93765"/>
    <w:rsid w:val="00F93B6F"/>
    <w:rsid w:val="00F93CF2"/>
    <w:rsid w:val="00F948F3"/>
    <w:rsid w:val="00F94D75"/>
    <w:rsid w:val="00F967A8"/>
    <w:rsid w:val="00F96EA3"/>
    <w:rsid w:val="00F97602"/>
    <w:rsid w:val="00F97C4D"/>
    <w:rsid w:val="00FA1969"/>
    <w:rsid w:val="00FA1AE5"/>
    <w:rsid w:val="00FA1D5D"/>
    <w:rsid w:val="00FA2739"/>
    <w:rsid w:val="00FA2E16"/>
    <w:rsid w:val="00FA37C8"/>
    <w:rsid w:val="00FA4007"/>
    <w:rsid w:val="00FA450D"/>
    <w:rsid w:val="00FA483C"/>
    <w:rsid w:val="00FA585A"/>
    <w:rsid w:val="00FA5E9C"/>
    <w:rsid w:val="00FA6814"/>
    <w:rsid w:val="00FA70EB"/>
    <w:rsid w:val="00FA7754"/>
    <w:rsid w:val="00FB04BB"/>
    <w:rsid w:val="00FB0956"/>
    <w:rsid w:val="00FB0A60"/>
    <w:rsid w:val="00FB0CD1"/>
    <w:rsid w:val="00FB1051"/>
    <w:rsid w:val="00FB18C5"/>
    <w:rsid w:val="00FB19A4"/>
    <w:rsid w:val="00FB1BB1"/>
    <w:rsid w:val="00FB2881"/>
    <w:rsid w:val="00FB45F2"/>
    <w:rsid w:val="00FB47CE"/>
    <w:rsid w:val="00FB5631"/>
    <w:rsid w:val="00FB5CEA"/>
    <w:rsid w:val="00FB6838"/>
    <w:rsid w:val="00FB69DF"/>
    <w:rsid w:val="00FB76B3"/>
    <w:rsid w:val="00FC0871"/>
    <w:rsid w:val="00FC0D18"/>
    <w:rsid w:val="00FC1BF1"/>
    <w:rsid w:val="00FC21A4"/>
    <w:rsid w:val="00FC30BC"/>
    <w:rsid w:val="00FC3333"/>
    <w:rsid w:val="00FC333B"/>
    <w:rsid w:val="00FC34DA"/>
    <w:rsid w:val="00FC357C"/>
    <w:rsid w:val="00FC4034"/>
    <w:rsid w:val="00FC5291"/>
    <w:rsid w:val="00FC5448"/>
    <w:rsid w:val="00FC6026"/>
    <w:rsid w:val="00FC6626"/>
    <w:rsid w:val="00FC66F1"/>
    <w:rsid w:val="00FC6FAF"/>
    <w:rsid w:val="00FC711F"/>
    <w:rsid w:val="00FC7713"/>
    <w:rsid w:val="00FD0251"/>
    <w:rsid w:val="00FD02AF"/>
    <w:rsid w:val="00FD0437"/>
    <w:rsid w:val="00FD05D7"/>
    <w:rsid w:val="00FD0777"/>
    <w:rsid w:val="00FD0BCF"/>
    <w:rsid w:val="00FD0FF4"/>
    <w:rsid w:val="00FD1244"/>
    <w:rsid w:val="00FD177C"/>
    <w:rsid w:val="00FD1DF9"/>
    <w:rsid w:val="00FD1ED6"/>
    <w:rsid w:val="00FD32BA"/>
    <w:rsid w:val="00FD334F"/>
    <w:rsid w:val="00FD3417"/>
    <w:rsid w:val="00FD48E2"/>
    <w:rsid w:val="00FD4B87"/>
    <w:rsid w:val="00FD56BA"/>
    <w:rsid w:val="00FD5B15"/>
    <w:rsid w:val="00FD5B71"/>
    <w:rsid w:val="00FD61DA"/>
    <w:rsid w:val="00FD6223"/>
    <w:rsid w:val="00FD6708"/>
    <w:rsid w:val="00FD74E8"/>
    <w:rsid w:val="00FE0C04"/>
    <w:rsid w:val="00FE1567"/>
    <w:rsid w:val="00FE1E57"/>
    <w:rsid w:val="00FE243E"/>
    <w:rsid w:val="00FE2446"/>
    <w:rsid w:val="00FE2768"/>
    <w:rsid w:val="00FE5639"/>
    <w:rsid w:val="00FE58BD"/>
    <w:rsid w:val="00FE5D18"/>
    <w:rsid w:val="00FE5F00"/>
    <w:rsid w:val="00FE61EA"/>
    <w:rsid w:val="00FE6A97"/>
    <w:rsid w:val="00FE7338"/>
    <w:rsid w:val="00FE7847"/>
    <w:rsid w:val="00FF05E1"/>
    <w:rsid w:val="00FF06F8"/>
    <w:rsid w:val="00FF0781"/>
    <w:rsid w:val="00FF0E3F"/>
    <w:rsid w:val="00FF113D"/>
    <w:rsid w:val="00FF13AB"/>
    <w:rsid w:val="00FF1B84"/>
    <w:rsid w:val="00FF1E94"/>
    <w:rsid w:val="00FF2E78"/>
    <w:rsid w:val="00FF4B6A"/>
    <w:rsid w:val="00FF4D51"/>
    <w:rsid w:val="00FF527B"/>
    <w:rsid w:val="00FF55BB"/>
    <w:rsid w:val="00FF7BA4"/>
    <w:rsid w:val="00FF7E47"/>
    <w:rsid w:val="00FF7FF2"/>
    <w:rsid w:val="010F3B4F"/>
    <w:rsid w:val="01382BF0"/>
    <w:rsid w:val="016A5229"/>
    <w:rsid w:val="016F45ED"/>
    <w:rsid w:val="01761C40"/>
    <w:rsid w:val="01AE721B"/>
    <w:rsid w:val="01EB45BC"/>
    <w:rsid w:val="02131300"/>
    <w:rsid w:val="025E5F48"/>
    <w:rsid w:val="0284056C"/>
    <w:rsid w:val="02BC0234"/>
    <w:rsid w:val="02C95637"/>
    <w:rsid w:val="02E4100B"/>
    <w:rsid w:val="02F0175E"/>
    <w:rsid w:val="03065425"/>
    <w:rsid w:val="03190CB5"/>
    <w:rsid w:val="031A6995"/>
    <w:rsid w:val="03326566"/>
    <w:rsid w:val="037C7496"/>
    <w:rsid w:val="03977E2B"/>
    <w:rsid w:val="03A34A22"/>
    <w:rsid w:val="03BE3F04"/>
    <w:rsid w:val="03C86237"/>
    <w:rsid w:val="03E56779"/>
    <w:rsid w:val="04250D4F"/>
    <w:rsid w:val="04405244"/>
    <w:rsid w:val="04575F38"/>
    <w:rsid w:val="046E7D42"/>
    <w:rsid w:val="04710ED7"/>
    <w:rsid w:val="047563BF"/>
    <w:rsid w:val="04765279"/>
    <w:rsid w:val="048A44A4"/>
    <w:rsid w:val="0490144A"/>
    <w:rsid w:val="049F7F45"/>
    <w:rsid w:val="04A07500"/>
    <w:rsid w:val="04AA162C"/>
    <w:rsid w:val="04C16813"/>
    <w:rsid w:val="04CC57BA"/>
    <w:rsid w:val="04D625E0"/>
    <w:rsid w:val="05025778"/>
    <w:rsid w:val="054144F3"/>
    <w:rsid w:val="05740424"/>
    <w:rsid w:val="05765EBF"/>
    <w:rsid w:val="05ED01D7"/>
    <w:rsid w:val="05F96B7B"/>
    <w:rsid w:val="0614641B"/>
    <w:rsid w:val="06163BD1"/>
    <w:rsid w:val="06361B7E"/>
    <w:rsid w:val="06435612"/>
    <w:rsid w:val="068E228E"/>
    <w:rsid w:val="069E3B90"/>
    <w:rsid w:val="070752C8"/>
    <w:rsid w:val="07135860"/>
    <w:rsid w:val="07187D6C"/>
    <w:rsid w:val="072D2778"/>
    <w:rsid w:val="075C5614"/>
    <w:rsid w:val="07B66F6A"/>
    <w:rsid w:val="08153A69"/>
    <w:rsid w:val="08575C88"/>
    <w:rsid w:val="086504F8"/>
    <w:rsid w:val="08CE1791"/>
    <w:rsid w:val="08D52701"/>
    <w:rsid w:val="08D62316"/>
    <w:rsid w:val="08E92ED7"/>
    <w:rsid w:val="091B7D03"/>
    <w:rsid w:val="0923157E"/>
    <w:rsid w:val="09637CB2"/>
    <w:rsid w:val="09A432A2"/>
    <w:rsid w:val="09C1219B"/>
    <w:rsid w:val="0A215939"/>
    <w:rsid w:val="0A896188"/>
    <w:rsid w:val="0A92134D"/>
    <w:rsid w:val="0A93759F"/>
    <w:rsid w:val="0AC869C1"/>
    <w:rsid w:val="0AF53DB5"/>
    <w:rsid w:val="0B204BAA"/>
    <w:rsid w:val="0B240101"/>
    <w:rsid w:val="0B3B3792"/>
    <w:rsid w:val="0BB377CC"/>
    <w:rsid w:val="0BB73761"/>
    <w:rsid w:val="0BB97492"/>
    <w:rsid w:val="0BD47E6F"/>
    <w:rsid w:val="0BFC1173"/>
    <w:rsid w:val="0C825B1D"/>
    <w:rsid w:val="0C8B7EFC"/>
    <w:rsid w:val="0CA535B9"/>
    <w:rsid w:val="0CAF4438"/>
    <w:rsid w:val="0CBF6047"/>
    <w:rsid w:val="0CDC63B9"/>
    <w:rsid w:val="0D172CF1"/>
    <w:rsid w:val="0D240982"/>
    <w:rsid w:val="0D4B4161"/>
    <w:rsid w:val="0D5A5554"/>
    <w:rsid w:val="0D751A1D"/>
    <w:rsid w:val="0D8256A8"/>
    <w:rsid w:val="0D8C18CF"/>
    <w:rsid w:val="0DC609B4"/>
    <w:rsid w:val="0DCA55A8"/>
    <w:rsid w:val="0DF91E0E"/>
    <w:rsid w:val="0E2055ED"/>
    <w:rsid w:val="0E26697C"/>
    <w:rsid w:val="0E39220B"/>
    <w:rsid w:val="0E4017EB"/>
    <w:rsid w:val="0E5748F1"/>
    <w:rsid w:val="0E6354DA"/>
    <w:rsid w:val="0E80608C"/>
    <w:rsid w:val="0EC7554A"/>
    <w:rsid w:val="0EDA2011"/>
    <w:rsid w:val="0EE05AC9"/>
    <w:rsid w:val="0EF34AB0"/>
    <w:rsid w:val="0EF425D6"/>
    <w:rsid w:val="0EFD143D"/>
    <w:rsid w:val="0F334EAC"/>
    <w:rsid w:val="0F353F88"/>
    <w:rsid w:val="0F4249CA"/>
    <w:rsid w:val="0FE12B5A"/>
    <w:rsid w:val="0FE70740"/>
    <w:rsid w:val="0FEF3E47"/>
    <w:rsid w:val="0FFA00C0"/>
    <w:rsid w:val="0FFD0FD3"/>
    <w:rsid w:val="10030D22"/>
    <w:rsid w:val="10033C3B"/>
    <w:rsid w:val="10345380"/>
    <w:rsid w:val="105D3BF9"/>
    <w:rsid w:val="10A342B4"/>
    <w:rsid w:val="10C85AC8"/>
    <w:rsid w:val="10D95F27"/>
    <w:rsid w:val="10EA2EB2"/>
    <w:rsid w:val="10ED3781"/>
    <w:rsid w:val="10F318C3"/>
    <w:rsid w:val="113D0264"/>
    <w:rsid w:val="115D4462"/>
    <w:rsid w:val="117D5C09"/>
    <w:rsid w:val="118045F5"/>
    <w:rsid w:val="11B156EA"/>
    <w:rsid w:val="11E554D0"/>
    <w:rsid w:val="128123D2"/>
    <w:rsid w:val="12831010"/>
    <w:rsid w:val="12950418"/>
    <w:rsid w:val="129B7938"/>
    <w:rsid w:val="12A04F4F"/>
    <w:rsid w:val="12B502CE"/>
    <w:rsid w:val="12C329EB"/>
    <w:rsid w:val="12CF0C0F"/>
    <w:rsid w:val="12EA441C"/>
    <w:rsid w:val="12FC6ED4"/>
    <w:rsid w:val="13086525"/>
    <w:rsid w:val="130D1EB8"/>
    <w:rsid w:val="1319085D"/>
    <w:rsid w:val="13345697"/>
    <w:rsid w:val="133E2072"/>
    <w:rsid w:val="135B2C24"/>
    <w:rsid w:val="138C7281"/>
    <w:rsid w:val="13A10F7E"/>
    <w:rsid w:val="13AE4B6B"/>
    <w:rsid w:val="13D36C5E"/>
    <w:rsid w:val="13FF3EF7"/>
    <w:rsid w:val="143858CD"/>
    <w:rsid w:val="144E2788"/>
    <w:rsid w:val="146223D6"/>
    <w:rsid w:val="148461AA"/>
    <w:rsid w:val="14CA0061"/>
    <w:rsid w:val="14F72E20"/>
    <w:rsid w:val="14FE1991"/>
    <w:rsid w:val="1500547E"/>
    <w:rsid w:val="1520368F"/>
    <w:rsid w:val="154C0F75"/>
    <w:rsid w:val="156758B0"/>
    <w:rsid w:val="157D41D7"/>
    <w:rsid w:val="157D50D3"/>
    <w:rsid w:val="15A46B04"/>
    <w:rsid w:val="15B26A42"/>
    <w:rsid w:val="15C40447"/>
    <w:rsid w:val="160C46A9"/>
    <w:rsid w:val="163360DA"/>
    <w:rsid w:val="163B4DD6"/>
    <w:rsid w:val="164E6A70"/>
    <w:rsid w:val="1650541C"/>
    <w:rsid w:val="166B7621"/>
    <w:rsid w:val="16AE5B13"/>
    <w:rsid w:val="16DA6555"/>
    <w:rsid w:val="16F733EF"/>
    <w:rsid w:val="171E28E6"/>
    <w:rsid w:val="174A2E1C"/>
    <w:rsid w:val="174F29F0"/>
    <w:rsid w:val="17824C23"/>
    <w:rsid w:val="179F4DD6"/>
    <w:rsid w:val="17B148E8"/>
    <w:rsid w:val="17BE7C25"/>
    <w:rsid w:val="17DD7339"/>
    <w:rsid w:val="181F4644"/>
    <w:rsid w:val="1820443C"/>
    <w:rsid w:val="188E7E4C"/>
    <w:rsid w:val="189310B2"/>
    <w:rsid w:val="18934C0E"/>
    <w:rsid w:val="18DA45EA"/>
    <w:rsid w:val="196C53DF"/>
    <w:rsid w:val="197C38F4"/>
    <w:rsid w:val="197E58C8"/>
    <w:rsid w:val="19FB6F0E"/>
    <w:rsid w:val="1A487A08"/>
    <w:rsid w:val="1A593D2D"/>
    <w:rsid w:val="1A717FBE"/>
    <w:rsid w:val="1A8A3DEE"/>
    <w:rsid w:val="1AB64BE3"/>
    <w:rsid w:val="1B075855"/>
    <w:rsid w:val="1B373EED"/>
    <w:rsid w:val="1B7927E1"/>
    <w:rsid w:val="1BBC4614"/>
    <w:rsid w:val="1BCC5B0A"/>
    <w:rsid w:val="1C0320AA"/>
    <w:rsid w:val="1C4032FE"/>
    <w:rsid w:val="1C67088B"/>
    <w:rsid w:val="1C696528"/>
    <w:rsid w:val="1CCE4466"/>
    <w:rsid w:val="1CD3637E"/>
    <w:rsid w:val="1CDA105D"/>
    <w:rsid w:val="1CF540E9"/>
    <w:rsid w:val="1D3C1D18"/>
    <w:rsid w:val="1D8244C3"/>
    <w:rsid w:val="1D8E4B81"/>
    <w:rsid w:val="1DC555CB"/>
    <w:rsid w:val="1DC615E1"/>
    <w:rsid w:val="1DE85A0D"/>
    <w:rsid w:val="1DFE0D7B"/>
    <w:rsid w:val="1E0433AB"/>
    <w:rsid w:val="1E1862E1"/>
    <w:rsid w:val="1E29229C"/>
    <w:rsid w:val="1E4C7D38"/>
    <w:rsid w:val="1E5D23A4"/>
    <w:rsid w:val="1E60338F"/>
    <w:rsid w:val="1E9B3086"/>
    <w:rsid w:val="1EA00084"/>
    <w:rsid w:val="1EF108E0"/>
    <w:rsid w:val="1F1611D2"/>
    <w:rsid w:val="1F274302"/>
    <w:rsid w:val="1F525822"/>
    <w:rsid w:val="1F735397"/>
    <w:rsid w:val="1F8321B8"/>
    <w:rsid w:val="1F95570F"/>
    <w:rsid w:val="1FB70D91"/>
    <w:rsid w:val="1FBC2C9C"/>
    <w:rsid w:val="201C7BDE"/>
    <w:rsid w:val="205826F8"/>
    <w:rsid w:val="20764C41"/>
    <w:rsid w:val="207A2E7F"/>
    <w:rsid w:val="20994D8B"/>
    <w:rsid w:val="209B78FF"/>
    <w:rsid w:val="20C75D9C"/>
    <w:rsid w:val="20CD7E55"/>
    <w:rsid w:val="210C1A01"/>
    <w:rsid w:val="211C4534"/>
    <w:rsid w:val="21313216"/>
    <w:rsid w:val="21352D06"/>
    <w:rsid w:val="214C004F"/>
    <w:rsid w:val="216B497A"/>
    <w:rsid w:val="219C0FD7"/>
    <w:rsid w:val="21B87493"/>
    <w:rsid w:val="21C603EE"/>
    <w:rsid w:val="21E40288"/>
    <w:rsid w:val="21EE4B29"/>
    <w:rsid w:val="22080859"/>
    <w:rsid w:val="220E6C96"/>
    <w:rsid w:val="223905D4"/>
    <w:rsid w:val="22460F43"/>
    <w:rsid w:val="224F429B"/>
    <w:rsid w:val="22745AB0"/>
    <w:rsid w:val="22A53EBB"/>
    <w:rsid w:val="23046723"/>
    <w:rsid w:val="23054604"/>
    <w:rsid w:val="230961F8"/>
    <w:rsid w:val="2311052C"/>
    <w:rsid w:val="231A6B7A"/>
    <w:rsid w:val="23437A88"/>
    <w:rsid w:val="234A05BF"/>
    <w:rsid w:val="235558E1"/>
    <w:rsid w:val="23566F63"/>
    <w:rsid w:val="23831C7D"/>
    <w:rsid w:val="23B00D6A"/>
    <w:rsid w:val="23B3313D"/>
    <w:rsid w:val="23DF33FD"/>
    <w:rsid w:val="23F12121"/>
    <w:rsid w:val="2409047A"/>
    <w:rsid w:val="241A4435"/>
    <w:rsid w:val="24433E0A"/>
    <w:rsid w:val="24463680"/>
    <w:rsid w:val="24482D50"/>
    <w:rsid w:val="24683DB0"/>
    <w:rsid w:val="246A53BC"/>
    <w:rsid w:val="24AA57B9"/>
    <w:rsid w:val="24AA7567"/>
    <w:rsid w:val="24D9609E"/>
    <w:rsid w:val="24F00A2F"/>
    <w:rsid w:val="25266D80"/>
    <w:rsid w:val="2568522A"/>
    <w:rsid w:val="25695674"/>
    <w:rsid w:val="25742D1E"/>
    <w:rsid w:val="25960567"/>
    <w:rsid w:val="25E62821"/>
    <w:rsid w:val="261C6242"/>
    <w:rsid w:val="261D1FBA"/>
    <w:rsid w:val="2636356A"/>
    <w:rsid w:val="264D55B5"/>
    <w:rsid w:val="26520FC2"/>
    <w:rsid w:val="266100F9"/>
    <w:rsid w:val="268D0EEE"/>
    <w:rsid w:val="269404CF"/>
    <w:rsid w:val="26A342DC"/>
    <w:rsid w:val="26CC5EBA"/>
    <w:rsid w:val="26E86A6C"/>
    <w:rsid w:val="26EB5B42"/>
    <w:rsid w:val="270311B0"/>
    <w:rsid w:val="27037402"/>
    <w:rsid w:val="27341C2B"/>
    <w:rsid w:val="27636E07"/>
    <w:rsid w:val="27763E0A"/>
    <w:rsid w:val="27932534"/>
    <w:rsid w:val="27C35170"/>
    <w:rsid w:val="27CE7A10"/>
    <w:rsid w:val="28280BBA"/>
    <w:rsid w:val="285D74BA"/>
    <w:rsid w:val="28836A4D"/>
    <w:rsid w:val="288D78CB"/>
    <w:rsid w:val="28942A08"/>
    <w:rsid w:val="28B906C0"/>
    <w:rsid w:val="28DE0127"/>
    <w:rsid w:val="28F25980"/>
    <w:rsid w:val="28FE60D3"/>
    <w:rsid w:val="29080D00"/>
    <w:rsid w:val="2941468D"/>
    <w:rsid w:val="295D729E"/>
    <w:rsid w:val="296C128F"/>
    <w:rsid w:val="2975663E"/>
    <w:rsid w:val="299045BC"/>
    <w:rsid w:val="29A03BD0"/>
    <w:rsid w:val="2A3C362C"/>
    <w:rsid w:val="2A643235"/>
    <w:rsid w:val="2A6C6EAC"/>
    <w:rsid w:val="2A6F54DA"/>
    <w:rsid w:val="2A750617"/>
    <w:rsid w:val="2A7D5AE0"/>
    <w:rsid w:val="2A8B1BE9"/>
    <w:rsid w:val="2AE27E50"/>
    <w:rsid w:val="2B0473B6"/>
    <w:rsid w:val="2B274FBB"/>
    <w:rsid w:val="2B2F4C6A"/>
    <w:rsid w:val="2B612949"/>
    <w:rsid w:val="2B8B65D1"/>
    <w:rsid w:val="2B986BC5"/>
    <w:rsid w:val="2BB313F7"/>
    <w:rsid w:val="2BE05279"/>
    <w:rsid w:val="2BF612E4"/>
    <w:rsid w:val="2C286E71"/>
    <w:rsid w:val="2C2A0595"/>
    <w:rsid w:val="2C2B3683"/>
    <w:rsid w:val="2C5B55EB"/>
    <w:rsid w:val="2C7A3CC3"/>
    <w:rsid w:val="2C7F39CF"/>
    <w:rsid w:val="2C923702"/>
    <w:rsid w:val="2C9A4365"/>
    <w:rsid w:val="2CC413E2"/>
    <w:rsid w:val="2CD755B9"/>
    <w:rsid w:val="2CD77367"/>
    <w:rsid w:val="2D1707E3"/>
    <w:rsid w:val="2D1C2FCC"/>
    <w:rsid w:val="2D1C4D7A"/>
    <w:rsid w:val="2D4D494D"/>
    <w:rsid w:val="2D5A0D3E"/>
    <w:rsid w:val="2D60735C"/>
    <w:rsid w:val="2D7C1CBC"/>
    <w:rsid w:val="2E2760CC"/>
    <w:rsid w:val="2E4D6F3C"/>
    <w:rsid w:val="2E652751"/>
    <w:rsid w:val="2E681DB2"/>
    <w:rsid w:val="2E976DAE"/>
    <w:rsid w:val="2EB70353"/>
    <w:rsid w:val="2EC35DF5"/>
    <w:rsid w:val="2EC851B9"/>
    <w:rsid w:val="2ECD2694"/>
    <w:rsid w:val="2ED741E5"/>
    <w:rsid w:val="2F1321AD"/>
    <w:rsid w:val="2F4B1946"/>
    <w:rsid w:val="2F7765EF"/>
    <w:rsid w:val="2FA037D9"/>
    <w:rsid w:val="2FC17E5A"/>
    <w:rsid w:val="2FCB6C82"/>
    <w:rsid w:val="2FF3270A"/>
    <w:rsid w:val="2FF53356"/>
    <w:rsid w:val="302503E9"/>
    <w:rsid w:val="30360848"/>
    <w:rsid w:val="30590093"/>
    <w:rsid w:val="30911F89"/>
    <w:rsid w:val="309F1F4A"/>
    <w:rsid w:val="30AB6B41"/>
    <w:rsid w:val="30AC28B9"/>
    <w:rsid w:val="30C42CE5"/>
    <w:rsid w:val="30E65A70"/>
    <w:rsid w:val="30E91417"/>
    <w:rsid w:val="3104341F"/>
    <w:rsid w:val="312833E4"/>
    <w:rsid w:val="312D57A8"/>
    <w:rsid w:val="315013BD"/>
    <w:rsid w:val="31753C42"/>
    <w:rsid w:val="317F1D7B"/>
    <w:rsid w:val="31870F2B"/>
    <w:rsid w:val="318B0720"/>
    <w:rsid w:val="31A87524"/>
    <w:rsid w:val="31AD0696"/>
    <w:rsid w:val="31B85D4A"/>
    <w:rsid w:val="31C24EF9"/>
    <w:rsid w:val="31EF6F01"/>
    <w:rsid w:val="31F9342B"/>
    <w:rsid w:val="322A618B"/>
    <w:rsid w:val="322A7F39"/>
    <w:rsid w:val="3230370F"/>
    <w:rsid w:val="32494863"/>
    <w:rsid w:val="328A479A"/>
    <w:rsid w:val="32D7665E"/>
    <w:rsid w:val="32F73167"/>
    <w:rsid w:val="33244988"/>
    <w:rsid w:val="333E1EEE"/>
    <w:rsid w:val="33423060"/>
    <w:rsid w:val="338E62A6"/>
    <w:rsid w:val="33B201E6"/>
    <w:rsid w:val="33DF6B01"/>
    <w:rsid w:val="33FC5905"/>
    <w:rsid w:val="344D6161"/>
    <w:rsid w:val="34515C51"/>
    <w:rsid w:val="346E05B1"/>
    <w:rsid w:val="34802092"/>
    <w:rsid w:val="351B4A85"/>
    <w:rsid w:val="35417A73"/>
    <w:rsid w:val="354B26A0"/>
    <w:rsid w:val="354D466A"/>
    <w:rsid w:val="3566572C"/>
    <w:rsid w:val="35693F5D"/>
    <w:rsid w:val="35D54660"/>
    <w:rsid w:val="35E328D9"/>
    <w:rsid w:val="35FE7C19"/>
    <w:rsid w:val="36007551"/>
    <w:rsid w:val="36486BE0"/>
    <w:rsid w:val="36931955"/>
    <w:rsid w:val="36A620EF"/>
    <w:rsid w:val="36EE59D9"/>
    <w:rsid w:val="37046FAB"/>
    <w:rsid w:val="37187064"/>
    <w:rsid w:val="371D3646"/>
    <w:rsid w:val="371F2036"/>
    <w:rsid w:val="37256F21"/>
    <w:rsid w:val="372907BF"/>
    <w:rsid w:val="3735661E"/>
    <w:rsid w:val="37721F5F"/>
    <w:rsid w:val="37775636"/>
    <w:rsid w:val="378E2D18"/>
    <w:rsid w:val="37983B97"/>
    <w:rsid w:val="37B81B43"/>
    <w:rsid w:val="37C153EE"/>
    <w:rsid w:val="37C329C2"/>
    <w:rsid w:val="37E828F1"/>
    <w:rsid w:val="37EB3CC7"/>
    <w:rsid w:val="3810197F"/>
    <w:rsid w:val="38795776"/>
    <w:rsid w:val="38855EC9"/>
    <w:rsid w:val="388A1731"/>
    <w:rsid w:val="388C79B8"/>
    <w:rsid w:val="38975BFC"/>
    <w:rsid w:val="38A55CBC"/>
    <w:rsid w:val="38DB2D8F"/>
    <w:rsid w:val="38E2331B"/>
    <w:rsid w:val="38EF77E6"/>
    <w:rsid w:val="390A63CE"/>
    <w:rsid w:val="39567866"/>
    <w:rsid w:val="395932D4"/>
    <w:rsid w:val="39642CFF"/>
    <w:rsid w:val="39653912"/>
    <w:rsid w:val="39937454"/>
    <w:rsid w:val="39987E7E"/>
    <w:rsid w:val="39B27192"/>
    <w:rsid w:val="39E9692C"/>
    <w:rsid w:val="39ED4C94"/>
    <w:rsid w:val="39F257E0"/>
    <w:rsid w:val="3A1E0383"/>
    <w:rsid w:val="3A29308B"/>
    <w:rsid w:val="3A330F2B"/>
    <w:rsid w:val="3A5535F1"/>
    <w:rsid w:val="3A575643"/>
    <w:rsid w:val="3AA840F1"/>
    <w:rsid w:val="3AB5070D"/>
    <w:rsid w:val="3AC21656"/>
    <w:rsid w:val="3AFB06C4"/>
    <w:rsid w:val="3B514788"/>
    <w:rsid w:val="3BD17677"/>
    <w:rsid w:val="3BD73AB3"/>
    <w:rsid w:val="3BD74C8E"/>
    <w:rsid w:val="3BD7DD93"/>
    <w:rsid w:val="3BE63123"/>
    <w:rsid w:val="3BE850ED"/>
    <w:rsid w:val="3C1F4887"/>
    <w:rsid w:val="3C4D4F50"/>
    <w:rsid w:val="3C4E0CC8"/>
    <w:rsid w:val="3CB05F7C"/>
    <w:rsid w:val="3CCD6091"/>
    <w:rsid w:val="3CCD7E3F"/>
    <w:rsid w:val="3CD596E5"/>
    <w:rsid w:val="3CE27D8E"/>
    <w:rsid w:val="3CFB0E50"/>
    <w:rsid w:val="3D0870C9"/>
    <w:rsid w:val="3D607F17"/>
    <w:rsid w:val="3D880980"/>
    <w:rsid w:val="3D9D1F07"/>
    <w:rsid w:val="3DA23079"/>
    <w:rsid w:val="3DA838B8"/>
    <w:rsid w:val="3DC111F6"/>
    <w:rsid w:val="3DD20907"/>
    <w:rsid w:val="3DDA6CB7"/>
    <w:rsid w:val="3DF77869"/>
    <w:rsid w:val="3E0B6E71"/>
    <w:rsid w:val="3E0C5102"/>
    <w:rsid w:val="3E1C1EE2"/>
    <w:rsid w:val="3E3C2B6A"/>
    <w:rsid w:val="3E5B41DE"/>
    <w:rsid w:val="3E734A16"/>
    <w:rsid w:val="3E7A3FF6"/>
    <w:rsid w:val="3E8310FD"/>
    <w:rsid w:val="3E9D337F"/>
    <w:rsid w:val="3EBC016B"/>
    <w:rsid w:val="3EDC561C"/>
    <w:rsid w:val="3EDF7BEE"/>
    <w:rsid w:val="3EF1369A"/>
    <w:rsid w:val="3EF23524"/>
    <w:rsid w:val="3F244D4F"/>
    <w:rsid w:val="3F2534A4"/>
    <w:rsid w:val="3F43263A"/>
    <w:rsid w:val="3F514D57"/>
    <w:rsid w:val="3F5B1CE1"/>
    <w:rsid w:val="3F6E5909"/>
    <w:rsid w:val="3F9A5CE4"/>
    <w:rsid w:val="3FDF6807"/>
    <w:rsid w:val="3FE27130"/>
    <w:rsid w:val="3FF102E8"/>
    <w:rsid w:val="40026051"/>
    <w:rsid w:val="402B082D"/>
    <w:rsid w:val="402C2A1F"/>
    <w:rsid w:val="407A208B"/>
    <w:rsid w:val="40B27A77"/>
    <w:rsid w:val="40C357E1"/>
    <w:rsid w:val="40DE086C"/>
    <w:rsid w:val="410A27A1"/>
    <w:rsid w:val="41251F49"/>
    <w:rsid w:val="412B73DE"/>
    <w:rsid w:val="41831414"/>
    <w:rsid w:val="41D63C39"/>
    <w:rsid w:val="41DC465A"/>
    <w:rsid w:val="42115714"/>
    <w:rsid w:val="42323768"/>
    <w:rsid w:val="428500C8"/>
    <w:rsid w:val="42976F25"/>
    <w:rsid w:val="42A45AE6"/>
    <w:rsid w:val="42EB7271"/>
    <w:rsid w:val="43717BE5"/>
    <w:rsid w:val="43AE36F2"/>
    <w:rsid w:val="43D45F57"/>
    <w:rsid w:val="43DB5537"/>
    <w:rsid w:val="43FB2100"/>
    <w:rsid w:val="441647C1"/>
    <w:rsid w:val="441A7E0D"/>
    <w:rsid w:val="445A34E7"/>
    <w:rsid w:val="44B57217"/>
    <w:rsid w:val="44E2037F"/>
    <w:rsid w:val="44FE772F"/>
    <w:rsid w:val="450F5CD2"/>
    <w:rsid w:val="45191FB9"/>
    <w:rsid w:val="45232CF2"/>
    <w:rsid w:val="45565285"/>
    <w:rsid w:val="455C6204"/>
    <w:rsid w:val="455E01CE"/>
    <w:rsid w:val="457E1216"/>
    <w:rsid w:val="45B7168C"/>
    <w:rsid w:val="45C344D5"/>
    <w:rsid w:val="45EE1552"/>
    <w:rsid w:val="4609638B"/>
    <w:rsid w:val="461F40D3"/>
    <w:rsid w:val="463517DF"/>
    <w:rsid w:val="46560EA5"/>
    <w:rsid w:val="46852F76"/>
    <w:rsid w:val="46EB008B"/>
    <w:rsid w:val="47064679"/>
    <w:rsid w:val="471072A6"/>
    <w:rsid w:val="47631ACB"/>
    <w:rsid w:val="47AB6F21"/>
    <w:rsid w:val="481E59F2"/>
    <w:rsid w:val="482161C9"/>
    <w:rsid w:val="484713ED"/>
    <w:rsid w:val="486378A9"/>
    <w:rsid w:val="48831CF9"/>
    <w:rsid w:val="48943C8F"/>
    <w:rsid w:val="48B85E47"/>
    <w:rsid w:val="48B96FD7"/>
    <w:rsid w:val="48EC08CA"/>
    <w:rsid w:val="48ED4CAD"/>
    <w:rsid w:val="48F108D3"/>
    <w:rsid w:val="48F544BB"/>
    <w:rsid w:val="4933371F"/>
    <w:rsid w:val="4977185E"/>
    <w:rsid w:val="49AC7136"/>
    <w:rsid w:val="4A4F4B74"/>
    <w:rsid w:val="4A5D0422"/>
    <w:rsid w:val="4A993A56"/>
    <w:rsid w:val="4AF173EE"/>
    <w:rsid w:val="4B052E99"/>
    <w:rsid w:val="4B0F6777"/>
    <w:rsid w:val="4B106552"/>
    <w:rsid w:val="4B413ED2"/>
    <w:rsid w:val="4B6C4CC7"/>
    <w:rsid w:val="4B8921F7"/>
    <w:rsid w:val="4BBC07D8"/>
    <w:rsid w:val="4BE40D01"/>
    <w:rsid w:val="4C054282"/>
    <w:rsid w:val="4C4C3491"/>
    <w:rsid w:val="4C653BF0"/>
    <w:rsid w:val="4C6C0FD2"/>
    <w:rsid w:val="4CC07749"/>
    <w:rsid w:val="4D3006A2"/>
    <w:rsid w:val="4D3F6B37"/>
    <w:rsid w:val="4D437238"/>
    <w:rsid w:val="4D451BD8"/>
    <w:rsid w:val="4D6245D3"/>
    <w:rsid w:val="4D6D36A4"/>
    <w:rsid w:val="4D805197"/>
    <w:rsid w:val="4D930C30"/>
    <w:rsid w:val="4DF700CB"/>
    <w:rsid w:val="4DFB021D"/>
    <w:rsid w:val="4E3301FD"/>
    <w:rsid w:val="4E4D7031"/>
    <w:rsid w:val="4E5A52AA"/>
    <w:rsid w:val="4E68356D"/>
    <w:rsid w:val="4E96144B"/>
    <w:rsid w:val="4EC7430E"/>
    <w:rsid w:val="4EDB4D86"/>
    <w:rsid w:val="4F011B62"/>
    <w:rsid w:val="4F0A6CD0"/>
    <w:rsid w:val="4F0D06C9"/>
    <w:rsid w:val="4F7B372A"/>
    <w:rsid w:val="4F835112"/>
    <w:rsid w:val="4FA47125"/>
    <w:rsid w:val="4FBD3D43"/>
    <w:rsid w:val="4FDE2637"/>
    <w:rsid w:val="4FE87012"/>
    <w:rsid w:val="50367344"/>
    <w:rsid w:val="503D62C5"/>
    <w:rsid w:val="509B4084"/>
    <w:rsid w:val="50B53614"/>
    <w:rsid w:val="50D1398C"/>
    <w:rsid w:val="51656177"/>
    <w:rsid w:val="51F31C9E"/>
    <w:rsid w:val="52081BED"/>
    <w:rsid w:val="52416EAD"/>
    <w:rsid w:val="52750905"/>
    <w:rsid w:val="527F2031"/>
    <w:rsid w:val="52893A92"/>
    <w:rsid w:val="52F97E5D"/>
    <w:rsid w:val="530F3399"/>
    <w:rsid w:val="531B14AC"/>
    <w:rsid w:val="531C3528"/>
    <w:rsid w:val="53334A48"/>
    <w:rsid w:val="534327B1"/>
    <w:rsid w:val="534B4396"/>
    <w:rsid w:val="53642E53"/>
    <w:rsid w:val="53BD07B5"/>
    <w:rsid w:val="53D63625"/>
    <w:rsid w:val="53F35F85"/>
    <w:rsid w:val="53F817ED"/>
    <w:rsid w:val="541D74A6"/>
    <w:rsid w:val="542720D3"/>
    <w:rsid w:val="54434275"/>
    <w:rsid w:val="546B1FBF"/>
    <w:rsid w:val="54802A0E"/>
    <w:rsid w:val="54A35BFD"/>
    <w:rsid w:val="54A83213"/>
    <w:rsid w:val="54B6371B"/>
    <w:rsid w:val="54FC3049"/>
    <w:rsid w:val="552503C0"/>
    <w:rsid w:val="55256612"/>
    <w:rsid w:val="5536081F"/>
    <w:rsid w:val="553B7BE4"/>
    <w:rsid w:val="55564A1D"/>
    <w:rsid w:val="55AD30C3"/>
    <w:rsid w:val="563D3E2F"/>
    <w:rsid w:val="567524EE"/>
    <w:rsid w:val="56772E9D"/>
    <w:rsid w:val="56982E14"/>
    <w:rsid w:val="56A17F1A"/>
    <w:rsid w:val="56A65531"/>
    <w:rsid w:val="56C9121F"/>
    <w:rsid w:val="56CB742E"/>
    <w:rsid w:val="56D95906"/>
    <w:rsid w:val="56E36785"/>
    <w:rsid w:val="57055FE4"/>
    <w:rsid w:val="57122BC6"/>
    <w:rsid w:val="57527466"/>
    <w:rsid w:val="575D6537"/>
    <w:rsid w:val="577613A7"/>
    <w:rsid w:val="577F0367"/>
    <w:rsid w:val="57B91294"/>
    <w:rsid w:val="57C52BDD"/>
    <w:rsid w:val="57E44562"/>
    <w:rsid w:val="580A79CB"/>
    <w:rsid w:val="580E5A83"/>
    <w:rsid w:val="58141A65"/>
    <w:rsid w:val="582E1C82"/>
    <w:rsid w:val="58313520"/>
    <w:rsid w:val="583A23D4"/>
    <w:rsid w:val="58472D43"/>
    <w:rsid w:val="586454CE"/>
    <w:rsid w:val="58CA7BFC"/>
    <w:rsid w:val="58D913C9"/>
    <w:rsid w:val="58EE3878"/>
    <w:rsid w:val="592D018B"/>
    <w:rsid w:val="5979517E"/>
    <w:rsid w:val="599B3347"/>
    <w:rsid w:val="59D2663D"/>
    <w:rsid w:val="5A714412"/>
    <w:rsid w:val="5A865020"/>
    <w:rsid w:val="5A8B5169"/>
    <w:rsid w:val="5AA535EC"/>
    <w:rsid w:val="5AC71F19"/>
    <w:rsid w:val="5B1213E7"/>
    <w:rsid w:val="5B174C4F"/>
    <w:rsid w:val="5B184523"/>
    <w:rsid w:val="5B841BB9"/>
    <w:rsid w:val="5B94004E"/>
    <w:rsid w:val="5BA830B6"/>
    <w:rsid w:val="5BBC1352"/>
    <w:rsid w:val="5BE7391D"/>
    <w:rsid w:val="5C0A0310"/>
    <w:rsid w:val="5C1D6295"/>
    <w:rsid w:val="5C2A177C"/>
    <w:rsid w:val="5C513607"/>
    <w:rsid w:val="5C624388"/>
    <w:rsid w:val="5C6A5252"/>
    <w:rsid w:val="5C90041D"/>
    <w:rsid w:val="5CA42512"/>
    <w:rsid w:val="5CA95D7B"/>
    <w:rsid w:val="5CBF559E"/>
    <w:rsid w:val="5CD31049"/>
    <w:rsid w:val="5CF05758"/>
    <w:rsid w:val="5CF60894"/>
    <w:rsid w:val="5D573A29"/>
    <w:rsid w:val="5DC31F9A"/>
    <w:rsid w:val="5DEC4A2B"/>
    <w:rsid w:val="5DFA7FDB"/>
    <w:rsid w:val="5E5E2B95"/>
    <w:rsid w:val="5E68756F"/>
    <w:rsid w:val="5E8048B9"/>
    <w:rsid w:val="5E8425FB"/>
    <w:rsid w:val="5EBD78BB"/>
    <w:rsid w:val="5EC40C4A"/>
    <w:rsid w:val="5ECD0602"/>
    <w:rsid w:val="5F3C4C84"/>
    <w:rsid w:val="5F3F6522"/>
    <w:rsid w:val="5F3F6CDA"/>
    <w:rsid w:val="5F5A15AE"/>
    <w:rsid w:val="5FF78565"/>
    <w:rsid w:val="60187A8A"/>
    <w:rsid w:val="60455DBA"/>
    <w:rsid w:val="60726CBE"/>
    <w:rsid w:val="608B165E"/>
    <w:rsid w:val="60A06904"/>
    <w:rsid w:val="60A07495"/>
    <w:rsid w:val="60A54AAB"/>
    <w:rsid w:val="60A8386E"/>
    <w:rsid w:val="60B60A66"/>
    <w:rsid w:val="60EE0200"/>
    <w:rsid w:val="6117377F"/>
    <w:rsid w:val="612A5035"/>
    <w:rsid w:val="61642270"/>
    <w:rsid w:val="61A53876"/>
    <w:rsid w:val="61B054B5"/>
    <w:rsid w:val="61B431F8"/>
    <w:rsid w:val="61B52BB6"/>
    <w:rsid w:val="61D45648"/>
    <w:rsid w:val="621F43E9"/>
    <w:rsid w:val="62255EA3"/>
    <w:rsid w:val="62375FF2"/>
    <w:rsid w:val="62634C1E"/>
    <w:rsid w:val="62715776"/>
    <w:rsid w:val="627666FF"/>
    <w:rsid w:val="628009C8"/>
    <w:rsid w:val="62832BCA"/>
    <w:rsid w:val="62A5142D"/>
    <w:rsid w:val="62D41677"/>
    <w:rsid w:val="62F870A7"/>
    <w:rsid w:val="630A0EB2"/>
    <w:rsid w:val="630E06E5"/>
    <w:rsid w:val="63112505"/>
    <w:rsid w:val="63277A4B"/>
    <w:rsid w:val="632B36B1"/>
    <w:rsid w:val="635051A2"/>
    <w:rsid w:val="63620A31"/>
    <w:rsid w:val="638A25E9"/>
    <w:rsid w:val="63911317"/>
    <w:rsid w:val="63D739ED"/>
    <w:rsid w:val="63FA510E"/>
    <w:rsid w:val="640660A2"/>
    <w:rsid w:val="643F54BB"/>
    <w:rsid w:val="649B244D"/>
    <w:rsid w:val="650972FF"/>
    <w:rsid w:val="65271F32"/>
    <w:rsid w:val="65497BA1"/>
    <w:rsid w:val="657B2E87"/>
    <w:rsid w:val="658B5AC3"/>
    <w:rsid w:val="65A83B8B"/>
    <w:rsid w:val="65AF12A5"/>
    <w:rsid w:val="65E9543A"/>
    <w:rsid w:val="65F53DDF"/>
    <w:rsid w:val="65FE4D8B"/>
    <w:rsid w:val="65FF3D43"/>
    <w:rsid w:val="660F32DD"/>
    <w:rsid w:val="660F7EB4"/>
    <w:rsid w:val="662C1B3C"/>
    <w:rsid w:val="6646288C"/>
    <w:rsid w:val="665519E6"/>
    <w:rsid w:val="66615234"/>
    <w:rsid w:val="66CD6817"/>
    <w:rsid w:val="67044DCA"/>
    <w:rsid w:val="67281F92"/>
    <w:rsid w:val="673F17B5"/>
    <w:rsid w:val="67696832"/>
    <w:rsid w:val="676F196F"/>
    <w:rsid w:val="676F7BC1"/>
    <w:rsid w:val="677F7E04"/>
    <w:rsid w:val="67DB7004"/>
    <w:rsid w:val="67EB5499"/>
    <w:rsid w:val="67F0485E"/>
    <w:rsid w:val="67F85E08"/>
    <w:rsid w:val="68356E39"/>
    <w:rsid w:val="684A1014"/>
    <w:rsid w:val="685F5829"/>
    <w:rsid w:val="68660FC4"/>
    <w:rsid w:val="68757459"/>
    <w:rsid w:val="688D02FE"/>
    <w:rsid w:val="689F0032"/>
    <w:rsid w:val="68A35D74"/>
    <w:rsid w:val="68A85138"/>
    <w:rsid w:val="68DB72BC"/>
    <w:rsid w:val="68E50D27"/>
    <w:rsid w:val="69110F2F"/>
    <w:rsid w:val="69313380"/>
    <w:rsid w:val="6958090C"/>
    <w:rsid w:val="69A578CA"/>
    <w:rsid w:val="69AC6EAA"/>
    <w:rsid w:val="69CF4947"/>
    <w:rsid w:val="69F230B3"/>
    <w:rsid w:val="6A001A7B"/>
    <w:rsid w:val="6A18009C"/>
    <w:rsid w:val="6A1A3FDD"/>
    <w:rsid w:val="6A1D56B2"/>
    <w:rsid w:val="6A23521E"/>
    <w:rsid w:val="6A297B56"/>
    <w:rsid w:val="6A4A71DB"/>
    <w:rsid w:val="6A5669FF"/>
    <w:rsid w:val="6A5C442C"/>
    <w:rsid w:val="6A5E34FC"/>
    <w:rsid w:val="6ABF0258"/>
    <w:rsid w:val="6B106EAA"/>
    <w:rsid w:val="6B234F4A"/>
    <w:rsid w:val="6B39651C"/>
    <w:rsid w:val="6B991EBA"/>
    <w:rsid w:val="6BB80303"/>
    <w:rsid w:val="6BB87D88"/>
    <w:rsid w:val="6BBC3F82"/>
    <w:rsid w:val="6BBC47BD"/>
    <w:rsid w:val="6BE61923"/>
    <w:rsid w:val="6BFFE02C"/>
    <w:rsid w:val="6C264CF2"/>
    <w:rsid w:val="6C3A079D"/>
    <w:rsid w:val="6C3F6E21"/>
    <w:rsid w:val="6CA95923"/>
    <w:rsid w:val="6D17288C"/>
    <w:rsid w:val="6D3752F5"/>
    <w:rsid w:val="6D3F3B91"/>
    <w:rsid w:val="6D46481A"/>
    <w:rsid w:val="6DB93919"/>
    <w:rsid w:val="6DE41394"/>
    <w:rsid w:val="6DF606F4"/>
    <w:rsid w:val="6DF826BE"/>
    <w:rsid w:val="6E202C32"/>
    <w:rsid w:val="6E6733A0"/>
    <w:rsid w:val="6E867CCA"/>
    <w:rsid w:val="6E94481B"/>
    <w:rsid w:val="6EA2087C"/>
    <w:rsid w:val="6EB81E4D"/>
    <w:rsid w:val="6EC407F2"/>
    <w:rsid w:val="6EE844E0"/>
    <w:rsid w:val="6EFD68D9"/>
    <w:rsid w:val="6F0F38DE"/>
    <w:rsid w:val="6F176CFE"/>
    <w:rsid w:val="6F5953DE"/>
    <w:rsid w:val="6F975F07"/>
    <w:rsid w:val="6FB46F97"/>
    <w:rsid w:val="6FC24913"/>
    <w:rsid w:val="6FDC1AF1"/>
    <w:rsid w:val="6FEE7EC5"/>
    <w:rsid w:val="70537156"/>
    <w:rsid w:val="70567B70"/>
    <w:rsid w:val="70645DE9"/>
    <w:rsid w:val="70700732"/>
    <w:rsid w:val="707F6840"/>
    <w:rsid w:val="70840239"/>
    <w:rsid w:val="708752DE"/>
    <w:rsid w:val="70981F36"/>
    <w:rsid w:val="70E36668"/>
    <w:rsid w:val="70FF3D63"/>
    <w:rsid w:val="710B095A"/>
    <w:rsid w:val="71153587"/>
    <w:rsid w:val="713A41F0"/>
    <w:rsid w:val="714E48D5"/>
    <w:rsid w:val="71810C1C"/>
    <w:rsid w:val="71BE436F"/>
    <w:rsid w:val="71C72AD3"/>
    <w:rsid w:val="71CE243B"/>
    <w:rsid w:val="71DF0D49"/>
    <w:rsid w:val="71FCF4FC"/>
    <w:rsid w:val="72D00FE6"/>
    <w:rsid w:val="72D74F98"/>
    <w:rsid w:val="72E15E16"/>
    <w:rsid w:val="73164A2A"/>
    <w:rsid w:val="7334401A"/>
    <w:rsid w:val="737E5413"/>
    <w:rsid w:val="73A3131E"/>
    <w:rsid w:val="73B646ED"/>
    <w:rsid w:val="73FE6554"/>
    <w:rsid w:val="742139B4"/>
    <w:rsid w:val="743E2AC4"/>
    <w:rsid w:val="7463285B"/>
    <w:rsid w:val="74820F33"/>
    <w:rsid w:val="748702F8"/>
    <w:rsid w:val="74911176"/>
    <w:rsid w:val="74BD1F6B"/>
    <w:rsid w:val="74CB0B2C"/>
    <w:rsid w:val="74D3178F"/>
    <w:rsid w:val="74E27C24"/>
    <w:rsid w:val="751F40DF"/>
    <w:rsid w:val="753C37D8"/>
    <w:rsid w:val="75671ED7"/>
    <w:rsid w:val="75862CA5"/>
    <w:rsid w:val="75A06322"/>
    <w:rsid w:val="75B94E29"/>
    <w:rsid w:val="75C0317E"/>
    <w:rsid w:val="75C335B1"/>
    <w:rsid w:val="75EC1E4A"/>
    <w:rsid w:val="761402B1"/>
    <w:rsid w:val="76283D5C"/>
    <w:rsid w:val="76297AAD"/>
    <w:rsid w:val="766F7295"/>
    <w:rsid w:val="767A3516"/>
    <w:rsid w:val="768D606D"/>
    <w:rsid w:val="76D161A2"/>
    <w:rsid w:val="76E51777"/>
    <w:rsid w:val="7783749C"/>
    <w:rsid w:val="778B17E5"/>
    <w:rsid w:val="77CC3490"/>
    <w:rsid w:val="77F9775E"/>
    <w:rsid w:val="77FA5285"/>
    <w:rsid w:val="78252301"/>
    <w:rsid w:val="7849788F"/>
    <w:rsid w:val="78534E8B"/>
    <w:rsid w:val="785901FD"/>
    <w:rsid w:val="78656BA2"/>
    <w:rsid w:val="786C7F30"/>
    <w:rsid w:val="78880AE2"/>
    <w:rsid w:val="78B813C8"/>
    <w:rsid w:val="78E73FC1"/>
    <w:rsid w:val="78E81581"/>
    <w:rsid w:val="791B3704"/>
    <w:rsid w:val="79703A50"/>
    <w:rsid w:val="797A667D"/>
    <w:rsid w:val="799139C7"/>
    <w:rsid w:val="79986B03"/>
    <w:rsid w:val="799F2D3B"/>
    <w:rsid w:val="79D74F7B"/>
    <w:rsid w:val="7A2605B3"/>
    <w:rsid w:val="7A3031E0"/>
    <w:rsid w:val="7A4D3D91"/>
    <w:rsid w:val="7A7577B8"/>
    <w:rsid w:val="7AAD4830"/>
    <w:rsid w:val="7AE73374"/>
    <w:rsid w:val="7AF62BC7"/>
    <w:rsid w:val="7AF719AB"/>
    <w:rsid w:val="7B065C9A"/>
    <w:rsid w:val="7B29035B"/>
    <w:rsid w:val="7B430CF1"/>
    <w:rsid w:val="7B840B64"/>
    <w:rsid w:val="7B8B5CCD"/>
    <w:rsid w:val="7B9A6B62"/>
    <w:rsid w:val="7BAE6AB2"/>
    <w:rsid w:val="7BD1454E"/>
    <w:rsid w:val="7BFF730D"/>
    <w:rsid w:val="7C057C7C"/>
    <w:rsid w:val="7C06244A"/>
    <w:rsid w:val="7C541407"/>
    <w:rsid w:val="7C5A736A"/>
    <w:rsid w:val="7C742C26"/>
    <w:rsid w:val="7CFF1EE2"/>
    <w:rsid w:val="7D2F7FCA"/>
    <w:rsid w:val="7D3D1E9B"/>
    <w:rsid w:val="7D4E173A"/>
    <w:rsid w:val="7D9121E7"/>
    <w:rsid w:val="7DDF353F"/>
    <w:rsid w:val="7E40068C"/>
    <w:rsid w:val="7E460C30"/>
    <w:rsid w:val="7E4D4AB6"/>
    <w:rsid w:val="7E7C4C45"/>
    <w:rsid w:val="7E891110"/>
    <w:rsid w:val="7E9F0934"/>
    <w:rsid w:val="7EB801B6"/>
    <w:rsid w:val="7EDC644C"/>
    <w:rsid w:val="7EE816AA"/>
    <w:rsid w:val="7F3E1EFB"/>
    <w:rsid w:val="7F717695"/>
    <w:rsid w:val="7F7EA439"/>
    <w:rsid w:val="7F832895"/>
    <w:rsid w:val="7F8C5659"/>
    <w:rsid w:val="877DABF2"/>
    <w:rsid w:val="BB774708"/>
    <w:rsid w:val="BFAEBB4F"/>
    <w:rsid w:val="C73E2B17"/>
    <w:rsid w:val="D1EFDB51"/>
    <w:rsid w:val="D9FED7D7"/>
    <w:rsid w:val="DD9D9F93"/>
    <w:rsid w:val="DDFF26C1"/>
    <w:rsid w:val="DFBF168E"/>
    <w:rsid w:val="E27D391D"/>
    <w:rsid w:val="E37629E6"/>
    <w:rsid w:val="EBBF4DD2"/>
    <w:rsid w:val="FBFDCB46"/>
    <w:rsid w:val="FCEF5E07"/>
    <w:rsid w:val="FE37132F"/>
    <w:rsid w:val="FEB74915"/>
    <w:rsid w:val="FEFF75C9"/>
    <w:rsid w:val="FFEB70B3"/>
    <w:rsid w:val="FFF72E1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8"/>
    <w:qFormat/>
    <w:uiPriority w:val="0"/>
    <w:pPr>
      <w:autoSpaceDE w:val="0"/>
      <w:autoSpaceDN w:val="0"/>
      <w:adjustRightInd w:val="0"/>
      <w:spacing w:line="360" w:lineRule="auto"/>
      <w:jc w:val="center"/>
      <w:outlineLvl w:val="0"/>
    </w:pPr>
    <w:rPr>
      <w:rFonts w:ascii="Times New Roman" w:hAnsi="Times New Roman" w:eastAsia="隶书"/>
      <w:b/>
      <w:bCs/>
      <w:kern w:val="0"/>
      <w:sz w:val="36"/>
      <w:szCs w:val="36"/>
    </w:rPr>
  </w:style>
  <w:style w:type="paragraph" w:styleId="3">
    <w:name w:val="heading 2"/>
    <w:basedOn w:val="1"/>
    <w:next w:val="1"/>
    <w:link w:val="8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90"/>
    <w:qFormat/>
    <w:uiPriority w:val="9"/>
    <w:pPr>
      <w:keepNext/>
      <w:keepLines/>
      <w:spacing w:before="260" w:after="260" w:line="416" w:lineRule="auto"/>
      <w:outlineLvl w:val="2"/>
    </w:pPr>
    <w:rPr>
      <w:b/>
      <w:bCs/>
      <w:sz w:val="32"/>
      <w:szCs w:val="32"/>
    </w:rPr>
  </w:style>
  <w:style w:type="paragraph" w:styleId="5">
    <w:name w:val="heading 4"/>
    <w:basedOn w:val="1"/>
    <w:next w:val="1"/>
    <w:link w:val="9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2"/>
    <w:qFormat/>
    <w:uiPriority w:val="0"/>
    <w:pPr>
      <w:keepNext/>
      <w:keepLines/>
      <w:spacing w:before="280" w:after="290" w:line="376" w:lineRule="auto"/>
      <w:outlineLvl w:val="4"/>
    </w:pPr>
    <w:rPr>
      <w:b/>
      <w:bCs/>
      <w:sz w:val="28"/>
      <w:szCs w:val="28"/>
    </w:rPr>
  </w:style>
  <w:style w:type="paragraph" w:styleId="7">
    <w:name w:val="heading 6"/>
    <w:basedOn w:val="1"/>
    <w:next w:val="1"/>
    <w:link w:val="93"/>
    <w:qFormat/>
    <w:uiPriority w:val="0"/>
    <w:pPr>
      <w:keepNext/>
      <w:keepLines/>
      <w:spacing w:before="240" w:after="64" w:line="320" w:lineRule="auto"/>
      <w:outlineLvl w:val="5"/>
    </w:pPr>
    <w:rPr>
      <w:rFonts w:ascii="Arial" w:hAnsi="Arial" w:eastAsia="黑体"/>
      <w:b/>
      <w:bCs/>
      <w:sz w:val="24"/>
      <w:szCs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8">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9">
    <w:name w:val="Normal Indent"/>
    <w:basedOn w:val="1"/>
    <w:next w:val="1"/>
    <w:link w:val="94"/>
    <w:qFormat/>
    <w:uiPriority w:val="99"/>
    <w:pPr>
      <w:ind w:firstLine="420"/>
    </w:pPr>
    <w:rPr>
      <w:kern w:val="0"/>
      <w:sz w:val="20"/>
      <w:szCs w:val="20"/>
    </w:rPr>
  </w:style>
  <w:style w:type="paragraph" w:styleId="10">
    <w:name w:val="caption"/>
    <w:basedOn w:val="1"/>
    <w:next w:val="1"/>
    <w:link w:val="95"/>
    <w:qFormat/>
    <w:uiPriority w:val="0"/>
    <w:pPr>
      <w:spacing w:before="152" w:after="160"/>
    </w:pPr>
    <w:rPr>
      <w:rFonts w:ascii="Arial" w:hAnsi="Arial" w:eastAsia="黑体" w:cs="Arial"/>
      <w:sz w:val="20"/>
      <w:szCs w:val="20"/>
    </w:rPr>
  </w:style>
  <w:style w:type="paragraph" w:styleId="11">
    <w:name w:val="Document Map"/>
    <w:basedOn w:val="1"/>
    <w:link w:val="96"/>
    <w:qFormat/>
    <w:uiPriority w:val="0"/>
    <w:pPr>
      <w:shd w:val="clear" w:color="auto" w:fill="000080"/>
    </w:pPr>
  </w:style>
  <w:style w:type="paragraph" w:styleId="12">
    <w:name w:val="annotation text"/>
    <w:basedOn w:val="1"/>
    <w:link w:val="97"/>
    <w:unhideWhenUsed/>
    <w:qFormat/>
    <w:uiPriority w:val="0"/>
    <w:pPr>
      <w:jc w:val="left"/>
    </w:pPr>
  </w:style>
  <w:style w:type="paragraph" w:styleId="13">
    <w:name w:val="Body Text 3"/>
    <w:basedOn w:val="1"/>
    <w:link w:val="98"/>
    <w:qFormat/>
    <w:uiPriority w:val="0"/>
    <w:pPr>
      <w:snapToGrid w:val="0"/>
      <w:spacing w:before="50" w:after="50"/>
    </w:pPr>
  </w:style>
  <w:style w:type="paragraph" w:styleId="14">
    <w:name w:val="Body Text"/>
    <w:basedOn w:val="1"/>
    <w:next w:val="1"/>
    <w:link w:val="99"/>
    <w:qFormat/>
    <w:uiPriority w:val="0"/>
    <w:pPr>
      <w:spacing w:after="120"/>
    </w:pPr>
    <w:rPr>
      <w:rFonts w:ascii="Times New Roman" w:hAnsi="Times New Roman"/>
      <w:sz w:val="28"/>
      <w:szCs w:val="24"/>
    </w:rPr>
  </w:style>
  <w:style w:type="paragraph" w:styleId="15">
    <w:name w:val="Body Text Indent"/>
    <w:basedOn w:val="1"/>
    <w:link w:val="100"/>
    <w:qFormat/>
    <w:uiPriority w:val="0"/>
    <w:pPr>
      <w:spacing w:line="200" w:lineRule="exact"/>
      <w:ind w:firstLine="301"/>
    </w:pPr>
    <w:rPr>
      <w:rFonts w:ascii="宋体" w:hAnsi="Courier New"/>
      <w:spacing w:val="-4"/>
      <w:sz w:val="18"/>
      <w:szCs w:val="20"/>
    </w:rPr>
  </w:style>
  <w:style w:type="paragraph" w:styleId="16">
    <w:name w:val="List Number 3"/>
    <w:basedOn w:val="1"/>
    <w:qFormat/>
    <w:uiPriority w:val="0"/>
    <w:pPr>
      <w:numPr>
        <w:ilvl w:val="0"/>
        <w:numId w:val="1"/>
      </w:numPr>
    </w:pPr>
    <w:rPr>
      <w:rFonts w:ascii="Times New Roman" w:hAnsi="Times New Roman"/>
      <w:szCs w:val="24"/>
    </w:rPr>
  </w:style>
  <w:style w:type="paragraph" w:styleId="17">
    <w:name w:val="List 2"/>
    <w:basedOn w:val="1"/>
    <w:qFormat/>
    <w:uiPriority w:val="0"/>
    <w:pPr>
      <w:ind w:left="100" w:leftChars="200" w:hanging="200" w:hangingChars="200"/>
    </w:pPr>
    <w:rPr>
      <w:rFonts w:ascii="Times New Roman" w:hAnsi="Times New Roman"/>
      <w:sz w:val="28"/>
      <w:szCs w:val="24"/>
    </w:rPr>
  </w:style>
  <w:style w:type="paragraph" w:styleId="18">
    <w:name w:val="toc 3"/>
    <w:basedOn w:val="1"/>
    <w:next w:val="1"/>
    <w:qFormat/>
    <w:uiPriority w:val="0"/>
    <w:pPr>
      <w:ind w:left="840" w:leftChars="400"/>
    </w:pPr>
  </w:style>
  <w:style w:type="paragraph" w:styleId="19">
    <w:name w:val="Plain Text"/>
    <w:basedOn w:val="1"/>
    <w:link w:val="101"/>
    <w:qFormat/>
    <w:uiPriority w:val="0"/>
    <w:pPr>
      <w:spacing w:beforeLines="50" w:afterLines="50" w:line="400" w:lineRule="exact"/>
    </w:pPr>
    <w:rPr>
      <w:rFonts w:ascii="宋体" w:hAnsi="Courier New"/>
      <w:kern w:val="0"/>
      <w:sz w:val="24"/>
      <w:szCs w:val="24"/>
    </w:rPr>
  </w:style>
  <w:style w:type="paragraph" w:styleId="20">
    <w:name w:val="Date"/>
    <w:basedOn w:val="1"/>
    <w:next w:val="1"/>
    <w:link w:val="102"/>
    <w:qFormat/>
    <w:uiPriority w:val="99"/>
    <w:pPr>
      <w:ind w:left="2500" w:leftChars="2500"/>
    </w:pPr>
    <w:rPr>
      <w:rFonts w:ascii="Times New Roman" w:hAnsi="Times New Roman" w:eastAsia="楷体_GB2312"/>
      <w:sz w:val="32"/>
      <w:szCs w:val="20"/>
    </w:rPr>
  </w:style>
  <w:style w:type="paragraph" w:styleId="21">
    <w:name w:val="Body Text Indent 2"/>
    <w:basedOn w:val="1"/>
    <w:link w:val="103"/>
    <w:qFormat/>
    <w:uiPriority w:val="0"/>
    <w:pPr>
      <w:snapToGrid w:val="0"/>
      <w:ind w:firstLine="542" w:firstLineChars="225"/>
    </w:pPr>
    <w:rPr>
      <w:rFonts w:ascii="仿宋_GB2312" w:hAnsi="宋体" w:cs="Arial"/>
      <w:b/>
      <w:bCs/>
      <w:color w:val="000000"/>
      <w:sz w:val="24"/>
      <w:szCs w:val="24"/>
    </w:rPr>
  </w:style>
  <w:style w:type="paragraph" w:styleId="22">
    <w:name w:val="Balloon Text"/>
    <w:basedOn w:val="1"/>
    <w:link w:val="104"/>
    <w:qFormat/>
    <w:uiPriority w:val="99"/>
    <w:rPr>
      <w:sz w:val="18"/>
      <w:szCs w:val="18"/>
    </w:rPr>
  </w:style>
  <w:style w:type="paragraph" w:styleId="23">
    <w:name w:val="footer"/>
    <w:basedOn w:val="1"/>
    <w:link w:val="105"/>
    <w:qFormat/>
    <w:uiPriority w:val="99"/>
    <w:pPr>
      <w:tabs>
        <w:tab w:val="center" w:pos="4153"/>
        <w:tab w:val="right" w:pos="8306"/>
      </w:tabs>
      <w:snapToGrid w:val="0"/>
      <w:jc w:val="left"/>
    </w:pPr>
    <w:rPr>
      <w:kern w:val="0"/>
      <w:sz w:val="18"/>
      <w:szCs w:val="18"/>
    </w:rPr>
  </w:style>
  <w:style w:type="paragraph" w:styleId="24">
    <w:name w:val="header"/>
    <w:basedOn w:val="1"/>
    <w:link w:val="106"/>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qFormat/>
    <w:uiPriority w:val="39"/>
    <w:rPr>
      <w:rFonts w:ascii="Times New Roman" w:hAnsi="Times New Roman"/>
      <w:szCs w:val="24"/>
    </w:rPr>
  </w:style>
  <w:style w:type="paragraph" w:styleId="26">
    <w:name w:val="List"/>
    <w:basedOn w:val="1"/>
    <w:qFormat/>
    <w:uiPriority w:val="0"/>
    <w:pPr>
      <w:ind w:left="200" w:hanging="200" w:hangingChars="200"/>
    </w:pPr>
    <w:rPr>
      <w:rFonts w:ascii="Times New Roman" w:hAnsi="Times New Roman"/>
      <w:sz w:val="28"/>
      <w:szCs w:val="24"/>
    </w:rPr>
  </w:style>
  <w:style w:type="paragraph" w:styleId="27">
    <w:name w:val="footnote text"/>
    <w:basedOn w:val="1"/>
    <w:link w:val="107"/>
    <w:qFormat/>
    <w:uiPriority w:val="0"/>
    <w:pPr>
      <w:snapToGrid w:val="0"/>
      <w:jc w:val="left"/>
    </w:pPr>
    <w:rPr>
      <w:sz w:val="18"/>
      <w:szCs w:val="18"/>
    </w:rPr>
  </w:style>
  <w:style w:type="paragraph" w:styleId="28">
    <w:name w:val="Body Text Indent 3"/>
    <w:basedOn w:val="1"/>
    <w:link w:val="108"/>
    <w:qFormat/>
    <w:uiPriority w:val="0"/>
    <w:pPr>
      <w:snapToGrid w:val="0"/>
      <w:ind w:firstLine="480" w:firstLineChars="200"/>
      <w:jc w:val="left"/>
    </w:pPr>
    <w:rPr>
      <w:rFonts w:ascii="仿宋_GB2312" w:hAnsi="宋体" w:eastAsia="仿宋_GB2312"/>
      <w:color w:val="000000"/>
      <w:sz w:val="24"/>
      <w:szCs w:val="24"/>
    </w:rPr>
  </w:style>
  <w:style w:type="paragraph" w:styleId="29">
    <w:name w:val="toc 2"/>
    <w:basedOn w:val="1"/>
    <w:next w:val="1"/>
    <w:qFormat/>
    <w:uiPriority w:val="0"/>
    <w:pPr>
      <w:ind w:left="420" w:leftChars="200"/>
    </w:pPr>
  </w:style>
  <w:style w:type="paragraph" w:styleId="30">
    <w:name w:val="Body Text 2"/>
    <w:basedOn w:val="1"/>
    <w:link w:val="109"/>
    <w:qFormat/>
    <w:uiPriority w:val="0"/>
    <w:pPr>
      <w:widowControl/>
      <w:snapToGrid w:val="0"/>
      <w:spacing w:before="50" w:afterLines="50" w:line="400" w:lineRule="exact"/>
      <w:jc w:val="left"/>
    </w:pPr>
    <w:rPr>
      <w:rFonts w:ascii="宋体" w:hAnsi="宋体"/>
      <w:color w:val="000000"/>
      <w:kern w:val="0"/>
      <w:sz w:val="24"/>
      <w:szCs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2">
    <w:name w:val="Title"/>
    <w:basedOn w:val="1"/>
    <w:next w:val="1"/>
    <w:link w:val="110"/>
    <w:qFormat/>
    <w:uiPriority w:val="99"/>
    <w:pPr>
      <w:spacing w:before="240" w:after="60"/>
      <w:jc w:val="center"/>
      <w:outlineLvl w:val="0"/>
    </w:pPr>
    <w:rPr>
      <w:rFonts w:ascii="Cambria" w:hAnsi="Cambria"/>
      <w:b/>
      <w:bCs/>
      <w:kern w:val="0"/>
      <w:sz w:val="32"/>
      <w:szCs w:val="32"/>
    </w:rPr>
  </w:style>
  <w:style w:type="paragraph" w:styleId="33">
    <w:name w:val="annotation subject"/>
    <w:basedOn w:val="12"/>
    <w:next w:val="12"/>
    <w:link w:val="111"/>
    <w:qFormat/>
    <w:uiPriority w:val="0"/>
    <w:rPr>
      <w:b/>
      <w:bCs/>
    </w:rPr>
  </w:style>
  <w:style w:type="paragraph" w:styleId="34">
    <w:name w:val="Body Text First Indent"/>
    <w:next w:val="1"/>
    <w:link w:val="146"/>
    <w:qFormat/>
    <w:uiPriority w:val="0"/>
    <w:pPr>
      <w:widowControl w:val="0"/>
      <w:spacing w:line="500" w:lineRule="exact"/>
      <w:ind w:firstLine="420"/>
      <w:jc w:val="both"/>
    </w:pPr>
    <w:rPr>
      <w:rFonts w:ascii="Calibri" w:hAnsi="Calibri" w:eastAsia="宋体" w:cs="Times New Roman"/>
      <w:kern w:val="2"/>
      <w:sz w:val="28"/>
      <w:lang w:val="en-US" w:eastAsia="zh-CN" w:bidi="ar-SA"/>
    </w:rPr>
  </w:style>
  <w:style w:type="paragraph" w:styleId="35">
    <w:name w:val="Body Text First Indent 2"/>
    <w:basedOn w:val="15"/>
    <w:link w:val="148"/>
    <w:unhideWhenUsed/>
    <w:qFormat/>
    <w:uiPriority w:val="99"/>
    <w:pPr>
      <w:ind w:firstLine="420" w:firstLineChars="2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bCs/>
    </w:rPr>
  </w:style>
  <w:style w:type="character" w:styleId="40">
    <w:name w:val="page number"/>
    <w:qFormat/>
    <w:uiPriority w:val="0"/>
  </w:style>
  <w:style w:type="character" w:styleId="41">
    <w:name w:val="FollowedHyperlink"/>
    <w:qFormat/>
    <w:uiPriority w:val="0"/>
    <w:rPr>
      <w:color w:val="800080"/>
      <w:u w:val="single"/>
    </w:rPr>
  </w:style>
  <w:style w:type="character" w:styleId="42">
    <w:name w:val="Emphasis"/>
    <w:qFormat/>
    <w:uiPriority w:val="20"/>
    <w:rPr>
      <w:color w:val="CC0033"/>
    </w:rPr>
  </w:style>
  <w:style w:type="character" w:styleId="43">
    <w:name w:val="HTML Definition"/>
    <w:basedOn w:val="38"/>
    <w:semiHidden/>
    <w:unhideWhenUsed/>
    <w:qFormat/>
    <w:uiPriority w:val="99"/>
    <w:rPr>
      <w:i/>
      <w:iCs/>
    </w:rPr>
  </w:style>
  <w:style w:type="character" w:styleId="44">
    <w:name w:val="Hyperlink"/>
    <w:qFormat/>
    <w:uiPriority w:val="99"/>
    <w:rPr>
      <w:color w:val="0000FF"/>
      <w:u w:val="single"/>
    </w:rPr>
  </w:style>
  <w:style w:type="character" w:styleId="45">
    <w:name w:val="HTML Code"/>
    <w:basedOn w:val="38"/>
    <w:semiHidden/>
    <w:unhideWhenUsed/>
    <w:qFormat/>
    <w:uiPriority w:val="99"/>
    <w:rPr>
      <w:rFonts w:hint="default" w:ascii="Consolas" w:hAnsi="Consolas" w:eastAsia="Consolas" w:cs="Consolas"/>
      <w:color w:val="C7254E"/>
      <w:sz w:val="21"/>
      <w:szCs w:val="21"/>
      <w:shd w:val="clear" w:fill="F9F2F4"/>
    </w:rPr>
  </w:style>
  <w:style w:type="character" w:styleId="46">
    <w:name w:val="annotation reference"/>
    <w:qFormat/>
    <w:uiPriority w:val="0"/>
    <w:rPr>
      <w:sz w:val="21"/>
      <w:szCs w:val="21"/>
    </w:rPr>
  </w:style>
  <w:style w:type="character" w:styleId="47">
    <w:name w:val="HTML Cite"/>
    <w:qFormat/>
    <w:uiPriority w:val="0"/>
    <w:rPr>
      <w:color w:val="008000"/>
    </w:rPr>
  </w:style>
  <w:style w:type="character" w:styleId="48">
    <w:name w:val="footnote reference"/>
    <w:qFormat/>
    <w:uiPriority w:val="0"/>
    <w:rPr>
      <w:vertAlign w:val="superscript"/>
    </w:rPr>
  </w:style>
  <w:style w:type="character" w:styleId="49">
    <w:name w:val="HTML Keyboard"/>
    <w:basedOn w:val="38"/>
    <w:semiHidden/>
    <w:unhideWhenUsed/>
    <w:qFormat/>
    <w:uiPriority w:val="99"/>
    <w:rPr>
      <w:rFonts w:ascii="Consolas" w:hAnsi="Consolas" w:eastAsia="Consolas" w:cs="Consolas"/>
      <w:color w:val="FFFFFF"/>
      <w:sz w:val="21"/>
      <w:szCs w:val="21"/>
      <w:shd w:val="clear" w:fill="333333"/>
    </w:rPr>
  </w:style>
  <w:style w:type="character" w:styleId="50">
    <w:name w:val="HTML Sample"/>
    <w:basedOn w:val="38"/>
    <w:semiHidden/>
    <w:unhideWhenUsed/>
    <w:qFormat/>
    <w:uiPriority w:val="99"/>
    <w:rPr>
      <w:rFonts w:hint="default" w:ascii="Consolas" w:hAnsi="Consolas" w:eastAsia="Consolas" w:cs="Consolas"/>
      <w:sz w:val="21"/>
      <w:szCs w:val="21"/>
    </w:rPr>
  </w:style>
  <w:style w:type="paragraph" w:customStyle="1" w:styleId="51">
    <w:name w:val="待斟酌"/>
    <w:basedOn w:val="1"/>
    <w:link w:val="119"/>
    <w:qFormat/>
    <w:uiPriority w:val="0"/>
    <w:pPr>
      <w:widowControl/>
      <w:spacing w:line="520" w:lineRule="exact"/>
      <w:ind w:firstLine="562" w:firstLineChars="200"/>
      <w:jc w:val="left"/>
    </w:pPr>
    <w:rPr>
      <w:rFonts w:ascii="仿宋_GB2312" w:eastAsia="仿宋_GB2312"/>
      <w:b/>
      <w:color w:val="C00000"/>
      <w:kern w:val="0"/>
      <w:sz w:val="28"/>
      <w:szCs w:val="28"/>
    </w:rPr>
  </w:style>
  <w:style w:type="paragraph" w:customStyle="1" w:styleId="52">
    <w:name w:val="a"/>
    <w:basedOn w:val="1"/>
    <w:link w:val="123"/>
    <w:qFormat/>
    <w:uiPriority w:val="0"/>
    <w:pPr>
      <w:widowControl/>
      <w:spacing w:before="100" w:beforeAutospacing="1" w:after="100" w:afterAutospacing="1"/>
      <w:jc w:val="left"/>
    </w:pPr>
    <w:rPr>
      <w:rFonts w:ascii="宋体" w:hAnsi="宋体" w:eastAsia="仿宋_GB2312"/>
      <w:kern w:val="0"/>
      <w:sz w:val="24"/>
      <w:szCs w:val="20"/>
    </w:rPr>
  </w:style>
  <w:style w:type="paragraph" w:customStyle="1" w:styleId="53">
    <w:name w:val="自定义正文"/>
    <w:basedOn w:val="1"/>
    <w:link w:val="126"/>
    <w:qFormat/>
    <w:uiPriority w:val="0"/>
    <w:pPr>
      <w:spacing w:before="60" w:after="120" w:line="560" w:lineRule="exact"/>
      <w:ind w:firstLine="200" w:firstLineChars="200"/>
      <w:jc w:val="left"/>
    </w:pPr>
    <w:rPr>
      <w:rFonts w:ascii="仿宋_GB2312" w:eastAsia="华文仿宋"/>
      <w:kern w:val="0"/>
      <w:sz w:val="28"/>
      <w:szCs w:val="24"/>
    </w:rPr>
  </w:style>
  <w:style w:type="paragraph" w:customStyle="1" w:styleId="54">
    <w:name w:val="表格正文"/>
    <w:basedOn w:val="1"/>
    <w:link w:val="133"/>
    <w:qFormat/>
    <w:uiPriority w:val="0"/>
    <w:pPr>
      <w:widowControl/>
      <w:spacing w:line="440" w:lineRule="exact"/>
      <w:jc w:val="left"/>
    </w:pPr>
    <w:rPr>
      <w:rFonts w:ascii="仿宋_GB2312" w:hAnsi="宋体" w:eastAsia="仿宋"/>
      <w:color w:val="000000"/>
      <w:kern w:val="0"/>
      <w:sz w:val="24"/>
      <w:szCs w:val="16"/>
    </w:rPr>
  </w:style>
  <w:style w:type="paragraph" w:customStyle="1" w:styleId="55">
    <w:name w:val="正文--不缩进"/>
    <w:basedOn w:val="1"/>
    <w:link w:val="135"/>
    <w:qFormat/>
    <w:uiPriority w:val="0"/>
    <w:pPr>
      <w:widowControl/>
      <w:spacing w:line="520" w:lineRule="exact"/>
      <w:jc w:val="left"/>
    </w:pPr>
    <w:rPr>
      <w:rFonts w:ascii="仿宋_GB2312" w:eastAsia="仿宋_GB2312"/>
      <w:kern w:val="0"/>
      <w:sz w:val="28"/>
      <w:szCs w:val="28"/>
      <w:shd w:val="clear" w:color="auto" w:fill="FFFFFF"/>
    </w:rPr>
  </w:style>
  <w:style w:type="paragraph" w:styleId="56">
    <w:name w:val="List Paragraph"/>
    <w:basedOn w:val="1"/>
    <w:link w:val="143"/>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57">
    <w:name w:val="样式2"/>
    <w:basedOn w:val="6"/>
    <w:qFormat/>
    <w:uiPriority w:val="0"/>
    <w:pPr>
      <w:spacing w:beforeLines="50" w:afterLines="50" w:line="440" w:lineRule="exact"/>
      <w:ind w:firstLine="472" w:firstLineChars="147"/>
    </w:pPr>
    <w:rPr>
      <w:rFonts w:ascii="仿宋_GB2312" w:eastAsia="仿宋_GB2312"/>
    </w:rPr>
  </w:style>
  <w:style w:type="paragraph" w:customStyle="1" w:styleId="58">
    <w:name w:val="样式3"/>
    <w:basedOn w:val="7"/>
    <w:next w:val="7"/>
    <w:qFormat/>
    <w:uiPriority w:val="0"/>
    <w:pPr>
      <w:spacing w:beforeLines="50" w:afterLines="50" w:line="440" w:lineRule="exact"/>
      <w:ind w:firstLine="472" w:firstLineChars="147"/>
    </w:pPr>
    <w:rPr>
      <w:rFonts w:ascii="仿宋_GB2312" w:eastAsia="仿宋_GB2312"/>
    </w:rPr>
  </w:style>
  <w:style w:type="paragraph" w:customStyle="1" w:styleId="59">
    <w:name w:val="默认段落字体 Para Char Char Char Char Char Char Char"/>
    <w:basedOn w:val="1"/>
    <w:qFormat/>
    <w:uiPriority w:val="0"/>
    <w:rPr>
      <w:rFonts w:ascii="Tahoma" w:hAnsi="Tahoma"/>
      <w:sz w:val="24"/>
      <w:szCs w:val="20"/>
    </w:rPr>
  </w:style>
  <w:style w:type="paragraph" w:customStyle="1" w:styleId="60">
    <w:name w:val="Char Char Char Char Char Char Char"/>
    <w:basedOn w:val="1"/>
    <w:qFormat/>
    <w:uiPriority w:val="0"/>
    <w:pPr>
      <w:tabs>
        <w:tab w:val="left" w:pos="432"/>
      </w:tabs>
      <w:ind w:left="432" w:hanging="432"/>
    </w:pPr>
    <w:rPr>
      <w:rFonts w:ascii="Tahoma" w:hAnsi="Tahoma"/>
      <w:sz w:val="24"/>
      <w:szCs w:val="20"/>
    </w:rPr>
  </w:style>
  <w:style w:type="paragraph" w:customStyle="1" w:styleId="61">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62">
    <w:name w:val="p0"/>
    <w:basedOn w:val="1"/>
    <w:qFormat/>
    <w:uiPriority w:val="0"/>
    <w:pPr>
      <w:widowControl/>
    </w:pPr>
    <w:rPr>
      <w:rFonts w:ascii="Times New Roman" w:hAnsi="Times New Roman"/>
      <w:kern w:val="0"/>
      <w:szCs w:val="21"/>
    </w:rPr>
  </w:style>
  <w:style w:type="paragraph" w:customStyle="1" w:styleId="63">
    <w:name w:val="TOC 标题1"/>
    <w:basedOn w:val="2"/>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64">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65">
    <w:name w:val="自动更正"/>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6">
    <w:name w:val="样式1"/>
    <w:basedOn w:val="5"/>
    <w:qFormat/>
    <w:uiPriority w:val="0"/>
    <w:rPr>
      <w:rFonts w:ascii="宋体" w:hAnsi="宋体"/>
    </w:rPr>
  </w:style>
  <w:style w:type="paragraph" w:customStyle="1" w:styleId="67">
    <w:name w:val="Char Char Char Char Char Char Char1"/>
    <w:basedOn w:val="1"/>
    <w:qFormat/>
    <w:uiPriority w:val="0"/>
    <w:pPr>
      <w:tabs>
        <w:tab w:val="left" w:pos="432"/>
      </w:tabs>
      <w:ind w:left="432" w:hanging="432"/>
    </w:pPr>
    <w:rPr>
      <w:rFonts w:ascii="Tahoma" w:hAnsi="Tahoma"/>
      <w:sz w:val="24"/>
      <w:szCs w:val="20"/>
    </w:rPr>
  </w:style>
  <w:style w:type="paragraph" w:customStyle="1" w:styleId="68">
    <w:name w:val="正文居中"/>
    <w:basedOn w:val="1"/>
    <w:qFormat/>
    <w:uiPriority w:val="0"/>
    <w:pPr>
      <w:jc w:val="center"/>
    </w:pPr>
    <w:rPr>
      <w:rFonts w:hAnsi="仿宋_GB2312" w:cs="Calibri"/>
    </w:rPr>
  </w:style>
  <w:style w:type="paragraph" w:customStyle="1" w:styleId="69">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70">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71">
    <w:name w:val="Char1"/>
    <w:basedOn w:val="1"/>
    <w:qFormat/>
    <w:uiPriority w:val="0"/>
    <w:pPr>
      <w:tabs>
        <w:tab w:val="left" w:pos="432"/>
      </w:tabs>
      <w:ind w:left="432" w:hanging="432"/>
    </w:pPr>
    <w:rPr>
      <w:rFonts w:ascii="Tahoma" w:hAnsi="Tahoma"/>
      <w:sz w:val="24"/>
      <w:szCs w:val="20"/>
    </w:rPr>
  </w:style>
  <w:style w:type="paragraph" w:customStyle="1" w:styleId="72">
    <w:name w:val="Char11"/>
    <w:basedOn w:val="1"/>
    <w:qFormat/>
    <w:uiPriority w:val="0"/>
    <w:rPr>
      <w:rFonts w:ascii="仿宋_GB2312" w:hAnsi="Times New Roman" w:eastAsia="仿宋_GB2312"/>
      <w:b/>
      <w:sz w:val="32"/>
      <w:szCs w:val="32"/>
    </w:rPr>
  </w:style>
  <w:style w:type="paragraph" w:customStyle="1" w:styleId="73">
    <w:name w:val="表内文字"/>
    <w:basedOn w:val="1"/>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74">
    <w:name w:val="Char Char Char"/>
    <w:basedOn w:val="1"/>
    <w:qFormat/>
    <w:uiPriority w:val="0"/>
    <w:rPr>
      <w:rFonts w:ascii="Tahoma" w:hAnsi="Tahoma"/>
      <w:sz w:val="24"/>
      <w:szCs w:val="20"/>
    </w:rPr>
  </w:style>
  <w:style w:type="paragraph" w:customStyle="1" w:styleId="75">
    <w:name w:val="默认段落字体 Para Char Char Char Char Char Char Char Char Char1 Char Char Char Char"/>
    <w:basedOn w:val="1"/>
    <w:qFormat/>
    <w:uiPriority w:val="0"/>
    <w:rPr>
      <w:rFonts w:ascii="Tahoma" w:hAnsi="Tahoma"/>
      <w:sz w:val="24"/>
      <w:szCs w:val="20"/>
    </w:rPr>
  </w:style>
  <w:style w:type="paragraph" w:customStyle="1" w:styleId="76">
    <w:name w:val="paragraph1"/>
    <w:basedOn w:val="1"/>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77">
    <w:name w:val="修订1"/>
    <w:semiHidden/>
    <w:qFormat/>
    <w:uiPriority w:val="99"/>
    <w:rPr>
      <w:rFonts w:ascii="Calibri" w:hAnsi="Calibri" w:eastAsia="宋体" w:cs="Times New Roman"/>
      <w:kern w:val="2"/>
      <w:sz w:val="21"/>
      <w:szCs w:val="22"/>
      <w:lang w:val="en-US" w:eastAsia="zh-CN" w:bidi="ar-SA"/>
    </w:rPr>
  </w:style>
  <w:style w:type="paragraph" w:customStyle="1" w:styleId="78">
    <w:name w:val="列出段落1"/>
    <w:basedOn w:val="1"/>
    <w:qFormat/>
    <w:uiPriority w:val="0"/>
    <w:pPr>
      <w:ind w:firstLine="420" w:firstLineChars="200"/>
    </w:pPr>
    <w:rPr>
      <w:rFonts w:cs="黑体"/>
    </w:rPr>
  </w:style>
  <w:style w:type="paragraph" w:customStyle="1" w:styleId="79">
    <w:name w:val="Char Char5"/>
    <w:basedOn w:val="1"/>
    <w:qFormat/>
    <w:uiPriority w:val="0"/>
    <w:pPr>
      <w:adjustRightInd w:val="0"/>
      <w:spacing w:line="360" w:lineRule="atLeast"/>
    </w:pPr>
    <w:rPr>
      <w:rFonts w:ascii="Tahoma" w:hAnsi="Tahoma"/>
      <w:sz w:val="24"/>
      <w:szCs w:val="20"/>
    </w:rPr>
  </w:style>
  <w:style w:type="paragraph" w:customStyle="1" w:styleId="80">
    <w:name w:val="Char1 Char Char Char"/>
    <w:basedOn w:val="1"/>
    <w:qFormat/>
    <w:uiPriority w:val="0"/>
    <w:rPr>
      <w:rFonts w:ascii="Tahoma" w:hAnsi="Tahoma"/>
      <w:sz w:val="24"/>
      <w:szCs w:val="20"/>
    </w:rPr>
  </w:style>
  <w:style w:type="paragraph" w:customStyle="1" w:styleId="81">
    <w:name w:val="Char"/>
    <w:basedOn w:val="1"/>
    <w:qFormat/>
    <w:uiPriority w:val="0"/>
    <w:rPr>
      <w:rFonts w:ascii="仿宋_GB2312" w:hAnsi="Times New Roman" w:eastAsia="仿宋_GB2312"/>
      <w:b/>
      <w:sz w:val="32"/>
      <w:szCs w:val="32"/>
    </w:rPr>
  </w:style>
  <w:style w:type="paragraph" w:customStyle="1" w:styleId="82">
    <w:name w:val="Char2"/>
    <w:basedOn w:val="1"/>
    <w:qFormat/>
    <w:uiPriority w:val="0"/>
    <w:rPr>
      <w:rFonts w:ascii="Times New Roman" w:hAnsi="Times New Roman"/>
      <w:szCs w:val="24"/>
    </w:rPr>
  </w:style>
  <w:style w:type="paragraph" w:customStyle="1" w:styleId="83">
    <w:name w:val="Char Char Char Char"/>
    <w:basedOn w:val="1"/>
    <w:qFormat/>
    <w:uiPriority w:val="0"/>
    <w:pPr>
      <w:tabs>
        <w:tab w:val="left" w:pos="360"/>
      </w:tabs>
    </w:pPr>
    <w:rPr>
      <w:rFonts w:ascii="Times New Roman" w:hAnsi="Times New Roman"/>
      <w:sz w:val="24"/>
      <w:szCs w:val="20"/>
    </w:rPr>
  </w:style>
  <w:style w:type="paragraph" w:customStyle="1" w:styleId="84">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85">
    <w:name w:val="_Style 68"/>
    <w:basedOn w:val="1"/>
    <w:next w:val="56"/>
    <w:qFormat/>
    <w:uiPriority w:val="34"/>
    <w:pPr>
      <w:ind w:firstLine="420" w:firstLineChars="200"/>
    </w:pPr>
  </w:style>
  <w:style w:type="paragraph" w:customStyle="1" w:styleId="86">
    <w:name w:val="Char Char Char Char Char Char Char Char Char Char"/>
    <w:basedOn w:val="1"/>
    <w:qFormat/>
    <w:uiPriority w:val="0"/>
    <w:rPr>
      <w:rFonts w:ascii="Tahoma" w:hAnsi="Tahoma"/>
      <w:sz w:val="24"/>
      <w:szCs w:val="20"/>
    </w:rPr>
  </w:style>
  <w:style w:type="paragraph" w:customStyle="1" w:styleId="87">
    <w:name w:val="彩色列表 - 强调文字颜色 11"/>
    <w:basedOn w:val="1"/>
    <w:qFormat/>
    <w:uiPriority w:val="0"/>
    <w:pPr>
      <w:autoSpaceDE w:val="0"/>
      <w:autoSpaceDN w:val="0"/>
      <w:adjustRightInd w:val="0"/>
      <w:ind w:firstLine="420" w:firstLineChars="200"/>
      <w:textAlignment w:val="baseline"/>
    </w:pPr>
    <w:rPr>
      <w:rFonts w:ascii="Times New Roman" w:hAnsi="Times New Roman"/>
      <w:kern w:val="0"/>
      <w:sz w:val="24"/>
      <w:szCs w:val="20"/>
    </w:rPr>
  </w:style>
  <w:style w:type="character" w:customStyle="1" w:styleId="88">
    <w:name w:val="标题 1 字符"/>
    <w:link w:val="2"/>
    <w:qFormat/>
    <w:uiPriority w:val="0"/>
    <w:rPr>
      <w:rFonts w:ascii="Times New Roman" w:hAnsi="Times New Roman" w:eastAsia="隶书" w:cs="Times New Roman"/>
      <w:b/>
      <w:bCs/>
      <w:kern w:val="0"/>
      <w:sz w:val="36"/>
      <w:szCs w:val="36"/>
    </w:rPr>
  </w:style>
  <w:style w:type="character" w:customStyle="1" w:styleId="89">
    <w:name w:val="标题 2 字符1"/>
    <w:link w:val="3"/>
    <w:qFormat/>
    <w:uiPriority w:val="0"/>
    <w:rPr>
      <w:rFonts w:ascii="Arial" w:hAnsi="Arial" w:eastAsia="黑体" w:cs="Times New Roman"/>
      <w:b/>
      <w:bCs/>
      <w:sz w:val="32"/>
      <w:szCs w:val="32"/>
    </w:rPr>
  </w:style>
  <w:style w:type="character" w:customStyle="1" w:styleId="90">
    <w:name w:val="标题 3 字符"/>
    <w:link w:val="4"/>
    <w:qFormat/>
    <w:uiPriority w:val="9"/>
    <w:rPr>
      <w:rFonts w:ascii="Calibri" w:hAnsi="Calibri" w:eastAsia="宋体" w:cs="Times New Roman"/>
      <w:b/>
      <w:bCs/>
      <w:sz w:val="32"/>
      <w:szCs w:val="32"/>
    </w:rPr>
  </w:style>
  <w:style w:type="character" w:customStyle="1" w:styleId="91">
    <w:name w:val="标题 4 字符"/>
    <w:link w:val="5"/>
    <w:qFormat/>
    <w:uiPriority w:val="0"/>
    <w:rPr>
      <w:rFonts w:ascii="Arial" w:hAnsi="Arial" w:eastAsia="黑体" w:cs="Times New Roman"/>
      <w:b/>
      <w:bCs/>
      <w:sz w:val="28"/>
      <w:szCs w:val="28"/>
    </w:rPr>
  </w:style>
  <w:style w:type="character" w:customStyle="1" w:styleId="92">
    <w:name w:val="标题 5 字符"/>
    <w:link w:val="6"/>
    <w:qFormat/>
    <w:uiPriority w:val="0"/>
    <w:rPr>
      <w:rFonts w:ascii="Calibri" w:hAnsi="Calibri" w:eastAsia="宋体" w:cs="Times New Roman"/>
      <w:b/>
      <w:bCs/>
      <w:sz w:val="28"/>
      <w:szCs w:val="28"/>
    </w:rPr>
  </w:style>
  <w:style w:type="character" w:customStyle="1" w:styleId="93">
    <w:name w:val="标题 6 字符"/>
    <w:link w:val="7"/>
    <w:qFormat/>
    <w:uiPriority w:val="0"/>
    <w:rPr>
      <w:rFonts w:ascii="Arial" w:hAnsi="Arial" w:eastAsia="黑体" w:cs="Times New Roman"/>
      <w:b/>
      <w:bCs/>
      <w:sz w:val="24"/>
      <w:szCs w:val="24"/>
    </w:rPr>
  </w:style>
  <w:style w:type="character" w:customStyle="1" w:styleId="94">
    <w:name w:val="正文缩进 字符"/>
    <w:link w:val="9"/>
    <w:qFormat/>
    <w:uiPriority w:val="0"/>
    <w:rPr>
      <w:rFonts w:eastAsia="宋体"/>
    </w:rPr>
  </w:style>
  <w:style w:type="character" w:customStyle="1" w:styleId="95">
    <w:name w:val="题注 字符"/>
    <w:link w:val="10"/>
    <w:qFormat/>
    <w:locked/>
    <w:uiPriority w:val="0"/>
    <w:rPr>
      <w:rFonts w:ascii="Arial" w:hAnsi="Arial" w:eastAsia="黑体" w:cs="Arial"/>
      <w:kern w:val="2"/>
    </w:rPr>
  </w:style>
  <w:style w:type="character" w:customStyle="1" w:styleId="96">
    <w:name w:val="文档结构图 字符"/>
    <w:link w:val="11"/>
    <w:qFormat/>
    <w:uiPriority w:val="0"/>
    <w:rPr>
      <w:rFonts w:ascii="Calibri" w:hAnsi="Calibri" w:eastAsia="宋体" w:cs="Times New Roman"/>
      <w:shd w:val="clear" w:color="auto" w:fill="000080"/>
    </w:rPr>
  </w:style>
  <w:style w:type="character" w:customStyle="1" w:styleId="97">
    <w:name w:val="批注文字 字符"/>
    <w:link w:val="12"/>
    <w:qFormat/>
    <w:uiPriority w:val="0"/>
    <w:rPr>
      <w:rFonts w:ascii="Calibri" w:hAnsi="Calibri" w:eastAsia="宋体" w:cs="Times New Roman"/>
    </w:rPr>
  </w:style>
  <w:style w:type="character" w:customStyle="1" w:styleId="98">
    <w:name w:val="正文文本 3 字符"/>
    <w:link w:val="13"/>
    <w:qFormat/>
    <w:uiPriority w:val="0"/>
    <w:rPr>
      <w:rFonts w:ascii="Calibri" w:hAnsi="Calibri" w:eastAsia="宋体" w:cs="Times New Roman"/>
    </w:rPr>
  </w:style>
  <w:style w:type="character" w:customStyle="1" w:styleId="99">
    <w:name w:val="正文文本 字符"/>
    <w:link w:val="14"/>
    <w:qFormat/>
    <w:uiPriority w:val="0"/>
    <w:rPr>
      <w:rFonts w:ascii="Times New Roman" w:hAnsi="Times New Roman" w:eastAsia="宋体" w:cs="Times New Roman"/>
      <w:sz w:val="28"/>
      <w:szCs w:val="24"/>
    </w:rPr>
  </w:style>
  <w:style w:type="character" w:customStyle="1" w:styleId="100">
    <w:name w:val="正文文本缩进 字符"/>
    <w:link w:val="15"/>
    <w:qFormat/>
    <w:uiPriority w:val="0"/>
    <w:rPr>
      <w:rFonts w:ascii="宋体" w:hAnsi="Courier New" w:eastAsia="宋体" w:cs="Times New Roman"/>
      <w:spacing w:val="-4"/>
      <w:sz w:val="18"/>
      <w:szCs w:val="20"/>
    </w:rPr>
  </w:style>
  <w:style w:type="character" w:customStyle="1" w:styleId="101">
    <w:name w:val="纯文本 字符"/>
    <w:link w:val="19"/>
    <w:qFormat/>
    <w:uiPriority w:val="0"/>
    <w:rPr>
      <w:rFonts w:ascii="宋体" w:hAnsi="Courier New" w:eastAsia="宋体" w:cs="Courier New"/>
      <w:szCs w:val="21"/>
    </w:rPr>
  </w:style>
  <w:style w:type="character" w:customStyle="1" w:styleId="102">
    <w:name w:val="日期 字符"/>
    <w:link w:val="20"/>
    <w:qFormat/>
    <w:uiPriority w:val="99"/>
    <w:rPr>
      <w:rFonts w:ascii="Times New Roman" w:hAnsi="Times New Roman" w:eastAsia="楷体_GB2312" w:cs="Times New Roman"/>
      <w:sz w:val="32"/>
      <w:szCs w:val="20"/>
    </w:rPr>
  </w:style>
  <w:style w:type="character" w:customStyle="1" w:styleId="103">
    <w:name w:val="正文文本缩进 2 字符"/>
    <w:link w:val="21"/>
    <w:qFormat/>
    <w:uiPriority w:val="0"/>
    <w:rPr>
      <w:rFonts w:ascii="仿宋_GB2312" w:hAnsi="宋体" w:eastAsia="宋体" w:cs="Arial"/>
      <w:b/>
      <w:bCs/>
      <w:color w:val="000000"/>
      <w:sz w:val="24"/>
      <w:szCs w:val="24"/>
    </w:rPr>
  </w:style>
  <w:style w:type="character" w:customStyle="1" w:styleId="104">
    <w:name w:val="批注框文本 字符"/>
    <w:link w:val="22"/>
    <w:qFormat/>
    <w:uiPriority w:val="99"/>
    <w:rPr>
      <w:rFonts w:ascii="Calibri" w:hAnsi="Calibri" w:eastAsia="宋体" w:cs="Times New Roman"/>
      <w:sz w:val="18"/>
      <w:szCs w:val="18"/>
    </w:rPr>
  </w:style>
  <w:style w:type="character" w:customStyle="1" w:styleId="105">
    <w:name w:val="页脚 字符"/>
    <w:link w:val="23"/>
    <w:qFormat/>
    <w:uiPriority w:val="99"/>
    <w:rPr>
      <w:rFonts w:ascii="Calibri" w:hAnsi="Calibri" w:eastAsia="宋体" w:cs="Times New Roman"/>
      <w:sz w:val="18"/>
      <w:szCs w:val="18"/>
    </w:rPr>
  </w:style>
  <w:style w:type="character" w:customStyle="1" w:styleId="106">
    <w:name w:val="页眉 字符"/>
    <w:link w:val="24"/>
    <w:qFormat/>
    <w:uiPriority w:val="99"/>
    <w:rPr>
      <w:rFonts w:ascii="Calibri" w:hAnsi="Calibri" w:eastAsia="宋体" w:cs="Times New Roman"/>
      <w:sz w:val="18"/>
      <w:szCs w:val="18"/>
    </w:rPr>
  </w:style>
  <w:style w:type="character" w:customStyle="1" w:styleId="107">
    <w:name w:val="脚注文本 字符1"/>
    <w:link w:val="27"/>
    <w:qFormat/>
    <w:uiPriority w:val="0"/>
    <w:rPr>
      <w:kern w:val="2"/>
      <w:sz w:val="18"/>
      <w:szCs w:val="18"/>
    </w:rPr>
  </w:style>
  <w:style w:type="character" w:customStyle="1" w:styleId="108">
    <w:name w:val="正文文本缩进 3 字符"/>
    <w:link w:val="28"/>
    <w:qFormat/>
    <w:uiPriority w:val="0"/>
    <w:rPr>
      <w:rFonts w:ascii="仿宋_GB2312" w:hAnsi="宋体" w:eastAsia="仿宋_GB2312" w:cs="Times New Roman"/>
      <w:color w:val="000000"/>
      <w:sz w:val="24"/>
      <w:szCs w:val="24"/>
    </w:rPr>
  </w:style>
  <w:style w:type="character" w:customStyle="1" w:styleId="109">
    <w:name w:val="正文文本 2 字符"/>
    <w:link w:val="30"/>
    <w:qFormat/>
    <w:uiPriority w:val="0"/>
    <w:rPr>
      <w:rFonts w:ascii="Calibri" w:hAnsi="Calibri" w:eastAsia="宋体" w:cs="Times New Roman"/>
    </w:rPr>
  </w:style>
  <w:style w:type="character" w:customStyle="1" w:styleId="110">
    <w:name w:val="标题 字符"/>
    <w:link w:val="32"/>
    <w:qFormat/>
    <w:uiPriority w:val="99"/>
    <w:rPr>
      <w:rFonts w:ascii="Cambria" w:hAnsi="Cambria" w:eastAsia="宋体" w:cs="Times New Roman"/>
      <w:b/>
      <w:bCs/>
      <w:sz w:val="32"/>
      <w:szCs w:val="32"/>
    </w:rPr>
  </w:style>
  <w:style w:type="character" w:customStyle="1" w:styleId="111">
    <w:name w:val="批注主题 字符"/>
    <w:link w:val="33"/>
    <w:qFormat/>
    <w:uiPriority w:val="0"/>
    <w:rPr>
      <w:b/>
      <w:bCs/>
    </w:rPr>
  </w:style>
  <w:style w:type="character" w:customStyle="1" w:styleId="112">
    <w:name w:val="脚注文本 字符"/>
    <w:semiHidden/>
    <w:qFormat/>
    <w:uiPriority w:val="99"/>
    <w:rPr>
      <w:kern w:val="2"/>
      <w:sz w:val="18"/>
      <w:szCs w:val="18"/>
    </w:rPr>
  </w:style>
  <w:style w:type="character" w:customStyle="1" w:styleId="113">
    <w:name w:val="日期 Char"/>
    <w:qFormat/>
    <w:uiPriority w:val="99"/>
    <w:rPr>
      <w:rFonts w:eastAsia="楷体_GB2312"/>
      <w:kern w:val="2"/>
      <w:sz w:val="32"/>
    </w:rPr>
  </w:style>
  <w:style w:type="character" w:customStyle="1" w:styleId="114">
    <w:name w:val="flname7"/>
    <w:qFormat/>
    <w:uiPriority w:val="0"/>
  </w:style>
  <w:style w:type="character" w:customStyle="1" w:styleId="115">
    <w:name w:val="para"/>
    <w:qFormat/>
    <w:uiPriority w:val="0"/>
  </w:style>
  <w:style w:type="character" w:customStyle="1" w:styleId="116">
    <w:name w:val="font3"/>
    <w:qFormat/>
    <w:uiPriority w:val="0"/>
  </w:style>
  <w:style w:type="character" w:customStyle="1" w:styleId="117">
    <w:name w:val="正文文本 2 Char"/>
    <w:qFormat/>
    <w:uiPriority w:val="0"/>
    <w:rPr>
      <w:rFonts w:ascii="宋体" w:hAnsi="宋体" w:eastAsia="宋体"/>
      <w:color w:val="000000"/>
      <w:sz w:val="24"/>
      <w:szCs w:val="24"/>
    </w:rPr>
  </w:style>
  <w:style w:type="character" w:customStyle="1" w:styleId="118">
    <w:name w:val="Char Char2"/>
    <w:qFormat/>
    <w:uiPriority w:val="0"/>
    <w:rPr>
      <w:rFonts w:ascii="宋体" w:hAnsi="Courier New" w:eastAsia="宋体"/>
      <w:sz w:val="21"/>
      <w:lang w:val="en-US" w:eastAsia="zh-CN" w:bidi="ar-SA"/>
    </w:rPr>
  </w:style>
  <w:style w:type="character" w:customStyle="1" w:styleId="119">
    <w:name w:val="待斟酌 Char"/>
    <w:link w:val="51"/>
    <w:qFormat/>
    <w:uiPriority w:val="0"/>
    <w:rPr>
      <w:rFonts w:ascii="仿宋_GB2312" w:eastAsia="仿宋_GB2312"/>
      <w:b/>
      <w:color w:val="C00000"/>
      <w:sz w:val="28"/>
      <w:szCs w:val="28"/>
    </w:rPr>
  </w:style>
  <w:style w:type="character" w:customStyle="1" w:styleId="120">
    <w:name w:val="标题 Char"/>
    <w:qFormat/>
    <w:locked/>
    <w:uiPriority w:val="99"/>
    <w:rPr>
      <w:rFonts w:ascii="Cambria" w:hAnsi="Cambria"/>
      <w:b/>
      <w:bCs/>
      <w:sz w:val="32"/>
      <w:szCs w:val="32"/>
    </w:rPr>
  </w:style>
  <w:style w:type="character" w:customStyle="1" w:styleId="121">
    <w:name w:val="title14"/>
    <w:qFormat/>
    <w:uiPriority w:val="0"/>
  </w:style>
  <w:style w:type="character" w:customStyle="1" w:styleId="122">
    <w:name w:val="页脚 Char"/>
    <w:qFormat/>
    <w:uiPriority w:val="0"/>
    <w:rPr>
      <w:sz w:val="18"/>
      <w:szCs w:val="18"/>
    </w:rPr>
  </w:style>
  <w:style w:type="character" w:customStyle="1" w:styleId="123">
    <w:name w:val="a Char Char"/>
    <w:link w:val="52"/>
    <w:qFormat/>
    <w:uiPriority w:val="0"/>
    <w:rPr>
      <w:rFonts w:ascii="宋体" w:hAnsi="宋体" w:eastAsia="仿宋_GB2312"/>
      <w:sz w:val="24"/>
    </w:rPr>
  </w:style>
  <w:style w:type="character" w:customStyle="1" w:styleId="124">
    <w:name w:val="标题 1 Char Char"/>
    <w:qFormat/>
    <w:uiPriority w:val="0"/>
    <w:rPr>
      <w:rFonts w:eastAsia="宋体"/>
      <w:b/>
      <w:spacing w:val="-2"/>
      <w:sz w:val="24"/>
      <w:lang w:val="en-US" w:eastAsia="zh-CN" w:bidi="ar-SA"/>
    </w:rPr>
  </w:style>
  <w:style w:type="character" w:customStyle="1" w:styleId="125">
    <w:name w:val="mod-title ml-5"/>
    <w:qFormat/>
    <w:uiPriority w:val="0"/>
  </w:style>
  <w:style w:type="character" w:customStyle="1" w:styleId="126">
    <w:name w:val="自定义正文 Char"/>
    <w:link w:val="53"/>
    <w:qFormat/>
    <w:uiPriority w:val="0"/>
    <w:rPr>
      <w:rFonts w:ascii="仿宋_GB2312" w:eastAsia="华文仿宋"/>
      <w:sz w:val="28"/>
      <w:szCs w:val="24"/>
    </w:rPr>
  </w:style>
  <w:style w:type="character" w:customStyle="1" w:styleId="127">
    <w:name w:val="Char Char1"/>
    <w:qFormat/>
    <w:uiPriority w:val="0"/>
    <w:rPr>
      <w:kern w:val="2"/>
      <w:sz w:val="18"/>
      <w:szCs w:val="18"/>
    </w:rPr>
  </w:style>
  <w:style w:type="character" w:customStyle="1" w:styleId="128">
    <w:name w:val="标题 2 字符"/>
    <w:qFormat/>
    <w:uiPriority w:val="0"/>
    <w:rPr>
      <w:rFonts w:ascii="Arial" w:hAnsi="Arial" w:eastAsia="黑体"/>
      <w:b/>
      <w:bCs/>
      <w:kern w:val="2"/>
      <w:sz w:val="32"/>
      <w:szCs w:val="32"/>
      <w:lang w:bidi="ar-SA"/>
    </w:rPr>
  </w:style>
  <w:style w:type="character" w:customStyle="1" w:styleId="129">
    <w:name w:val="apple-style-span"/>
    <w:qFormat/>
    <w:uiPriority w:val="0"/>
  </w:style>
  <w:style w:type="character" w:customStyle="1" w:styleId="130">
    <w:name w:val="font71"/>
    <w:qFormat/>
    <w:uiPriority w:val="0"/>
    <w:rPr>
      <w:rFonts w:hint="eastAsia" w:ascii="宋体" w:hAnsi="宋体" w:eastAsia="宋体" w:cs="宋体"/>
      <w:b/>
      <w:color w:val="000000"/>
      <w:sz w:val="18"/>
      <w:szCs w:val="18"/>
      <w:u w:val="none"/>
    </w:rPr>
  </w:style>
  <w:style w:type="character" w:customStyle="1" w:styleId="131">
    <w:name w:val="纯文本 Char"/>
    <w:qFormat/>
    <w:uiPriority w:val="0"/>
    <w:rPr>
      <w:rFonts w:ascii="宋体" w:hAnsi="Courier New"/>
      <w:sz w:val="24"/>
      <w:szCs w:val="24"/>
    </w:rPr>
  </w:style>
  <w:style w:type="character" w:customStyle="1" w:styleId="132">
    <w:name w:val="maywed421"/>
    <w:qFormat/>
    <w:uiPriority w:val="0"/>
    <w:rPr>
      <w:color w:val="366FB6"/>
      <w:u w:val="none"/>
    </w:rPr>
  </w:style>
  <w:style w:type="character" w:customStyle="1" w:styleId="133">
    <w:name w:val="表格正文 Char"/>
    <w:link w:val="54"/>
    <w:qFormat/>
    <w:uiPriority w:val="0"/>
    <w:rPr>
      <w:rFonts w:ascii="仿宋_GB2312" w:hAnsi="宋体" w:eastAsia="仿宋" w:cs="宋体"/>
      <w:color w:val="000000"/>
      <w:sz w:val="24"/>
      <w:szCs w:val="16"/>
    </w:rPr>
  </w:style>
  <w:style w:type="character" w:customStyle="1" w:styleId="134">
    <w:name w:val="标题1"/>
    <w:qFormat/>
    <w:uiPriority w:val="0"/>
  </w:style>
  <w:style w:type="character" w:customStyle="1" w:styleId="135">
    <w:name w:val="正文--不缩进 Char"/>
    <w:link w:val="55"/>
    <w:qFormat/>
    <w:uiPriority w:val="0"/>
    <w:rPr>
      <w:rFonts w:ascii="仿宋_GB2312" w:eastAsia="仿宋_GB2312" w:cs="宋体"/>
      <w:sz w:val="28"/>
      <w:szCs w:val="28"/>
    </w:rPr>
  </w:style>
  <w:style w:type="character" w:customStyle="1" w:styleId="136">
    <w:name w:val="b titlename wangputoptitle"/>
    <w:qFormat/>
    <w:uiPriority w:val="0"/>
  </w:style>
  <w:style w:type="character" w:customStyle="1" w:styleId="137">
    <w:name w:val="页眉 Char"/>
    <w:qFormat/>
    <w:uiPriority w:val="0"/>
    <w:rPr>
      <w:sz w:val="18"/>
      <w:szCs w:val="18"/>
    </w:rPr>
  </w:style>
  <w:style w:type="character" w:customStyle="1" w:styleId="138">
    <w:name w:val="_Style 132"/>
    <w:semiHidden/>
    <w:unhideWhenUsed/>
    <w:qFormat/>
    <w:uiPriority w:val="99"/>
    <w:rPr>
      <w:color w:val="605E5C"/>
      <w:shd w:val="clear" w:color="auto" w:fill="E1DFDD"/>
    </w:rPr>
  </w:style>
  <w:style w:type="character" w:customStyle="1" w:styleId="139">
    <w:name w:val="文档结构图 Char"/>
    <w:qFormat/>
    <w:uiPriority w:val="0"/>
    <w:rPr>
      <w:rFonts w:ascii="宋体"/>
      <w:kern w:val="2"/>
      <w:sz w:val="18"/>
      <w:szCs w:val="18"/>
    </w:rPr>
  </w:style>
  <w:style w:type="character" w:customStyle="1" w:styleId="140">
    <w:name w:val="纯文本 Char1"/>
    <w:qFormat/>
    <w:uiPriority w:val="0"/>
    <w:rPr>
      <w:rFonts w:ascii="宋体" w:hAnsi="Courier New"/>
      <w:sz w:val="21"/>
    </w:rPr>
  </w:style>
  <w:style w:type="character" w:customStyle="1" w:styleId="141">
    <w:name w:val="标题 3 Char"/>
    <w:qFormat/>
    <w:uiPriority w:val="9"/>
    <w:rPr>
      <w:b/>
      <w:bCs/>
      <w:sz w:val="32"/>
      <w:szCs w:val="32"/>
    </w:rPr>
  </w:style>
  <w:style w:type="character" w:customStyle="1" w:styleId="142">
    <w:name w:val="批注框文本 Char"/>
    <w:qFormat/>
    <w:uiPriority w:val="0"/>
    <w:rPr>
      <w:kern w:val="2"/>
      <w:sz w:val="18"/>
      <w:szCs w:val="18"/>
    </w:rPr>
  </w:style>
  <w:style w:type="character" w:customStyle="1" w:styleId="143">
    <w:name w:val="列表段落 字符"/>
    <w:link w:val="56"/>
    <w:qFormat/>
    <w:locked/>
    <w:uiPriority w:val="34"/>
    <w:rPr>
      <w:rFonts w:ascii="Tahoma" w:hAnsi="Tahoma" w:eastAsia="微软雅黑"/>
      <w:sz w:val="22"/>
      <w:szCs w:val="22"/>
    </w:rPr>
  </w:style>
  <w:style w:type="character" w:customStyle="1" w:styleId="144">
    <w:name w:val="未处理的提及1"/>
    <w:basedOn w:val="38"/>
    <w:semiHidden/>
    <w:unhideWhenUsed/>
    <w:qFormat/>
    <w:uiPriority w:val="99"/>
    <w:rPr>
      <w:color w:val="605E5C"/>
      <w:shd w:val="clear" w:color="auto" w:fill="E1DFDD"/>
    </w:rPr>
  </w:style>
  <w:style w:type="character" w:customStyle="1" w:styleId="145">
    <w:name w:val="页脚 字符1"/>
    <w:qFormat/>
    <w:uiPriority w:val="0"/>
    <w:rPr>
      <w:kern w:val="2"/>
      <w:sz w:val="18"/>
      <w:szCs w:val="18"/>
    </w:rPr>
  </w:style>
  <w:style w:type="character" w:customStyle="1" w:styleId="146">
    <w:name w:val="正文文本首行缩进 字符"/>
    <w:basedOn w:val="99"/>
    <w:link w:val="34"/>
    <w:qFormat/>
    <w:uiPriority w:val="0"/>
    <w:rPr>
      <w:rFonts w:ascii="Calibri" w:hAnsi="Calibri" w:eastAsia="宋体" w:cs="Times New Roman"/>
      <w:kern w:val="2"/>
      <w:sz w:val="28"/>
      <w:szCs w:val="24"/>
    </w:rPr>
  </w:style>
  <w:style w:type="table" w:customStyle="1" w:styleId="147">
    <w:name w:val="网格型1"/>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8">
    <w:name w:val="正文文本首行缩进 2 字符"/>
    <w:basedOn w:val="100"/>
    <w:link w:val="35"/>
    <w:qFormat/>
    <w:uiPriority w:val="99"/>
    <w:rPr>
      <w:rFonts w:ascii="宋体" w:hAnsi="Courier New" w:eastAsia="宋体" w:cs="Times New Roman"/>
      <w:spacing w:val="-4"/>
      <w:kern w:val="2"/>
      <w:sz w:val="18"/>
      <w:szCs w:val="20"/>
    </w:rPr>
  </w:style>
  <w:style w:type="paragraph" w:customStyle="1" w:styleId="149">
    <w:name w:val="*正文"/>
    <w:basedOn w:val="1"/>
    <w:next w:val="1"/>
    <w:qFormat/>
    <w:uiPriority w:val="0"/>
    <w:pPr>
      <w:spacing w:line="360" w:lineRule="auto"/>
      <w:ind w:firstLine="560" w:firstLineChars="200"/>
    </w:pPr>
    <w:rPr>
      <w:rFonts w:eastAsia="仿宋"/>
      <w:sz w:val="28"/>
    </w:rPr>
  </w:style>
  <w:style w:type="paragraph" w:customStyle="1" w:styleId="150">
    <w:name w:val="表格文字"/>
    <w:next w:val="14"/>
    <w:qFormat/>
    <w:uiPriority w:val="0"/>
    <w:pPr>
      <w:widowControl w:val="0"/>
      <w:snapToGrid w:val="0"/>
    </w:pPr>
    <w:rPr>
      <w:rFonts w:ascii="Times New Roman" w:hAnsi="Times New Roman" w:eastAsia="宋体" w:cs="Times New Roman"/>
      <w:kern w:val="2"/>
      <w:szCs w:val="24"/>
      <w:lang w:val="en-US" w:eastAsia="zh-CN" w:bidi="ar-SA"/>
    </w:rPr>
  </w:style>
  <w:style w:type="character" w:customStyle="1" w:styleId="151">
    <w:name w:val="bookmark-item"/>
    <w:basedOn w:val="38"/>
    <w:qFormat/>
    <w:uiPriority w:val="0"/>
  </w:style>
  <w:style w:type="paragraph" w:customStyle="1" w:styleId="152">
    <w:name w:val="修订2"/>
    <w:hidden/>
    <w:semiHidden/>
    <w:qFormat/>
    <w:uiPriority w:val="99"/>
    <w:rPr>
      <w:rFonts w:ascii="Calibri" w:hAnsi="Calibri" w:eastAsia="宋体" w:cs="Times New Roman"/>
      <w:kern w:val="2"/>
      <w:sz w:val="21"/>
      <w:szCs w:val="22"/>
      <w:lang w:val="en-US" w:eastAsia="zh-CN" w:bidi="ar-SA"/>
    </w:rPr>
  </w:style>
  <w:style w:type="paragraph" w:customStyle="1" w:styleId="153">
    <w:name w:val="石墨文档正文"/>
    <w:qFormat/>
    <w:uiPriority w:val="0"/>
    <w:rPr>
      <w:rFonts w:ascii="Arial Unicode MS" w:hAnsi="Arial Unicode MS" w:eastAsia="等线" w:cs="Arial Unicode MS"/>
      <w:sz w:val="22"/>
      <w:szCs w:val="22"/>
      <w:lang w:val="en-US" w:eastAsia="zh-CN" w:bidi="ar-SA"/>
    </w:rPr>
  </w:style>
  <w:style w:type="paragraph" w:styleId="154">
    <w:name w:val="No Spacing"/>
    <w:basedOn w:val="1"/>
    <w:qFormat/>
    <w:uiPriority w:val="99"/>
    <w:rPr>
      <w:szCs w:val="22"/>
    </w:rPr>
  </w:style>
  <w:style w:type="paragraph" w:customStyle="1" w:styleId="155">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table" w:customStyle="1" w:styleId="156">
    <w:name w:val="Table Normal"/>
    <w:semiHidden/>
    <w:unhideWhenUsed/>
    <w:qFormat/>
    <w:uiPriority w:val="0"/>
    <w:tblPr>
      <w:tblCellMar>
        <w:top w:w="0" w:type="dxa"/>
        <w:left w:w="0" w:type="dxa"/>
        <w:bottom w:w="0" w:type="dxa"/>
        <w:right w:w="0" w:type="dxa"/>
      </w:tblCellMar>
    </w:tblPr>
  </w:style>
  <w:style w:type="paragraph" w:customStyle="1" w:styleId="157">
    <w:name w:val="Table Text"/>
    <w:basedOn w:val="1"/>
    <w:semiHidden/>
    <w:qFormat/>
    <w:uiPriority w:val="0"/>
    <w:rPr>
      <w:rFonts w:ascii="宋体" w:hAnsi="宋体" w:eastAsia="宋体" w:cs="宋体"/>
      <w:sz w:val="72"/>
      <w:szCs w:val="72"/>
      <w:lang w:val="en-US" w:eastAsia="en-US" w:bidi="ar-SA"/>
    </w:rPr>
  </w:style>
  <w:style w:type="character" w:customStyle="1" w:styleId="158">
    <w:name w:val="hover5"/>
    <w:basedOn w:val="38"/>
    <w:qFormat/>
    <w:uiPriority w:val="0"/>
    <w:rPr>
      <w:color w:val="355E9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87</Pages>
  <Words>45176</Words>
  <Characters>47703</Characters>
  <Lines>279</Lines>
  <Paragraphs>78</Paragraphs>
  <TotalTime>29</TotalTime>
  <ScaleCrop>false</ScaleCrop>
  <LinksUpToDate>false</LinksUpToDate>
  <CharactersWithSpaces>49669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2023-07-21T09:13:00Z</dcterms:created>
  <dc:creator>蒋辉</dc:creator>
  <cp:lastModifiedBy>代魏</cp:lastModifiedBy>
  <cp:lastPrinted>2024-04-04T01:17:00Z</cp:lastPrinted>
  <dcterms:modified xsi:type="dcterms:W3CDTF">2024-08-22T00:25:42Z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2EAE9A6202294D74B19A8F414B0D027B_13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woSyncTypoMode" linkTarget="0">
    <vt:bool>true</vt:bool>
  </property>
  <property fmtid="{D5CDD505-2E9C-101B-9397-08002B2CF9AE}" pid="7" name="woTypoMode" linkTarget="0">
    <vt:lpwstr/>
  </property>
</Properties>
</file>