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BB267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color w:val="auto"/>
          <w:spacing w:val="-12"/>
          <w:sz w:val="21"/>
          <w:szCs w:val="21"/>
          <w:highlight w:val="none"/>
          <w:lang w:val="en-US" w:eastAsia="zh-CN"/>
        </w:rPr>
      </w:pPr>
      <w:r>
        <w:rPr>
          <w:rFonts w:hint="eastAsia" w:ascii="宋体" w:hAnsi="宋体" w:eastAsia="宋体" w:cs="宋体"/>
          <w:color w:val="auto"/>
          <w:sz w:val="21"/>
          <w:szCs w:val="21"/>
          <w:highlight w:val="none"/>
        </w:rPr>
        <w:drawing>
          <wp:inline distT="0" distB="0" distL="114300" distR="114300">
            <wp:extent cx="968375" cy="882650"/>
            <wp:effectExtent l="0" t="0" r="317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lum contrast="54000"/>
                    </a:blip>
                    <a:srcRect r="2028" b="137"/>
                    <a:stretch>
                      <a:fillRect/>
                    </a:stretch>
                  </pic:blipFill>
                  <pic:spPr>
                    <a:xfrm>
                      <a:off x="0" y="0"/>
                      <a:ext cx="968375" cy="882650"/>
                    </a:xfrm>
                    <a:prstGeom prst="rect">
                      <a:avLst/>
                    </a:prstGeom>
                    <a:noFill/>
                    <a:ln>
                      <a:noFill/>
                    </a:ln>
                  </pic:spPr>
                </pic:pic>
              </a:graphicData>
            </a:graphic>
          </wp:inline>
        </w:drawing>
      </w:r>
    </w:p>
    <w:p w14:paraId="204DC7B7">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color w:val="auto"/>
          <w:kern w:val="2"/>
          <w:sz w:val="40"/>
          <w:szCs w:val="44"/>
          <w:highlight w:val="none"/>
          <w:lang w:val="en-US" w:eastAsia="zh-CN" w:bidi="ar-SA"/>
        </w:rPr>
      </w:pPr>
      <w:r>
        <w:rPr>
          <w:rFonts w:hint="eastAsia" w:ascii="宋体" w:hAnsi="宋体" w:eastAsia="宋体" w:cs="宋体"/>
          <w:b/>
          <w:bCs/>
          <w:color w:val="auto"/>
          <w:kern w:val="2"/>
          <w:sz w:val="40"/>
          <w:szCs w:val="44"/>
          <w:highlight w:val="none"/>
          <w:lang w:val="en-US" w:eastAsia="zh-CN" w:bidi="ar-SA"/>
        </w:rPr>
        <w:t>千人报告厅维修改造工程—舞台音响设备及座椅采购项目</w:t>
      </w:r>
    </w:p>
    <w:p w14:paraId="3DF2E35B">
      <w:pPr>
        <w:pageBreakBefore w:val="0"/>
        <w:widowControl w:val="0"/>
        <w:kinsoku/>
        <w:wordWrap/>
        <w:overflowPunct/>
        <w:topLinePunct w:val="0"/>
        <w:autoSpaceDE/>
        <w:autoSpaceDN/>
        <w:bidi w:val="0"/>
        <w:spacing w:line="240" w:lineRule="auto"/>
        <w:ind w:firstLine="0" w:firstLineChars="0"/>
        <w:jc w:val="both"/>
        <w:textAlignment w:val="auto"/>
        <w:outlineLvl w:val="9"/>
        <w:rPr>
          <w:rFonts w:hint="eastAsia" w:ascii="宋体" w:hAnsi="宋体" w:eastAsia="宋体" w:cs="宋体"/>
          <w:color w:val="auto"/>
          <w:sz w:val="21"/>
          <w:szCs w:val="21"/>
          <w:highlight w:val="none"/>
        </w:rPr>
      </w:pPr>
    </w:p>
    <w:p w14:paraId="78ED4FC5">
      <w:pPr>
        <w:pStyle w:val="54"/>
        <w:pageBreakBefore w:val="0"/>
        <w:widowControl w:val="0"/>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（采购编号：</w:t>
      </w:r>
      <w:r>
        <w:rPr>
          <w:rFonts w:hint="eastAsia" w:ascii="宋体" w:hAnsi="宋体" w:cs="宋体"/>
          <w:color w:val="auto"/>
          <w:sz w:val="28"/>
          <w:szCs w:val="28"/>
          <w:highlight w:val="none"/>
          <w:lang w:eastAsia="zh-CN"/>
        </w:rPr>
        <w:t>ZJDF2024-003（Ⅱ）</w:t>
      </w:r>
      <w:r>
        <w:rPr>
          <w:rFonts w:hint="eastAsia" w:ascii="宋体" w:hAnsi="宋体" w:eastAsia="宋体" w:cs="宋体"/>
          <w:color w:val="auto"/>
          <w:sz w:val="28"/>
          <w:szCs w:val="28"/>
          <w:highlight w:val="none"/>
        </w:rPr>
        <w:t>）</w:t>
      </w:r>
    </w:p>
    <w:p w14:paraId="36024264">
      <w:pPr>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宋体" w:hAnsi="宋体" w:eastAsia="宋体" w:cs="宋体"/>
          <w:color w:val="auto"/>
          <w:kern w:val="0"/>
          <w:sz w:val="21"/>
          <w:szCs w:val="21"/>
          <w:highlight w:val="none"/>
        </w:rPr>
      </w:pPr>
    </w:p>
    <w:p w14:paraId="6EEE346E">
      <w:pPr>
        <w:pStyle w:val="77"/>
        <w:pageBreakBefore w:val="0"/>
        <w:widowControl w:val="0"/>
        <w:kinsoku/>
        <w:wordWrap/>
        <w:overflowPunct/>
        <w:topLinePunct w:val="0"/>
        <w:autoSpaceDE/>
        <w:autoSpaceDN/>
        <w:bidi w:val="0"/>
        <w:spacing w:line="240" w:lineRule="auto"/>
        <w:ind w:firstLine="0" w:firstLineChars="0"/>
        <w:jc w:val="both"/>
        <w:textAlignment w:val="auto"/>
        <w:outlineLvl w:val="9"/>
        <w:rPr>
          <w:rFonts w:hint="eastAsia" w:ascii="宋体" w:hAnsi="宋体" w:eastAsia="宋体" w:cs="宋体"/>
          <w:color w:val="auto"/>
          <w:sz w:val="21"/>
          <w:szCs w:val="21"/>
          <w:highlight w:val="none"/>
          <w:lang w:eastAsia="zh-CN"/>
        </w:rPr>
      </w:pPr>
    </w:p>
    <w:p w14:paraId="18D72F99">
      <w:pPr>
        <w:pStyle w:val="77"/>
        <w:pageBreakBefore w:val="0"/>
        <w:widowControl w:val="0"/>
        <w:kinsoku/>
        <w:wordWrap/>
        <w:overflowPunct/>
        <w:topLinePunct w:val="0"/>
        <w:autoSpaceDE/>
        <w:autoSpaceDN/>
        <w:bidi w:val="0"/>
        <w:spacing w:line="240" w:lineRule="auto"/>
        <w:ind w:firstLine="0" w:firstLineChars="0"/>
        <w:jc w:val="both"/>
        <w:textAlignment w:val="auto"/>
        <w:outlineLvl w:val="9"/>
        <w:rPr>
          <w:rFonts w:hint="eastAsia" w:ascii="宋体" w:hAnsi="宋体" w:eastAsia="宋体" w:cs="宋体"/>
          <w:color w:val="auto"/>
          <w:sz w:val="21"/>
          <w:szCs w:val="21"/>
          <w:highlight w:val="none"/>
          <w:lang w:eastAsia="zh-CN"/>
        </w:rPr>
      </w:pPr>
    </w:p>
    <w:p w14:paraId="307320AF">
      <w:pPr>
        <w:pStyle w:val="77"/>
        <w:pageBreakBefore w:val="0"/>
        <w:widowControl w:val="0"/>
        <w:kinsoku/>
        <w:wordWrap/>
        <w:overflowPunct/>
        <w:topLinePunct w:val="0"/>
        <w:autoSpaceDE/>
        <w:autoSpaceDN/>
        <w:bidi w:val="0"/>
        <w:spacing w:line="240" w:lineRule="auto"/>
        <w:ind w:firstLine="0" w:firstLineChars="0"/>
        <w:jc w:val="both"/>
        <w:textAlignment w:val="auto"/>
        <w:outlineLvl w:val="9"/>
        <w:rPr>
          <w:rFonts w:hint="eastAsia" w:ascii="宋体" w:hAnsi="宋体" w:eastAsia="宋体" w:cs="宋体"/>
          <w:color w:val="auto"/>
          <w:sz w:val="21"/>
          <w:szCs w:val="21"/>
          <w:highlight w:val="none"/>
          <w:lang w:eastAsia="zh-CN"/>
        </w:rPr>
      </w:pPr>
    </w:p>
    <w:p w14:paraId="647BFA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黑体" w:hAnsi="黑体" w:eastAsia="黑体" w:cs="黑体"/>
          <w:b w:val="0"/>
          <w:bCs w:val="0"/>
          <w:color w:val="auto"/>
          <w:sz w:val="72"/>
          <w:szCs w:val="72"/>
          <w:highlight w:val="none"/>
        </w:rPr>
      </w:pPr>
      <w:r>
        <w:rPr>
          <w:rFonts w:hint="eastAsia" w:ascii="黑体" w:hAnsi="黑体" w:eastAsia="黑体" w:cs="黑体"/>
          <w:b w:val="0"/>
          <w:bCs w:val="0"/>
          <w:color w:val="auto"/>
          <w:sz w:val="72"/>
          <w:szCs w:val="72"/>
          <w:highlight w:val="none"/>
        </w:rPr>
        <w:t>竞</w:t>
      </w:r>
    </w:p>
    <w:p w14:paraId="4E00AC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黑体" w:hAnsi="黑体" w:eastAsia="黑体" w:cs="黑体"/>
          <w:b w:val="0"/>
          <w:bCs w:val="0"/>
          <w:color w:val="auto"/>
          <w:sz w:val="72"/>
          <w:szCs w:val="72"/>
          <w:highlight w:val="none"/>
        </w:rPr>
      </w:pPr>
      <w:r>
        <w:rPr>
          <w:rFonts w:hint="eastAsia" w:ascii="黑体" w:hAnsi="黑体" w:eastAsia="黑体" w:cs="黑体"/>
          <w:b w:val="0"/>
          <w:bCs w:val="0"/>
          <w:color w:val="auto"/>
          <w:sz w:val="72"/>
          <w:szCs w:val="72"/>
          <w:highlight w:val="none"/>
        </w:rPr>
        <w:t>争</w:t>
      </w:r>
    </w:p>
    <w:p w14:paraId="5A50A2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黑体" w:hAnsi="黑体" w:eastAsia="黑体" w:cs="黑体"/>
          <w:b w:val="0"/>
          <w:bCs w:val="0"/>
          <w:color w:val="auto"/>
          <w:sz w:val="72"/>
          <w:szCs w:val="72"/>
          <w:highlight w:val="none"/>
        </w:rPr>
      </w:pPr>
      <w:r>
        <w:rPr>
          <w:rFonts w:hint="eastAsia" w:ascii="黑体" w:hAnsi="黑体" w:eastAsia="黑体" w:cs="黑体"/>
          <w:b w:val="0"/>
          <w:bCs w:val="0"/>
          <w:color w:val="auto"/>
          <w:sz w:val="72"/>
          <w:szCs w:val="72"/>
          <w:highlight w:val="none"/>
        </w:rPr>
        <w:t>性</w:t>
      </w:r>
    </w:p>
    <w:p w14:paraId="47BC8E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黑体" w:hAnsi="黑体" w:eastAsia="黑体" w:cs="黑体"/>
          <w:b w:val="0"/>
          <w:bCs w:val="0"/>
          <w:color w:val="auto"/>
          <w:sz w:val="72"/>
          <w:szCs w:val="72"/>
          <w:highlight w:val="none"/>
        </w:rPr>
      </w:pPr>
      <w:r>
        <w:rPr>
          <w:rFonts w:hint="eastAsia" w:ascii="黑体" w:hAnsi="黑体" w:eastAsia="黑体" w:cs="黑体"/>
          <w:b w:val="0"/>
          <w:bCs w:val="0"/>
          <w:color w:val="auto"/>
          <w:sz w:val="72"/>
          <w:szCs w:val="72"/>
          <w:highlight w:val="none"/>
        </w:rPr>
        <w:t>磋</w:t>
      </w:r>
    </w:p>
    <w:p w14:paraId="34146B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黑体" w:hAnsi="黑体" w:eastAsia="黑体" w:cs="黑体"/>
          <w:b w:val="0"/>
          <w:bCs w:val="0"/>
          <w:color w:val="auto"/>
          <w:sz w:val="72"/>
          <w:szCs w:val="72"/>
          <w:highlight w:val="none"/>
        </w:rPr>
      </w:pPr>
      <w:r>
        <w:rPr>
          <w:rFonts w:hint="eastAsia" w:ascii="黑体" w:hAnsi="黑体" w:eastAsia="黑体" w:cs="黑体"/>
          <w:b w:val="0"/>
          <w:bCs w:val="0"/>
          <w:color w:val="auto"/>
          <w:sz w:val="72"/>
          <w:szCs w:val="72"/>
          <w:highlight w:val="none"/>
        </w:rPr>
        <w:t>商</w:t>
      </w:r>
    </w:p>
    <w:p w14:paraId="1094C4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黑体" w:hAnsi="黑体" w:eastAsia="黑体" w:cs="黑体"/>
          <w:b w:val="0"/>
          <w:bCs w:val="0"/>
          <w:color w:val="auto"/>
          <w:sz w:val="72"/>
          <w:szCs w:val="72"/>
          <w:highlight w:val="none"/>
        </w:rPr>
      </w:pPr>
      <w:r>
        <w:rPr>
          <w:rFonts w:hint="eastAsia" w:ascii="黑体" w:hAnsi="黑体" w:eastAsia="黑体" w:cs="黑体"/>
          <w:b w:val="0"/>
          <w:bCs w:val="0"/>
          <w:color w:val="auto"/>
          <w:sz w:val="72"/>
          <w:szCs w:val="72"/>
          <w:highlight w:val="none"/>
        </w:rPr>
        <w:t>文</w:t>
      </w:r>
    </w:p>
    <w:p w14:paraId="11CF0F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黑体" w:hAnsi="黑体" w:eastAsia="黑体" w:cs="黑体"/>
          <w:b w:val="0"/>
          <w:bCs w:val="0"/>
          <w:color w:val="auto"/>
          <w:sz w:val="72"/>
          <w:szCs w:val="72"/>
          <w:highlight w:val="none"/>
        </w:rPr>
      </w:pPr>
      <w:r>
        <w:rPr>
          <w:rFonts w:hint="eastAsia" w:ascii="黑体" w:hAnsi="黑体" w:eastAsia="黑体" w:cs="黑体"/>
          <w:b w:val="0"/>
          <w:bCs w:val="0"/>
          <w:color w:val="auto"/>
          <w:sz w:val="72"/>
          <w:szCs w:val="72"/>
          <w:highlight w:val="none"/>
        </w:rPr>
        <w:t>件</w:t>
      </w:r>
    </w:p>
    <w:p w14:paraId="4176CB03">
      <w:pPr>
        <w:pStyle w:val="54"/>
        <w:pageBreakBefore w:val="0"/>
        <w:widowControl w:val="0"/>
        <w:kinsoku/>
        <w:wordWrap/>
        <w:overflowPunct/>
        <w:topLinePunct w:val="0"/>
        <w:autoSpaceDE/>
        <w:autoSpaceDN/>
        <w:bidi w:val="0"/>
        <w:snapToGrid w:val="0"/>
        <w:spacing w:line="240" w:lineRule="auto"/>
        <w:ind w:firstLine="0" w:firstLineChars="0"/>
        <w:jc w:val="both"/>
        <w:textAlignment w:val="auto"/>
        <w:outlineLvl w:val="9"/>
        <w:rPr>
          <w:rFonts w:hint="eastAsia" w:ascii="宋体" w:hAnsi="宋体" w:eastAsia="宋体" w:cs="宋体"/>
          <w:color w:val="auto"/>
          <w:sz w:val="21"/>
          <w:szCs w:val="21"/>
          <w:highlight w:val="none"/>
        </w:rPr>
      </w:pPr>
    </w:p>
    <w:p w14:paraId="6B24FB95">
      <w:pPr>
        <w:pStyle w:val="54"/>
        <w:pageBreakBefore w:val="0"/>
        <w:widowControl w:val="0"/>
        <w:kinsoku/>
        <w:wordWrap/>
        <w:overflowPunct/>
        <w:topLinePunct w:val="0"/>
        <w:autoSpaceDE/>
        <w:autoSpaceDN/>
        <w:bidi w:val="0"/>
        <w:snapToGrid w:val="0"/>
        <w:spacing w:line="240" w:lineRule="auto"/>
        <w:ind w:firstLine="0" w:firstLineChars="0"/>
        <w:jc w:val="both"/>
        <w:textAlignment w:val="auto"/>
        <w:outlineLvl w:val="9"/>
        <w:rPr>
          <w:rFonts w:hint="eastAsia" w:ascii="宋体" w:hAnsi="宋体" w:eastAsia="宋体" w:cs="宋体"/>
          <w:color w:val="auto"/>
          <w:sz w:val="21"/>
          <w:szCs w:val="21"/>
          <w:highlight w:val="none"/>
        </w:rPr>
      </w:pPr>
    </w:p>
    <w:p w14:paraId="0E3BD928">
      <w:pPr>
        <w:pStyle w:val="54"/>
        <w:pageBreakBefore w:val="0"/>
        <w:widowControl w:val="0"/>
        <w:kinsoku/>
        <w:wordWrap/>
        <w:overflowPunct/>
        <w:topLinePunct w:val="0"/>
        <w:autoSpaceDE/>
        <w:autoSpaceDN/>
        <w:bidi w:val="0"/>
        <w:snapToGrid w:val="0"/>
        <w:spacing w:line="240" w:lineRule="auto"/>
        <w:ind w:firstLine="0" w:firstLineChars="0"/>
        <w:jc w:val="both"/>
        <w:textAlignment w:val="auto"/>
        <w:outlineLvl w:val="9"/>
        <w:rPr>
          <w:rFonts w:hint="eastAsia" w:ascii="宋体" w:hAnsi="宋体" w:eastAsia="宋体" w:cs="宋体"/>
          <w:color w:val="auto"/>
          <w:sz w:val="21"/>
          <w:szCs w:val="21"/>
          <w:highlight w:val="none"/>
        </w:rPr>
      </w:pPr>
    </w:p>
    <w:p w14:paraId="1010A6F5">
      <w:pPr>
        <w:pStyle w:val="54"/>
        <w:pageBreakBefore w:val="0"/>
        <w:widowControl w:val="0"/>
        <w:kinsoku/>
        <w:wordWrap/>
        <w:overflowPunct/>
        <w:topLinePunct w:val="0"/>
        <w:autoSpaceDE/>
        <w:autoSpaceDN/>
        <w:bidi w:val="0"/>
        <w:snapToGrid w:val="0"/>
        <w:spacing w:line="240" w:lineRule="auto"/>
        <w:ind w:firstLine="0" w:firstLineChars="0"/>
        <w:jc w:val="both"/>
        <w:textAlignment w:val="auto"/>
        <w:outlineLvl w:val="9"/>
        <w:rPr>
          <w:rFonts w:hint="eastAsia" w:ascii="宋体" w:hAnsi="宋体" w:eastAsia="宋体" w:cs="宋体"/>
          <w:color w:val="auto"/>
          <w:sz w:val="21"/>
          <w:szCs w:val="21"/>
          <w:highlight w:val="none"/>
        </w:rPr>
      </w:pPr>
    </w:p>
    <w:p w14:paraId="4E6D89B7">
      <w:pPr>
        <w:pStyle w:val="54"/>
        <w:pageBreakBefore w:val="0"/>
        <w:widowControl w:val="0"/>
        <w:kinsoku/>
        <w:wordWrap/>
        <w:overflowPunct/>
        <w:topLinePunct w:val="0"/>
        <w:autoSpaceDE/>
        <w:autoSpaceDN/>
        <w:bidi w:val="0"/>
        <w:snapToGrid w:val="0"/>
        <w:spacing w:line="240" w:lineRule="auto"/>
        <w:ind w:firstLine="0" w:firstLineChars="0"/>
        <w:jc w:val="both"/>
        <w:textAlignment w:val="auto"/>
        <w:outlineLvl w:val="9"/>
        <w:rPr>
          <w:rFonts w:hint="eastAsia" w:ascii="宋体" w:hAnsi="宋体" w:eastAsia="宋体" w:cs="宋体"/>
          <w:color w:val="auto"/>
          <w:sz w:val="21"/>
          <w:szCs w:val="21"/>
          <w:highlight w:val="none"/>
        </w:rPr>
      </w:pPr>
    </w:p>
    <w:p w14:paraId="43AC071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购</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人：</w:t>
      </w:r>
      <w:r>
        <w:rPr>
          <w:rFonts w:hint="eastAsia" w:ascii="宋体" w:hAnsi="宋体" w:eastAsia="宋体" w:cs="宋体"/>
          <w:b/>
          <w:bCs/>
          <w:color w:val="auto"/>
          <w:sz w:val="32"/>
          <w:szCs w:val="32"/>
          <w:highlight w:val="none"/>
          <w:lang w:eastAsia="zh-CN"/>
        </w:rPr>
        <w:t>浙江省开化中学</w:t>
      </w:r>
    </w:p>
    <w:p w14:paraId="469F3A36">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浙江鼎峰工程咨询有限公司</w:t>
      </w:r>
    </w:p>
    <w:p w14:paraId="109B7B7A">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二○二</w:t>
      </w:r>
      <w:r>
        <w:rPr>
          <w:rFonts w:hint="eastAsia" w:ascii="宋体" w:hAnsi="宋体" w:eastAsia="宋体" w:cs="宋体"/>
          <w:b/>
          <w:bCs/>
          <w:color w:val="auto"/>
          <w:sz w:val="32"/>
          <w:szCs w:val="32"/>
          <w:highlight w:val="none"/>
          <w:lang w:eastAsia="zh-CN"/>
        </w:rPr>
        <w:t>四</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月</w:t>
      </w:r>
    </w:p>
    <w:p w14:paraId="061FD260">
      <w:pPr>
        <w:pageBreakBefore w:val="0"/>
        <w:widowControl w:val="0"/>
        <w:kinsoku/>
        <w:wordWrap/>
        <w:overflowPunct/>
        <w:topLinePunct w:val="0"/>
        <w:autoSpaceDE/>
        <w:autoSpaceDN/>
        <w:bidi w:val="0"/>
        <w:spacing w:line="240" w:lineRule="auto"/>
        <w:ind w:firstLine="0" w:firstLineChars="0"/>
        <w:jc w:val="both"/>
        <w:textAlignment w:val="auto"/>
        <w:outlineLvl w:val="9"/>
        <w:rPr>
          <w:rFonts w:hint="eastAsia" w:ascii="宋体" w:hAnsi="宋体" w:eastAsia="宋体" w:cs="宋体"/>
          <w:color w:val="auto"/>
          <w:sz w:val="21"/>
          <w:szCs w:val="21"/>
          <w:highlight w:val="none"/>
        </w:rPr>
        <w:sectPr>
          <w:headerReference r:id="rId3" w:type="default"/>
          <w:footerReference r:id="rId4" w:type="default"/>
          <w:pgSz w:w="11906" w:h="16838"/>
          <w:pgMar w:top="1361" w:right="1361" w:bottom="1191" w:left="1361" w:header="850" w:footer="850" w:gutter="0"/>
          <w:pgNumType w:start="1"/>
          <w:cols w:space="0" w:num="1"/>
          <w:rtlGutter w:val="1"/>
          <w:docGrid w:type="lines" w:linePitch="312" w:charSpace="0"/>
        </w:sectPr>
      </w:pPr>
    </w:p>
    <w:p w14:paraId="072ED1B7">
      <w:pPr>
        <w:spacing w:line="360" w:lineRule="auto"/>
        <w:jc w:val="center"/>
        <w:rPr>
          <w:rFonts w:ascii="黑体" w:hAnsi="黑体" w:eastAsia="黑体" w:cs="Times New Roman"/>
          <w:color w:val="auto"/>
          <w:sz w:val="44"/>
          <w:szCs w:val="44"/>
          <w:highlight w:val="none"/>
        </w:rPr>
      </w:pPr>
      <w:r>
        <w:rPr>
          <w:rFonts w:hint="eastAsia" w:ascii="黑体" w:hAnsi="黑体" w:eastAsia="黑体" w:cs="黑体"/>
          <w:color w:val="auto"/>
          <w:sz w:val="44"/>
          <w:szCs w:val="44"/>
          <w:highlight w:val="none"/>
        </w:rPr>
        <w:t>目  录</w:t>
      </w:r>
    </w:p>
    <w:p w14:paraId="5A9F7127">
      <w:pPr>
        <w:pStyle w:val="54"/>
        <w:snapToGrid w:val="0"/>
        <w:spacing w:line="440" w:lineRule="exact"/>
        <w:ind w:firstLine="0"/>
        <w:rPr>
          <w:rFonts w:ascii="仿宋" w:hAnsi="仿宋" w:eastAsia="仿宋" w:cs="Times New Roman"/>
          <w:color w:val="auto"/>
          <w:sz w:val="32"/>
          <w:szCs w:val="32"/>
          <w:highlight w:val="none"/>
        </w:rPr>
      </w:pPr>
    </w:p>
    <w:p w14:paraId="76E0909A">
      <w:pPr>
        <w:pStyle w:val="23"/>
        <w:tabs>
          <w:tab w:val="right" w:leader="dot" w:pos="9135"/>
        </w:tabs>
        <w:spacing w:line="6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TOC \o "1-3" \h \z \u </w:instrText>
      </w:r>
      <w:r>
        <w:rPr>
          <w:rFonts w:ascii="Times New Roman" w:hAnsi="Times New Roman" w:cs="Times New Roman"/>
          <w:color w:val="auto"/>
          <w:highlight w:val="none"/>
        </w:rPr>
        <w:fldChar w:fldCharType="separate"/>
      </w:r>
      <w:r>
        <w:rPr>
          <w:color w:val="auto"/>
          <w:highlight w:val="none"/>
        </w:rPr>
        <w:fldChar w:fldCharType="begin"/>
      </w:r>
      <w:r>
        <w:rPr>
          <w:color w:val="auto"/>
          <w:highlight w:val="none"/>
        </w:rPr>
        <w:instrText xml:space="preserve"> HYPERLINK \l "_Toc479236969" </w:instrText>
      </w:r>
      <w:r>
        <w:rPr>
          <w:color w:val="auto"/>
          <w:highlight w:val="none"/>
        </w:rPr>
        <w:fldChar w:fldCharType="separate"/>
      </w:r>
      <w:r>
        <w:rPr>
          <w:rFonts w:ascii="Times New Roman" w:hAnsi="Times New Roman" w:cs="Times New Roman"/>
          <w:color w:val="auto"/>
          <w:highlight w:val="none"/>
        </w:rPr>
        <w:t>第一章 竞争性磋商</w:t>
      </w:r>
      <w:r>
        <w:rPr>
          <w:rFonts w:hint="eastAsia" w:ascii="Times New Roman" w:hAnsi="Times New Roman" w:cs="Times New Roman"/>
          <w:color w:val="auto"/>
          <w:highlight w:val="none"/>
          <w:lang w:eastAsia="zh-CN"/>
        </w:rPr>
        <w:t>公告</w:t>
      </w:r>
      <w:r>
        <w:rPr>
          <w:rFonts w:ascii="Times New Roman" w:hAnsi="Times New Roman" w:cs="Times New Roman"/>
          <w:color w:val="auto"/>
          <w:highlight w:val="none"/>
        </w:rPr>
        <w:tab/>
      </w:r>
      <w:r>
        <w:rPr>
          <w:rFonts w:ascii="Times New Roman" w:hAnsi="Times New Roman" w:cs="Times New Roman"/>
          <w:color w:val="auto"/>
          <w:highlight w:val="none"/>
        </w:rPr>
        <w:t>03</w:t>
      </w:r>
      <w:r>
        <w:rPr>
          <w:rFonts w:ascii="Times New Roman" w:hAnsi="Times New Roman" w:cs="Times New Roman"/>
          <w:color w:val="auto"/>
          <w:highlight w:val="none"/>
        </w:rPr>
        <w:fldChar w:fldCharType="end"/>
      </w:r>
    </w:p>
    <w:p w14:paraId="73822789">
      <w:pPr>
        <w:pStyle w:val="23"/>
        <w:tabs>
          <w:tab w:val="right" w:leader="dot" w:pos="9135"/>
        </w:tabs>
        <w:spacing w:line="600" w:lineRule="exact"/>
        <w:ind w:firstLine="420" w:firstLineChars="2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"_Toc479236970" </w:instrText>
      </w:r>
      <w:r>
        <w:rPr>
          <w:color w:val="auto"/>
          <w:highlight w:val="none"/>
        </w:rPr>
        <w:fldChar w:fldCharType="separate"/>
      </w:r>
      <w:r>
        <w:rPr>
          <w:rFonts w:ascii="Times New Roman" w:hAnsi="Times New Roman" w:cs="Times New Roman"/>
          <w:color w:val="auto"/>
          <w:highlight w:val="none"/>
        </w:rPr>
        <w:t>第二章 响应方须知及前附表</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ascii="Times New Roman" w:hAnsi="Times New Roman" w:cs="Times New Roman"/>
          <w:color w:val="auto"/>
          <w:highlight w:val="none"/>
        </w:rPr>
        <w:t>7</w:t>
      </w:r>
      <w:r>
        <w:rPr>
          <w:rFonts w:hint="eastAsia" w:ascii="Times New Roman" w:hAnsi="Times New Roman" w:cs="Times New Roman"/>
          <w:color w:val="auto"/>
          <w:highlight w:val="none"/>
        </w:rPr>
        <w:fldChar w:fldCharType="end"/>
      </w:r>
    </w:p>
    <w:p w14:paraId="3AEDDF55">
      <w:pPr>
        <w:pStyle w:val="23"/>
        <w:tabs>
          <w:tab w:val="right" w:leader="dot" w:pos="9135"/>
        </w:tabs>
        <w:spacing w:line="600" w:lineRule="exact"/>
        <w:ind w:firstLine="840" w:firstLineChars="400"/>
        <w:rPr>
          <w:rFonts w:hint="eastAsia"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"_Toc479236971" </w:instrText>
      </w:r>
      <w:r>
        <w:rPr>
          <w:color w:val="auto"/>
          <w:highlight w:val="none"/>
        </w:rPr>
        <w:fldChar w:fldCharType="separate"/>
      </w:r>
      <w:r>
        <w:rPr>
          <w:rFonts w:ascii="Times New Roman" w:hAnsi="Times New Roman" w:cs="Times New Roman"/>
          <w:color w:val="auto"/>
          <w:highlight w:val="none"/>
        </w:rPr>
        <w:t>A、响应方须知前附表</w:t>
      </w:r>
      <w:r>
        <w:rPr>
          <w:rFonts w:ascii="Times New Roman" w:hAnsi="Times New Roman" w:cs="Times New Roman"/>
          <w:color w:val="auto"/>
          <w:highlight w:val="none"/>
        </w:rPr>
        <w:tab/>
      </w:r>
      <w:r>
        <w:rPr>
          <w:rFonts w:hint="eastAsia" w:ascii="Times New Roman" w:hAnsi="Times New Roman" w:cs="Times New Roman"/>
          <w:color w:val="auto"/>
          <w:highlight w:val="none"/>
          <w:lang w:val="en-US" w:eastAsia="zh-CN"/>
        </w:rPr>
        <w:t>0</w:t>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7</w:t>
      </w:r>
    </w:p>
    <w:p w14:paraId="3F5D7F39">
      <w:pPr>
        <w:pStyle w:val="23"/>
        <w:tabs>
          <w:tab w:val="right" w:leader="dot" w:pos="9135"/>
        </w:tabs>
        <w:spacing w:line="600" w:lineRule="exact"/>
        <w:ind w:firstLine="840" w:firstLineChars="400"/>
        <w:rPr>
          <w:rFonts w:hint="eastAsia" w:ascii="Times New Roman" w:hAnsi="Times New Roman" w:eastAsia="宋体" w:cs="Times New Roman"/>
          <w:color w:val="auto"/>
          <w:highlight w:val="none"/>
          <w:lang w:eastAsia="zh-CN"/>
        </w:rPr>
      </w:pP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Fonts w:ascii="Times New Roman" w:hAnsi="Times New Roman" w:cs="Times New Roman"/>
          <w:color w:val="auto"/>
          <w:highlight w:val="none"/>
        </w:rPr>
        <w:t>B、响应方须知</w:t>
      </w:r>
      <w:r>
        <w:rPr>
          <w:rFonts w:ascii="Times New Roman" w:hAnsi="Times New Roman" w:cs="Times New Roman"/>
          <w:color w:val="auto"/>
          <w:highlight w:val="none"/>
        </w:rPr>
        <w:tab/>
      </w:r>
      <w:r>
        <w:rPr>
          <w:rFonts w:hint="eastAsia" w:ascii="Times New Roman" w:hAnsi="Times New Roman" w:cs="Times New Roman"/>
          <w:color w:val="auto"/>
          <w:highlight w:val="none"/>
        </w:rPr>
        <w:t>1</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1</w:t>
      </w:r>
    </w:p>
    <w:p w14:paraId="55671B5D">
      <w:pPr>
        <w:pStyle w:val="23"/>
        <w:tabs>
          <w:tab w:val="right" w:leader="dot" w:pos="9135"/>
        </w:tabs>
        <w:spacing w:line="600" w:lineRule="exact"/>
        <w:ind w:firstLine="420" w:firstLineChars="200"/>
        <w:rPr>
          <w:rFonts w:hint="eastAsia" w:ascii="Times New Roman" w:hAnsi="Times New Roman" w:eastAsia="宋体" w:cs="Times New Roman"/>
          <w:color w:val="auto"/>
          <w:highlight w:val="none"/>
          <w:lang w:eastAsia="zh-CN"/>
        </w:rPr>
      </w:pPr>
      <w:r>
        <w:rPr>
          <w:color w:val="auto"/>
          <w:highlight w:val="none"/>
        </w:rPr>
        <w:fldChar w:fldCharType="begin"/>
      </w:r>
      <w:r>
        <w:rPr>
          <w:color w:val="auto"/>
          <w:highlight w:val="none"/>
        </w:rPr>
        <w:instrText xml:space="preserve"> HYPERLINK \l "_Toc479236979" </w:instrText>
      </w:r>
      <w:r>
        <w:rPr>
          <w:color w:val="auto"/>
          <w:highlight w:val="none"/>
        </w:rPr>
        <w:fldChar w:fldCharType="separate"/>
      </w:r>
      <w:r>
        <w:rPr>
          <w:rFonts w:ascii="Times New Roman" w:hAnsi="Times New Roman" w:cs="Times New Roman"/>
          <w:color w:val="auto"/>
          <w:highlight w:val="none"/>
        </w:rPr>
        <w:t xml:space="preserve">第三章 </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ab/>
      </w:r>
      <w:r>
        <w:rPr>
          <w:rFonts w:hint="eastAsia" w:ascii="Times New Roman" w:hAnsi="Times New Roman" w:cs="Times New Roman"/>
          <w:color w:val="auto"/>
          <w:highlight w:val="none"/>
        </w:rPr>
        <w:t>2</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2</w:t>
      </w:r>
    </w:p>
    <w:p w14:paraId="0F916E58">
      <w:pPr>
        <w:pStyle w:val="23"/>
        <w:tabs>
          <w:tab w:val="right" w:leader="dot" w:pos="91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"_Toc479236981" </w:instrText>
      </w:r>
      <w:r>
        <w:rPr>
          <w:color w:val="auto"/>
          <w:highlight w:val="none"/>
        </w:rPr>
        <w:fldChar w:fldCharType="separate"/>
      </w:r>
      <w:r>
        <w:rPr>
          <w:rFonts w:ascii="Times New Roman" w:hAnsi="Times New Roman" w:cs="Times New Roman"/>
          <w:color w:val="auto"/>
          <w:highlight w:val="none"/>
        </w:rPr>
        <w:t>第四章 合同主要条款</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37</w:t>
      </w:r>
    </w:p>
    <w:p w14:paraId="0A26ABBE">
      <w:pPr>
        <w:pStyle w:val="23"/>
        <w:tabs>
          <w:tab w:val="right" w:leader="dot" w:pos="91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"_Toc479236982" </w:instrText>
      </w:r>
      <w:r>
        <w:rPr>
          <w:color w:val="auto"/>
          <w:highlight w:val="none"/>
        </w:rPr>
        <w:fldChar w:fldCharType="separate"/>
      </w:r>
      <w:r>
        <w:rPr>
          <w:rFonts w:ascii="Times New Roman" w:hAnsi="Times New Roman" w:cs="Times New Roman"/>
          <w:color w:val="auto"/>
          <w:highlight w:val="none"/>
        </w:rPr>
        <w:t>第五章 响应文件格式</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42</w:t>
      </w:r>
    </w:p>
    <w:p w14:paraId="165C2003">
      <w:pPr>
        <w:spacing w:line="360" w:lineRule="auto"/>
        <w:jc w:val="center"/>
        <w:outlineLvl w:val="0"/>
        <w:rPr>
          <w:rFonts w:ascii="黑体" w:hAnsi="宋体" w:eastAsia="黑体" w:cs="Times New Roman"/>
          <w:color w:val="auto"/>
          <w:sz w:val="32"/>
          <w:szCs w:val="32"/>
          <w:highlight w:val="none"/>
        </w:rPr>
      </w:pPr>
      <w:bookmarkStart w:id="0" w:name="_Toc504642661"/>
      <w:bookmarkStart w:id="1" w:name="_Toc393201705"/>
      <w:bookmarkStart w:id="2" w:name="_Toc358384686"/>
      <w:bookmarkStart w:id="3" w:name="_Toc479236970"/>
      <w:bookmarkStart w:id="4" w:name="_Toc333842542"/>
      <w:bookmarkStart w:id="5" w:name="_Toc433917258"/>
      <w:bookmarkStart w:id="6" w:name="_Toc326937528"/>
    </w:p>
    <w:p w14:paraId="300202AD">
      <w:pPr>
        <w:bidi w:val="0"/>
        <w:rPr>
          <w:rFonts w:ascii="黑体" w:hAnsi="宋体" w:eastAsia="黑体" w:cs="Times New Roman"/>
          <w:color w:val="auto"/>
          <w:sz w:val="32"/>
          <w:szCs w:val="32"/>
          <w:highlight w:val="none"/>
        </w:rPr>
      </w:pPr>
    </w:p>
    <w:p w14:paraId="50B051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36"/>
          <w:szCs w:val="36"/>
          <w:highlight w:val="none"/>
          <w:lang w:eastAsia="zh-CN"/>
        </w:rPr>
      </w:pPr>
      <w:r>
        <w:rPr>
          <w:rFonts w:ascii="黑体" w:hAnsi="宋体" w:eastAsia="黑体" w:cs="Times New Roman"/>
          <w:color w:val="auto"/>
          <w:sz w:val="32"/>
          <w:szCs w:val="32"/>
          <w:highlight w:val="none"/>
        </w:rPr>
        <w:br w:type="page"/>
      </w:r>
      <w:bookmarkEnd w:id="0"/>
      <w:bookmarkStart w:id="7" w:name="_Toc26681"/>
      <w:r>
        <w:rPr>
          <w:rFonts w:hint="eastAsia" w:ascii="黑体" w:hAnsi="黑体" w:eastAsia="黑体" w:cs="黑体"/>
          <w:color w:val="auto"/>
          <w:kern w:val="0"/>
          <w:sz w:val="36"/>
          <w:szCs w:val="36"/>
          <w:highlight w:val="none"/>
        </w:rPr>
        <w:t xml:space="preserve">第一章 </w:t>
      </w:r>
      <w:bookmarkEnd w:id="7"/>
      <w:r>
        <w:rPr>
          <w:rFonts w:hint="eastAsia" w:ascii="黑体" w:hAnsi="黑体" w:eastAsia="黑体" w:cs="黑体"/>
          <w:color w:val="auto"/>
          <w:kern w:val="0"/>
          <w:sz w:val="36"/>
          <w:szCs w:val="36"/>
          <w:highlight w:val="none"/>
        </w:rPr>
        <w:t>竞争性磋商</w:t>
      </w:r>
      <w:r>
        <w:rPr>
          <w:rFonts w:hint="eastAsia" w:ascii="黑体" w:hAnsi="黑体" w:eastAsia="黑体" w:cs="黑体"/>
          <w:color w:val="auto"/>
          <w:kern w:val="0"/>
          <w:sz w:val="36"/>
          <w:szCs w:val="36"/>
          <w:highlight w:val="none"/>
          <w:lang w:eastAsia="zh-CN"/>
        </w:rPr>
        <w:t>公告</w:t>
      </w:r>
    </w:p>
    <w:p w14:paraId="3DCE070F">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color w:val="auto"/>
          <w:highlight w:val="none"/>
          <w:lang w:eastAsia="zh-CN"/>
        </w:rPr>
      </w:pPr>
    </w:p>
    <w:p w14:paraId="21DB17F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项目概况</w:t>
      </w:r>
    </w:p>
    <w:p w14:paraId="64A73A8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20" w:firstLineChars="200"/>
        <w:textAlignment w:val="auto"/>
        <w:rPr>
          <w:rFonts w:ascii="宋体" w:hAnsi="宋体" w:cs="宋体"/>
          <w:color w:val="auto"/>
          <w:highlight w:val="none"/>
        </w:rPr>
      </w:pPr>
      <w:r>
        <w:rPr>
          <w:rFonts w:hint="eastAsia" w:ascii="宋体" w:hAnsi="宋体" w:cs="宋体"/>
          <w:color w:val="auto"/>
          <w:highlight w:val="none"/>
          <w:lang w:eastAsia="zh-CN"/>
        </w:rPr>
        <w:t>千人报告厅维修改造工程—舞台音响设备及座椅采购项目</w:t>
      </w:r>
      <w:r>
        <w:rPr>
          <w:rFonts w:hint="eastAsia" w:ascii="宋体" w:hAnsi="宋体" w:cs="宋体"/>
          <w:color w:val="auto"/>
          <w:highlight w:val="none"/>
        </w:rPr>
        <w:t>的潜在供应商应在政采云平台（网址：https://login.zcygov.cn/login）、浙江政府采购网（http://zfcg.czt.zj.gov.cn/）或开化县人民政府网（www.kaihua.gov.cn/）获取</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下载</w:t>
      </w:r>
      <w:r>
        <w:rPr>
          <w:rFonts w:hint="eastAsia" w:ascii="宋体" w:hAnsi="宋体" w:cs="宋体"/>
          <w:color w:val="auto"/>
          <w:highlight w:val="none"/>
          <w:lang w:eastAsia="zh-CN"/>
        </w:rPr>
        <w:t>）</w:t>
      </w:r>
      <w:r>
        <w:rPr>
          <w:rFonts w:hint="eastAsia" w:ascii="宋体" w:hAnsi="宋体" w:cs="宋体"/>
          <w:color w:val="auto"/>
          <w:highlight w:val="none"/>
        </w:rPr>
        <w:t>磋商文件，并于</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4</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7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31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16:00 </w:t>
      </w:r>
      <w:r>
        <w:rPr>
          <w:rFonts w:hint="eastAsia" w:ascii="宋体" w:hAnsi="宋体" w:cs="宋体"/>
          <w:color w:val="auto"/>
          <w:highlight w:val="none"/>
          <w:u w:val="none"/>
          <w:lang w:val="en-US" w:eastAsia="zh-CN"/>
        </w:rPr>
        <w:t>时</w:t>
      </w:r>
      <w:r>
        <w:rPr>
          <w:rFonts w:hint="eastAsia" w:ascii="宋体" w:hAnsi="宋体" w:cs="宋体"/>
          <w:color w:val="auto"/>
          <w:highlight w:val="none"/>
        </w:rPr>
        <w:t>（北京时间）前递交响应文件。</w:t>
      </w:r>
    </w:p>
    <w:p w14:paraId="44DB614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highlight w:val="none"/>
        </w:rPr>
      </w:pPr>
      <w:r>
        <w:rPr>
          <w:rFonts w:hint="eastAsia" w:ascii="宋体" w:hAnsi="宋体" w:cs="宋体"/>
          <w:b/>
          <w:color w:val="auto"/>
          <w:highlight w:val="none"/>
        </w:rPr>
        <w:t>一、项目基本情况：</w:t>
      </w:r>
    </w:p>
    <w:p w14:paraId="391166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lang w:eastAsia="zh-CN"/>
        </w:rPr>
        <w:t>ZJDF2024-003（Ⅱ）</w:t>
      </w:r>
    </w:p>
    <w:p w14:paraId="00B1AE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u w:val="single"/>
          <w:lang w:eastAsia="zh-CN"/>
        </w:rPr>
        <w:t>千人报告厅维修改造工程—舞台音响设备及座椅采购项目</w:t>
      </w:r>
    </w:p>
    <w:p w14:paraId="76EFBB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采购方式：竞争性磋商</w:t>
      </w:r>
    </w:p>
    <w:p w14:paraId="003108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.预算金额：</w:t>
      </w:r>
      <w:r>
        <w:rPr>
          <w:rFonts w:hint="eastAsia" w:ascii="宋体" w:hAnsi="宋体" w:cs="宋体"/>
          <w:color w:val="auto"/>
          <w:sz w:val="21"/>
          <w:szCs w:val="21"/>
          <w:highlight w:val="none"/>
          <w:u w:val="single"/>
          <w:lang w:val="en-US" w:eastAsia="zh-CN"/>
        </w:rPr>
        <w:t xml:space="preserve"> 104.9121 </w:t>
      </w:r>
      <w:r>
        <w:rPr>
          <w:rFonts w:hint="eastAsia" w:ascii="宋体" w:hAnsi="宋体" w:cs="宋体"/>
          <w:color w:val="auto"/>
          <w:sz w:val="21"/>
          <w:szCs w:val="21"/>
          <w:highlight w:val="none"/>
          <w:lang w:val="en-US" w:eastAsia="zh-CN"/>
        </w:rPr>
        <w:t>万元</w:t>
      </w:r>
    </w:p>
    <w:p w14:paraId="6264C6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.最高限价：</w:t>
      </w:r>
      <w:r>
        <w:rPr>
          <w:rFonts w:hint="eastAsia" w:ascii="宋体" w:hAnsi="宋体" w:cs="宋体"/>
          <w:color w:val="auto"/>
          <w:sz w:val="21"/>
          <w:szCs w:val="21"/>
          <w:highlight w:val="none"/>
          <w:u w:val="single"/>
          <w:lang w:val="en-US" w:eastAsia="zh-CN"/>
        </w:rPr>
        <w:t xml:space="preserve"> 104.9121 </w:t>
      </w:r>
      <w:r>
        <w:rPr>
          <w:rFonts w:hint="eastAsia" w:ascii="宋体" w:hAnsi="宋体" w:cs="宋体"/>
          <w:color w:val="auto"/>
          <w:sz w:val="21"/>
          <w:szCs w:val="21"/>
          <w:highlight w:val="none"/>
          <w:lang w:val="en-US" w:eastAsia="zh-CN"/>
        </w:rPr>
        <w:t>万元</w:t>
      </w:r>
    </w:p>
    <w:p w14:paraId="4B7FD1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.采购需求：</w:t>
      </w:r>
    </w:p>
    <w:tbl>
      <w:tblPr>
        <w:tblStyle w:val="32"/>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3"/>
        <w:gridCol w:w="2653"/>
        <w:gridCol w:w="630"/>
        <w:gridCol w:w="734"/>
        <w:gridCol w:w="1675"/>
        <w:gridCol w:w="2782"/>
        <w:gridCol w:w="561"/>
      </w:tblGrid>
      <w:tr w14:paraId="3B86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463" w:type="dxa"/>
            <w:tcBorders>
              <w:top w:val="single" w:color="auto" w:sz="4" w:space="0"/>
              <w:left w:val="single" w:color="auto" w:sz="4" w:space="0"/>
              <w:bottom w:val="single" w:color="auto" w:sz="4" w:space="0"/>
              <w:right w:val="single" w:color="auto" w:sz="4" w:space="0"/>
              <w:tl2br w:val="nil"/>
              <w:tr2bl w:val="nil"/>
            </w:tcBorders>
            <w:noWrap/>
            <w:vAlign w:val="center"/>
          </w:tcPr>
          <w:p w14:paraId="1D0631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标项序号</w:t>
            </w:r>
          </w:p>
        </w:tc>
        <w:tc>
          <w:tcPr>
            <w:tcW w:w="2653" w:type="dxa"/>
            <w:tcBorders>
              <w:top w:val="single" w:color="auto" w:sz="4" w:space="0"/>
              <w:left w:val="single" w:color="auto" w:sz="4" w:space="0"/>
              <w:bottom w:val="single" w:color="auto" w:sz="4" w:space="0"/>
              <w:right w:val="single" w:color="auto" w:sz="4" w:space="0"/>
              <w:tl2br w:val="nil"/>
              <w:tr2bl w:val="nil"/>
            </w:tcBorders>
            <w:noWrap/>
            <w:vAlign w:val="center"/>
          </w:tcPr>
          <w:p w14:paraId="3995CB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标项内容</w:t>
            </w:r>
          </w:p>
        </w:tc>
        <w:tc>
          <w:tcPr>
            <w:tcW w:w="630" w:type="dxa"/>
            <w:tcBorders>
              <w:top w:val="single" w:color="auto" w:sz="4" w:space="0"/>
              <w:left w:val="single" w:color="auto" w:sz="4" w:space="0"/>
              <w:bottom w:val="single" w:color="auto" w:sz="4" w:space="0"/>
              <w:right w:val="single" w:color="auto" w:sz="4" w:space="0"/>
              <w:tl2br w:val="nil"/>
              <w:tr2bl w:val="nil"/>
            </w:tcBorders>
            <w:noWrap/>
            <w:vAlign w:val="center"/>
          </w:tcPr>
          <w:p w14:paraId="25ECF0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734" w:type="dxa"/>
            <w:tcBorders>
              <w:top w:val="single" w:color="auto" w:sz="4" w:space="0"/>
              <w:left w:val="single" w:color="auto" w:sz="4" w:space="0"/>
              <w:bottom w:val="single" w:color="auto" w:sz="4" w:space="0"/>
              <w:right w:val="single" w:color="auto" w:sz="4" w:space="0"/>
              <w:tl2br w:val="nil"/>
              <w:tr2bl w:val="nil"/>
            </w:tcBorders>
            <w:noWrap/>
            <w:vAlign w:val="center"/>
          </w:tcPr>
          <w:p w14:paraId="47A02A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单位</w:t>
            </w:r>
          </w:p>
        </w:tc>
        <w:tc>
          <w:tcPr>
            <w:tcW w:w="1675" w:type="dxa"/>
            <w:tcBorders>
              <w:top w:val="single" w:color="auto" w:sz="4" w:space="0"/>
              <w:left w:val="single" w:color="auto" w:sz="4" w:space="0"/>
              <w:bottom w:val="single" w:color="auto" w:sz="4" w:space="0"/>
              <w:right w:val="single" w:color="auto" w:sz="4" w:space="0"/>
              <w:tl2br w:val="nil"/>
              <w:tr2bl w:val="nil"/>
            </w:tcBorders>
            <w:noWrap/>
            <w:vAlign w:val="center"/>
          </w:tcPr>
          <w:p w14:paraId="1E04DE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最高限价</w:t>
            </w:r>
          </w:p>
        </w:tc>
        <w:tc>
          <w:tcPr>
            <w:tcW w:w="2782" w:type="dxa"/>
            <w:tcBorders>
              <w:top w:val="single" w:color="auto" w:sz="4" w:space="0"/>
              <w:left w:val="single" w:color="auto" w:sz="4" w:space="0"/>
              <w:bottom w:val="single" w:color="auto" w:sz="4" w:space="0"/>
              <w:right w:val="single" w:color="auto" w:sz="4" w:space="0"/>
              <w:tl2br w:val="nil"/>
              <w:tr2bl w:val="nil"/>
            </w:tcBorders>
            <w:noWrap/>
            <w:vAlign w:val="center"/>
          </w:tcPr>
          <w:p w14:paraId="327FEC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简要技术要求、用途</w:t>
            </w:r>
          </w:p>
        </w:tc>
        <w:tc>
          <w:tcPr>
            <w:tcW w:w="561" w:type="dxa"/>
            <w:tcBorders>
              <w:top w:val="single" w:color="auto" w:sz="4" w:space="0"/>
              <w:left w:val="single" w:color="auto" w:sz="4" w:space="0"/>
              <w:bottom w:val="single" w:color="auto" w:sz="4" w:space="0"/>
              <w:right w:val="single" w:color="auto" w:sz="4" w:space="0"/>
              <w:tl2br w:val="nil"/>
              <w:tr2bl w:val="nil"/>
            </w:tcBorders>
            <w:noWrap/>
            <w:vAlign w:val="center"/>
          </w:tcPr>
          <w:p w14:paraId="2350E5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14:paraId="2D67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8" w:hRule="atLeast"/>
        </w:trPr>
        <w:tc>
          <w:tcPr>
            <w:tcW w:w="463" w:type="dxa"/>
            <w:tcBorders>
              <w:top w:val="single" w:color="auto" w:sz="4" w:space="0"/>
              <w:left w:val="single" w:color="auto" w:sz="4" w:space="0"/>
              <w:bottom w:val="single" w:color="auto" w:sz="4" w:space="0"/>
              <w:right w:val="single" w:color="auto" w:sz="4" w:space="0"/>
              <w:tl2br w:val="nil"/>
              <w:tr2bl w:val="nil"/>
            </w:tcBorders>
            <w:noWrap/>
            <w:vAlign w:val="center"/>
          </w:tcPr>
          <w:p w14:paraId="6632DA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bookmarkStart w:id="8" w:name="B10_序号"/>
            <w:r>
              <w:rPr>
                <w:rFonts w:hint="eastAsia" w:ascii="宋体" w:hAnsi="宋体" w:cs="宋体"/>
                <w:color w:val="auto"/>
                <w:sz w:val="21"/>
                <w:szCs w:val="21"/>
                <w:highlight w:val="none"/>
              </w:rPr>
              <w:t>1</w:t>
            </w:r>
            <w:bookmarkEnd w:id="8"/>
          </w:p>
        </w:tc>
        <w:tc>
          <w:tcPr>
            <w:tcW w:w="2653" w:type="dxa"/>
            <w:tcBorders>
              <w:top w:val="single" w:color="auto" w:sz="4" w:space="0"/>
              <w:left w:val="single" w:color="auto" w:sz="4" w:space="0"/>
              <w:bottom w:val="single" w:color="auto" w:sz="4" w:space="0"/>
              <w:right w:val="single" w:color="auto" w:sz="4" w:space="0"/>
              <w:tl2br w:val="nil"/>
              <w:tr2bl w:val="nil"/>
            </w:tcBorders>
            <w:noWrap/>
            <w:vAlign w:val="center"/>
          </w:tcPr>
          <w:p w14:paraId="081F11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千人报告厅维修改造工程—舞台音响设备及座椅采购项目</w:t>
            </w:r>
          </w:p>
        </w:tc>
        <w:tc>
          <w:tcPr>
            <w:tcW w:w="630" w:type="dxa"/>
            <w:tcBorders>
              <w:top w:val="single" w:color="auto" w:sz="4" w:space="0"/>
              <w:left w:val="single" w:color="auto" w:sz="4" w:space="0"/>
              <w:bottom w:val="single" w:color="auto" w:sz="4" w:space="0"/>
              <w:right w:val="single" w:color="auto" w:sz="4" w:space="0"/>
              <w:tl2br w:val="nil"/>
              <w:tr2bl w:val="nil"/>
            </w:tcBorders>
            <w:noWrap/>
            <w:vAlign w:val="center"/>
          </w:tcPr>
          <w:p w14:paraId="7833E6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734" w:type="dxa"/>
            <w:tcBorders>
              <w:top w:val="single" w:color="auto" w:sz="4" w:space="0"/>
              <w:left w:val="single" w:color="auto" w:sz="4" w:space="0"/>
              <w:bottom w:val="single" w:color="auto" w:sz="4" w:space="0"/>
              <w:right w:val="single" w:color="auto" w:sz="4" w:space="0"/>
              <w:tl2br w:val="nil"/>
              <w:tr2bl w:val="nil"/>
            </w:tcBorders>
            <w:noWrap/>
            <w:vAlign w:val="center"/>
          </w:tcPr>
          <w:p w14:paraId="33E30D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kern w:val="21"/>
                <w:sz w:val="21"/>
                <w:szCs w:val="21"/>
                <w:highlight w:val="none"/>
              </w:rPr>
            </w:pPr>
            <w:r>
              <w:rPr>
                <w:rFonts w:hint="eastAsia" w:ascii="宋体" w:hAnsi="宋体" w:cs="宋体"/>
                <w:color w:val="auto"/>
                <w:kern w:val="21"/>
                <w:sz w:val="21"/>
                <w:szCs w:val="21"/>
                <w:highlight w:val="none"/>
              </w:rPr>
              <w:t>项</w:t>
            </w:r>
          </w:p>
        </w:tc>
        <w:tc>
          <w:tcPr>
            <w:tcW w:w="1675" w:type="dxa"/>
            <w:tcBorders>
              <w:top w:val="single" w:color="auto" w:sz="4" w:space="0"/>
              <w:left w:val="single" w:color="auto" w:sz="4" w:space="0"/>
              <w:bottom w:val="single" w:color="auto" w:sz="4" w:space="0"/>
              <w:right w:val="single" w:color="auto" w:sz="4" w:space="0"/>
              <w:tl2br w:val="nil"/>
              <w:tr2bl w:val="nil"/>
            </w:tcBorders>
            <w:noWrap/>
            <w:vAlign w:val="center"/>
          </w:tcPr>
          <w:p w14:paraId="3809CD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1"/>
                <w:sz w:val="21"/>
                <w:szCs w:val="21"/>
                <w:highlight w:val="none"/>
                <w:lang w:val="en-US" w:eastAsia="zh-CN"/>
              </w:rPr>
            </w:pPr>
            <w:r>
              <w:rPr>
                <w:rFonts w:hint="eastAsia" w:ascii="宋体" w:hAnsi="宋体" w:cs="宋体"/>
                <w:color w:val="auto"/>
                <w:sz w:val="21"/>
                <w:szCs w:val="21"/>
                <w:highlight w:val="none"/>
                <w:u w:val="single"/>
                <w:lang w:val="en-US" w:eastAsia="zh-CN"/>
              </w:rPr>
              <w:t xml:space="preserve"> 104.9121 </w:t>
            </w:r>
            <w:r>
              <w:rPr>
                <w:rFonts w:hint="eastAsia" w:ascii="宋体" w:hAnsi="宋体" w:cs="宋体"/>
                <w:color w:val="auto"/>
                <w:sz w:val="21"/>
                <w:szCs w:val="21"/>
                <w:highlight w:val="none"/>
                <w:lang w:val="en-US" w:eastAsia="zh-CN"/>
              </w:rPr>
              <w:t>万元</w:t>
            </w:r>
          </w:p>
        </w:tc>
        <w:tc>
          <w:tcPr>
            <w:tcW w:w="2782" w:type="dxa"/>
            <w:tcBorders>
              <w:top w:val="single" w:color="auto" w:sz="4" w:space="0"/>
              <w:left w:val="single" w:color="auto" w:sz="4" w:space="0"/>
              <w:bottom w:val="single" w:color="auto" w:sz="4" w:space="0"/>
              <w:right w:val="single" w:color="auto" w:sz="4" w:space="0"/>
              <w:tl2br w:val="nil"/>
              <w:tr2bl w:val="nil"/>
            </w:tcBorders>
            <w:noWrap/>
            <w:vAlign w:val="center"/>
          </w:tcPr>
          <w:p w14:paraId="5EDA79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kern w:val="21"/>
                <w:sz w:val="21"/>
                <w:szCs w:val="21"/>
                <w:highlight w:val="none"/>
              </w:rPr>
              <w:t>详见第三章《采购需求》</w:t>
            </w:r>
          </w:p>
        </w:tc>
        <w:tc>
          <w:tcPr>
            <w:tcW w:w="561" w:type="dxa"/>
            <w:tcBorders>
              <w:top w:val="single" w:color="auto" w:sz="4" w:space="0"/>
              <w:left w:val="single" w:color="auto" w:sz="4" w:space="0"/>
              <w:bottom w:val="single" w:color="auto" w:sz="4" w:space="0"/>
              <w:right w:val="single" w:color="auto" w:sz="4" w:space="0"/>
              <w:tl2br w:val="nil"/>
              <w:tr2bl w:val="nil"/>
            </w:tcBorders>
            <w:noWrap/>
            <w:vAlign w:val="center"/>
          </w:tcPr>
          <w:p w14:paraId="5423D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bookmarkStart w:id="9" w:name="B15_备注"/>
            <w:bookmarkEnd w:id="9"/>
          </w:p>
        </w:tc>
      </w:tr>
    </w:tbl>
    <w:p w14:paraId="46653614">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工期：自合同签订之日起</w:t>
      </w:r>
      <w:r>
        <w:rPr>
          <w:rFonts w:hint="eastAsia" w:ascii="宋体" w:hAnsi="宋体" w:eastAsia="宋体" w:cs="宋体"/>
          <w:color w:val="auto"/>
          <w:sz w:val="21"/>
          <w:szCs w:val="21"/>
          <w:highlight w:val="none"/>
          <w:u w:val="single"/>
          <w:lang w:eastAsia="zh-CN"/>
        </w:rPr>
        <w:t xml:space="preserve"> 25 </w:t>
      </w:r>
      <w:r>
        <w:rPr>
          <w:rFonts w:hint="eastAsia" w:ascii="宋体" w:hAnsi="宋体" w:eastAsia="宋体" w:cs="宋体"/>
          <w:color w:val="auto"/>
          <w:sz w:val="21"/>
          <w:szCs w:val="21"/>
          <w:highlight w:val="none"/>
          <w:lang w:eastAsia="zh-CN"/>
        </w:rPr>
        <w:t>日历天内供货至采购人指定的地点并完成安装、调试、检测等，进度须配合主体维修改造工程进度，验收合格并满足使用要求</w:t>
      </w:r>
      <w:r>
        <w:rPr>
          <w:rFonts w:hint="eastAsia" w:ascii="宋体" w:hAnsi="宋体" w:eastAsia="宋体" w:cs="宋体"/>
          <w:color w:val="auto"/>
          <w:sz w:val="21"/>
          <w:szCs w:val="21"/>
          <w:highlight w:val="none"/>
          <w:u w:val="none"/>
        </w:rPr>
        <w:t>。</w:t>
      </w:r>
    </w:p>
    <w:p w14:paraId="5D19D74E">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7.本项目不接受联合体响应。</w:t>
      </w:r>
    </w:p>
    <w:p w14:paraId="60F26535">
      <w:pPr>
        <w:pStyle w:val="17"/>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5370DBCB">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2A3EED4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2.必须为未被列入“信用中国”网站(www.creditchina.gov.cn)、中国政府采购网(www.ccgp.gov.cn)渠道信用记录失信被执行人、重大税收违法案件当事人名单、政府采购严重违法失信行为记录名单的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p>
    <w:p w14:paraId="35E51E95">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3.落实政府采购政策需满足的资格要求：</w:t>
      </w:r>
      <w:r>
        <w:rPr>
          <w:rFonts w:hint="eastAsia" w:ascii="宋体" w:hAnsi="宋体" w:eastAsia="宋体" w:cs="宋体"/>
          <w:color w:val="auto"/>
          <w:sz w:val="21"/>
          <w:szCs w:val="21"/>
          <w:u w:val="single"/>
        </w:rPr>
        <w:t>本项目专门面向中小企业</w:t>
      </w:r>
      <w:r>
        <w:rPr>
          <w:rFonts w:hint="eastAsia" w:ascii="宋体" w:hAnsi="宋体" w:eastAsia="宋体" w:cs="宋体"/>
          <w:color w:val="auto"/>
          <w:sz w:val="21"/>
          <w:szCs w:val="21"/>
          <w:highlight w:val="none"/>
          <w:u w:val="none"/>
          <w:lang w:val="en-US" w:eastAsia="zh-CN"/>
        </w:rPr>
        <w:t>；</w:t>
      </w:r>
    </w:p>
    <w:p w14:paraId="430BB057">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r>
        <w:rPr>
          <w:rFonts w:hint="eastAsia" w:ascii="宋体" w:hAnsi="宋体" w:eastAsia="宋体" w:cs="宋体"/>
          <w:color w:val="auto"/>
          <w:sz w:val="21"/>
          <w:szCs w:val="21"/>
          <w:highlight w:val="none"/>
          <w:u w:val="single"/>
          <w:lang w:val="en-US" w:eastAsia="zh-CN"/>
        </w:rPr>
        <w:t xml:space="preserve"> 无 </w:t>
      </w:r>
      <w:r>
        <w:rPr>
          <w:rFonts w:hint="eastAsia" w:ascii="宋体" w:hAnsi="宋体" w:eastAsia="宋体" w:cs="宋体"/>
          <w:color w:val="auto"/>
          <w:sz w:val="21"/>
          <w:szCs w:val="21"/>
          <w:highlight w:val="none"/>
          <w:u w:val="none"/>
          <w:lang w:val="en-US" w:eastAsia="zh-CN"/>
        </w:rPr>
        <w:t>；</w:t>
      </w:r>
    </w:p>
    <w:p w14:paraId="4BC3BEB0">
      <w:pPr>
        <w:pStyle w:val="27"/>
        <w:keepNext w:val="0"/>
        <w:keepLines w:val="0"/>
        <w:pageBreakBefore w:val="0"/>
        <w:kinsoku/>
        <w:overflowPunct/>
        <w:topLinePunct w:val="0"/>
        <w:autoSpaceDE/>
        <w:autoSpaceDN/>
        <w:bidi w:val="0"/>
        <w:spacing w:beforeAutospacing="0" w:afterAutospacing="0"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三、获取磋商文件：</w:t>
      </w:r>
    </w:p>
    <w:p w14:paraId="0230FE5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31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16:00 </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5BE1F02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地点：政采云平台（网址：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"https://login.zcygov.cn/login）获取采购文件（(不是正式供应商不能获取采购文件)）。" </w:instrText>
      </w:r>
      <w:r>
        <w:rPr>
          <w:rFonts w:hint="eastAsia" w:ascii="宋体" w:hAnsi="宋体" w:eastAsia="宋体" w:cs="宋体"/>
          <w:color w:val="auto"/>
          <w:sz w:val="21"/>
          <w:szCs w:val="21"/>
          <w:highlight w:val="none"/>
        </w:rPr>
        <w:fldChar w:fldCharType="separate"/>
      </w:r>
      <w:r>
        <w:rPr>
          <w:rStyle w:val="38"/>
          <w:rFonts w:hint="eastAsia" w:ascii="宋体" w:hAnsi="宋体" w:eastAsia="宋体" w:cs="宋体"/>
          <w:color w:val="auto"/>
          <w:sz w:val="21"/>
          <w:szCs w:val="21"/>
          <w:highlight w:val="none"/>
          <w:u w:val="none"/>
        </w:rPr>
        <w:t>https://login.zcygov.cn/login）、</w:t>
      </w:r>
      <w:r>
        <w:rPr>
          <w:rStyle w:val="38"/>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rPr>
        <w:t>浙江政府采购网（http://zfcg.czt.zj.gov.cn/）或开化县人民政府网（www.kaihua.gov.cn/）免费下载。</w:t>
      </w:r>
    </w:p>
    <w:p w14:paraId="1D73177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方式：已在浙江政府采购网注册的供应商可登录政采云平台（网址：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"https://login.zcygov.cn/login）获取采购文件（(不是正式供应商不能获取采购文件)）。"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https://login.zcygov.cn/login）进入政采云系统“项目采购”模块“获取采购文件”菜单依法获取采购文件；</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未在浙江政府采购网注册的供应商可在浙江政府采购网（</w:t>
      </w:r>
      <w:r>
        <w:rPr>
          <w:rStyle w:val="38"/>
          <w:rFonts w:hint="eastAsia" w:ascii="宋体" w:hAnsi="宋体" w:eastAsia="宋体" w:cs="宋体"/>
          <w:color w:val="auto"/>
          <w:sz w:val="21"/>
          <w:szCs w:val="21"/>
          <w:highlight w:val="none"/>
          <w:u w:val="none"/>
        </w:rPr>
        <w:t>http://zfcg.czt.zj.gov.cn/</w:t>
      </w:r>
      <w:r>
        <w:rPr>
          <w:rFonts w:hint="eastAsia" w:ascii="宋体" w:hAnsi="宋体" w:eastAsia="宋体" w:cs="宋体"/>
          <w:color w:val="auto"/>
          <w:sz w:val="21"/>
          <w:szCs w:val="21"/>
          <w:highlight w:val="none"/>
        </w:rPr>
        <w:t>）选择“潜在供应商”获取采购文件或“游客”浏览采购文件，也可在开化县人民政府网（www.kaihua.gov.cn/）公告中下载获取采购文件。</w:t>
      </w:r>
    </w:p>
    <w:p w14:paraId="40B92CD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售价：0元</w:t>
      </w:r>
    </w:p>
    <w:p w14:paraId="46A3C608">
      <w:pPr>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四、提交响应文件截止时间、磋商时间和地点</w:t>
      </w:r>
    </w:p>
    <w:p w14:paraId="666ED02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提交响应文件截止时间：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31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16:00 </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6F697DB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31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16:00 </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56BD575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磋商地点（网址）：开化县公共资源交易中心开标区(开化县凤凰南路2号5楼)</w:t>
      </w:r>
    </w:p>
    <w:p w14:paraId="0577052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highlight w:val="none"/>
        </w:rPr>
        <w:t>如认为需要，响应人可以选择递交以介质（U盘）存储的数据电文形式的“备份响应文件”，“备份响应文件”应当密封包装并在包装上标注投标项目名称、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名称并加盖公章，且在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截止时间前，通过邮寄或现场送达等方式送至指定地点，逾期送达或未密封将被拒收。（</w:t>
      </w:r>
      <w:r>
        <w:rPr>
          <w:rFonts w:hint="eastAsia" w:ascii="宋体" w:hAnsi="宋体" w:eastAsia="宋体" w:cs="宋体"/>
          <w:color w:val="auto"/>
          <w:sz w:val="21"/>
          <w:szCs w:val="21"/>
          <w:highlight w:val="none"/>
        </w:rPr>
        <w:t>邮寄收件地址：</w:t>
      </w:r>
      <w:r>
        <w:rPr>
          <w:rFonts w:hint="eastAsia" w:ascii="宋体" w:hAnsi="宋体" w:eastAsia="宋体" w:cs="宋体"/>
          <w:color w:val="auto"/>
          <w:sz w:val="21"/>
          <w:szCs w:val="21"/>
          <w:highlight w:val="none"/>
          <w:lang w:val="en-US" w:eastAsia="zh-CN"/>
        </w:rPr>
        <w:t>浙江省衢州市开化县金百汇金融中心5楼501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浙江鼎峰工程咨询有限公司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邮编：324300 收件人：</w:t>
      </w:r>
      <w:r>
        <w:rPr>
          <w:rFonts w:hint="eastAsia" w:ascii="宋体" w:hAnsi="宋体" w:eastAsia="宋体" w:cs="宋体"/>
          <w:color w:val="auto"/>
          <w:sz w:val="21"/>
          <w:szCs w:val="21"/>
          <w:highlight w:val="none"/>
          <w:lang w:eastAsia="zh-CN"/>
        </w:rPr>
        <w:t>汪庭庭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18305006525</w:t>
      </w:r>
      <w:r>
        <w:rPr>
          <w:rFonts w:hint="eastAsia" w:ascii="宋体" w:hAnsi="宋体" w:eastAsia="宋体" w:cs="宋体"/>
          <w:color w:val="auto"/>
          <w:highlight w:val="none"/>
        </w:rPr>
        <w:t>）</w:t>
      </w:r>
    </w:p>
    <w:p w14:paraId="3BAC9E33">
      <w:pPr>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14:paraId="4F160896">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自本公告发布之日起3个工作日。</w:t>
      </w:r>
    </w:p>
    <w:p w14:paraId="7F168E0F">
      <w:pPr>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7F6FD2F1">
      <w:pPr>
        <w:pStyle w:val="31"/>
        <w:keepNext w:val="0"/>
        <w:keepLines w:val="0"/>
        <w:pageBreakBefore w:val="0"/>
        <w:kinsoku/>
        <w:overflowPunct/>
        <w:topLinePunct w:val="0"/>
        <w:autoSpaceDE/>
        <w:autoSpaceDN/>
        <w:bidi w:val="0"/>
        <w:spacing w:after="0"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3C2DBD9">
      <w:pPr>
        <w:pStyle w:val="31"/>
        <w:keepNext w:val="0"/>
        <w:keepLines w:val="0"/>
        <w:pageBreakBefore w:val="0"/>
        <w:kinsoku/>
        <w:overflowPunct/>
        <w:topLinePunct w:val="0"/>
        <w:autoSpaceDE/>
        <w:autoSpaceDN/>
        <w:bidi w:val="0"/>
        <w:spacing w:after="0"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鼓励供应商在线提起质疑，路径为：政采云-项目采购-询问质疑投诉-质疑列表。质疑供应商对在线质疑答复不满意的，可在线提起投诉，路径为：</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-政府采购投诉处理-在线办理。</w:t>
      </w:r>
    </w:p>
    <w:p w14:paraId="5C91408A">
      <w:pPr>
        <w:pStyle w:val="31"/>
        <w:keepNext w:val="0"/>
        <w:keepLines w:val="0"/>
        <w:pageBreakBefore w:val="0"/>
        <w:kinsoku/>
        <w:overflowPunct/>
        <w:topLinePunct w:val="0"/>
        <w:autoSpaceDE/>
        <w:autoSpaceDN/>
        <w:bidi w:val="0"/>
        <w:spacing w:after="0"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579BF6">
      <w:pPr>
        <w:pStyle w:val="27"/>
        <w:keepNext w:val="0"/>
        <w:keepLines w:val="0"/>
        <w:pageBreakBefore w:val="0"/>
        <w:widowControl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4.其他事项：</w:t>
      </w:r>
    </w:p>
    <w:p w14:paraId="67A29999">
      <w:pPr>
        <w:pStyle w:val="27"/>
        <w:keepNext w:val="0"/>
        <w:keepLines w:val="0"/>
        <w:pageBreakBefore w:val="0"/>
        <w:widowControl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4.1.质疑和投诉相关规定详见《政府采购质疑和投诉办法》（财政部令94令）。</w:t>
      </w:r>
    </w:p>
    <w:p w14:paraId="76809FE7">
      <w:pPr>
        <w:keepNext w:val="0"/>
        <w:keepLines w:val="0"/>
        <w:pageBreakBefore w:val="0"/>
        <w:kinsoku/>
        <w:overflowPunct/>
        <w:topLinePunct w:val="0"/>
        <w:autoSpaceDE/>
        <w:autoSpaceDN/>
        <w:bidi w:val="0"/>
        <w:spacing w:line="400" w:lineRule="exact"/>
        <w:ind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4.2.投标说明</w:t>
      </w:r>
    </w:p>
    <w:p w14:paraId="3E93779B">
      <w:pPr>
        <w:keepNext w:val="0"/>
        <w:keepLines w:val="0"/>
        <w:pageBreakBefore w:val="0"/>
        <w:kinsoku/>
        <w:overflowPunct/>
        <w:topLinePunct w:val="0"/>
        <w:autoSpaceDE/>
        <w:autoSpaceDN/>
        <w:bidi w:val="0"/>
        <w:spacing w:line="400" w:lineRule="exact"/>
        <w:ind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（1）本项目实行电子投标，应按照本项目磋商文件和政采云平台的要求编制、加密并递交响应文件。</w:t>
      </w:r>
    </w:p>
    <w:p w14:paraId="0FF4479C">
      <w:pPr>
        <w:pStyle w:val="17"/>
        <w:keepNext w:val="0"/>
        <w:keepLines w:val="0"/>
        <w:pageBreakBefore w:val="0"/>
        <w:kinsoku/>
        <w:wordWrap w:val="0"/>
        <w:overflowPunct/>
        <w:topLinePunct w:val="0"/>
        <w:autoSpaceDE/>
        <w:autoSpaceDN/>
        <w:bidi w:val="0"/>
        <w:adjustRightInd w:val="0"/>
        <w:snapToGrid w:val="0"/>
        <w:spacing w:line="400" w:lineRule="exact"/>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（2）响应人应在磋商前完成CA数字证书办理。（办理流程详见</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"http://zfcg.czt.zj.gov.cn/bidClientTemplate/2019-05-27/12945.html"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color w:val="auto"/>
          <w:sz w:val="21"/>
          <w:szCs w:val="21"/>
          <w:highlight w:val="none"/>
        </w:rPr>
        <w:t>http://zfcg.czt.zj.gov.cn/bidClientTemplate/2019-05-27/12945.html</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）。完成CA数字证书办理预计一周左右，建议各响应人抓紧时间办理。</w:t>
      </w:r>
    </w:p>
    <w:p w14:paraId="67BB6A61">
      <w:pPr>
        <w:keepNext w:val="0"/>
        <w:keepLines w:val="0"/>
        <w:pageBreakBefore w:val="0"/>
        <w:kinsoku/>
        <w:wordWrap w:val="0"/>
        <w:overflowPunct/>
        <w:topLinePunct w:val="0"/>
        <w:autoSpaceDE/>
        <w:autoSpaceDN/>
        <w:bidi w:val="0"/>
        <w:snapToGrid w:val="0"/>
        <w:spacing w:line="400" w:lineRule="exact"/>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（3）响应人通过政采云平台电子投标工具制作响应文件，电子投标工具请供应商自行前往浙江政府采购网下载并安装，（下载网址：http://zfcg.czt.zj.gov.cn/bidClientTemplate/2019-09-24/12975.html）。</w:t>
      </w:r>
    </w:p>
    <w:p w14:paraId="09EB966C">
      <w:pPr>
        <w:keepNext w:val="0"/>
        <w:keepLines w:val="0"/>
        <w:pageBreakBefore w:val="0"/>
        <w:kinsoku/>
        <w:wordWrap w:val="0"/>
        <w:overflowPunct/>
        <w:topLinePunct w:val="0"/>
        <w:autoSpaceDE/>
        <w:autoSpaceDN/>
        <w:bidi w:val="0"/>
        <w:snapToGrid w:val="0"/>
        <w:spacing w:line="400" w:lineRule="exact"/>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响应人应当在投标截止时间前完成响应文件的传输递交，投标截止时间前可以补充、修改或者撤回响应文件。补充或者修改响应文件的，应当先行撤回原文件，补充、修改后重新传输递交。投标截止时间前未完成传输的，视为未提供响应文件，投标无效。投标截止时间后递交的响应文件，将被政采云平台拒收。</w:t>
      </w:r>
    </w:p>
    <w:p w14:paraId="7EA8E3AE">
      <w:pPr>
        <w:keepNext w:val="0"/>
        <w:keepLines w:val="0"/>
        <w:pageBreakBefore w:val="0"/>
        <w:kinsoku/>
        <w:wordWrap w:val="0"/>
        <w:overflowPunct/>
        <w:topLinePunct w:val="0"/>
        <w:autoSpaceDE/>
        <w:autoSpaceDN/>
        <w:bidi w:val="0"/>
        <w:snapToGrid w:val="0"/>
        <w:spacing w:line="400" w:lineRule="exact"/>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4.3.企业信用融资及电子保函</w:t>
      </w:r>
    </w:p>
    <w:p w14:paraId="5ADBC59C">
      <w:pPr>
        <w:keepNext w:val="0"/>
        <w:keepLines w:val="0"/>
        <w:pageBreakBefore w:val="0"/>
        <w:kinsoku/>
        <w:overflowPunct/>
        <w:topLinePunct w:val="0"/>
        <w:autoSpaceDE/>
        <w:autoSpaceDN/>
        <w:bidi w:val="0"/>
        <w:spacing w:line="400" w:lineRule="exact"/>
        <w:ind w:firstLine="422" w:firstLineChars="200"/>
        <w:jc w:val="both"/>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0DBC3FA7">
      <w:pPr>
        <w:pStyle w:val="27"/>
        <w:keepNext w:val="0"/>
        <w:keepLines w:val="0"/>
        <w:pageBreakBefore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响应人若有办理电子保函意向的可登录浙江政府采购网“浙江政采贷”（网址：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"https://jinrong.zcygov.cn"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rPr>
        <w:t>https://jinrong.zcygov.cn</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，政府采购云平台金融服务中心）查看相关政策和服务方案。</w:t>
      </w:r>
    </w:p>
    <w:p w14:paraId="5EA599E9">
      <w:pPr>
        <w:pStyle w:val="27"/>
        <w:keepNext w:val="0"/>
        <w:keepLines w:val="0"/>
        <w:pageBreakBefore w:val="0"/>
        <w:kinsoku/>
        <w:overflowPunct/>
        <w:topLinePunct w:val="0"/>
        <w:autoSpaceDE/>
        <w:autoSpaceDN/>
        <w:bidi w:val="0"/>
        <w:spacing w:beforeAutospacing="0" w:afterAutospacing="0" w:line="400" w:lineRule="exact"/>
        <w:jc w:val="both"/>
        <w:textAlignment w:val="auto"/>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七、对本次磋商提出询问，请按以下方式联系</w:t>
      </w:r>
    </w:p>
    <w:p w14:paraId="6DCE21F4">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1.采购人信息</w:t>
      </w:r>
    </w:p>
    <w:p w14:paraId="2A7BB6DD">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名  称：</w:t>
      </w:r>
      <w:r>
        <w:rPr>
          <w:rFonts w:hint="eastAsia" w:ascii="宋体" w:hAnsi="宋体" w:eastAsia="宋体" w:cs="宋体"/>
          <w:color w:val="auto"/>
          <w:sz w:val="21"/>
          <w:szCs w:val="21"/>
          <w:highlight w:val="none"/>
          <w:lang w:eastAsia="zh-CN"/>
        </w:rPr>
        <w:t xml:space="preserve">浙江省开化中学 </w:t>
      </w:r>
    </w:p>
    <w:p w14:paraId="63F54EE4">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lang w:eastAsia="zh-CN"/>
        </w:rPr>
        <w:t>开化县江东南路8号</w:t>
      </w:r>
    </w:p>
    <w:p w14:paraId="3F2CE651">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  </w:t>
      </w:r>
    </w:p>
    <w:p w14:paraId="0139637D">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项目联系人（询问）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徐成如</w:t>
      </w:r>
    </w:p>
    <w:p w14:paraId="687F4349">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项目联系方式（询问）</w:t>
      </w:r>
      <w:r>
        <w:rPr>
          <w:rFonts w:hint="eastAsia" w:ascii="宋体" w:hAnsi="宋体" w:eastAsia="宋体" w:cs="宋体"/>
          <w:color w:val="auto"/>
          <w:sz w:val="21"/>
          <w:szCs w:val="21"/>
          <w:highlight w:val="none"/>
        </w:rPr>
        <w:t xml:space="preserve">：13567026163 </w:t>
      </w:r>
    </w:p>
    <w:p w14:paraId="23D17D8C">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质疑联系人：</w:t>
      </w:r>
      <w:r>
        <w:rPr>
          <w:rFonts w:hint="eastAsia" w:ascii="宋体" w:hAnsi="宋体" w:eastAsia="宋体" w:cs="宋体"/>
          <w:color w:val="auto"/>
          <w:kern w:val="2"/>
          <w:sz w:val="21"/>
          <w:szCs w:val="21"/>
          <w:highlight w:val="none"/>
          <w:lang w:eastAsia="zh-CN"/>
        </w:rPr>
        <w:t>余渭明</w:t>
      </w:r>
    </w:p>
    <w:p w14:paraId="3AB46165">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质疑联系方式</w:t>
      </w:r>
      <w:r>
        <w:rPr>
          <w:rFonts w:hint="eastAsia" w:ascii="宋体" w:hAnsi="宋体" w:eastAsia="宋体" w:cs="宋体"/>
          <w:color w:val="auto"/>
          <w:kern w:val="2"/>
          <w:sz w:val="21"/>
          <w:szCs w:val="21"/>
          <w:highlight w:val="none"/>
          <w:lang w:eastAsia="zh-CN"/>
        </w:rPr>
        <w:t xml:space="preserve">：13675706099 </w:t>
      </w:r>
    </w:p>
    <w:p w14:paraId="5A7CA8D8">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40FF09E6">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  称：</w:t>
      </w:r>
      <w:r>
        <w:rPr>
          <w:rFonts w:hint="eastAsia" w:ascii="宋体" w:hAnsi="宋体" w:eastAsia="宋体" w:cs="宋体"/>
          <w:color w:val="auto"/>
          <w:sz w:val="21"/>
          <w:szCs w:val="21"/>
          <w:highlight w:val="none"/>
          <w:lang w:eastAsia="zh-CN"/>
        </w:rPr>
        <w:t>浙江鼎峰工程咨询有限公司</w:t>
      </w:r>
      <w:r>
        <w:rPr>
          <w:rFonts w:hint="eastAsia" w:ascii="宋体" w:hAnsi="宋体" w:eastAsia="宋体" w:cs="宋体"/>
          <w:color w:val="auto"/>
          <w:kern w:val="2"/>
          <w:sz w:val="21"/>
          <w:szCs w:val="21"/>
          <w:highlight w:val="none"/>
        </w:rPr>
        <w:t> </w:t>
      </w:r>
    </w:p>
    <w:p w14:paraId="7F7D11E0">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sz w:val="21"/>
          <w:szCs w:val="21"/>
          <w:highlight w:val="none"/>
          <w:lang w:eastAsia="zh-CN"/>
        </w:rPr>
        <w:t>开化县金百汇金融中心5楼501</w:t>
      </w:r>
    </w:p>
    <w:p w14:paraId="1AC1BD1F">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        </w:t>
      </w:r>
    </w:p>
    <w:p w14:paraId="18BD8D89">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项目联系人（询问）：</w:t>
      </w:r>
      <w:r>
        <w:rPr>
          <w:rFonts w:hint="eastAsia" w:ascii="宋体" w:hAnsi="宋体" w:eastAsia="宋体" w:cs="宋体"/>
          <w:color w:val="auto"/>
          <w:kern w:val="2"/>
          <w:sz w:val="21"/>
          <w:szCs w:val="21"/>
          <w:highlight w:val="none"/>
          <w:lang w:eastAsia="zh-CN"/>
        </w:rPr>
        <w:t>汪庭庭</w:t>
      </w:r>
      <w:r>
        <w:rPr>
          <w:rFonts w:hint="eastAsia" w:ascii="宋体" w:hAnsi="宋体" w:eastAsia="宋体" w:cs="宋体"/>
          <w:color w:val="auto"/>
          <w:kern w:val="2"/>
          <w:sz w:val="21"/>
          <w:szCs w:val="21"/>
          <w:highlight w:val="none"/>
        </w:rPr>
        <w:t>     </w:t>
      </w:r>
    </w:p>
    <w:p w14:paraId="56FE18AA">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项目联系方式（询问）：</w:t>
      </w:r>
      <w:r>
        <w:rPr>
          <w:rFonts w:hint="eastAsia" w:ascii="宋体" w:hAnsi="宋体" w:eastAsia="宋体" w:cs="宋体"/>
          <w:color w:val="auto"/>
          <w:kern w:val="2"/>
          <w:sz w:val="21"/>
          <w:szCs w:val="21"/>
          <w:highlight w:val="none"/>
          <w:lang w:eastAsia="zh-CN"/>
        </w:rPr>
        <w:t>18305006525</w:t>
      </w:r>
      <w:r>
        <w:rPr>
          <w:rFonts w:hint="eastAsia" w:ascii="宋体" w:hAnsi="宋体" w:eastAsia="宋体" w:cs="宋体"/>
          <w:color w:val="auto"/>
          <w:kern w:val="2"/>
          <w:sz w:val="21"/>
          <w:szCs w:val="21"/>
          <w:highlight w:val="none"/>
        </w:rPr>
        <w:t>　</w:t>
      </w:r>
    </w:p>
    <w:p w14:paraId="16876E6F">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质疑联系人：</w:t>
      </w:r>
      <w:r>
        <w:rPr>
          <w:rFonts w:hint="eastAsia" w:ascii="宋体" w:hAnsi="宋体" w:eastAsia="宋体" w:cs="宋体"/>
          <w:color w:val="auto"/>
          <w:kern w:val="2"/>
          <w:sz w:val="21"/>
          <w:szCs w:val="21"/>
          <w:highlight w:val="none"/>
          <w:lang w:eastAsia="zh-CN"/>
        </w:rPr>
        <w:t>江莲莲</w:t>
      </w:r>
      <w:r>
        <w:rPr>
          <w:rFonts w:hint="eastAsia" w:ascii="宋体" w:hAnsi="宋体" w:eastAsia="宋体" w:cs="宋体"/>
          <w:color w:val="auto"/>
          <w:kern w:val="2"/>
          <w:sz w:val="21"/>
          <w:szCs w:val="21"/>
          <w:highlight w:val="none"/>
        </w:rPr>
        <w:t>           </w:t>
      </w:r>
    </w:p>
    <w:p w14:paraId="37E80844">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质疑联系方式：</w:t>
      </w:r>
      <w:r>
        <w:rPr>
          <w:rFonts w:hint="eastAsia" w:ascii="宋体" w:hAnsi="宋体" w:eastAsia="宋体" w:cs="宋体"/>
          <w:color w:val="auto"/>
          <w:kern w:val="2"/>
          <w:sz w:val="21"/>
          <w:szCs w:val="21"/>
          <w:highlight w:val="none"/>
          <w:lang w:eastAsia="zh-CN"/>
        </w:rPr>
        <w:t>18757030948</w:t>
      </w:r>
    </w:p>
    <w:p w14:paraId="30237CC5">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3.同级政府采购监督管理部门            </w:t>
      </w:r>
    </w:p>
    <w:p w14:paraId="03ECEA70">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    称：开化县财政局政府采购监管科（以下简称采监科）             </w:t>
      </w:r>
    </w:p>
    <w:p w14:paraId="53A95B79">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开化县芹阳办事处永吉二路8号</w:t>
      </w:r>
      <w:r>
        <w:rPr>
          <w:rFonts w:hint="eastAsia" w:ascii="宋体" w:hAnsi="宋体" w:eastAsia="宋体" w:cs="宋体"/>
          <w:color w:val="auto"/>
          <w:sz w:val="21"/>
          <w:szCs w:val="21"/>
          <w:highlight w:val="none"/>
        </w:rPr>
        <w:t xml:space="preserve">        </w:t>
      </w:r>
    </w:p>
    <w:p w14:paraId="401FC02B">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             </w:t>
      </w:r>
    </w:p>
    <w:p w14:paraId="6F58D883">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 ：俞晓丰            </w:t>
      </w:r>
    </w:p>
    <w:p w14:paraId="68B5E455">
      <w:pPr>
        <w:pStyle w:val="27"/>
        <w:keepNext w:val="0"/>
        <w:keepLines w:val="0"/>
        <w:pageBreakBefore w:val="0"/>
        <w:kinsoku/>
        <w:overflowPunct/>
        <w:topLinePunct w:val="0"/>
        <w:autoSpaceDE/>
        <w:autoSpaceDN/>
        <w:bidi w:val="0"/>
        <w:spacing w:beforeAutospacing="0" w:afterAutospacing="0"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监督投诉电话：0570-6013637</w:t>
      </w:r>
    </w:p>
    <w:p w14:paraId="5893214E">
      <w:pPr>
        <w:pStyle w:val="27"/>
        <w:keepNext w:val="0"/>
        <w:keepLines w:val="0"/>
        <w:pageBreakBefore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b/>
          <w:color w:val="auto"/>
          <w:kern w:val="2"/>
          <w:sz w:val="21"/>
          <w:szCs w:val="21"/>
          <w:highlight w:val="none"/>
          <w:lang w:val="en-US" w:eastAsia="zh-CN"/>
        </w:rPr>
        <w:t>95763</w:t>
      </w:r>
      <w:r>
        <w:rPr>
          <w:rFonts w:hint="eastAsia" w:ascii="宋体" w:hAnsi="宋体" w:eastAsia="宋体" w:cs="宋体"/>
          <w:b/>
          <w:color w:val="auto"/>
          <w:kern w:val="2"/>
          <w:sz w:val="21"/>
          <w:szCs w:val="21"/>
          <w:highlight w:val="none"/>
        </w:rPr>
        <w:t>获取热线服务帮助。</w:t>
      </w:r>
    </w:p>
    <w:p w14:paraId="07557374">
      <w:pPr>
        <w:pStyle w:val="27"/>
        <w:keepNext w:val="0"/>
        <w:keepLines w:val="0"/>
        <w:pageBreakBefore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CA问题联系电话（人工）：汇信CA 400-888-4636；天谷CA 400-087-8198。</w:t>
      </w:r>
    </w:p>
    <w:p w14:paraId="04112116">
      <w:pPr>
        <w:pStyle w:val="27"/>
        <w:keepNext w:val="0"/>
        <w:keepLines w:val="0"/>
        <w:pageBreakBefore w:val="0"/>
        <w:kinsoku/>
        <w:overflowPunct/>
        <w:topLinePunct w:val="0"/>
        <w:autoSpaceDE/>
        <w:autoSpaceDN/>
        <w:bidi w:val="0"/>
        <w:spacing w:beforeAutospacing="0" w:afterAutospacing="0" w:line="440" w:lineRule="exact"/>
        <w:ind w:firstLine="420" w:firstLineChars="200"/>
        <w:jc w:val="right"/>
        <w:textAlignment w:val="auto"/>
        <w:rPr>
          <w:rFonts w:ascii="宋体" w:hAnsi="宋体" w:cs="宋体"/>
          <w:color w:val="auto"/>
          <w:sz w:val="21"/>
          <w:szCs w:val="21"/>
          <w:highlight w:val="none"/>
        </w:rPr>
      </w:pPr>
    </w:p>
    <w:p w14:paraId="10FE9AC2">
      <w:pPr>
        <w:keepNext w:val="0"/>
        <w:keepLines w:val="0"/>
        <w:pageBreakBefore w:val="0"/>
        <w:kinsoku/>
        <w:overflowPunct/>
        <w:topLinePunct w:val="0"/>
        <w:autoSpaceDE/>
        <w:autoSpaceDN/>
        <w:bidi w:val="0"/>
        <w:spacing w:line="440" w:lineRule="exact"/>
        <w:textAlignment w:val="auto"/>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04706A46">
      <w:pPr>
        <w:widowControl/>
        <w:jc w:val="center"/>
        <w:outlineLvl w:val="0"/>
        <w:rPr>
          <w:rFonts w:ascii="黑体" w:hAnsi="黑体" w:eastAsia="黑体" w:cs="Times New Roman"/>
          <w:color w:val="auto"/>
          <w:sz w:val="36"/>
          <w:szCs w:val="36"/>
          <w:highlight w:val="none"/>
        </w:rPr>
      </w:pPr>
      <w:r>
        <w:rPr>
          <w:rFonts w:hint="eastAsia" w:ascii="黑体" w:hAnsi="黑体" w:eastAsia="黑体" w:cs="黑体"/>
          <w:color w:val="auto"/>
          <w:sz w:val="36"/>
          <w:szCs w:val="36"/>
          <w:highlight w:val="none"/>
        </w:rPr>
        <w:t>第二章  响应方须知及前附表</w:t>
      </w:r>
      <w:bookmarkEnd w:id="1"/>
      <w:bookmarkEnd w:id="2"/>
      <w:bookmarkEnd w:id="3"/>
      <w:bookmarkEnd w:id="4"/>
      <w:bookmarkEnd w:id="5"/>
      <w:bookmarkEnd w:id="6"/>
    </w:p>
    <w:p w14:paraId="410DB616">
      <w:pPr>
        <w:widowControl/>
        <w:outlineLvl w:val="1"/>
        <w:rPr>
          <w:rFonts w:ascii="宋体" w:hAnsi="宋体" w:cs="宋体"/>
          <w:b/>
          <w:color w:val="auto"/>
          <w:kern w:val="0"/>
          <w:sz w:val="24"/>
          <w:szCs w:val="24"/>
          <w:highlight w:val="none"/>
          <w:shd w:val="clear" w:color="auto" w:fill="FFFFFF"/>
        </w:rPr>
      </w:pPr>
      <w:bookmarkStart w:id="10" w:name="_Toc504642663"/>
      <w:bookmarkStart w:id="11" w:name="_Toc433917259"/>
      <w:bookmarkStart w:id="12" w:name="_Toc393201706"/>
      <w:bookmarkStart w:id="13" w:name="_Toc358384687"/>
      <w:bookmarkStart w:id="14" w:name="_Toc472691759"/>
      <w:bookmarkStart w:id="15" w:name="_Toc326937529"/>
      <w:bookmarkStart w:id="16" w:name="_Toc333842543"/>
      <w:bookmarkStart w:id="17" w:name="_Toc479236971"/>
      <w:r>
        <w:rPr>
          <w:rFonts w:ascii="宋体" w:hAnsi="宋体" w:cs="宋体"/>
          <w:b/>
          <w:color w:val="auto"/>
          <w:kern w:val="0"/>
          <w:sz w:val="24"/>
          <w:szCs w:val="24"/>
          <w:highlight w:val="none"/>
          <w:shd w:val="clear" w:color="auto" w:fill="FFFFFF"/>
        </w:rPr>
        <w:t>A、</w:t>
      </w:r>
      <w:r>
        <w:rPr>
          <w:rFonts w:hint="eastAsia" w:ascii="宋体" w:hAnsi="宋体" w:cs="宋体"/>
          <w:b/>
          <w:color w:val="auto"/>
          <w:kern w:val="0"/>
          <w:sz w:val="24"/>
          <w:szCs w:val="24"/>
          <w:highlight w:val="none"/>
          <w:shd w:val="clear" w:color="auto" w:fill="FFFFFF"/>
        </w:rPr>
        <w:t>响应方</w:t>
      </w:r>
      <w:r>
        <w:rPr>
          <w:rFonts w:ascii="宋体" w:hAnsi="宋体" w:cs="宋体"/>
          <w:b/>
          <w:color w:val="auto"/>
          <w:kern w:val="0"/>
          <w:sz w:val="24"/>
          <w:szCs w:val="24"/>
          <w:highlight w:val="none"/>
          <w:shd w:val="clear" w:color="auto" w:fill="FFFFFF"/>
        </w:rPr>
        <w:t>须知</w:t>
      </w:r>
      <w:r>
        <w:rPr>
          <w:rFonts w:hint="eastAsia" w:ascii="宋体" w:hAnsi="宋体" w:cs="宋体"/>
          <w:b/>
          <w:color w:val="auto"/>
          <w:kern w:val="0"/>
          <w:sz w:val="24"/>
          <w:szCs w:val="24"/>
          <w:highlight w:val="none"/>
          <w:shd w:val="clear" w:color="auto" w:fill="FFFFFF"/>
        </w:rPr>
        <w:t>及</w:t>
      </w:r>
      <w:r>
        <w:rPr>
          <w:rFonts w:ascii="宋体" w:hAnsi="宋体" w:cs="宋体"/>
          <w:b/>
          <w:color w:val="auto"/>
          <w:kern w:val="0"/>
          <w:sz w:val="24"/>
          <w:szCs w:val="24"/>
          <w:highlight w:val="none"/>
          <w:shd w:val="clear" w:color="auto" w:fill="FFFFFF"/>
        </w:rPr>
        <w:t>前附表</w:t>
      </w:r>
      <w:bookmarkEnd w:id="10"/>
    </w:p>
    <w:tbl>
      <w:tblPr>
        <w:tblStyle w:val="32"/>
        <w:tblW w:w="946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628"/>
        <w:gridCol w:w="1450"/>
        <w:gridCol w:w="7389"/>
      </w:tblGrid>
      <w:tr w14:paraId="0B75F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3B00CC44">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序号</w:t>
            </w:r>
          </w:p>
        </w:tc>
        <w:tc>
          <w:tcPr>
            <w:tcW w:w="1450" w:type="dxa"/>
            <w:shd w:val="clear" w:color="000000" w:fill="auto"/>
            <w:vAlign w:val="center"/>
          </w:tcPr>
          <w:p w14:paraId="5649EA45">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内容</w:t>
            </w:r>
          </w:p>
        </w:tc>
        <w:tc>
          <w:tcPr>
            <w:tcW w:w="7389" w:type="dxa"/>
            <w:shd w:val="clear" w:color="000000" w:fill="auto"/>
            <w:vAlign w:val="center"/>
          </w:tcPr>
          <w:p w14:paraId="2ED5357A">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须     知</w:t>
            </w:r>
          </w:p>
        </w:tc>
      </w:tr>
      <w:tr w14:paraId="1953D2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0B560D6B">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p>
        </w:tc>
        <w:tc>
          <w:tcPr>
            <w:tcW w:w="1450" w:type="dxa"/>
            <w:shd w:val="clear" w:color="000000" w:fill="auto"/>
            <w:vAlign w:val="center"/>
          </w:tcPr>
          <w:p w14:paraId="109E797D">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采购项目</w:t>
            </w:r>
            <w:r>
              <w:rPr>
                <w:rStyle w:val="58"/>
                <w:rFonts w:hint="eastAsia" w:ascii="宋体" w:hAnsi="宋体" w:eastAsia="宋体" w:cs="宋体"/>
                <w:color w:val="auto"/>
                <w:sz w:val="21"/>
                <w:szCs w:val="21"/>
                <w:highlight w:val="none"/>
                <w:shd w:val="clear" w:color="auto" w:fill="FFFFFF"/>
              </w:rPr>
              <w:t>概况</w:t>
            </w:r>
          </w:p>
        </w:tc>
        <w:tc>
          <w:tcPr>
            <w:tcW w:w="7389" w:type="dxa"/>
            <w:shd w:val="clear" w:color="000000" w:fill="auto"/>
            <w:vAlign w:val="center"/>
          </w:tcPr>
          <w:p w14:paraId="3822E3F1">
            <w:pPr>
              <w:keepNext w:val="0"/>
              <w:keepLines w:val="0"/>
              <w:pageBreakBefore w:val="0"/>
              <w:kinsoku/>
              <w:wordWrap/>
              <w:overflowPunct/>
              <w:topLinePunct w:val="0"/>
              <w:autoSpaceDE/>
              <w:autoSpaceDN/>
              <w:bidi w:val="0"/>
              <w:adjustRightInd/>
              <w:snapToGrid/>
              <w:jc w:val="both"/>
              <w:textAlignment w:val="auto"/>
              <w:rPr>
                <w:rStyle w:val="57"/>
                <w:rFonts w:hint="eastAsia" w:ascii="宋体" w:hAnsi="宋体" w:eastAsia="宋体" w:cs="宋体"/>
                <w:color w:val="auto"/>
                <w:sz w:val="21"/>
                <w:szCs w:val="21"/>
                <w:highlight w:val="none"/>
                <w:lang w:eastAsia="zh-CN"/>
              </w:rPr>
            </w:pPr>
            <w:r>
              <w:rPr>
                <w:rStyle w:val="57"/>
                <w:rFonts w:hint="eastAsia" w:ascii="宋体" w:hAnsi="宋体" w:eastAsia="宋体" w:cs="宋体"/>
                <w:color w:val="auto"/>
                <w:sz w:val="21"/>
                <w:szCs w:val="21"/>
                <w:highlight w:val="none"/>
              </w:rPr>
              <w:t>采购人：</w:t>
            </w:r>
            <w:r>
              <w:rPr>
                <w:rStyle w:val="57"/>
                <w:rFonts w:hint="eastAsia" w:ascii="宋体" w:hAnsi="宋体" w:eastAsia="宋体" w:cs="宋体"/>
                <w:color w:val="auto"/>
                <w:sz w:val="21"/>
                <w:szCs w:val="21"/>
                <w:highlight w:val="none"/>
                <w:lang w:eastAsia="zh-CN"/>
              </w:rPr>
              <w:t xml:space="preserve">浙江省开化中学 </w:t>
            </w:r>
          </w:p>
          <w:p w14:paraId="1C718888">
            <w:pPr>
              <w:keepNext w:val="0"/>
              <w:keepLines w:val="0"/>
              <w:pageBreakBefore w:val="0"/>
              <w:kinsoku/>
              <w:wordWrap/>
              <w:overflowPunct/>
              <w:topLinePunct w:val="0"/>
              <w:autoSpaceDE/>
              <w:autoSpaceDN/>
              <w:bidi w:val="0"/>
              <w:adjustRightInd/>
              <w:snapToGrid/>
              <w:jc w:val="both"/>
              <w:textAlignment w:val="auto"/>
              <w:rPr>
                <w:rStyle w:val="57"/>
                <w:rFonts w:hint="eastAsia" w:ascii="宋体" w:hAnsi="宋体" w:eastAsia="宋体" w:cs="宋体"/>
                <w:color w:val="auto"/>
                <w:sz w:val="21"/>
                <w:szCs w:val="21"/>
                <w:highlight w:val="none"/>
              </w:rPr>
            </w:pPr>
            <w:r>
              <w:rPr>
                <w:rStyle w:val="57"/>
                <w:rFonts w:hint="eastAsia" w:ascii="宋体" w:hAnsi="宋体" w:eastAsia="宋体" w:cs="宋体"/>
                <w:color w:val="auto"/>
                <w:sz w:val="21"/>
                <w:szCs w:val="21"/>
                <w:highlight w:val="none"/>
              </w:rPr>
              <w:t>采购内容：</w:t>
            </w:r>
            <w:r>
              <w:rPr>
                <w:rFonts w:hint="eastAsia" w:ascii="宋体" w:hAnsi="宋体" w:eastAsia="宋体" w:cs="宋体"/>
                <w:color w:val="auto"/>
                <w:sz w:val="21"/>
                <w:szCs w:val="21"/>
                <w:highlight w:val="none"/>
                <w:lang w:eastAsia="zh-CN"/>
              </w:rPr>
              <w:t>千人报告厅维修改造工程—舞台音响设备及座椅采购项目</w:t>
            </w:r>
            <w:r>
              <w:rPr>
                <w:rStyle w:val="57"/>
                <w:rFonts w:hint="eastAsia" w:ascii="宋体" w:hAnsi="宋体" w:eastAsia="宋体" w:cs="宋体"/>
                <w:color w:val="auto"/>
                <w:sz w:val="21"/>
                <w:szCs w:val="21"/>
                <w:highlight w:val="none"/>
              </w:rPr>
              <w:t>（详见第三章《采购需求》）。</w:t>
            </w:r>
          </w:p>
          <w:p w14:paraId="65E09BC1">
            <w:pPr>
              <w:keepNext w:val="0"/>
              <w:keepLines w:val="0"/>
              <w:pageBreakBefore w:val="0"/>
              <w:kinsoku/>
              <w:wordWrap/>
              <w:overflowPunct/>
              <w:topLinePunct w:val="0"/>
              <w:autoSpaceDE/>
              <w:autoSpaceDN/>
              <w:bidi w:val="0"/>
              <w:adjustRightInd/>
              <w:snapToGrid/>
              <w:jc w:val="both"/>
              <w:textAlignment w:val="auto"/>
              <w:rPr>
                <w:rStyle w:val="57"/>
                <w:rFonts w:hint="eastAsia" w:ascii="宋体" w:hAnsi="宋体" w:eastAsia="宋体" w:cs="宋体"/>
                <w:color w:val="auto"/>
                <w:sz w:val="21"/>
                <w:szCs w:val="21"/>
                <w:highlight w:val="none"/>
                <w:lang w:eastAsia="zh-CN"/>
              </w:rPr>
            </w:pPr>
            <w:r>
              <w:rPr>
                <w:rStyle w:val="57"/>
                <w:rFonts w:hint="eastAsia" w:ascii="宋体" w:hAnsi="宋体" w:eastAsia="宋体" w:cs="宋体"/>
                <w:color w:val="auto"/>
                <w:sz w:val="21"/>
                <w:szCs w:val="21"/>
                <w:highlight w:val="none"/>
              </w:rPr>
              <w:t>项目编号：</w:t>
            </w:r>
            <w:r>
              <w:rPr>
                <w:rStyle w:val="57"/>
                <w:rFonts w:hint="eastAsia" w:ascii="宋体" w:hAnsi="宋体" w:eastAsia="宋体" w:cs="宋体"/>
                <w:color w:val="auto"/>
                <w:sz w:val="21"/>
                <w:szCs w:val="21"/>
                <w:highlight w:val="none"/>
                <w:lang w:eastAsia="zh-CN"/>
              </w:rPr>
              <w:t>ZJDF2024-003（Ⅱ）</w:t>
            </w:r>
          </w:p>
          <w:p w14:paraId="5EDF6AF6">
            <w:pPr>
              <w:keepNext w:val="0"/>
              <w:keepLines w:val="0"/>
              <w:pageBreakBefore w:val="0"/>
              <w:kinsoku/>
              <w:wordWrap/>
              <w:overflowPunct/>
              <w:topLinePunct w:val="0"/>
              <w:autoSpaceDE/>
              <w:autoSpaceDN/>
              <w:bidi w:val="0"/>
              <w:adjustRightInd/>
              <w:snapToGrid/>
              <w:jc w:val="both"/>
              <w:textAlignment w:val="auto"/>
              <w:rPr>
                <w:rStyle w:val="57"/>
                <w:rFonts w:hint="eastAsia" w:ascii="宋体" w:hAnsi="宋体" w:eastAsia="宋体" w:cs="宋体"/>
                <w:color w:val="auto"/>
                <w:sz w:val="21"/>
                <w:szCs w:val="21"/>
                <w:highlight w:val="none"/>
              </w:rPr>
            </w:pPr>
            <w:r>
              <w:rPr>
                <w:rStyle w:val="57"/>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u w:val="single"/>
                <w:lang w:val="en-US" w:eastAsia="zh-CN"/>
              </w:rPr>
              <w:t xml:space="preserve"> 104.9121 </w:t>
            </w:r>
            <w:r>
              <w:rPr>
                <w:rFonts w:hint="eastAsia" w:ascii="宋体" w:hAnsi="宋体" w:eastAsia="宋体" w:cs="宋体"/>
                <w:color w:val="auto"/>
                <w:sz w:val="21"/>
                <w:szCs w:val="21"/>
                <w:highlight w:val="none"/>
                <w:lang w:val="en-US" w:eastAsia="zh-CN"/>
              </w:rPr>
              <w:t>万元</w:t>
            </w:r>
          </w:p>
          <w:p w14:paraId="3DADF623">
            <w:pPr>
              <w:keepNext w:val="0"/>
              <w:keepLines w:val="0"/>
              <w:pageBreakBefore w:val="0"/>
              <w:kinsoku/>
              <w:wordWrap/>
              <w:overflowPunct/>
              <w:topLinePunct w:val="0"/>
              <w:autoSpaceDE/>
              <w:autoSpaceDN/>
              <w:bidi w:val="0"/>
              <w:adjustRightInd/>
              <w:snapToGrid/>
              <w:jc w:val="both"/>
              <w:textAlignment w:val="auto"/>
              <w:rPr>
                <w:rStyle w:val="57"/>
                <w:rFonts w:hint="eastAsia" w:ascii="宋体" w:hAnsi="宋体" w:eastAsia="宋体" w:cs="宋体"/>
                <w:color w:val="auto"/>
                <w:sz w:val="21"/>
                <w:szCs w:val="21"/>
                <w:highlight w:val="none"/>
              </w:rPr>
            </w:pPr>
            <w:r>
              <w:rPr>
                <w:rStyle w:val="57"/>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u w:val="single"/>
                <w:lang w:val="en-US" w:eastAsia="zh-CN"/>
              </w:rPr>
              <w:t xml:space="preserve"> 104.9121 </w:t>
            </w:r>
            <w:r>
              <w:rPr>
                <w:rFonts w:hint="eastAsia" w:ascii="宋体" w:hAnsi="宋体" w:eastAsia="宋体" w:cs="宋体"/>
                <w:color w:val="auto"/>
                <w:sz w:val="21"/>
                <w:szCs w:val="21"/>
                <w:highlight w:val="none"/>
                <w:lang w:val="en-US" w:eastAsia="zh-CN"/>
              </w:rPr>
              <w:t>万元</w:t>
            </w:r>
          </w:p>
          <w:p w14:paraId="2DBAEBAC">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shd w:val="clear" w:color="auto" w:fill="FFFFFF"/>
              </w:rPr>
            </w:pPr>
            <w:r>
              <w:rPr>
                <w:rStyle w:val="57"/>
                <w:rFonts w:hint="eastAsia" w:ascii="宋体" w:hAnsi="宋体" w:eastAsia="宋体" w:cs="宋体"/>
                <w:color w:val="auto"/>
                <w:sz w:val="21"/>
                <w:szCs w:val="21"/>
                <w:highlight w:val="none"/>
                <w:lang w:eastAsia="zh-CN"/>
              </w:rPr>
              <w:t>工期：自合同签订之日起</w:t>
            </w:r>
            <w:r>
              <w:rPr>
                <w:rStyle w:val="57"/>
                <w:rFonts w:hint="eastAsia" w:ascii="宋体" w:hAnsi="宋体" w:eastAsia="宋体" w:cs="宋体"/>
                <w:color w:val="auto"/>
                <w:sz w:val="21"/>
                <w:szCs w:val="21"/>
                <w:highlight w:val="none"/>
                <w:u w:val="single"/>
                <w:lang w:eastAsia="zh-CN"/>
              </w:rPr>
              <w:t xml:space="preserve"> 25 </w:t>
            </w:r>
            <w:r>
              <w:rPr>
                <w:rStyle w:val="57"/>
                <w:rFonts w:hint="eastAsia" w:ascii="宋体" w:hAnsi="宋体" w:eastAsia="宋体" w:cs="宋体"/>
                <w:color w:val="auto"/>
                <w:sz w:val="21"/>
                <w:szCs w:val="21"/>
                <w:highlight w:val="none"/>
                <w:lang w:eastAsia="zh-CN"/>
              </w:rPr>
              <w:t>日历天内供货至采购人指定的地点并完成安装、调试、检测等，进度须配合主体维修改造工程进度，验收合格并满足使用要求</w:t>
            </w:r>
            <w:r>
              <w:rPr>
                <w:rStyle w:val="57"/>
                <w:rFonts w:hint="eastAsia" w:ascii="宋体" w:hAnsi="宋体" w:eastAsia="宋体" w:cs="宋体"/>
                <w:color w:val="auto"/>
                <w:sz w:val="21"/>
                <w:szCs w:val="21"/>
                <w:highlight w:val="none"/>
              </w:rPr>
              <w:t>。</w:t>
            </w:r>
          </w:p>
        </w:tc>
      </w:tr>
      <w:tr w14:paraId="48D9EB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auto" w:fill="auto"/>
            <w:vAlign w:val="center"/>
          </w:tcPr>
          <w:p w14:paraId="323C510E">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w:t>
            </w:r>
          </w:p>
        </w:tc>
        <w:tc>
          <w:tcPr>
            <w:tcW w:w="1450" w:type="dxa"/>
            <w:shd w:val="clear" w:color="000000" w:fill="auto"/>
            <w:vAlign w:val="center"/>
          </w:tcPr>
          <w:p w14:paraId="34B9D7AA">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踏勘现场</w:t>
            </w:r>
          </w:p>
        </w:tc>
        <w:tc>
          <w:tcPr>
            <w:tcW w:w="7389" w:type="dxa"/>
            <w:shd w:val="clear" w:color="000000" w:fill="auto"/>
            <w:vAlign w:val="center"/>
          </w:tcPr>
          <w:p w14:paraId="7314C734">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投标人自行组织踏勘现场，费用自理。</w:t>
            </w:r>
          </w:p>
        </w:tc>
      </w:tr>
      <w:tr w14:paraId="349A2E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904" w:hRule="atLeast"/>
          <w:jc w:val="center"/>
        </w:trPr>
        <w:tc>
          <w:tcPr>
            <w:tcW w:w="628" w:type="dxa"/>
            <w:shd w:val="clear" w:color="000000" w:fill="auto"/>
            <w:vAlign w:val="center"/>
          </w:tcPr>
          <w:p w14:paraId="076B86CA">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w:t>
            </w:r>
          </w:p>
        </w:tc>
        <w:tc>
          <w:tcPr>
            <w:tcW w:w="1450" w:type="dxa"/>
            <w:shd w:val="clear" w:color="000000" w:fill="auto"/>
            <w:vAlign w:val="center"/>
          </w:tcPr>
          <w:p w14:paraId="4AEB52EA">
            <w:pPr>
              <w:pStyle w:val="17"/>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信用查询</w:t>
            </w:r>
          </w:p>
        </w:tc>
        <w:tc>
          <w:tcPr>
            <w:tcW w:w="7389" w:type="dxa"/>
            <w:shd w:val="clear" w:color="000000" w:fill="auto"/>
            <w:vAlign w:val="center"/>
          </w:tcPr>
          <w:p w14:paraId="44FF20AA">
            <w:pPr>
              <w:pStyle w:val="17"/>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14:paraId="457CE793">
            <w:pPr>
              <w:pStyle w:val="17"/>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1）采购人或采购代理机构在开标当日将对本项目响应方的信用记录进行查询。查询渠道为信用中国网站（www.creditchina.gov.cn）和中国政府采购网（www.ccgp.gov.cn）。</w:t>
            </w:r>
          </w:p>
          <w:p w14:paraId="48268BB1">
            <w:pPr>
              <w:pStyle w:val="17"/>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2）信用信息查询的截止时点：提交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文件（响应文件）截止时间前3年内；</w:t>
            </w:r>
          </w:p>
          <w:p w14:paraId="7AAD5245">
            <w:pPr>
              <w:pStyle w:val="17"/>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3）使用规则：被列入失信被执行人、重大税收违法案件当事人名单、政府采购严重违法失信行为记录名单及其它不符合《中华人民共和国政府采购法》第二十二条规定条件的，其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将被拒绝。</w:t>
            </w:r>
          </w:p>
        </w:tc>
      </w:tr>
      <w:tr w14:paraId="5905F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0F8020A6">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w:t>
            </w:r>
          </w:p>
        </w:tc>
        <w:tc>
          <w:tcPr>
            <w:tcW w:w="1450" w:type="dxa"/>
            <w:shd w:val="clear" w:color="000000" w:fill="auto"/>
            <w:vAlign w:val="center"/>
          </w:tcPr>
          <w:p w14:paraId="0051DE0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中小企业预留份额情况</w:t>
            </w:r>
          </w:p>
        </w:tc>
        <w:tc>
          <w:tcPr>
            <w:tcW w:w="7389" w:type="dxa"/>
            <w:shd w:val="clear" w:color="000000" w:fill="auto"/>
            <w:vAlign w:val="center"/>
          </w:tcPr>
          <w:p w14:paraId="4C62658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根据《政府采购促进中小企业发展管理办法》财库〔2020〕46号文件的规定，本项目（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否）属于预留份额专门面向中小企业采购的项目。</w:t>
            </w:r>
          </w:p>
        </w:tc>
      </w:tr>
      <w:tr w14:paraId="6EAB4D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416" w:hRule="atLeast"/>
          <w:jc w:val="center"/>
        </w:trPr>
        <w:tc>
          <w:tcPr>
            <w:tcW w:w="628" w:type="dxa"/>
            <w:shd w:val="clear" w:color="000000" w:fill="auto"/>
            <w:vAlign w:val="center"/>
          </w:tcPr>
          <w:p w14:paraId="340ABC05">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w:t>
            </w:r>
          </w:p>
        </w:tc>
        <w:tc>
          <w:tcPr>
            <w:tcW w:w="1450" w:type="dxa"/>
            <w:shd w:val="clear" w:color="000000" w:fill="auto"/>
            <w:vAlign w:val="center"/>
          </w:tcPr>
          <w:p w14:paraId="0060027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中小企业优惠措施</w:t>
            </w:r>
          </w:p>
        </w:tc>
        <w:tc>
          <w:tcPr>
            <w:tcW w:w="7389" w:type="dxa"/>
            <w:shd w:val="clear" w:color="000000" w:fill="auto"/>
            <w:vAlign w:val="center"/>
          </w:tcPr>
          <w:p w14:paraId="0AB796BE">
            <w:pPr>
              <w:pStyle w:val="87"/>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1.项目属性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货物类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服务类  □工程类</w:t>
            </w:r>
          </w:p>
          <w:p w14:paraId="68D26869">
            <w:pPr>
              <w:pStyle w:val="8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2.中小企业划分标准所属行业根据《中小企业划型标准规定》执行，但按财库〔2020〕46号文件规定，与大企业的负责人为同一人、或者与大企业存在直接控股、管理关系的除外。</w:t>
            </w:r>
          </w:p>
          <w:p w14:paraId="1D2F25C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3.采购标的名称：</w:t>
            </w:r>
            <w:r>
              <w:rPr>
                <w:rFonts w:hint="eastAsia" w:ascii="宋体" w:hAnsi="宋体" w:eastAsia="宋体" w:cs="宋体"/>
                <w:color w:val="auto"/>
                <w:sz w:val="21"/>
                <w:szCs w:val="21"/>
                <w:highlight w:val="none"/>
                <w:u w:val="single"/>
                <w:lang w:eastAsia="zh-CN"/>
              </w:rPr>
              <w:t>千人报告厅维修改造工程—舞台音响设备及座椅采购项目</w:t>
            </w:r>
            <w:r>
              <w:rPr>
                <w:rFonts w:hint="eastAsia" w:ascii="宋体" w:hAnsi="宋体" w:eastAsia="宋体" w:cs="宋体"/>
                <w:color w:val="auto"/>
                <w:sz w:val="21"/>
                <w:szCs w:val="21"/>
                <w:highlight w:val="none"/>
              </w:rPr>
              <w:t>，所属行业：</w:t>
            </w:r>
            <w:r>
              <w:rPr>
                <w:rFonts w:hint="eastAsia" w:ascii="宋体" w:hAnsi="宋体" w:eastAsia="宋体" w:cs="宋体"/>
                <w:color w:val="auto"/>
                <w:sz w:val="21"/>
                <w:szCs w:val="21"/>
                <w:highlight w:val="none"/>
                <w:u w:val="single"/>
                <w:lang w:val="en-US" w:eastAsia="zh-CN"/>
              </w:rPr>
              <w:t xml:space="preserve"> 工业</w:t>
            </w:r>
            <w:r>
              <w:rPr>
                <w:rFonts w:hint="eastAsia" w:ascii="宋体" w:hAnsi="宋体" w:eastAsia="宋体" w:cs="宋体"/>
                <w:color w:val="auto"/>
                <w:sz w:val="21"/>
                <w:szCs w:val="21"/>
                <w:highlight w:val="none"/>
                <w:u w:val="single"/>
              </w:rPr>
              <w:t>。</w:t>
            </w:r>
          </w:p>
          <w:p w14:paraId="6CF81E6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4.根据财库〔2020〕46号的第十一条规定，中小企业参加政府采购活动，应当出具本办法规定的《中小企业声明函》，否则不得享受相关中小企业扶持政策。</w:t>
            </w:r>
          </w:p>
          <w:p w14:paraId="413C01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bCs/>
                <w:color w:val="auto"/>
                <w:sz w:val="21"/>
                <w:szCs w:val="21"/>
                <w:highlight w:val="none"/>
              </w:rPr>
              <w:t>本项目是专门面向中小企业采购的项目，不再执行价格评审优惠的扶持政策</w:t>
            </w:r>
            <w:r>
              <w:rPr>
                <w:rFonts w:hint="eastAsia" w:ascii="宋体" w:hAnsi="宋体" w:eastAsia="宋体" w:cs="宋体"/>
                <w:color w:val="auto"/>
                <w:sz w:val="21"/>
                <w:szCs w:val="21"/>
                <w:highlight w:val="none"/>
              </w:rPr>
              <w:t>。</w:t>
            </w:r>
          </w:p>
          <w:p w14:paraId="38EE7EA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文件中提供《残疾人福利性单位声明函》。</w:t>
            </w:r>
          </w:p>
          <w:p w14:paraId="5E946D2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7.根据财库[2014]68号的相关规定，在政府采购活动中，监狱企业视同小型、微型企业，享受评审中价格扣除政策，并在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文件中提供由省级以上监狱管理局、戒毒管理局（含新疆生产建设兵团）出具的属于监狱企业的证明文件（格式自拟）。</w:t>
            </w:r>
          </w:p>
        </w:tc>
      </w:tr>
      <w:tr w14:paraId="30672A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45BB9506">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6</w:t>
            </w:r>
          </w:p>
        </w:tc>
        <w:tc>
          <w:tcPr>
            <w:tcW w:w="1450" w:type="dxa"/>
            <w:shd w:val="clear" w:color="000000" w:fill="auto"/>
            <w:vAlign w:val="center"/>
          </w:tcPr>
          <w:p w14:paraId="67BF9902">
            <w:pPr>
              <w:pStyle w:val="1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政府采购节能环保产品</w:t>
            </w:r>
          </w:p>
        </w:tc>
        <w:tc>
          <w:tcPr>
            <w:tcW w:w="7389" w:type="dxa"/>
            <w:shd w:val="clear" w:color="000000" w:fill="auto"/>
            <w:vAlign w:val="center"/>
          </w:tcPr>
          <w:p w14:paraId="1BACBD5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投标产品若属于节能（环保）产品的，请提供财政部、生态环境部发布有效期内《环境标志产品政府采购品目清单》或财政部、发展改革委联合发布有效期内《节能产品政府采购品目清单》中的产品。</w:t>
            </w:r>
          </w:p>
          <w:p w14:paraId="743F67CC">
            <w:pPr>
              <w:pStyle w:val="17"/>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《采购需求》中要求提供的产品属于《节能产品政府采购品目清单》中政府强制采购产品的，响应人须提供该清单内产品，</w:t>
            </w:r>
            <w:r>
              <w:rPr>
                <w:rFonts w:hint="eastAsia" w:ascii="宋体" w:hAnsi="宋体" w:eastAsia="宋体" w:cs="宋体"/>
                <w:b/>
                <w:color w:val="auto"/>
                <w:sz w:val="21"/>
                <w:szCs w:val="21"/>
                <w:highlight w:val="none"/>
              </w:rPr>
              <w:t>否则其投标将作为无效标处理。</w:t>
            </w:r>
          </w:p>
        </w:tc>
      </w:tr>
      <w:tr w14:paraId="30BFA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390E1B4D">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7</w:t>
            </w:r>
          </w:p>
        </w:tc>
        <w:tc>
          <w:tcPr>
            <w:tcW w:w="1450" w:type="dxa"/>
            <w:shd w:val="clear" w:color="000000" w:fill="auto"/>
            <w:vAlign w:val="center"/>
          </w:tcPr>
          <w:p w14:paraId="06EF62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是否允许进口产品</w:t>
            </w:r>
          </w:p>
        </w:tc>
        <w:tc>
          <w:tcPr>
            <w:tcW w:w="7389" w:type="dxa"/>
            <w:shd w:val="clear" w:color="000000" w:fill="auto"/>
            <w:vAlign w:val="center"/>
          </w:tcPr>
          <w:p w14:paraId="197CD52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□是   ☑否</w:t>
            </w:r>
          </w:p>
        </w:tc>
      </w:tr>
      <w:tr w14:paraId="0C796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7498A88F">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8</w:t>
            </w:r>
          </w:p>
        </w:tc>
        <w:tc>
          <w:tcPr>
            <w:tcW w:w="1450" w:type="dxa"/>
            <w:shd w:val="clear" w:color="000000" w:fill="auto"/>
            <w:vAlign w:val="center"/>
          </w:tcPr>
          <w:p w14:paraId="10F105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是否允许转包与分包</w:t>
            </w:r>
          </w:p>
        </w:tc>
        <w:tc>
          <w:tcPr>
            <w:tcW w:w="7389" w:type="dxa"/>
            <w:shd w:val="clear" w:color="000000" w:fill="auto"/>
            <w:vAlign w:val="center"/>
          </w:tcPr>
          <w:p w14:paraId="5287BC1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转包：□是   ☑否</w:t>
            </w:r>
          </w:p>
          <w:p w14:paraId="236DC68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分包：□是   ☑否</w:t>
            </w:r>
          </w:p>
        </w:tc>
      </w:tr>
      <w:tr w14:paraId="00967E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085F2DE9">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9</w:t>
            </w:r>
          </w:p>
        </w:tc>
        <w:tc>
          <w:tcPr>
            <w:tcW w:w="1450" w:type="dxa"/>
            <w:shd w:val="clear" w:color="000000" w:fill="auto"/>
            <w:vAlign w:val="center"/>
          </w:tcPr>
          <w:p w14:paraId="629B71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是否接受联合体投标</w:t>
            </w:r>
          </w:p>
        </w:tc>
        <w:tc>
          <w:tcPr>
            <w:tcW w:w="7389" w:type="dxa"/>
            <w:shd w:val="clear" w:color="000000" w:fill="auto"/>
            <w:vAlign w:val="center"/>
          </w:tcPr>
          <w:p w14:paraId="1E91BCF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tc>
      </w:tr>
      <w:tr w14:paraId="5CF05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7D7766F0">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10</w:t>
            </w:r>
          </w:p>
        </w:tc>
        <w:tc>
          <w:tcPr>
            <w:tcW w:w="1450" w:type="dxa"/>
            <w:shd w:val="clear" w:color="000000" w:fill="auto"/>
            <w:vAlign w:val="center"/>
          </w:tcPr>
          <w:p w14:paraId="58AE91A5">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磋商有效期</w:t>
            </w:r>
          </w:p>
        </w:tc>
        <w:tc>
          <w:tcPr>
            <w:tcW w:w="7389" w:type="dxa"/>
            <w:shd w:val="clear" w:color="000000" w:fill="auto"/>
            <w:vAlign w:val="center"/>
          </w:tcPr>
          <w:p w14:paraId="00EC0C9C">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响应文件提交截止日起90日内。</w:t>
            </w:r>
          </w:p>
        </w:tc>
      </w:tr>
      <w:tr w14:paraId="59142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392D73E4">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11</w:t>
            </w:r>
          </w:p>
        </w:tc>
        <w:tc>
          <w:tcPr>
            <w:tcW w:w="1450" w:type="dxa"/>
            <w:shd w:val="clear" w:color="000000" w:fill="auto"/>
            <w:vAlign w:val="center"/>
          </w:tcPr>
          <w:p w14:paraId="24AA4F64">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电子响应文件的传输递交</w:t>
            </w:r>
          </w:p>
        </w:tc>
        <w:tc>
          <w:tcPr>
            <w:tcW w:w="7389" w:type="dxa"/>
            <w:shd w:val="clear" w:color="000000" w:fill="auto"/>
            <w:vAlign w:val="center"/>
          </w:tcPr>
          <w:p w14:paraId="3C8BFA36">
            <w:pPr>
              <w:pStyle w:val="5"/>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rPr>
              <w:t>响应人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1D1966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661FAE20">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12</w:t>
            </w:r>
          </w:p>
        </w:tc>
        <w:tc>
          <w:tcPr>
            <w:tcW w:w="1450" w:type="dxa"/>
            <w:shd w:val="clear" w:color="000000" w:fill="auto"/>
            <w:vAlign w:val="center"/>
          </w:tcPr>
          <w:p w14:paraId="5A4F19DB">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联系方式</w:t>
            </w:r>
          </w:p>
        </w:tc>
        <w:tc>
          <w:tcPr>
            <w:tcW w:w="7389" w:type="dxa"/>
            <w:shd w:val="clear" w:color="000000" w:fill="auto"/>
            <w:vAlign w:val="center"/>
          </w:tcPr>
          <w:p w14:paraId="6E6E37CE">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联系电话：</w:t>
            </w:r>
            <w:r>
              <w:rPr>
                <w:rFonts w:hint="eastAsia" w:ascii="宋体" w:hAnsi="宋体" w:eastAsia="宋体" w:cs="宋体"/>
                <w:color w:val="auto"/>
                <w:sz w:val="21"/>
                <w:szCs w:val="21"/>
                <w:highlight w:val="none"/>
                <w:shd w:val="clear" w:color="auto" w:fill="FFFFFF"/>
                <w:lang w:eastAsia="zh-CN"/>
              </w:rPr>
              <w:t>18305006525</w:t>
            </w:r>
            <w:r>
              <w:rPr>
                <w:rFonts w:hint="eastAsia" w:ascii="宋体" w:hAnsi="宋体" w:eastAsia="宋体" w:cs="宋体"/>
                <w:color w:val="auto"/>
                <w:sz w:val="21"/>
                <w:szCs w:val="21"/>
                <w:highlight w:val="none"/>
                <w:shd w:val="clear" w:color="auto" w:fill="FFFFFF"/>
              </w:rPr>
              <w:t xml:space="preserve">    电子邮箱：</w:t>
            </w:r>
            <w:r>
              <w:rPr>
                <w:rFonts w:hint="eastAsia" w:ascii="宋体" w:hAnsi="宋体" w:eastAsia="宋体" w:cs="宋体"/>
                <w:color w:val="auto"/>
                <w:sz w:val="21"/>
                <w:szCs w:val="21"/>
                <w:highlight w:val="none"/>
                <w:shd w:val="clear" w:color="auto" w:fill="FFFFFF"/>
                <w:lang w:eastAsia="zh-CN"/>
              </w:rPr>
              <w:t>907255206</w:t>
            </w:r>
            <w:r>
              <w:rPr>
                <w:rFonts w:hint="eastAsia" w:ascii="宋体" w:hAnsi="宋体" w:eastAsia="宋体" w:cs="宋体"/>
                <w:color w:val="auto"/>
                <w:sz w:val="21"/>
                <w:szCs w:val="21"/>
                <w:highlight w:val="none"/>
                <w:shd w:val="clear" w:color="auto" w:fill="FFFFFF"/>
              </w:rPr>
              <w:t>@qq.com</w:t>
            </w:r>
          </w:p>
        </w:tc>
      </w:tr>
      <w:tr w14:paraId="511D56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2DC2E951">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13</w:t>
            </w:r>
          </w:p>
        </w:tc>
        <w:tc>
          <w:tcPr>
            <w:tcW w:w="1450" w:type="dxa"/>
            <w:shd w:val="clear" w:color="000000" w:fill="auto"/>
            <w:vAlign w:val="center"/>
          </w:tcPr>
          <w:p w14:paraId="64D0241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响应材料形式、制作及</w:t>
            </w:r>
          </w:p>
          <w:p w14:paraId="63D2DBE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组成</w:t>
            </w:r>
          </w:p>
        </w:tc>
        <w:tc>
          <w:tcPr>
            <w:tcW w:w="7389" w:type="dxa"/>
            <w:tcBorders>
              <w:bottom w:val="single" w:color="auto" w:sz="4" w:space="0"/>
            </w:tcBorders>
            <w:shd w:val="clear" w:color="000000" w:fill="auto"/>
            <w:vAlign w:val="center"/>
          </w:tcPr>
          <w:p w14:paraId="603E2723">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1.供应商应准备响应文件，按政采云平台项目采购-电子招投标操作指南</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"https://help.zcy.gov.cn/web/site_2/2018/12-28/2573.html）及本招标文件要求递交。"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及本采购文件要求递交。</w:t>
            </w:r>
            <w:r>
              <w:rPr>
                <w:rFonts w:hint="eastAsia" w:ascii="宋体" w:hAnsi="宋体" w:eastAsia="宋体" w:cs="宋体"/>
                <w:color w:val="auto"/>
                <w:sz w:val="21"/>
                <w:szCs w:val="21"/>
                <w:highlight w:val="none"/>
              </w:rPr>
              <w:fldChar w:fldCharType="end"/>
            </w:r>
          </w:p>
          <w:p w14:paraId="070B6E8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2.响应文件均由资格证明文件、技术商务文件、报价文件三部分组成。</w:t>
            </w:r>
          </w:p>
          <w:p w14:paraId="5CD3B7B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3.如认为需要，响应人可以选择递交以介质（U盘）存储的数据电文形式的“备份响应文件”，“备份响应文件”应当密封包装并在包装上标注投标项目名称、</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名称并加盖公章，且在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截止时间前，通过邮寄或现场送达等方式送至指定地点，逾期送达或未密封将被拒收。（邮寄收件地址：</w:t>
            </w:r>
            <w:r>
              <w:rPr>
                <w:rFonts w:hint="eastAsia" w:ascii="宋体" w:hAnsi="宋体" w:eastAsia="宋体" w:cs="宋体"/>
                <w:color w:val="auto"/>
                <w:sz w:val="21"/>
                <w:szCs w:val="21"/>
                <w:highlight w:val="none"/>
                <w:lang w:val="en-US" w:eastAsia="zh-CN"/>
              </w:rPr>
              <w:t>浙江省衢州市开化县金百汇金融中心5楼501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浙江鼎峰工程咨询有限公司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邮编：324300 收件人：</w:t>
            </w:r>
            <w:r>
              <w:rPr>
                <w:rFonts w:hint="eastAsia" w:ascii="宋体" w:hAnsi="宋体" w:eastAsia="宋体" w:cs="宋体"/>
                <w:color w:val="auto"/>
                <w:sz w:val="21"/>
                <w:szCs w:val="21"/>
                <w:highlight w:val="none"/>
                <w:lang w:eastAsia="zh-CN"/>
              </w:rPr>
              <w:t>汪庭庭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18305006525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1874DEF0">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4.中标供应商需按采购人要求免费提供纸质版投标文件正副本。</w:t>
            </w:r>
          </w:p>
        </w:tc>
      </w:tr>
      <w:tr w14:paraId="69BFF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6DF495CE">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13.1</w:t>
            </w:r>
          </w:p>
        </w:tc>
        <w:tc>
          <w:tcPr>
            <w:tcW w:w="1450" w:type="dxa"/>
            <w:shd w:val="clear" w:color="000000" w:fill="auto"/>
            <w:vAlign w:val="center"/>
          </w:tcPr>
          <w:p w14:paraId="13318C4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lang w:val="en-US" w:eastAsia="zh-CN"/>
              </w:rPr>
              <w:t>功能</w:t>
            </w:r>
            <w:r>
              <w:rPr>
                <w:rFonts w:hint="eastAsia" w:ascii="宋体" w:hAnsi="宋体" w:eastAsia="宋体" w:cs="宋体"/>
                <w:color w:val="auto"/>
                <w:sz w:val="21"/>
                <w:szCs w:val="21"/>
              </w:rPr>
              <w:t>演示</w:t>
            </w:r>
          </w:p>
        </w:tc>
        <w:tc>
          <w:tcPr>
            <w:tcW w:w="7389" w:type="dxa"/>
            <w:tcBorders>
              <w:bottom w:val="single" w:color="auto" w:sz="4" w:space="0"/>
            </w:tcBorders>
            <w:shd w:val="clear" w:color="000000" w:fill="auto"/>
            <w:vAlign w:val="center"/>
          </w:tcPr>
          <w:p w14:paraId="5436F6D0">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人需根据采购文件要求，按要求</w:t>
            </w:r>
            <w:r>
              <w:rPr>
                <w:rFonts w:hint="eastAsia" w:ascii="宋体" w:hAnsi="宋体" w:eastAsia="宋体" w:cs="宋体"/>
                <w:color w:val="auto"/>
                <w:sz w:val="21"/>
                <w:szCs w:val="21"/>
                <w:lang w:val="en-US" w:eastAsia="zh-CN"/>
              </w:rPr>
              <w:t>提</w:t>
            </w:r>
            <w:r>
              <w:rPr>
                <w:rFonts w:hint="eastAsia" w:ascii="宋体" w:hAnsi="宋体" w:eastAsia="宋体" w:cs="宋体"/>
                <w:color w:val="auto"/>
                <w:sz w:val="21"/>
                <w:szCs w:val="21"/>
              </w:rPr>
              <w:t>供相关内容视频演示，刻录成光盘或存储于U盘中，</w:t>
            </w:r>
            <w:r>
              <w:rPr>
                <w:rFonts w:hint="eastAsia" w:ascii="宋体" w:hAnsi="宋体" w:eastAsia="宋体" w:cs="宋体"/>
                <w:b/>
                <w:bCs/>
                <w:color w:val="auto"/>
                <w:sz w:val="21"/>
                <w:szCs w:val="21"/>
              </w:rPr>
              <w:t>以非透明材质密封，并在包装封套上标注项目名称、投标人全称并加盖投标人公章。</w:t>
            </w:r>
          </w:p>
          <w:p w14:paraId="169303B0">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2、提供演示光盘或U盘截止时间同</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截止时间一致，请各</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人合理安排时间，逾期送达的或未送达指定地点不予受理。</w:t>
            </w:r>
          </w:p>
          <w:p w14:paraId="0FB2182F">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3、演示光盘或U盘的递交分为邮寄送达和现场递交两种方式。</w:t>
            </w:r>
          </w:p>
          <w:p w14:paraId="535AF084">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3.1邮寄送达：</w:t>
            </w:r>
          </w:p>
          <w:p w14:paraId="74C28BA7">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①采用邮寄方式进行递交的，需在快递单上提供公司名称、联系人、联系方式。</w:t>
            </w:r>
          </w:p>
          <w:p w14:paraId="21E8AC74">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②邮寄收件地址：浙江省衢州市开化县金百汇金融中心5楼501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浙江鼎峰工程咨询有限公司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w:t>
            </w:r>
          </w:p>
          <w:p w14:paraId="1B2FCD9D">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邮编：324300</w:t>
            </w:r>
          </w:p>
          <w:p w14:paraId="3EFD609C">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收件人：汪庭庭</w:t>
            </w:r>
          </w:p>
          <w:p w14:paraId="0168E1E6">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联系电话：18305006525。</w:t>
            </w:r>
          </w:p>
          <w:p w14:paraId="1F787A41">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接收以邮寄送达时间为准，逾期送达的不予受理。</w:t>
            </w:r>
          </w:p>
          <w:p w14:paraId="27A2F320">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③采用邮寄方式产生的投标人联系方式缺失、密封性不完整、逾期送达等邮寄风险，由投标人自行承担。</w:t>
            </w:r>
          </w:p>
          <w:p w14:paraId="61AF6205">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3.2现场递交</w:t>
            </w:r>
          </w:p>
          <w:p w14:paraId="572ED48A">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①投标人应委托1名</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代表，携带本人身份证（委托代理人还须持法定代表人授权委托书）递交光盘或U盘。</w:t>
            </w:r>
          </w:p>
          <w:p w14:paraId="09AD60B5">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②接收时间：</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截止时间前一小时内</w:t>
            </w:r>
          </w:p>
          <w:p w14:paraId="7C5DDB83">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③接收地点：开化县公共资源交易中心B楼五楼</w:t>
            </w:r>
          </w:p>
          <w:p w14:paraId="381B3637">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4、采购结束后，对于未中标人提供的光盘或U盘由采购代理机构进行保管、封存，不予退还。</w:t>
            </w:r>
          </w:p>
          <w:p w14:paraId="13DC3729">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rPr>
              <w:t>5、因制作、运输、保管等发生的一切费用由投标人自理。</w:t>
            </w:r>
          </w:p>
        </w:tc>
      </w:tr>
      <w:tr w14:paraId="134EC0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59E9DA31">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4</w:t>
            </w:r>
          </w:p>
        </w:tc>
        <w:tc>
          <w:tcPr>
            <w:tcW w:w="1450" w:type="dxa"/>
            <w:shd w:val="clear" w:color="000000" w:fill="auto"/>
            <w:vAlign w:val="center"/>
          </w:tcPr>
          <w:p w14:paraId="460B5083">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响应截止时间</w:t>
            </w:r>
          </w:p>
        </w:tc>
        <w:tc>
          <w:tcPr>
            <w:tcW w:w="7389" w:type="dxa"/>
            <w:shd w:val="clear" w:color="000000" w:fill="auto"/>
            <w:vAlign w:val="center"/>
          </w:tcPr>
          <w:p w14:paraId="5924A5A6">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Cs/>
                <w:color w:val="auto"/>
                <w:sz w:val="21"/>
                <w:szCs w:val="21"/>
                <w:highlight w:val="none"/>
                <w:shd w:val="clear" w:color="auto" w:fill="FFFFFF"/>
              </w:rPr>
            </w:pP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31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16:00 </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tc>
      </w:tr>
      <w:tr w14:paraId="7F994F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4C3B23E2">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5</w:t>
            </w:r>
          </w:p>
        </w:tc>
        <w:tc>
          <w:tcPr>
            <w:tcW w:w="1450" w:type="dxa"/>
            <w:shd w:val="clear" w:color="000000" w:fill="auto"/>
            <w:vAlign w:val="center"/>
          </w:tcPr>
          <w:p w14:paraId="1D15014C">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磋商时间</w:t>
            </w:r>
          </w:p>
          <w:p w14:paraId="47444EFD">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及地点</w:t>
            </w:r>
          </w:p>
        </w:tc>
        <w:tc>
          <w:tcPr>
            <w:tcW w:w="7389" w:type="dxa"/>
            <w:shd w:val="clear" w:color="000000" w:fill="auto"/>
            <w:vAlign w:val="center"/>
          </w:tcPr>
          <w:p w14:paraId="79734A97">
            <w:pPr>
              <w:keepNext w:val="0"/>
              <w:keepLines w:val="0"/>
              <w:pageBreakBefore w:val="0"/>
              <w:kinsoku/>
              <w:wordWrap/>
              <w:overflowPunct/>
              <w:topLinePunct w:val="0"/>
              <w:autoSpaceDE/>
              <w:autoSpaceDN/>
              <w:bidi w:val="0"/>
              <w:adjustRightInd/>
              <w:snapToGrid/>
              <w:jc w:val="both"/>
              <w:textAlignment w:val="auto"/>
              <w:rPr>
                <w:rStyle w:val="60"/>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磋商时间：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31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16:00 </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00C8637B">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shd w:val="clear" w:color="auto" w:fill="FFFFFF"/>
              </w:rPr>
            </w:pPr>
            <w:r>
              <w:rPr>
                <w:rStyle w:val="57"/>
                <w:rFonts w:hint="eastAsia" w:ascii="宋体" w:hAnsi="宋体" w:eastAsia="宋体" w:cs="宋体"/>
                <w:color w:val="auto"/>
                <w:sz w:val="21"/>
                <w:szCs w:val="21"/>
                <w:highlight w:val="none"/>
                <w:shd w:val="clear" w:color="auto" w:fill="FFFFFF"/>
              </w:rPr>
              <w:t>磋商地点：</w:t>
            </w:r>
            <w:r>
              <w:rPr>
                <w:rStyle w:val="57"/>
                <w:rFonts w:hint="eastAsia" w:ascii="宋体" w:hAnsi="宋体" w:eastAsia="宋体" w:cs="宋体"/>
                <w:color w:val="auto"/>
                <w:sz w:val="21"/>
                <w:szCs w:val="21"/>
                <w:highlight w:val="none"/>
              </w:rPr>
              <w:t>开化县公共资源交易中心开标厅</w:t>
            </w:r>
            <w:r>
              <w:rPr>
                <w:rFonts w:hint="eastAsia" w:ascii="宋体" w:hAnsi="宋体" w:eastAsia="宋体" w:cs="宋体"/>
                <w:color w:val="auto"/>
                <w:sz w:val="21"/>
                <w:szCs w:val="21"/>
                <w:highlight w:val="none"/>
              </w:rPr>
              <w:t>（开化县凤凰南路2号5楼）</w:t>
            </w:r>
          </w:p>
        </w:tc>
      </w:tr>
      <w:tr w14:paraId="0E705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458AED04">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6</w:t>
            </w:r>
          </w:p>
        </w:tc>
        <w:tc>
          <w:tcPr>
            <w:tcW w:w="1450" w:type="dxa"/>
            <w:shd w:val="clear" w:color="000000" w:fill="auto"/>
            <w:vAlign w:val="center"/>
          </w:tcPr>
          <w:p w14:paraId="5745204E">
            <w:pPr>
              <w:pStyle w:val="5"/>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供应商出席</w:t>
            </w:r>
          </w:p>
          <w:p w14:paraId="14025795">
            <w:pPr>
              <w:pStyle w:val="5"/>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磋商会议</w:t>
            </w:r>
          </w:p>
        </w:tc>
        <w:tc>
          <w:tcPr>
            <w:tcW w:w="7389" w:type="dxa"/>
            <w:shd w:val="clear" w:color="000000" w:fill="auto"/>
            <w:vAlign w:val="center"/>
          </w:tcPr>
          <w:p w14:paraId="3C27DEFE">
            <w:pPr>
              <w:pStyle w:val="5"/>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本项目实行电子交易，响应人代表无须出席磋商现场。</w:t>
            </w:r>
          </w:p>
          <w:p w14:paraId="45708941">
            <w:pPr>
              <w:pStyle w:val="5"/>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1、响应人须提前下载“钉钉”app，并安装注册。响应人代表可通过搜索群号 </w:t>
            </w:r>
            <w:r>
              <w:rPr>
                <w:rFonts w:hint="eastAsia" w:ascii="宋体" w:hAnsi="宋体" w:eastAsia="宋体" w:cs="宋体"/>
                <w:color w:val="auto"/>
                <w:sz w:val="21"/>
                <w:szCs w:val="21"/>
                <w:highlight w:val="none"/>
                <w:u w:val="single"/>
                <w:lang w:val="en-US" w:eastAsia="zh-CN"/>
              </w:rPr>
              <w:t>82085004236</w:t>
            </w:r>
            <w:r>
              <w:rPr>
                <w:rFonts w:hint="eastAsia" w:ascii="宋体" w:hAnsi="宋体" w:eastAsia="宋体" w:cs="宋体"/>
                <w:color w:val="auto"/>
                <w:sz w:val="21"/>
                <w:szCs w:val="21"/>
                <w:highlight w:val="none"/>
              </w:rPr>
              <w:t>加入项目钉钉直播群，观看现场直播。每个响应人仅限授权委托人加入钉钉直播群，申请加入时需进行身份验证，注明“公司名称+授权委托人姓名”，否则验证不通过。</w:t>
            </w:r>
          </w:p>
          <w:p w14:paraId="2F6B1F0D">
            <w:pPr>
              <w:pStyle w:val="5"/>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2、若因网络或操作等原因造成不能正常直播或直播有缺陷的，将在项目结束后将现场音视频录像分享至钉钉直播群，供响应人回放。</w:t>
            </w:r>
          </w:p>
          <w:p w14:paraId="5D73F4F2">
            <w:pPr>
              <w:pStyle w:val="5"/>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3、因采用钉钉直播“不见面”方式磋商，建议响应人安排一名能熟练使用“钉钉”APP或有较高网络操作能力的响应人代表。</w:t>
            </w:r>
          </w:p>
        </w:tc>
      </w:tr>
      <w:tr w14:paraId="39081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37B676C9">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7</w:t>
            </w:r>
          </w:p>
        </w:tc>
        <w:tc>
          <w:tcPr>
            <w:tcW w:w="1450" w:type="dxa"/>
            <w:shd w:val="clear" w:color="000000" w:fill="auto"/>
            <w:vAlign w:val="center"/>
          </w:tcPr>
          <w:p w14:paraId="27F76AEA">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成交公告</w:t>
            </w:r>
          </w:p>
          <w:p w14:paraId="0B99EC75">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及成交通知书</w:t>
            </w:r>
          </w:p>
        </w:tc>
        <w:tc>
          <w:tcPr>
            <w:tcW w:w="7389" w:type="dxa"/>
            <w:shd w:val="clear" w:color="000000" w:fill="auto"/>
            <w:vAlign w:val="center"/>
          </w:tcPr>
          <w:p w14:paraId="2FF5E638">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pacing w:val="-8"/>
                <w:sz w:val="21"/>
                <w:szCs w:val="21"/>
                <w:highlight w:val="none"/>
              </w:rPr>
              <w:t>在成交供应商确定之日起2个工作日内发布成交公告及《成交通知书》，成交公告发布网址</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浙江政府采购网(http://zfcg.czt.zj.gov.cn//)和开化县人民政府网（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"http://www.kai"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8"/>
                <w:sz w:val="21"/>
                <w:szCs w:val="21"/>
                <w:highlight w:val="none"/>
              </w:rPr>
              <w:t>www.kai</w:t>
            </w:r>
            <w:r>
              <w:rPr>
                <w:rFonts w:hint="eastAsia" w:ascii="宋体" w:hAnsi="宋体" w:eastAsia="宋体" w:cs="宋体"/>
                <w:color w:val="auto"/>
                <w:spacing w:val="-8"/>
                <w:sz w:val="21"/>
                <w:szCs w:val="21"/>
                <w:highlight w:val="none"/>
              </w:rPr>
              <w:fldChar w:fldCharType="end"/>
            </w:r>
            <w:r>
              <w:rPr>
                <w:rFonts w:hint="eastAsia" w:ascii="宋体" w:hAnsi="宋体" w:eastAsia="宋体" w:cs="宋体"/>
                <w:color w:val="auto"/>
                <w:spacing w:val="-8"/>
                <w:sz w:val="21"/>
                <w:szCs w:val="21"/>
                <w:highlight w:val="none"/>
              </w:rPr>
              <w:t>hua.gov.cn/）；</w:t>
            </w:r>
            <w:r>
              <w:rPr>
                <w:rFonts w:hint="eastAsia" w:ascii="宋体" w:hAnsi="宋体" w:eastAsia="宋体" w:cs="宋体"/>
                <w:color w:val="auto"/>
                <w:sz w:val="21"/>
                <w:szCs w:val="21"/>
                <w:highlight w:val="none"/>
              </w:rPr>
              <w:t>（发布成交公告时同步公开磋商小组对每个响应人的《得分汇总表》情况；成交人的中小企业声明函将随</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结果同时公告）。</w:t>
            </w:r>
          </w:p>
        </w:tc>
      </w:tr>
      <w:tr w14:paraId="3E20E0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39334086">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8</w:t>
            </w:r>
          </w:p>
        </w:tc>
        <w:tc>
          <w:tcPr>
            <w:tcW w:w="1450" w:type="dxa"/>
            <w:shd w:val="clear" w:color="000000" w:fill="auto"/>
            <w:vAlign w:val="center"/>
          </w:tcPr>
          <w:p w14:paraId="6310ACA2">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履约保证金</w:t>
            </w:r>
          </w:p>
        </w:tc>
        <w:tc>
          <w:tcPr>
            <w:tcW w:w="7389" w:type="dxa"/>
            <w:shd w:val="clear" w:color="000000" w:fill="auto"/>
            <w:vAlign w:val="center"/>
          </w:tcPr>
          <w:p w14:paraId="35D7187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本项目不收取履约保证金。</w:t>
            </w:r>
          </w:p>
          <w:p w14:paraId="07AACCB8">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合同签订时，成交人通过电汇、转账、银行或保险公司出具履约保函向采购人交纳成交金额</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的履约保证金。</w:t>
            </w:r>
          </w:p>
        </w:tc>
      </w:tr>
      <w:tr w14:paraId="37A8C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3A2C1AAD">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9</w:t>
            </w:r>
          </w:p>
        </w:tc>
        <w:tc>
          <w:tcPr>
            <w:tcW w:w="1450" w:type="dxa"/>
            <w:shd w:val="clear" w:color="000000" w:fill="auto"/>
            <w:vAlign w:val="center"/>
          </w:tcPr>
          <w:p w14:paraId="1910EA57">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企业信用融资及电子保函</w:t>
            </w:r>
          </w:p>
        </w:tc>
        <w:tc>
          <w:tcPr>
            <w:tcW w:w="7389" w:type="dxa"/>
            <w:shd w:val="clear" w:color="000000" w:fill="auto"/>
            <w:vAlign w:val="center"/>
          </w:tcPr>
          <w:p w14:paraId="41072E1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68AC55A0">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b/>
                <w:bCs/>
                <w:color w:val="auto"/>
                <w:kern w:val="0"/>
                <w:sz w:val="21"/>
                <w:szCs w:val="21"/>
                <w:highlight w:val="none"/>
              </w:rPr>
              <w:t>响应人若有办理电子保函意向的可登录浙江政府采购网“浙江政采贷”（网址：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"https://jinrong.zcygov.cn"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kern w:val="0"/>
                <w:sz w:val="21"/>
                <w:szCs w:val="21"/>
                <w:highlight w:val="none"/>
              </w:rPr>
              <w:t>https://jinrong.zcygov.cn</w:t>
            </w:r>
            <w:r>
              <w:rPr>
                <w:rFonts w:hint="eastAsia" w:ascii="宋体" w:hAnsi="宋体" w:eastAsia="宋体" w:cs="宋体"/>
                <w:b/>
                <w:bCs/>
                <w:color w:val="auto"/>
                <w:kern w:val="0"/>
                <w:sz w:val="21"/>
                <w:szCs w:val="21"/>
                <w:highlight w:val="none"/>
              </w:rPr>
              <w:fldChar w:fldCharType="end"/>
            </w:r>
            <w:r>
              <w:rPr>
                <w:rFonts w:hint="eastAsia" w:ascii="宋体" w:hAnsi="宋体" w:eastAsia="宋体" w:cs="宋体"/>
                <w:b/>
                <w:bCs/>
                <w:color w:val="auto"/>
                <w:kern w:val="0"/>
                <w:sz w:val="21"/>
                <w:szCs w:val="21"/>
                <w:highlight w:val="none"/>
              </w:rPr>
              <w:t>，政府采购云平台金融服务中心）查看相关政策和服务方案。</w:t>
            </w:r>
          </w:p>
        </w:tc>
      </w:tr>
      <w:tr w14:paraId="4CC356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3BE88998">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20</w:t>
            </w:r>
          </w:p>
        </w:tc>
        <w:tc>
          <w:tcPr>
            <w:tcW w:w="1450" w:type="dxa"/>
            <w:shd w:val="clear" w:color="000000" w:fill="auto"/>
            <w:vAlign w:val="center"/>
          </w:tcPr>
          <w:p w14:paraId="64C667E8">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签订合同时间</w:t>
            </w:r>
          </w:p>
        </w:tc>
        <w:tc>
          <w:tcPr>
            <w:tcW w:w="7389" w:type="dxa"/>
            <w:shd w:val="clear" w:color="000000" w:fill="auto"/>
            <w:vAlign w:val="center"/>
          </w:tcPr>
          <w:p w14:paraId="698B21D7">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成交通知书</w:t>
            </w:r>
            <w:r>
              <w:rPr>
                <w:rFonts w:hint="eastAsia" w:ascii="宋体" w:hAnsi="宋体" w:eastAsia="宋体" w:cs="宋体"/>
                <w:color w:val="auto"/>
                <w:sz w:val="21"/>
                <w:szCs w:val="21"/>
                <w:highlight w:val="none"/>
              </w:rPr>
              <w:t>发出之日起</w:t>
            </w:r>
            <w:r>
              <w:rPr>
                <w:rFonts w:hint="eastAsia" w:ascii="宋体" w:hAnsi="宋体" w:eastAsia="宋体" w:cs="宋体"/>
                <w:color w:val="auto"/>
                <w:kern w:val="0"/>
                <w:sz w:val="21"/>
                <w:szCs w:val="21"/>
                <w:highlight w:val="none"/>
                <w:u w:val="single"/>
              </w:rPr>
              <w:t>30日</w:t>
            </w:r>
            <w:r>
              <w:rPr>
                <w:rFonts w:hint="eastAsia" w:ascii="宋体" w:hAnsi="宋体" w:eastAsia="宋体" w:cs="宋体"/>
                <w:color w:val="auto"/>
                <w:kern w:val="0"/>
                <w:sz w:val="21"/>
                <w:szCs w:val="21"/>
                <w:highlight w:val="none"/>
              </w:rPr>
              <w:t>内</w:t>
            </w:r>
          </w:p>
        </w:tc>
      </w:tr>
      <w:tr w14:paraId="770EA2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47221C8D">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21</w:t>
            </w:r>
          </w:p>
        </w:tc>
        <w:tc>
          <w:tcPr>
            <w:tcW w:w="1450" w:type="dxa"/>
            <w:shd w:val="clear" w:color="000000" w:fill="auto"/>
            <w:vAlign w:val="center"/>
          </w:tcPr>
          <w:p w14:paraId="56E81821">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合同价格条款</w:t>
            </w:r>
          </w:p>
        </w:tc>
        <w:tc>
          <w:tcPr>
            <w:tcW w:w="7389" w:type="dxa"/>
            <w:shd w:val="clear" w:color="000000" w:fill="auto"/>
            <w:vAlign w:val="center"/>
          </w:tcPr>
          <w:p w14:paraId="3F7E48E6">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本合同为固定</w:t>
            </w:r>
            <w:r>
              <w:rPr>
                <w:rFonts w:hint="eastAsia" w:ascii="宋体" w:hAnsi="宋体" w:eastAsia="宋体" w:cs="宋体"/>
                <w:color w:val="auto"/>
                <w:kern w:val="0"/>
                <w:sz w:val="21"/>
                <w:szCs w:val="21"/>
                <w:highlight w:val="none"/>
                <w:lang w:val="en-US" w:eastAsia="zh-CN"/>
              </w:rPr>
              <w:t>总价</w:t>
            </w:r>
            <w:r>
              <w:rPr>
                <w:rFonts w:hint="eastAsia" w:ascii="宋体" w:hAnsi="宋体" w:eastAsia="宋体" w:cs="宋体"/>
                <w:color w:val="auto"/>
                <w:kern w:val="0"/>
                <w:sz w:val="21"/>
                <w:szCs w:val="21"/>
                <w:highlight w:val="none"/>
              </w:rPr>
              <w:t>合同，以成交价为基准，政策性变化等均不允许调整。</w:t>
            </w:r>
          </w:p>
        </w:tc>
      </w:tr>
      <w:tr w14:paraId="199F27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0" w:hRule="atLeast"/>
          <w:jc w:val="center"/>
        </w:trPr>
        <w:tc>
          <w:tcPr>
            <w:tcW w:w="628" w:type="dxa"/>
            <w:shd w:val="clear" w:color="000000" w:fill="auto"/>
            <w:vAlign w:val="center"/>
          </w:tcPr>
          <w:p w14:paraId="2BE4AE64">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22</w:t>
            </w:r>
          </w:p>
        </w:tc>
        <w:tc>
          <w:tcPr>
            <w:tcW w:w="1450" w:type="dxa"/>
            <w:shd w:val="clear" w:color="000000" w:fill="auto"/>
            <w:vAlign w:val="center"/>
          </w:tcPr>
          <w:p w14:paraId="719DA785">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重要提醒</w:t>
            </w:r>
          </w:p>
        </w:tc>
        <w:tc>
          <w:tcPr>
            <w:tcW w:w="7389" w:type="dxa"/>
            <w:shd w:val="clear" w:color="000000" w:fill="auto"/>
            <w:vAlign w:val="center"/>
          </w:tcPr>
          <w:p w14:paraId="07CE038E">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截止时间后，所有供应商均应当准时在线参加。在磋商后登录政采云平台，用“项目采购-磋商评标”功能对</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文件进行在线解密。在线解密</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文件时间为磋商时间起30分钟内。</w:t>
            </w:r>
          </w:p>
          <w:p w14:paraId="336D1DFA">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2.所有询标流程，均在线上完成，请各响应人务必不要离开电脑太久，并留意手机短信。响应人的联系电话在</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当天保持通信畅通，因通信问题无法联系到响应人造成的后果由响应人自行承担。（请提前检查“政采云”内，关于“项目采购”的岗位权限是否已勾选上。如有问题，请致电</w:t>
            </w:r>
            <w:r>
              <w:rPr>
                <w:rFonts w:hint="eastAsia" w:ascii="宋体" w:hAnsi="宋体" w:eastAsia="宋体" w:cs="宋体"/>
                <w:b/>
                <w:bCs/>
                <w:color w:val="auto"/>
                <w:sz w:val="21"/>
                <w:szCs w:val="21"/>
                <w:highlight w:val="none"/>
                <w:lang w:val="en-US" w:eastAsia="zh-CN"/>
              </w:rPr>
              <w:t>95763</w:t>
            </w:r>
            <w:r>
              <w:rPr>
                <w:rFonts w:hint="eastAsia" w:ascii="宋体" w:hAnsi="宋体" w:eastAsia="宋体" w:cs="宋体"/>
                <w:b/>
                <w:bCs/>
                <w:color w:val="auto"/>
                <w:sz w:val="21"/>
                <w:szCs w:val="21"/>
                <w:highlight w:val="none"/>
              </w:rPr>
              <w:t>）。</w:t>
            </w:r>
          </w:p>
          <w:p w14:paraId="57AF9B51">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3.带“▲”为必须满足的实质性内容。</w:t>
            </w:r>
          </w:p>
          <w:p w14:paraId="7D655C98">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4.本采购文件未尽事项按法律法规及行业主管部门文件执行。</w:t>
            </w:r>
          </w:p>
        </w:tc>
      </w:tr>
    </w:tbl>
    <w:p w14:paraId="312C8FFE">
      <w:pPr>
        <w:pStyle w:val="77"/>
        <w:ind w:firstLine="440"/>
        <w:rPr>
          <w:color w:val="auto"/>
          <w:highlight w:val="none"/>
        </w:rPr>
      </w:pPr>
      <w:bookmarkStart w:id="18" w:name="_Toc333842544"/>
      <w:bookmarkStart w:id="19" w:name="_Toc393201707"/>
      <w:bookmarkStart w:id="20" w:name="_Toc504642664"/>
      <w:bookmarkStart w:id="21" w:name="_Toc326937530"/>
      <w:bookmarkStart w:id="22" w:name="_Toc358384688"/>
      <w:bookmarkStart w:id="23" w:name="_Toc433917260"/>
    </w:p>
    <w:p w14:paraId="425AD0E8">
      <w:pPr>
        <w:widowControl/>
        <w:spacing w:line="400" w:lineRule="exact"/>
        <w:outlineLvl w:val="1"/>
        <w:rPr>
          <w:rFonts w:ascii="宋体" w:hAnsi="宋体" w:cs="宋体"/>
          <w:b/>
          <w:bCs/>
          <w:color w:val="auto"/>
          <w:kern w:val="0"/>
          <w:sz w:val="28"/>
          <w:szCs w:val="28"/>
          <w:highlight w:val="none"/>
          <w:shd w:val="clear" w:color="auto" w:fill="FFFFFF"/>
        </w:rPr>
      </w:pPr>
      <w:r>
        <w:rPr>
          <w:rFonts w:ascii="宋体" w:hAnsi="宋体" w:cs="宋体"/>
          <w:b/>
          <w:bCs/>
          <w:color w:val="auto"/>
          <w:kern w:val="0"/>
          <w:sz w:val="28"/>
          <w:szCs w:val="28"/>
          <w:highlight w:val="none"/>
          <w:shd w:val="clear" w:color="auto" w:fill="FFFFFF"/>
        </w:rPr>
        <w:br w:type="page"/>
      </w:r>
      <w:r>
        <w:rPr>
          <w:rFonts w:ascii="宋体" w:hAnsi="宋体" w:cs="宋体"/>
          <w:b/>
          <w:bCs/>
          <w:color w:val="auto"/>
          <w:kern w:val="0"/>
          <w:sz w:val="28"/>
          <w:szCs w:val="28"/>
          <w:highlight w:val="none"/>
          <w:shd w:val="clear" w:color="auto" w:fill="FFFFFF"/>
        </w:rPr>
        <w:t>B、</w:t>
      </w:r>
      <w:r>
        <w:rPr>
          <w:rFonts w:hint="eastAsia" w:ascii="宋体" w:hAnsi="宋体" w:cs="宋体"/>
          <w:b/>
          <w:bCs/>
          <w:color w:val="auto"/>
          <w:kern w:val="0"/>
          <w:sz w:val="28"/>
          <w:szCs w:val="28"/>
          <w:highlight w:val="none"/>
          <w:shd w:val="clear" w:color="auto" w:fill="FFFFFF"/>
        </w:rPr>
        <w:t>响应方</w:t>
      </w:r>
      <w:r>
        <w:rPr>
          <w:rFonts w:ascii="宋体" w:hAnsi="宋体" w:cs="宋体"/>
          <w:b/>
          <w:bCs/>
          <w:color w:val="auto"/>
          <w:kern w:val="0"/>
          <w:sz w:val="28"/>
          <w:szCs w:val="28"/>
          <w:highlight w:val="none"/>
          <w:shd w:val="clear" w:color="auto" w:fill="FFFFFF"/>
        </w:rPr>
        <w:t>须知</w:t>
      </w:r>
      <w:bookmarkEnd w:id="18"/>
      <w:bookmarkEnd w:id="19"/>
      <w:bookmarkEnd w:id="20"/>
      <w:bookmarkEnd w:id="21"/>
      <w:bookmarkEnd w:id="22"/>
      <w:bookmarkEnd w:id="23"/>
    </w:p>
    <w:p w14:paraId="571A7C1C">
      <w:pPr>
        <w:widowControl/>
        <w:spacing w:line="400" w:lineRule="exact"/>
        <w:jc w:val="center"/>
        <w:outlineLvl w:val="2"/>
        <w:rPr>
          <w:rFonts w:ascii="宋体" w:hAnsi="宋体" w:cs="宋体"/>
          <w:b/>
          <w:bCs/>
          <w:color w:val="auto"/>
          <w:kern w:val="0"/>
          <w:sz w:val="28"/>
          <w:szCs w:val="28"/>
          <w:highlight w:val="none"/>
        </w:rPr>
      </w:pPr>
      <w:bookmarkStart w:id="24" w:name="_Toc333842545"/>
      <w:bookmarkStart w:id="25" w:name="_Toc433917261"/>
      <w:bookmarkStart w:id="26" w:name="_Toc504642665"/>
      <w:bookmarkStart w:id="27" w:name="_Toc358384689"/>
      <w:bookmarkStart w:id="28" w:name="_Toc393201708"/>
      <w:bookmarkStart w:id="29" w:name="_Toc326937531"/>
      <w:r>
        <w:rPr>
          <w:rFonts w:hint="eastAsia" w:ascii="宋体" w:hAnsi="宋体" w:cs="宋体"/>
          <w:b/>
          <w:bCs/>
          <w:color w:val="auto"/>
          <w:kern w:val="0"/>
          <w:sz w:val="28"/>
          <w:szCs w:val="28"/>
          <w:highlight w:val="none"/>
        </w:rPr>
        <w:t>一、总则</w:t>
      </w:r>
      <w:bookmarkEnd w:id="24"/>
      <w:bookmarkEnd w:id="25"/>
      <w:bookmarkEnd w:id="26"/>
      <w:bookmarkEnd w:id="27"/>
      <w:bookmarkEnd w:id="28"/>
      <w:bookmarkEnd w:id="29"/>
    </w:p>
    <w:p w14:paraId="3055FEA6">
      <w:pPr>
        <w:keepNext w:val="0"/>
        <w:keepLines w:val="0"/>
        <w:pageBreakBefore w:val="0"/>
        <w:widowControl/>
        <w:kinsoku/>
        <w:overflowPunct/>
        <w:topLinePunct w:val="0"/>
        <w:bidi w:val="0"/>
        <w:adjustRightInd/>
        <w:snapToGrid/>
        <w:spacing w:line="400" w:lineRule="exact"/>
        <w:ind w:firstLine="422" w:firstLineChars="200"/>
        <w:textAlignment w:val="auto"/>
        <w:outlineLvl w:val="9"/>
        <w:rPr>
          <w:rFonts w:hint="eastAsia" w:ascii="宋体" w:hAnsi="宋体" w:eastAsia="宋体" w:cs="宋体"/>
          <w:b/>
          <w:bCs/>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1</w:t>
      </w:r>
      <w:r>
        <w:rPr>
          <w:rFonts w:hint="eastAsia" w:ascii="宋体" w:hAnsi="宋体" w:eastAsia="宋体" w:cs="宋体"/>
          <w:color w:val="auto"/>
          <w:kern w:val="0"/>
          <w:highlight w:val="none"/>
          <w:shd w:val="clear" w:color="auto" w:fill="FFFFFF"/>
        </w:rPr>
        <w:t>.</w:t>
      </w:r>
      <w:r>
        <w:rPr>
          <w:rFonts w:hint="eastAsia" w:ascii="宋体" w:hAnsi="宋体" w:eastAsia="宋体" w:cs="宋体"/>
          <w:b/>
          <w:bCs/>
          <w:color w:val="auto"/>
          <w:kern w:val="0"/>
          <w:highlight w:val="none"/>
          <w:shd w:val="clear" w:color="auto" w:fill="FFFFFF"/>
        </w:rPr>
        <w:t>项目概况</w:t>
      </w:r>
    </w:p>
    <w:p w14:paraId="3B68A820">
      <w:pPr>
        <w:keepNext w:val="0"/>
        <w:keepLines w:val="0"/>
        <w:pageBreakBefore w:val="0"/>
        <w:widowControl/>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color w:val="auto"/>
          <w:highlight w:val="none"/>
          <w:shd w:val="clear" w:color="auto" w:fill="FFFFFF"/>
          <w:lang w:eastAsia="zh-CN"/>
        </w:rPr>
      </w:pPr>
      <w:r>
        <w:rPr>
          <w:rFonts w:hint="eastAsia" w:ascii="宋体" w:hAnsi="宋体" w:eastAsia="宋体" w:cs="宋体"/>
          <w:bCs/>
          <w:color w:val="auto"/>
          <w:kern w:val="0"/>
          <w:highlight w:val="none"/>
          <w:shd w:val="clear" w:color="auto" w:fill="FFFFFF"/>
        </w:rPr>
        <w:t>1.1采购人：</w:t>
      </w:r>
      <w:r>
        <w:rPr>
          <w:rFonts w:hint="eastAsia" w:ascii="宋体" w:hAnsi="宋体" w:eastAsia="宋体" w:cs="宋体"/>
          <w:bCs/>
          <w:color w:val="auto"/>
          <w:highlight w:val="none"/>
          <w:shd w:val="clear" w:color="auto" w:fill="FFFFFF"/>
          <w:lang w:eastAsia="zh-CN"/>
        </w:rPr>
        <w:t xml:space="preserve">浙江省开化中学 </w:t>
      </w:r>
    </w:p>
    <w:p w14:paraId="19EC4875">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1.2采购内容：千人报告厅维修改造工程—舞台音响设备及座椅采购项目</w:t>
      </w:r>
      <w:r>
        <w:rPr>
          <w:rFonts w:hint="eastAsia" w:ascii="宋体" w:hAnsi="宋体" w:eastAsia="宋体" w:cs="宋体"/>
          <w:bCs/>
          <w:color w:val="auto"/>
          <w:highlight w:val="none"/>
          <w:shd w:val="clear" w:color="auto" w:fill="FFFFFF"/>
        </w:rPr>
        <w:t>（详见《采购需求》）</w:t>
      </w:r>
    </w:p>
    <w:p w14:paraId="38E910BF">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color w:val="auto"/>
          <w:kern w:val="0"/>
          <w:highlight w:val="none"/>
          <w:shd w:val="clear" w:color="auto" w:fill="FFFFFF"/>
          <w:lang w:eastAsia="zh-CN"/>
        </w:rPr>
      </w:pPr>
      <w:r>
        <w:rPr>
          <w:rFonts w:hint="eastAsia" w:ascii="宋体" w:hAnsi="宋体" w:eastAsia="宋体" w:cs="宋体"/>
          <w:bCs/>
          <w:color w:val="auto"/>
          <w:kern w:val="0"/>
          <w:highlight w:val="none"/>
          <w:shd w:val="clear" w:color="auto" w:fill="FFFFFF"/>
        </w:rPr>
        <w:t>1.3</w:t>
      </w:r>
      <w:r>
        <w:rPr>
          <w:rFonts w:hint="eastAsia" w:ascii="宋体" w:hAnsi="宋体" w:eastAsia="宋体" w:cs="宋体"/>
          <w:bCs/>
          <w:color w:val="auto"/>
          <w:kern w:val="0"/>
          <w:highlight w:val="none"/>
          <w:shd w:val="clear" w:color="auto" w:fill="FFFFFF"/>
          <w:lang w:val="en-US" w:eastAsia="zh-CN"/>
        </w:rPr>
        <w:t>项目</w:t>
      </w:r>
      <w:r>
        <w:rPr>
          <w:rFonts w:hint="eastAsia" w:ascii="宋体" w:hAnsi="宋体" w:eastAsia="宋体" w:cs="宋体"/>
          <w:bCs/>
          <w:color w:val="auto"/>
          <w:kern w:val="0"/>
          <w:highlight w:val="none"/>
          <w:shd w:val="clear" w:color="auto" w:fill="FFFFFF"/>
        </w:rPr>
        <w:t>编号：</w:t>
      </w:r>
      <w:r>
        <w:rPr>
          <w:rFonts w:hint="eastAsia" w:ascii="宋体" w:hAnsi="宋体" w:eastAsia="宋体" w:cs="宋体"/>
          <w:bCs/>
          <w:color w:val="auto"/>
          <w:kern w:val="0"/>
          <w:highlight w:val="none"/>
          <w:shd w:val="clear" w:color="auto" w:fill="FFFFFF"/>
          <w:lang w:eastAsia="zh-CN"/>
        </w:rPr>
        <w:t>ZJDF2024-003（Ⅱ）</w:t>
      </w:r>
    </w:p>
    <w:p w14:paraId="7E3D8E47">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1.4预算金额：</w:t>
      </w:r>
      <w:r>
        <w:rPr>
          <w:rFonts w:hint="eastAsia" w:ascii="宋体" w:hAnsi="宋体" w:eastAsia="宋体" w:cs="宋体"/>
          <w:color w:val="auto"/>
          <w:sz w:val="21"/>
          <w:szCs w:val="21"/>
          <w:highlight w:val="none"/>
          <w:u w:val="single"/>
          <w:lang w:val="en-US" w:eastAsia="zh-CN"/>
        </w:rPr>
        <w:t xml:space="preserve"> 104.9121 </w:t>
      </w:r>
      <w:r>
        <w:rPr>
          <w:rFonts w:hint="eastAsia" w:ascii="宋体" w:hAnsi="宋体" w:eastAsia="宋体" w:cs="宋体"/>
          <w:color w:val="auto"/>
          <w:sz w:val="21"/>
          <w:szCs w:val="21"/>
          <w:highlight w:val="none"/>
          <w:lang w:val="en-US" w:eastAsia="zh-CN"/>
        </w:rPr>
        <w:t>万元</w:t>
      </w:r>
      <w:r>
        <w:rPr>
          <w:rFonts w:hint="eastAsia" w:ascii="宋体" w:hAnsi="宋体" w:eastAsia="宋体" w:cs="宋体"/>
          <w:bCs/>
          <w:color w:val="auto"/>
          <w:kern w:val="0"/>
          <w:highlight w:val="none"/>
          <w:shd w:val="clear" w:color="auto" w:fill="FFFFFF"/>
        </w:rPr>
        <w:t>，最高限价：</w:t>
      </w:r>
      <w:r>
        <w:rPr>
          <w:rFonts w:hint="eastAsia" w:ascii="宋体" w:hAnsi="宋体" w:eastAsia="宋体" w:cs="宋体"/>
          <w:color w:val="auto"/>
          <w:sz w:val="21"/>
          <w:szCs w:val="21"/>
          <w:highlight w:val="none"/>
          <w:u w:val="single"/>
          <w:lang w:val="en-US" w:eastAsia="zh-CN"/>
        </w:rPr>
        <w:t xml:space="preserve"> 104.9121 </w:t>
      </w:r>
      <w:r>
        <w:rPr>
          <w:rFonts w:hint="eastAsia" w:ascii="宋体" w:hAnsi="宋体" w:eastAsia="宋体" w:cs="宋体"/>
          <w:color w:val="auto"/>
          <w:sz w:val="21"/>
          <w:szCs w:val="21"/>
          <w:highlight w:val="none"/>
          <w:lang w:val="en-US" w:eastAsia="zh-CN"/>
        </w:rPr>
        <w:t>万元</w:t>
      </w:r>
    </w:p>
    <w:p w14:paraId="4993D703">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1.5</w:t>
      </w:r>
      <w:r>
        <w:rPr>
          <w:rFonts w:hint="eastAsia" w:ascii="宋体" w:hAnsi="宋体" w:eastAsia="宋体" w:cs="宋体"/>
          <w:bCs/>
          <w:color w:val="auto"/>
          <w:kern w:val="0"/>
          <w:highlight w:val="none"/>
          <w:shd w:val="clear" w:color="auto" w:fill="FFFFFF"/>
          <w:lang w:eastAsia="zh-CN"/>
        </w:rPr>
        <w:t>工期：自合同签订之日起</w:t>
      </w:r>
      <w:r>
        <w:rPr>
          <w:rFonts w:hint="eastAsia" w:ascii="宋体" w:hAnsi="宋体" w:eastAsia="宋体" w:cs="宋体"/>
          <w:bCs/>
          <w:color w:val="auto"/>
          <w:kern w:val="0"/>
          <w:highlight w:val="none"/>
          <w:u w:val="single"/>
          <w:shd w:val="clear" w:color="auto" w:fill="FFFFFF"/>
          <w:lang w:eastAsia="zh-CN"/>
        </w:rPr>
        <w:t xml:space="preserve"> 25 </w:t>
      </w:r>
      <w:r>
        <w:rPr>
          <w:rFonts w:hint="eastAsia" w:ascii="宋体" w:hAnsi="宋体" w:eastAsia="宋体" w:cs="宋体"/>
          <w:bCs/>
          <w:color w:val="auto"/>
          <w:kern w:val="0"/>
          <w:highlight w:val="none"/>
          <w:shd w:val="clear" w:color="auto" w:fill="FFFFFF"/>
          <w:lang w:eastAsia="zh-CN"/>
        </w:rPr>
        <w:t>日历天内供货至采购人指定的地点并完成安装、调试、检测等，进度须配合主体维修改造工程进度，验收合格并满足使用要求</w:t>
      </w:r>
      <w:r>
        <w:rPr>
          <w:rFonts w:hint="eastAsia" w:ascii="宋体" w:hAnsi="宋体" w:eastAsia="宋体" w:cs="宋体"/>
          <w:bCs/>
          <w:color w:val="auto"/>
          <w:kern w:val="0"/>
          <w:highlight w:val="none"/>
          <w:shd w:val="clear" w:color="auto" w:fill="FFFFFF"/>
        </w:rPr>
        <w:t>。</w:t>
      </w:r>
    </w:p>
    <w:p w14:paraId="4C6C9790">
      <w:pPr>
        <w:keepNext w:val="0"/>
        <w:keepLines w:val="0"/>
        <w:pageBreakBefore w:val="0"/>
        <w:widowControl/>
        <w:kinsoku/>
        <w:overflowPunct/>
        <w:topLinePunct w:val="0"/>
        <w:bidi w:val="0"/>
        <w:adjustRightInd/>
        <w:snapToGrid/>
        <w:spacing w:line="400" w:lineRule="exact"/>
        <w:ind w:firstLine="422" w:firstLineChars="200"/>
        <w:textAlignment w:val="auto"/>
        <w:outlineLvl w:val="9"/>
        <w:rPr>
          <w:rFonts w:hint="eastAsia" w:ascii="宋体" w:hAnsi="宋体" w:eastAsia="宋体" w:cs="宋体"/>
          <w:bCs/>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2.</w:t>
      </w:r>
      <w:r>
        <w:rPr>
          <w:rFonts w:hint="eastAsia" w:ascii="宋体" w:hAnsi="宋体" w:eastAsia="宋体" w:cs="宋体"/>
          <w:b/>
          <w:color w:val="auto"/>
          <w:highlight w:val="none"/>
          <w:shd w:val="clear" w:color="auto" w:fill="FFFFFF"/>
        </w:rPr>
        <w:t>合格的供应商应同时具备的资格要求</w:t>
      </w:r>
    </w:p>
    <w:p w14:paraId="041FDAF4">
      <w:pPr>
        <w:keepNext w:val="0"/>
        <w:keepLines w:val="0"/>
        <w:pageBreakBefore w:val="0"/>
        <w:kinsoku/>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满足《中华人民共和国政府采购法》第二十二条规定；</w:t>
      </w:r>
    </w:p>
    <w:p w14:paraId="56996B2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必须为未被列入“信用中国”网站(www.creditchina.gov.cn)、中国政府采购网(www.ccgp.gov.cn)渠道信用记录失信被执行人、重大税收违法案件当事人名单、政府采购严重违法失信行为记录名单的</w:t>
      </w:r>
      <w:r>
        <w:rPr>
          <w:rFonts w:hint="eastAsia" w:ascii="宋体" w:hAnsi="宋体" w:eastAsia="宋体" w:cs="宋体"/>
          <w:color w:val="auto"/>
          <w:sz w:val="21"/>
          <w:szCs w:val="21"/>
          <w:highlight w:val="none"/>
          <w:lang w:val="en-US" w:eastAsia="zh-CN"/>
        </w:rPr>
        <w:t>响应人</w:t>
      </w:r>
      <w:r>
        <w:rPr>
          <w:rFonts w:hint="eastAsia" w:ascii="宋体" w:hAnsi="宋体" w:eastAsia="宋体" w:cs="宋体"/>
          <w:color w:val="auto"/>
          <w:sz w:val="21"/>
          <w:szCs w:val="21"/>
          <w:highlight w:val="none"/>
        </w:rPr>
        <w:t>；</w:t>
      </w:r>
    </w:p>
    <w:p w14:paraId="4A598065">
      <w:pPr>
        <w:keepNext w:val="0"/>
        <w:keepLines w:val="0"/>
        <w:pageBreakBefore w:val="0"/>
        <w:kinsoku/>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u w:val="single"/>
        </w:rPr>
        <w:t>本项目专门面向中小企业</w:t>
      </w:r>
      <w:r>
        <w:rPr>
          <w:rFonts w:hint="eastAsia" w:ascii="宋体" w:hAnsi="宋体" w:eastAsia="宋体" w:cs="宋体"/>
          <w:color w:val="auto"/>
          <w:sz w:val="21"/>
          <w:szCs w:val="21"/>
          <w:highlight w:val="none"/>
          <w:u w:val="none"/>
          <w:lang w:val="en-US" w:eastAsia="zh-CN"/>
        </w:rPr>
        <w:t>；</w:t>
      </w:r>
    </w:p>
    <w:p w14:paraId="5818F860">
      <w:pPr>
        <w:keepNext w:val="0"/>
        <w:keepLines w:val="0"/>
        <w:pageBreakBefore w:val="0"/>
        <w:kinsoku/>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u w:val="single"/>
          <w:lang w:val="en-US" w:eastAsia="zh-CN"/>
        </w:rPr>
        <w:t xml:space="preserve"> 无 </w:t>
      </w:r>
      <w:r>
        <w:rPr>
          <w:rFonts w:hint="eastAsia" w:ascii="宋体" w:hAnsi="宋体" w:eastAsia="宋体" w:cs="宋体"/>
          <w:color w:val="auto"/>
          <w:sz w:val="21"/>
          <w:szCs w:val="21"/>
          <w:highlight w:val="none"/>
          <w:u w:val="none"/>
          <w:lang w:val="en-US" w:eastAsia="zh-CN"/>
        </w:rPr>
        <w:t>；</w:t>
      </w:r>
    </w:p>
    <w:p w14:paraId="7545AC67">
      <w:pPr>
        <w:keepNext w:val="0"/>
        <w:keepLines w:val="0"/>
        <w:pageBreakBefore w:val="0"/>
        <w:widowControl/>
        <w:kinsoku/>
        <w:overflowPunct/>
        <w:topLinePunct w:val="0"/>
        <w:bidi w:val="0"/>
        <w:adjustRightInd/>
        <w:snapToGrid/>
        <w:spacing w:line="400" w:lineRule="exact"/>
        <w:ind w:firstLine="422" w:firstLineChars="200"/>
        <w:textAlignment w:val="auto"/>
        <w:outlineLvl w:val="9"/>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3.响应费用</w:t>
      </w:r>
    </w:p>
    <w:p w14:paraId="66A0C63C">
      <w:pPr>
        <w:keepNext w:val="0"/>
        <w:keepLines w:val="0"/>
        <w:pageBreakBefore w:val="0"/>
        <w:kinsoku/>
        <w:overflowPunct/>
        <w:topLinePunct w:val="0"/>
        <w:autoSpaceDE w:val="0"/>
        <w:autoSpaceDN w:val="0"/>
        <w:bidi w:val="0"/>
        <w:adjustRightInd/>
        <w:snapToGrid/>
        <w:spacing w:line="400" w:lineRule="exact"/>
        <w:ind w:firstLine="420" w:firstLineChars="200"/>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rPr>
        <w:t>3.1</w:t>
      </w:r>
      <w:r>
        <w:rPr>
          <w:rFonts w:hint="eastAsia" w:ascii="宋体" w:hAnsi="宋体" w:eastAsia="宋体" w:cs="宋体"/>
          <w:color w:val="auto"/>
          <w:highlight w:val="none"/>
          <w:lang w:val="zh-CN"/>
        </w:rPr>
        <w:t>无论磋商过程和结果如何，响应方应自行承担所有与磋商有关的全部费用，采购代理机构和采购人均无义务和责任承担这些费用。</w:t>
      </w:r>
    </w:p>
    <w:p w14:paraId="0978328C">
      <w:pPr>
        <w:keepNext w:val="0"/>
        <w:keepLines w:val="0"/>
        <w:pageBreakBefore w:val="0"/>
        <w:kinsoku/>
        <w:overflowPunct/>
        <w:topLinePunct w:val="0"/>
        <w:bidi w:val="0"/>
        <w:adjustRightInd/>
        <w:snapToGrid/>
        <w:spacing w:line="400" w:lineRule="exact"/>
        <w:ind w:firstLine="422" w:firstLineChars="200"/>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3.2采购代理费由成交单位支付，采购代理费按《招标代理服务收费管理暂行办法》计价格〔2002〕1980号收费</w:t>
      </w:r>
      <w:r>
        <w:rPr>
          <w:rFonts w:hint="eastAsia" w:ascii="宋体" w:hAnsi="宋体" w:eastAsia="宋体" w:cs="宋体"/>
          <w:b/>
          <w:color w:val="auto"/>
          <w:highlight w:val="none"/>
          <w:lang w:eastAsia="zh-CN"/>
        </w:rPr>
        <w:t>货物</w:t>
      </w:r>
      <w:r>
        <w:rPr>
          <w:rFonts w:hint="eastAsia" w:ascii="宋体" w:hAnsi="宋体" w:eastAsia="宋体" w:cs="宋体"/>
          <w:b/>
          <w:color w:val="auto"/>
          <w:highlight w:val="none"/>
        </w:rPr>
        <w:t>类标准收取。</w:t>
      </w:r>
    </w:p>
    <w:p w14:paraId="50F20CBB">
      <w:pPr>
        <w:keepNext w:val="0"/>
        <w:keepLines w:val="0"/>
        <w:pageBreakBefore w:val="0"/>
        <w:kinsoku/>
        <w:overflowPunct/>
        <w:topLinePunct w:val="0"/>
        <w:autoSpaceDE w:val="0"/>
        <w:autoSpaceDN w:val="0"/>
        <w:bidi w:val="0"/>
        <w:adjustRightInd/>
        <w:snapToGrid/>
        <w:spacing w:line="400" w:lineRule="exact"/>
        <w:ind w:firstLine="420" w:firstLineChars="200"/>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招标代理费的收取标准：</w:t>
      </w:r>
    </w:p>
    <w:tbl>
      <w:tblPr>
        <w:tblStyle w:val="3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1"/>
        <w:gridCol w:w="4614"/>
      </w:tblGrid>
      <w:tr w14:paraId="082C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2" w:hRule="atLeast"/>
          <w:jc w:val="center"/>
        </w:trPr>
        <w:tc>
          <w:tcPr>
            <w:tcW w:w="4851" w:type="dxa"/>
            <w:tcBorders>
              <w:tl2br w:val="single" w:color="auto" w:sz="4" w:space="0"/>
            </w:tcBorders>
            <w:noWrap/>
            <w:tcMar>
              <w:top w:w="30" w:type="dxa"/>
              <w:left w:w="150" w:type="dxa"/>
              <w:bottom w:w="30" w:type="dxa"/>
              <w:right w:w="150" w:type="dxa"/>
            </w:tcMar>
            <w:vAlign w:val="center"/>
          </w:tcPr>
          <w:p w14:paraId="1E93287B">
            <w:pPr>
              <w:autoSpaceDE w:val="0"/>
              <w:autoSpaceDN w:val="0"/>
              <w:spacing w:line="400" w:lineRule="exact"/>
              <w:ind w:firstLine="420" w:firstLineChars="200"/>
              <w:jc w:val="right"/>
              <w:rPr>
                <w:rFonts w:hint="eastAsia" w:ascii="宋体" w:hAnsi="宋体" w:cs="宋体"/>
                <w:color w:val="auto"/>
                <w:highlight w:val="none"/>
                <w:lang w:val="zh-CN"/>
              </w:rPr>
            </w:pPr>
            <w:r>
              <w:rPr>
                <w:rFonts w:hint="eastAsia" w:ascii="宋体" w:hAnsi="宋体" w:cs="宋体"/>
                <w:color w:val="auto"/>
                <w:highlight w:val="none"/>
                <w:lang w:val="zh-CN"/>
              </w:rPr>
              <w:t>服务类型</w:t>
            </w:r>
          </w:p>
          <w:p w14:paraId="1220B8B6">
            <w:pPr>
              <w:autoSpaceDE w:val="0"/>
              <w:autoSpaceDN w:val="0"/>
              <w:spacing w:line="400" w:lineRule="exact"/>
              <w:jc w:val="both"/>
              <w:rPr>
                <w:rFonts w:ascii="宋体" w:hAnsi="宋体" w:cs="宋体"/>
                <w:color w:val="auto"/>
                <w:highlight w:val="none"/>
                <w:lang w:val="zh-CN"/>
              </w:rPr>
            </w:pPr>
            <w:r>
              <w:rPr>
                <w:rFonts w:hint="eastAsia" w:ascii="宋体" w:hAnsi="宋体" w:cs="宋体"/>
                <w:color w:val="auto"/>
                <w:highlight w:val="none"/>
                <w:lang w:val="zh-CN"/>
              </w:rPr>
              <w:t>中标金额（万元）</w:t>
            </w:r>
          </w:p>
        </w:tc>
        <w:tc>
          <w:tcPr>
            <w:tcW w:w="4614" w:type="dxa"/>
            <w:noWrap/>
            <w:tcMar>
              <w:top w:w="30" w:type="dxa"/>
              <w:left w:w="150" w:type="dxa"/>
              <w:bottom w:w="30" w:type="dxa"/>
              <w:right w:w="150" w:type="dxa"/>
            </w:tcMar>
            <w:vAlign w:val="center"/>
          </w:tcPr>
          <w:p w14:paraId="1572CCE4">
            <w:pPr>
              <w:autoSpaceDE w:val="0"/>
              <w:autoSpaceDN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货物招标</w:t>
            </w:r>
          </w:p>
        </w:tc>
      </w:tr>
      <w:tr w14:paraId="4CFD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4851" w:type="dxa"/>
            <w:noWrap/>
            <w:tcMar>
              <w:top w:w="30" w:type="dxa"/>
              <w:left w:w="150" w:type="dxa"/>
              <w:bottom w:w="30" w:type="dxa"/>
              <w:right w:w="150" w:type="dxa"/>
            </w:tcMar>
            <w:vAlign w:val="center"/>
          </w:tcPr>
          <w:p w14:paraId="0FD7247B">
            <w:pPr>
              <w:autoSpaceDE w:val="0"/>
              <w:autoSpaceDN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100以下</w:t>
            </w:r>
          </w:p>
        </w:tc>
        <w:tc>
          <w:tcPr>
            <w:tcW w:w="4614" w:type="dxa"/>
            <w:noWrap/>
            <w:tcMar>
              <w:top w:w="30" w:type="dxa"/>
              <w:left w:w="150" w:type="dxa"/>
              <w:bottom w:w="30" w:type="dxa"/>
              <w:right w:w="150" w:type="dxa"/>
            </w:tcMar>
            <w:vAlign w:val="center"/>
          </w:tcPr>
          <w:p w14:paraId="0608EFE6">
            <w:pPr>
              <w:autoSpaceDE w:val="0"/>
              <w:autoSpaceDN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1.5%</w:t>
            </w:r>
          </w:p>
        </w:tc>
      </w:tr>
      <w:tr w14:paraId="2129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4851" w:type="dxa"/>
            <w:noWrap/>
            <w:tcMar>
              <w:top w:w="30" w:type="dxa"/>
              <w:left w:w="150" w:type="dxa"/>
              <w:bottom w:w="30" w:type="dxa"/>
              <w:right w:w="150" w:type="dxa"/>
            </w:tcMar>
            <w:vAlign w:val="center"/>
          </w:tcPr>
          <w:p w14:paraId="73DD188B">
            <w:pPr>
              <w:autoSpaceDE w:val="0"/>
              <w:autoSpaceDN w:val="0"/>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100-500</w:t>
            </w:r>
          </w:p>
        </w:tc>
        <w:tc>
          <w:tcPr>
            <w:tcW w:w="4614" w:type="dxa"/>
            <w:noWrap/>
            <w:tcMar>
              <w:top w:w="30" w:type="dxa"/>
              <w:left w:w="150" w:type="dxa"/>
              <w:bottom w:w="30" w:type="dxa"/>
              <w:right w:w="150" w:type="dxa"/>
            </w:tcMar>
            <w:vAlign w:val="center"/>
          </w:tcPr>
          <w:p w14:paraId="0B62B5F6">
            <w:pPr>
              <w:autoSpaceDE w:val="0"/>
              <w:autoSpaceDN w:val="0"/>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0.8%</w:t>
            </w:r>
          </w:p>
        </w:tc>
      </w:tr>
    </w:tbl>
    <w:p w14:paraId="4C05A860">
      <w:pPr>
        <w:pStyle w:val="56"/>
        <w:keepNext w:val="0"/>
        <w:keepLines w:val="0"/>
        <w:pageBreakBefore w:val="0"/>
        <w:kinsoku/>
        <w:wordWrap/>
        <w:overflowPunct/>
        <w:topLinePunct w:val="0"/>
        <w:autoSpaceDE/>
        <w:autoSpaceDN/>
        <w:bidi w:val="0"/>
        <w:adjustRightInd/>
        <w:spacing w:line="400" w:lineRule="exact"/>
        <w:ind w:left="0" w:firstLine="422"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收款帐户信息如下：</w:t>
      </w:r>
    </w:p>
    <w:p w14:paraId="50088806">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开户名称：浙江鼎峰工程咨询有限公司开化分公司；</w:t>
      </w:r>
    </w:p>
    <w:p w14:paraId="5B7BBC24">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开户银行：农村商业银行股份有限公司龙顶支行；</w:t>
      </w:r>
    </w:p>
    <w:p w14:paraId="4C48803C">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银行账号：201000203738114。</w:t>
      </w:r>
    </w:p>
    <w:p w14:paraId="3A6D4573">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zh-CN"/>
        </w:rPr>
        <w:t>磋商委托</w:t>
      </w:r>
    </w:p>
    <w:p w14:paraId="2D3D2976">
      <w:pPr>
        <w:pageBreakBefore w:val="0"/>
        <w:kinsoku/>
        <w:wordWrap/>
        <w:overflowPunct/>
        <w:topLinePunct w:val="0"/>
        <w:autoSpaceDE/>
        <w:autoSpaceDN/>
        <w:bidi w:val="0"/>
        <w:adjustRightInd/>
        <w:spacing w:line="400" w:lineRule="exact"/>
        <w:ind w:firstLine="420" w:firstLineChars="200"/>
        <w:jc w:val="both"/>
        <w:textAlignment w:val="auto"/>
        <w:outlineLvl w:val="9"/>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响应人代表无须出席磋商现场，电子响应文件中的授权委托书须加盖单位公章。</w:t>
      </w:r>
    </w:p>
    <w:p w14:paraId="37397052">
      <w:pPr>
        <w:pageBreakBefore w:val="0"/>
        <w:kinsoku/>
        <w:wordWrap/>
        <w:overflowPunct/>
        <w:topLinePunct w:val="0"/>
        <w:autoSpaceDE/>
        <w:autoSpaceDN/>
        <w:bidi w:val="0"/>
        <w:adjustRightInd/>
        <w:spacing w:line="400" w:lineRule="exact"/>
        <w:ind w:firstLine="422" w:firstLineChars="200"/>
        <w:jc w:val="both"/>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shd w:val="clear" w:color="auto" w:fill="FFFFFF"/>
        </w:rPr>
        <w:t>5.</w:t>
      </w:r>
      <w:r>
        <w:rPr>
          <w:rFonts w:hint="eastAsia" w:ascii="宋体" w:hAnsi="宋体" w:eastAsia="宋体" w:cs="宋体"/>
          <w:b/>
          <w:bCs/>
          <w:color w:val="auto"/>
          <w:highlight w:val="none"/>
        </w:rPr>
        <w:t>关于中小企业参与政府采购活动的规定</w:t>
      </w:r>
    </w:p>
    <w:p w14:paraId="3BBFE776">
      <w:pPr>
        <w:pageBreakBefore w:val="0"/>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4D845400">
      <w:pPr>
        <w:pageBreakBefore w:val="0"/>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（一）在货物采购项目中，货物由中小企业制造，即货物由中小企业生产且使用该中小企业商号或者注册商标；</w:t>
      </w:r>
    </w:p>
    <w:p w14:paraId="521DF702">
      <w:pPr>
        <w:pageBreakBefore w:val="0"/>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（二）在工程采购项目中，工程由中小企业承建，即工程施工单位为中小企业；</w:t>
      </w:r>
    </w:p>
    <w:p w14:paraId="6DF2C075">
      <w:pPr>
        <w:pageBreakBefore w:val="0"/>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（三）在服务采购项目中，服务由中小企业承接，即提供服务的人员为中小企业依照《中华人民共和国劳动合同法》订立劳动合同的从业人员。</w:t>
      </w:r>
    </w:p>
    <w:p w14:paraId="613F6F6B">
      <w:pPr>
        <w:pageBreakBefore w:val="0"/>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在货物采购项目中，供应商提供的货物既有中小企业制造货物，也有大型企业制造货物的，不享受本办法规定的中小企业扶持政策。</w:t>
      </w:r>
    </w:p>
    <w:p w14:paraId="3B5FADBD">
      <w:pPr>
        <w:pageBreakBefore w:val="0"/>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74C13FDC">
      <w:pPr>
        <w:pageBreakBefore w:val="0"/>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5.2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eastAsia="宋体" w:cs="宋体"/>
          <w:color w:val="auto"/>
          <w:highlight w:val="none"/>
          <w:lang w:eastAsia="zh-CN"/>
        </w:rPr>
        <w:t>磋商响应</w:t>
      </w:r>
      <w:r>
        <w:rPr>
          <w:rFonts w:hint="eastAsia" w:ascii="宋体" w:hAnsi="宋体" w:eastAsia="宋体" w:cs="宋体"/>
          <w:color w:val="auto"/>
          <w:highlight w:val="none"/>
        </w:rPr>
        <w:t>文件中提供《残疾人福利性单位声明函》。</w:t>
      </w:r>
    </w:p>
    <w:p w14:paraId="6F4EA4B6">
      <w:pPr>
        <w:pageBreakBefore w:val="0"/>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5.3根据财库[2014]68号的相关规定，在政府采购活动中，监狱企业视同小型、微型企业，享受评审中价格扣除政策，并在</w:t>
      </w:r>
      <w:r>
        <w:rPr>
          <w:rFonts w:hint="eastAsia" w:ascii="宋体" w:hAnsi="宋体" w:eastAsia="宋体" w:cs="宋体"/>
          <w:color w:val="auto"/>
          <w:highlight w:val="none"/>
          <w:lang w:eastAsia="zh-CN"/>
        </w:rPr>
        <w:t>磋商响应</w:t>
      </w:r>
      <w:r>
        <w:rPr>
          <w:rFonts w:hint="eastAsia" w:ascii="宋体" w:hAnsi="宋体" w:eastAsia="宋体" w:cs="宋体"/>
          <w:color w:val="auto"/>
          <w:highlight w:val="none"/>
        </w:rPr>
        <w:t>文件中提供由省级以上监狱管理局、戒毒管理局（含新疆生产建设兵团）出具的属于监狱企业的证明文件。</w:t>
      </w:r>
    </w:p>
    <w:p w14:paraId="365C4F8B">
      <w:pPr>
        <w:pageBreakBefore w:val="0"/>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5.4小型、微型企业参加</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时，应提供《中小企业声明函》；监狱或戒毒企业参加</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时应提供《省级以上监狱管理局、戒毒管理局（含新疆生产建设兵团）出具的属于监狱企业的证明文件》；残疾人福利性单位参加</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时应提供残疾人福利性单位声明函。</w:t>
      </w:r>
    </w:p>
    <w:p w14:paraId="5F21FEF0">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highlight w:val="none"/>
          <w:u w:val="none"/>
        </w:rPr>
        <w:t>▲</w:t>
      </w:r>
      <w:r>
        <w:rPr>
          <w:rFonts w:hint="eastAsia" w:ascii="宋体" w:hAnsi="宋体" w:eastAsia="宋体" w:cs="宋体"/>
          <w:b/>
          <w:color w:val="auto"/>
          <w:kern w:val="0"/>
          <w:sz w:val="21"/>
          <w:szCs w:val="21"/>
          <w:highlight w:val="none"/>
        </w:rPr>
        <w:t>5.</w:t>
      </w:r>
      <w:r>
        <w:rPr>
          <w:rFonts w:hint="eastAsia" w:ascii="宋体" w:hAnsi="宋体" w:eastAsia="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rPr>
        <w:t>本项目</w:t>
      </w:r>
      <w:r>
        <w:rPr>
          <w:rFonts w:hint="eastAsia" w:ascii="宋体" w:hAnsi="宋体" w:eastAsia="宋体" w:cs="宋体"/>
          <w:b/>
          <w:color w:val="auto"/>
          <w:kern w:val="0"/>
          <w:sz w:val="21"/>
          <w:szCs w:val="21"/>
          <w:highlight w:val="none"/>
          <w:lang w:val="en-US" w:eastAsia="zh-CN"/>
        </w:rPr>
        <w:t>是</w:t>
      </w:r>
      <w:r>
        <w:rPr>
          <w:rFonts w:hint="eastAsia" w:ascii="宋体" w:hAnsi="宋体" w:eastAsia="宋体" w:cs="宋体"/>
          <w:b/>
          <w:color w:val="auto"/>
          <w:kern w:val="0"/>
          <w:sz w:val="21"/>
          <w:szCs w:val="21"/>
          <w:highlight w:val="none"/>
        </w:rPr>
        <w:t>专门面向中小企业采购</w:t>
      </w:r>
      <w:r>
        <w:rPr>
          <w:rFonts w:hint="eastAsia" w:ascii="宋体" w:hAnsi="宋体" w:eastAsia="宋体" w:cs="宋体"/>
          <w:b/>
          <w:color w:val="auto"/>
          <w:kern w:val="0"/>
          <w:sz w:val="21"/>
          <w:szCs w:val="21"/>
          <w:highlight w:val="none"/>
          <w:lang w:val="en-US" w:eastAsia="zh-CN"/>
        </w:rPr>
        <w:t>的项目</w:t>
      </w:r>
      <w:r>
        <w:rPr>
          <w:rFonts w:hint="eastAsia" w:ascii="宋体" w:hAnsi="宋体" w:eastAsia="宋体" w:cs="宋体"/>
          <w:b/>
          <w:color w:val="auto"/>
          <w:kern w:val="0"/>
          <w:sz w:val="21"/>
          <w:szCs w:val="21"/>
          <w:highlight w:val="none"/>
        </w:rPr>
        <w:t>，投标人须在资格证明文件中提供《中小企业声明函》或《残疾人福利性单位声明函》或省级以上监狱管理局、戒毒管理局（含新疆生产建设兵团）出具的属于监狱企业的证明文件。</w:t>
      </w:r>
    </w:p>
    <w:p w14:paraId="1E26C17D">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both"/>
        <w:textAlignment w:val="auto"/>
        <w:outlineLvl w:val="9"/>
        <w:rPr>
          <w:rFonts w:hint="eastAsia" w:ascii="宋体" w:hAnsi="宋体" w:eastAsia="宋体" w:cs="宋体"/>
          <w:b/>
          <w:bCs/>
          <w:color w:val="auto"/>
          <w:kern w:val="0"/>
          <w:sz w:val="21"/>
          <w:szCs w:val="21"/>
          <w:highlight w:val="none"/>
          <w:lang w:val="en-US"/>
        </w:rPr>
      </w:pPr>
      <w:r>
        <w:rPr>
          <w:rFonts w:hint="eastAsia" w:ascii="宋体" w:hAnsi="宋体" w:eastAsia="宋体" w:cs="宋体"/>
          <w:b/>
          <w:bCs/>
          <w:color w:val="auto"/>
          <w:kern w:val="0"/>
          <w:sz w:val="21"/>
          <w:szCs w:val="21"/>
          <w:highlight w:val="none"/>
          <w:lang w:val="en-US" w:eastAsia="zh-CN"/>
        </w:rPr>
        <w:t>5.6根据财库〔2020〕46号的第九条规定：本项目是专门面向中小企业采购的项目，不再执行价格评审优惠的扶持政策。</w:t>
      </w:r>
    </w:p>
    <w:p w14:paraId="4B0B5789">
      <w:pPr>
        <w:keepNext w:val="0"/>
        <w:keepLines w:val="0"/>
        <w:pageBreakBefore w:val="0"/>
        <w:widowControl/>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▲6.特别说明</w:t>
      </w:r>
    </w:p>
    <w:p w14:paraId="585AD0F6">
      <w:pPr>
        <w:pageBreakBefore w:val="0"/>
        <w:kinsoku/>
        <w:wordWrap/>
        <w:overflowPunct/>
        <w:topLinePunct w:val="0"/>
        <w:autoSpaceDE/>
        <w:autoSpaceDN/>
        <w:bidi w:val="0"/>
        <w:adjustRightInd/>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供应商所使用的资格、信誉、荣誉、业绩必须为本法人所拥有(且在有效期内)。</w:t>
      </w:r>
    </w:p>
    <w:p w14:paraId="65012FE6">
      <w:pPr>
        <w:pageBreakBefore w:val="0"/>
        <w:kinsoku/>
        <w:wordWrap/>
        <w:overflowPunct/>
        <w:topLinePunct w:val="0"/>
        <w:autoSpaceDE/>
        <w:autoSpaceDN/>
        <w:bidi w:val="0"/>
        <w:adjustRightInd/>
        <w:spacing w:line="400" w:lineRule="exact"/>
        <w:ind w:firstLine="420" w:firstLineChars="200"/>
        <w:jc w:val="both"/>
        <w:textAlignment w:val="auto"/>
        <w:outlineLvl w:val="9"/>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7.解释权 </w:t>
      </w:r>
    </w:p>
    <w:p w14:paraId="422E7B61">
      <w:pPr>
        <w:pageBreakBefore w:val="0"/>
        <w:widowControl/>
        <w:kinsoku/>
        <w:wordWrap/>
        <w:overflowPunct/>
        <w:topLinePunct w:val="0"/>
        <w:autoSpaceDE/>
        <w:autoSpaceDN/>
        <w:bidi w:val="0"/>
        <w:adjustRightInd/>
        <w:spacing w:line="400" w:lineRule="exact"/>
        <w:ind w:firstLine="420" w:firstLineChars="200"/>
        <w:jc w:val="both"/>
        <w:textAlignment w:val="auto"/>
        <w:outlineLvl w:val="9"/>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lang w:val="zh-CN"/>
        </w:rPr>
        <w:t>本磋商文件的《采购需求》解释权归采购人，其余部分归采购代理机构。</w:t>
      </w:r>
      <w:bookmarkStart w:id="30" w:name="_Toc333842546"/>
      <w:bookmarkStart w:id="31" w:name="_Toc358384690"/>
      <w:bookmarkStart w:id="32" w:name="_Toc326937532"/>
    </w:p>
    <w:p w14:paraId="1D38642D">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cs="宋体"/>
          <w:b w:val="0"/>
          <w:bCs w:val="0"/>
          <w:color w:val="auto"/>
          <w:kern w:val="0"/>
          <w:sz w:val="21"/>
          <w:szCs w:val="21"/>
          <w:highlight w:val="none"/>
        </w:rPr>
      </w:pPr>
      <w:bookmarkStart w:id="33" w:name="_Toc504642666"/>
      <w:bookmarkStart w:id="34" w:name="_Toc393201709"/>
      <w:bookmarkStart w:id="35" w:name="_Toc433917262"/>
    </w:p>
    <w:p w14:paraId="0841934F">
      <w:pPr>
        <w:widowControl/>
        <w:spacing w:line="400" w:lineRule="exact"/>
        <w:jc w:val="center"/>
        <w:outlineLvl w:val="2"/>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二、磋商文件</w:t>
      </w:r>
      <w:bookmarkEnd w:id="30"/>
      <w:bookmarkEnd w:id="31"/>
      <w:bookmarkEnd w:id="32"/>
      <w:bookmarkEnd w:id="33"/>
      <w:bookmarkEnd w:id="34"/>
      <w:bookmarkEnd w:id="35"/>
    </w:p>
    <w:p w14:paraId="3D37DE1E">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8</w:t>
      </w:r>
      <w:r>
        <w:rPr>
          <w:rFonts w:hint="eastAsia" w:ascii="宋体" w:hAnsi="宋体"/>
          <w:b/>
          <w:color w:val="auto"/>
          <w:kern w:val="0"/>
          <w:highlight w:val="none"/>
        </w:rPr>
        <w:t>.</w:t>
      </w:r>
      <w:r>
        <w:rPr>
          <w:rFonts w:hint="eastAsia" w:ascii="宋体" w:hAnsi="宋体"/>
          <w:b/>
          <w:color w:val="auto"/>
          <w:kern w:val="0"/>
          <w:highlight w:val="none"/>
          <w:lang w:val="zh-CN"/>
        </w:rPr>
        <w:t>磋商文件构成</w:t>
      </w:r>
    </w:p>
    <w:p w14:paraId="56BEB322">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 xml:space="preserve">8.1 磋商文件包括 </w:t>
      </w:r>
    </w:p>
    <w:p w14:paraId="653AC74E">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第一章  竞争性磋商公告</w:t>
      </w:r>
    </w:p>
    <w:p w14:paraId="00452B6A">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第二章  响应方须知及前附表</w:t>
      </w:r>
    </w:p>
    <w:p w14:paraId="074182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第三章  采购需求</w:t>
      </w:r>
    </w:p>
    <w:p w14:paraId="3B4C44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第四章  合同主要条款</w:t>
      </w:r>
    </w:p>
    <w:p w14:paraId="04A544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第五章  响应文件格式</w:t>
      </w:r>
    </w:p>
    <w:p w14:paraId="2291D5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36A10BBE">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9</w:t>
      </w:r>
      <w:r>
        <w:rPr>
          <w:rFonts w:hint="eastAsia" w:ascii="宋体" w:hAnsi="宋体"/>
          <w:b/>
          <w:color w:val="auto"/>
          <w:kern w:val="0"/>
          <w:highlight w:val="none"/>
        </w:rPr>
        <w:t>.</w:t>
      </w:r>
      <w:r>
        <w:rPr>
          <w:rFonts w:hint="eastAsia" w:ascii="宋体" w:hAnsi="宋体"/>
          <w:b/>
          <w:color w:val="auto"/>
          <w:kern w:val="0"/>
          <w:highlight w:val="none"/>
          <w:lang w:val="zh-CN"/>
        </w:rPr>
        <w:t>磋商文件的修改、澄清</w:t>
      </w:r>
    </w:p>
    <w:p w14:paraId="34B45A37">
      <w:pPr>
        <w:widowControl/>
        <w:spacing w:line="400" w:lineRule="exact"/>
        <w:ind w:firstLine="420" w:firstLineChars="200"/>
        <w:rPr>
          <w:rFonts w:ascii="宋体" w:hAnsi="宋体"/>
          <w:bCs/>
          <w:color w:val="auto"/>
          <w:kern w:val="0"/>
          <w:highlight w:val="none"/>
          <w:lang w:val="zh-CN"/>
        </w:rPr>
      </w:pPr>
      <w:bookmarkStart w:id="36" w:name="_Toc393201710"/>
      <w:bookmarkStart w:id="37" w:name="_Toc326937533"/>
      <w:bookmarkStart w:id="38" w:name="_Toc333842547"/>
      <w:bookmarkStart w:id="39" w:name="_Toc358384691"/>
      <w:r>
        <w:rPr>
          <w:rFonts w:hint="eastAsia" w:ascii="宋体" w:hAnsi="宋体"/>
          <w:bCs/>
          <w:color w:val="auto"/>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5A00E021">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9.2不论采购人向供应商发送的资料文件，还是供应商提出的问题，均采用信息发布网上公告形式，任何口头提问及答复一律无效。</w:t>
      </w:r>
    </w:p>
    <w:p w14:paraId="429C601E">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cs="宋体"/>
          <w:b w:val="0"/>
          <w:bCs w:val="0"/>
          <w:color w:val="auto"/>
          <w:kern w:val="0"/>
          <w:sz w:val="21"/>
          <w:szCs w:val="21"/>
          <w:highlight w:val="none"/>
        </w:rPr>
      </w:pPr>
      <w:bookmarkStart w:id="40" w:name="_Toc504642667"/>
      <w:bookmarkStart w:id="41" w:name="_Toc433917263"/>
    </w:p>
    <w:p w14:paraId="68CF9EF5">
      <w:pPr>
        <w:widowControl/>
        <w:spacing w:line="400" w:lineRule="exact"/>
        <w:jc w:val="center"/>
        <w:outlineLvl w:val="2"/>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三、响应文件的编制</w:t>
      </w:r>
      <w:bookmarkEnd w:id="36"/>
      <w:bookmarkEnd w:id="37"/>
      <w:bookmarkEnd w:id="38"/>
      <w:bookmarkEnd w:id="39"/>
      <w:bookmarkEnd w:id="40"/>
      <w:bookmarkEnd w:id="41"/>
    </w:p>
    <w:p w14:paraId="71254076">
      <w:pPr>
        <w:keepNext w:val="0"/>
        <w:keepLines w:val="0"/>
        <w:pageBreakBefore w:val="0"/>
        <w:widowControl/>
        <w:kinsoku/>
        <w:wordWrap/>
        <w:overflowPunct/>
        <w:topLinePunct w:val="0"/>
        <w:bidi w:val="0"/>
        <w:spacing w:line="400" w:lineRule="exact"/>
        <w:ind w:firstLine="422" w:firstLineChars="200"/>
        <w:jc w:val="both"/>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10.响应文件的构成</w:t>
      </w:r>
    </w:p>
    <w:p w14:paraId="108827C9">
      <w:pPr>
        <w:keepNext w:val="0"/>
        <w:keepLines w:val="0"/>
        <w:pageBreakBefore w:val="0"/>
        <w:kinsoku/>
        <w:wordWrap/>
        <w:overflowPunct/>
        <w:topLinePunct w:val="0"/>
        <w:bidi w:val="0"/>
        <w:adjustRightInd w:val="0"/>
        <w:snapToGrid w:val="0"/>
        <w:spacing w:line="400" w:lineRule="exact"/>
        <w:ind w:firstLine="422" w:firstLineChars="20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响应文件均</w:t>
      </w:r>
      <w:r>
        <w:rPr>
          <w:rFonts w:hint="eastAsia" w:ascii="宋体" w:hAnsi="宋体" w:eastAsia="宋体" w:cs="宋体"/>
          <w:b/>
          <w:bCs/>
          <w:color w:val="auto"/>
          <w:kern w:val="0"/>
          <w:sz w:val="21"/>
          <w:szCs w:val="21"/>
          <w:highlight w:val="none"/>
        </w:rPr>
        <w:t>由资格证明文件、技术商务文件、报价文件三部分组成。电子响应文件中须加盖公章部分均采用CA签章。</w:t>
      </w:r>
    </w:p>
    <w:p w14:paraId="573A15C6">
      <w:pPr>
        <w:keepNext w:val="0"/>
        <w:keepLines w:val="0"/>
        <w:pageBreakBefore w:val="0"/>
        <w:widowControl/>
        <w:kinsoku/>
        <w:wordWrap/>
        <w:overflowPunct/>
        <w:topLinePunct w:val="0"/>
        <w:autoSpaceDE/>
        <w:autoSpaceDN/>
        <w:bidi w:val="0"/>
        <w:adjustRightInd/>
        <w:snapToGrid/>
        <w:spacing w:line="400" w:lineRule="exact"/>
        <w:ind w:firstLine="210" w:firstLineChars="100"/>
        <w:jc w:val="both"/>
        <w:textAlignment w:val="auto"/>
        <w:rPr>
          <w:rFonts w:hint="eastAsia" w:ascii="宋体" w:hAnsi="宋体" w:eastAsia="宋体" w:cs="宋体"/>
          <w:b/>
          <w:bCs/>
          <w:color w:val="auto"/>
          <w:kern w:val="0"/>
          <w:sz w:val="21"/>
          <w:szCs w:val="21"/>
          <w:highlight w:val="none"/>
          <w:shd w:val="clear" w:color="auto" w:fill="FFFFFF"/>
          <w:lang w:val="en-US" w:eastAsia="zh-CN"/>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shd w:val="clear" w:color="auto" w:fill="FFFFFF"/>
        </w:rPr>
        <w:t>10.1资格证明文件</w:t>
      </w:r>
    </w:p>
    <w:p w14:paraId="15AD296B">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10.1.1包括但不限于以下内容：</w:t>
      </w:r>
    </w:p>
    <w:p w14:paraId="3DD98801">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（1）符合参加政府采购活动应当具备的一般条件的承诺函（格式附后）；</w:t>
      </w:r>
    </w:p>
    <w:p w14:paraId="78010D7C">
      <w:pPr>
        <w:keepNext w:val="0"/>
        <w:keepLines w:val="0"/>
        <w:pageBreakBefore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（2）法人或者其他组织的营业执照等证明文件扫描件；</w:t>
      </w:r>
    </w:p>
    <w:p w14:paraId="182F737F">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eastAsia="zh-CN"/>
        </w:rPr>
        <w:t>法定代表人身份证明及身份证（正、反面）原件扫描件</w:t>
      </w:r>
      <w:r>
        <w:rPr>
          <w:rFonts w:hint="eastAsia" w:ascii="宋体" w:hAnsi="宋体" w:eastAsia="宋体" w:cs="宋体"/>
          <w:color w:val="auto"/>
          <w:sz w:val="21"/>
          <w:szCs w:val="21"/>
          <w:highlight w:val="none"/>
        </w:rPr>
        <w:t>；</w:t>
      </w:r>
    </w:p>
    <w:p w14:paraId="7EAD4DCA">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）法定代表人授权委托书（如为授权委托人参加磋商，格式附后）；</w:t>
      </w:r>
    </w:p>
    <w:p w14:paraId="3650D0E4">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（5）中小企业声明函；</w:t>
      </w:r>
    </w:p>
    <w:p w14:paraId="5BCA4BFC">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（6）残疾人福利性单位声明函； </w:t>
      </w:r>
    </w:p>
    <w:p w14:paraId="5BDC375D">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（7）省级以上监狱管理局、戒毒管理局（含新疆生产建设兵团）出具的属于监狱企业的证明文件；</w:t>
      </w:r>
    </w:p>
    <w:p w14:paraId="06A8EA24">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）响应方需要说明的其他文件和说明（格式自拟）。</w:t>
      </w:r>
    </w:p>
    <w:p w14:paraId="5493456C">
      <w:pPr>
        <w:keepNext w:val="0"/>
        <w:keepLines w:val="0"/>
        <w:pageBreakBefore w:val="0"/>
        <w:widowControl/>
        <w:kinsoku/>
        <w:wordWrap/>
        <w:overflowPunct/>
        <w:topLinePunct w:val="0"/>
        <w:bidi w:val="0"/>
        <w:spacing w:line="400" w:lineRule="exact"/>
        <w:ind w:firstLine="422" w:firstLineChars="200"/>
        <w:jc w:val="both"/>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10.2技术商务文件</w:t>
      </w:r>
    </w:p>
    <w:p w14:paraId="5B6B76E1">
      <w:pPr>
        <w:keepNext w:val="0"/>
        <w:keepLines w:val="0"/>
        <w:pageBreakBefore w:val="0"/>
        <w:widowControl/>
        <w:kinsoku/>
        <w:wordWrap/>
        <w:overflowPunct/>
        <w:topLinePunct w:val="0"/>
        <w:autoSpaceDE/>
        <w:autoSpaceDN/>
        <w:bidi w:val="0"/>
        <w:adjustRightInd/>
        <w:snapToGrid/>
        <w:spacing w:line="400" w:lineRule="exact"/>
        <w:ind w:firstLine="210" w:firstLineChars="1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▲（1）政府采购项目供应商技术商务评分索引表；</w:t>
      </w:r>
    </w:p>
    <w:p w14:paraId="4027346F">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（2）技术参数偏离表；</w:t>
      </w:r>
    </w:p>
    <w:p w14:paraId="650A6DA5">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（3）项目业绩；</w:t>
      </w:r>
    </w:p>
    <w:p w14:paraId="753AB194">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（4）项目组成人员；</w:t>
      </w:r>
    </w:p>
    <w:p w14:paraId="31660648">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（5）特殊情况或紧急重大情况响应时间；</w:t>
      </w:r>
    </w:p>
    <w:p w14:paraId="5ABE3503">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（6）项目实施方案；</w:t>
      </w:r>
    </w:p>
    <w:p w14:paraId="264B1717">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（7）技术培训；</w:t>
      </w:r>
    </w:p>
    <w:p w14:paraId="64B2F9A8">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（8）售后服务；</w:t>
      </w:r>
    </w:p>
    <w:p w14:paraId="547B3D8B">
      <w:pPr>
        <w:keepNext w:val="0"/>
        <w:keepLines w:val="0"/>
        <w:pageBreakBefore w:val="0"/>
        <w:widowControl/>
        <w:kinsoku/>
        <w:wordWrap/>
        <w:overflowPunct/>
        <w:topLinePunct w:val="0"/>
        <w:bidi w:val="0"/>
        <w:spacing w:line="400" w:lineRule="exact"/>
        <w:ind w:firstLine="420" w:firstLineChars="200"/>
        <w:jc w:val="both"/>
        <w:textAlignment w:val="auto"/>
        <w:rPr>
          <w:rStyle w:val="38"/>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shd w:val="clear" w:color="auto" w:fill="FFFFFF"/>
        </w:rPr>
        <w:t>（9）投标人需要说明的其他文件和说明（格式自拟）。</w:t>
      </w:r>
    </w:p>
    <w:p w14:paraId="55CDD151">
      <w:pPr>
        <w:keepNext w:val="0"/>
        <w:keepLines w:val="0"/>
        <w:pageBreakBefore w:val="0"/>
        <w:widowControl/>
        <w:kinsoku/>
        <w:wordWrap/>
        <w:overflowPunct/>
        <w:topLinePunct w:val="0"/>
        <w:bidi w:val="0"/>
        <w:spacing w:line="400" w:lineRule="exact"/>
        <w:ind w:firstLine="422" w:firstLineChars="200"/>
        <w:jc w:val="both"/>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10.3 报价文件：</w:t>
      </w:r>
    </w:p>
    <w:p w14:paraId="3743BE40">
      <w:pPr>
        <w:keepNext w:val="0"/>
        <w:keepLines w:val="0"/>
        <w:pageBreakBefore w:val="0"/>
        <w:kinsoku/>
        <w:wordWrap/>
        <w:overflowPunct/>
        <w:topLinePunct w:val="0"/>
        <w:autoSpaceDE w:val="0"/>
        <w:autoSpaceDN w:val="0"/>
        <w:bidi w:val="0"/>
        <w:spacing w:line="4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包括但不限于以下内容：</w:t>
      </w:r>
    </w:p>
    <w:p w14:paraId="75B4B6D5">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▲（1）响应函（格式附后）； </w:t>
      </w:r>
    </w:p>
    <w:p w14:paraId="7486D08A">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▲（2）响应一览表（格式附后）；</w:t>
      </w:r>
    </w:p>
    <w:p w14:paraId="5939EDA8">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▲（3）投标报价明细表；</w:t>
      </w:r>
    </w:p>
    <w:p w14:paraId="69236EAD">
      <w:pPr>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人需要说明的其他文件和说明。</w:t>
      </w:r>
    </w:p>
    <w:p w14:paraId="4E48DD12">
      <w:pPr>
        <w:keepNext w:val="0"/>
        <w:keepLines w:val="0"/>
        <w:pageBreakBefore w:val="0"/>
        <w:kinsoku/>
        <w:wordWrap/>
        <w:overflowPunct/>
        <w:topLinePunct w:val="0"/>
        <w:bidi w:val="0"/>
        <w:spacing w:line="400" w:lineRule="exact"/>
        <w:ind w:firstLine="422" w:firstLineChars="200"/>
        <w:jc w:val="both"/>
        <w:textAlignment w:val="auto"/>
        <w:rPr>
          <w:rFonts w:hint="eastAsia" w:ascii="宋体" w:hAnsi="宋体" w:eastAsia="宋体" w:cs="宋体"/>
          <w:b/>
          <w:color w:val="auto"/>
          <w:kern w:val="0"/>
          <w:sz w:val="21"/>
          <w:szCs w:val="21"/>
          <w:highlight w:val="none"/>
          <w:shd w:val="clear" w:color="auto" w:fill="FFFFFF"/>
        </w:rPr>
      </w:pPr>
      <w:r>
        <w:rPr>
          <w:rFonts w:hint="eastAsia" w:ascii="宋体" w:hAnsi="宋体" w:eastAsia="宋体" w:cs="宋体"/>
          <w:b/>
          <w:color w:val="auto"/>
          <w:kern w:val="0"/>
          <w:sz w:val="21"/>
          <w:szCs w:val="21"/>
          <w:highlight w:val="none"/>
          <w:shd w:val="clear" w:color="auto" w:fill="FFFFFF"/>
        </w:rPr>
        <w:t xml:space="preserve">11.响应文件的语言及计量单位 </w:t>
      </w:r>
    </w:p>
    <w:p w14:paraId="217C38F4">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响应文件以及供应商与采购人就有关磋商事宜的所有来往函电，均应以中文汉语书写。除签名、盖章、专用名称等特殊情形外，以中文汉语以外的文字表述的响应文件视同未提供。</w:t>
      </w:r>
    </w:p>
    <w:p w14:paraId="2BCB85CC">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除技术性能中另有规定外，响应文件所使用的计量单位，一律使用法定计量单位。</w:t>
      </w:r>
    </w:p>
    <w:p w14:paraId="1E200DB5">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11.3磋商文件已有明确规定的，使用磋商文件规定的计量单位；磋商文件没有规定的，应采用中华人民共和国法定计量单位（货币单位：人民币元），否则视同未响应。</w:t>
      </w:r>
    </w:p>
    <w:p w14:paraId="1D791BFE">
      <w:pPr>
        <w:keepNext w:val="0"/>
        <w:keepLines w:val="0"/>
        <w:pageBreakBefore w:val="0"/>
        <w:widowControl/>
        <w:tabs>
          <w:tab w:val="center" w:pos="4771"/>
        </w:tabs>
        <w:kinsoku/>
        <w:wordWrap/>
        <w:overflowPunct/>
        <w:topLinePunct w:val="0"/>
        <w:autoSpaceDE/>
        <w:autoSpaceDN/>
        <w:bidi w:val="0"/>
        <w:adjustRightInd/>
        <w:snapToGrid/>
        <w:spacing w:line="400" w:lineRule="exact"/>
        <w:ind w:firstLine="211" w:firstLineChars="100"/>
        <w:jc w:val="both"/>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▲12.磋商报价</w:t>
      </w:r>
    </w:p>
    <w:p w14:paraId="4940F9B3">
      <w:pPr>
        <w:keepNext w:val="0"/>
        <w:keepLines w:val="0"/>
        <w:pageBreakBefore w:val="0"/>
        <w:kinsoku/>
        <w:wordWrap/>
        <w:overflowPunct/>
        <w:topLinePunct w:val="0"/>
        <w:bidi w:val="0"/>
        <w:spacing w:line="400" w:lineRule="exact"/>
        <w:ind w:firstLine="422" w:firstLineChars="20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12.1 </w:t>
      </w:r>
      <w:r>
        <w:rPr>
          <w:rFonts w:hint="eastAsia" w:ascii="宋体" w:hAnsi="宋体" w:eastAsia="宋体" w:cs="宋体"/>
          <w:b/>
          <w:bCs/>
          <w:color w:val="auto"/>
          <w:kern w:val="0"/>
          <w:sz w:val="21"/>
          <w:szCs w:val="21"/>
          <w:highlight w:val="none"/>
          <w:lang w:val="en-US" w:eastAsia="zh-CN"/>
        </w:rPr>
        <w:t>投标人的投标报价为含税总价（以人民币为结算单位），投标人报价应包括完成该项目所涉及的全部费用，应包括货物、随配附件、材料、备品备件、工具、厂家赠品、运抵指定交货地点费用、保险费、安装调试费、售后服务、培训及其他所有费用的总和。投标人的投标报价为整个采购项目的总报价，如有漏项，视同已包含在其总项目中，合同总价不做调整</w:t>
      </w:r>
      <w:r>
        <w:rPr>
          <w:rFonts w:hint="eastAsia" w:ascii="宋体" w:hAnsi="宋体" w:eastAsia="宋体" w:cs="宋体"/>
          <w:b/>
          <w:bCs/>
          <w:color w:val="auto"/>
          <w:sz w:val="21"/>
          <w:szCs w:val="21"/>
          <w:highlight w:val="none"/>
        </w:rPr>
        <w:t>。</w:t>
      </w:r>
    </w:p>
    <w:p w14:paraId="2CE07E7C">
      <w:pPr>
        <w:keepNext w:val="0"/>
        <w:keepLines w:val="0"/>
        <w:pageBreakBefore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响应方对《响应一览表》中的报价只能提出一个不变报价，采购人不接受任何有选择的报价。</w:t>
      </w:r>
    </w:p>
    <w:p w14:paraId="06AC45C6">
      <w:pPr>
        <w:keepNext w:val="0"/>
        <w:keepLines w:val="0"/>
        <w:pageBreakBefore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在服务内容相同的情况下，后轮磋商的价格、服务承诺及优惠条件等必须优于或等于前一轮磋商的价格、服务承诺及优惠条件。</w:t>
      </w:r>
    </w:p>
    <w:p w14:paraId="7CC483A6">
      <w:pPr>
        <w:keepNext w:val="0"/>
        <w:keepLines w:val="0"/>
        <w:pageBreakBefore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文字大写的数据与数字表示有差别，以大写为准。</w:t>
      </w:r>
    </w:p>
    <w:p w14:paraId="52F5B5FC">
      <w:pPr>
        <w:keepNext w:val="0"/>
        <w:keepLines w:val="0"/>
        <w:pageBreakBefore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 响应方应按上述条款的要求填写，作为磋商小组选定成交方的标准之一，但不能限制采购人以其它方式签订合同的权力。</w:t>
      </w:r>
    </w:p>
    <w:p w14:paraId="16D5E622">
      <w:pPr>
        <w:keepNext w:val="0"/>
        <w:keepLines w:val="0"/>
        <w:pageBreakBefore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13.响应文件的编写要求</w:t>
      </w:r>
    </w:p>
    <w:p w14:paraId="412E2D60">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Cs/>
          <w:color w:val="auto"/>
          <w:kern w:val="0"/>
          <w:sz w:val="21"/>
          <w:szCs w:val="21"/>
          <w:highlight w:val="none"/>
          <w:shd w:val="clear" w:color="auto" w:fill="FFFFFF"/>
        </w:rPr>
        <w:t>13</w:t>
      </w:r>
      <w:r>
        <w:rPr>
          <w:rFonts w:hint="eastAsia" w:ascii="宋体" w:hAnsi="宋体" w:eastAsia="宋体" w:cs="宋体"/>
          <w:color w:val="auto"/>
          <w:kern w:val="0"/>
          <w:sz w:val="21"/>
          <w:szCs w:val="21"/>
          <w:highlight w:val="none"/>
          <w:shd w:val="clear" w:color="auto" w:fill="FFFFFF"/>
        </w:rPr>
        <w:t>.1响应方应按本磋商文件规定的格式和顺序编制响应文件并标注页码，响应文件内容不完整、编排混乱导致响应文件被误读、漏读或者查找不到相关内容的，为供应商的责任。</w:t>
      </w:r>
    </w:p>
    <w:p w14:paraId="1CF4F496">
      <w:pPr>
        <w:keepNext w:val="0"/>
        <w:keepLines w:val="0"/>
        <w:pageBreakBefore w:val="0"/>
        <w:widowControl/>
        <w:kinsoku/>
        <w:wordWrap/>
        <w:overflowPunct/>
        <w:topLinePunct w:val="0"/>
        <w:autoSpaceDE/>
        <w:autoSpaceDN/>
        <w:bidi w:val="0"/>
        <w:adjustRightInd/>
        <w:snapToGrid/>
        <w:spacing w:line="400" w:lineRule="exact"/>
        <w:ind w:firstLine="210" w:firstLineChars="1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Cs/>
          <w:color w:val="auto"/>
          <w:kern w:val="0"/>
          <w:sz w:val="21"/>
          <w:szCs w:val="21"/>
          <w:highlight w:val="none"/>
          <w:shd w:val="clear" w:color="auto" w:fill="FFFFFF"/>
        </w:rPr>
        <w:t>▲13</w:t>
      </w:r>
      <w:r>
        <w:rPr>
          <w:rFonts w:hint="eastAsia" w:ascii="宋体" w:hAnsi="宋体" w:eastAsia="宋体" w:cs="宋体"/>
          <w:color w:val="auto"/>
          <w:kern w:val="0"/>
          <w:sz w:val="21"/>
          <w:szCs w:val="21"/>
          <w:highlight w:val="none"/>
          <w:shd w:val="clear" w:color="auto" w:fill="FFFFFF"/>
        </w:rPr>
        <w:t>.2 保证所提供的全部资料的真实性、完整性及有效性，对磋商文件作出实质性响应。否则，其响应文件可能被拒绝。</w:t>
      </w:r>
    </w:p>
    <w:p w14:paraId="4BDB01DB">
      <w:pPr>
        <w:keepNext w:val="0"/>
        <w:keepLines w:val="0"/>
        <w:pageBreakBefore w:val="0"/>
        <w:kinsoku/>
        <w:wordWrap/>
        <w:overflowPunct/>
        <w:topLinePunct w:val="0"/>
        <w:bidi w:val="0"/>
        <w:adjustRightInd w:val="0"/>
        <w:snapToGrid w:val="0"/>
        <w:spacing w:line="4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14.响应文件的制作</w:t>
      </w:r>
    </w:p>
    <w:p w14:paraId="2E042A75">
      <w:pPr>
        <w:keepNext w:val="0"/>
        <w:keepLines w:val="0"/>
        <w:pageBreakBefore w:val="0"/>
        <w:kinsoku/>
        <w:wordWrap/>
        <w:overflowPunct/>
        <w:topLinePunct w:val="0"/>
        <w:bidi w:val="0"/>
        <w:adjustRightInd w:val="0"/>
        <w:snapToGrid w:val="0"/>
        <w:spacing w:line="4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电子响应文件按“政采云供应商项目采购-电子招投标操作指南”及本磋商文件要求制作、加密并递交。</w:t>
      </w:r>
    </w:p>
    <w:p w14:paraId="75C196B4">
      <w:pPr>
        <w:keepNext w:val="0"/>
        <w:keepLines w:val="0"/>
        <w:pageBreakBefore w:val="0"/>
        <w:widowControl/>
        <w:kinsoku/>
        <w:wordWrap/>
        <w:overflowPunct/>
        <w:topLinePunct w:val="0"/>
        <w:bidi w:val="0"/>
        <w:spacing w:line="400" w:lineRule="exact"/>
        <w:ind w:firstLine="422" w:firstLineChars="200"/>
        <w:jc w:val="both"/>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15.磋商的有效期</w:t>
      </w:r>
    </w:p>
    <w:p w14:paraId="177D6E88">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15.1</w:t>
      </w:r>
      <w:r>
        <w:rPr>
          <w:rFonts w:hint="eastAsia" w:ascii="宋体" w:hAnsi="宋体" w:eastAsia="宋体" w:cs="宋体"/>
          <w:color w:val="auto"/>
          <w:sz w:val="21"/>
          <w:szCs w:val="21"/>
          <w:highlight w:val="none"/>
          <w:shd w:val="clear" w:color="auto" w:fill="FFFFFF"/>
        </w:rPr>
        <w:t>响应文件提交截止日起90日内。</w:t>
      </w:r>
    </w:p>
    <w:p w14:paraId="1A5F9334">
      <w:pPr>
        <w:keepNext w:val="0"/>
        <w:keepLines w:val="0"/>
        <w:pageBreakBefore w:val="0"/>
        <w:widowControl/>
        <w:kinsoku/>
        <w:wordWrap/>
        <w:overflowPunct/>
        <w:topLinePunct w:val="0"/>
        <w:bidi w:val="0"/>
        <w:spacing w:line="400" w:lineRule="exact"/>
        <w:ind w:firstLine="420" w:firstLineChars="200"/>
        <w:jc w:val="both"/>
        <w:textAlignment w:val="auto"/>
        <w:rPr>
          <w:rFonts w:hint="eastAsia" w:ascii="宋体" w:hAnsi="宋体" w:eastAsia="宋体" w:cs="宋体"/>
          <w:color w:val="auto"/>
          <w:spacing w:val="-8"/>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15.2 </w:t>
      </w:r>
      <w:r>
        <w:rPr>
          <w:rFonts w:hint="eastAsia" w:ascii="宋体" w:hAnsi="宋体" w:eastAsia="宋体" w:cs="宋体"/>
          <w:color w:val="auto"/>
          <w:spacing w:val="-8"/>
          <w:kern w:val="0"/>
          <w:sz w:val="21"/>
          <w:szCs w:val="21"/>
          <w:highlight w:val="none"/>
          <w:shd w:val="clear" w:color="auto" w:fill="FFFFFF"/>
        </w:rPr>
        <w:t>特殊情况下，采购人可与供应商协商延长磋商有效期。</w:t>
      </w:r>
    </w:p>
    <w:p w14:paraId="5F55BA02">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cs="宋体"/>
          <w:b w:val="0"/>
          <w:bCs w:val="0"/>
          <w:color w:val="auto"/>
          <w:kern w:val="0"/>
          <w:sz w:val="21"/>
          <w:szCs w:val="21"/>
          <w:highlight w:val="none"/>
        </w:rPr>
      </w:pPr>
      <w:bookmarkStart w:id="42" w:name="_Toc333842548"/>
      <w:bookmarkStart w:id="43" w:name="_Toc326937534"/>
      <w:bookmarkStart w:id="44" w:name="_Toc393201711"/>
      <w:bookmarkStart w:id="45" w:name="_Toc433917264"/>
      <w:bookmarkStart w:id="46" w:name="_Toc504642668"/>
      <w:bookmarkStart w:id="47" w:name="_Toc358384692"/>
    </w:p>
    <w:p w14:paraId="0404B8F0">
      <w:pPr>
        <w:widowControl/>
        <w:spacing w:line="400" w:lineRule="exact"/>
        <w:jc w:val="center"/>
        <w:outlineLvl w:val="2"/>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四、响应文件的递交</w:t>
      </w:r>
      <w:bookmarkEnd w:id="42"/>
      <w:bookmarkEnd w:id="43"/>
      <w:bookmarkEnd w:id="44"/>
      <w:bookmarkEnd w:id="45"/>
      <w:bookmarkEnd w:id="46"/>
      <w:bookmarkEnd w:id="47"/>
    </w:p>
    <w:p w14:paraId="33E0D3EC">
      <w:pPr>
        <w:pageBreakBefore w:val="0"/>
        <w:widowControl/>
        <w:kinsoku/>
        <w:wordWrap/>
        <w:overflowPunct/>
        <w:topLinePunct w:val="0"/>
        <w:bidi w:val="0"/>
        <w:spacing w:line="400" w:lineRule="exact"/>
        <w:ind w:firstLine="422" w:firstLineChars="200"/>
        <w:jc w:val="both"/>
        <w:textAlignment w:val="auto"/>
        <w:outlineLvl w:val="9"/>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16. 响应文件的签署</w:t>
      </w:r>
    </w:p>
    <w:p w14:paraId="3B967C36">
      <w:pPr>
        <w:pageBreakBefore w:val="0"/>
        <w:kinsoku/>
        <w:wordWrap/>
        <w:overflowPunct/>
        <w:topLinePunct w:val="0"/>
        <w:bidi w:val="0"/>
        <w:spacing w:line="400" w:lineRule="exact"/>
        <w:ind w:firstLine="420" w:firstLineChars="200"/>
        <w:jc w:val="both"/>
        <w:textAlignment w:val="auto"/>
        <w:outlineLvl w:val="9"/>
        <w:rPr>
          <w:rFonts w:hint="eastAsia" w:ascii="宋体" w:hAnsi="宋体" w:eastAsia="宋体" w:cs="宋体"/>
          <w:bCs/>
          <w:color w:val="auto"/>
          <w:highlight w:val="none"/>
        </w:rPr>
      </w:pPr>
      <w:r>
        <w:rPr>
          <w:rFonts w:hint="eastAsia" w:ascii="宋体" w:hAnsi="宋体" w:eastAsia="宋体" w:cs="宋体"/>
          <w:bCs/>
          <w:color w:val="auto"/>
          <w:highlight w:val="none"/>
        </w:rPr>
        <w:t>16.1电子响应文件按“政采云平台供应商项目采购-电子招投标操作指南”</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及本磋商文件规定的格式和顺序编制电子响应文件并进行关联定位，</w:t>
      </w:r>
      <w:r>
        <w:rPr>
          <w:rFonts w:hint="eastAsia" w:ascii="宋体" w:hAnsi="宋体" w:eastAsia="宋体" w:cs="宋体"/>
          <w:bCs/>
          <w:color w:val="auto"/>
          <w:highlight w:val="none"/>
          <w:lang w:val="en-US" w:eastAsia="zh-CN"/>
        </w:rPr>
        <w:t>电子</w:t>
      </w:r>
      <w:r>
        <w:rPr>
          <w:rFonts w:hint="eastAsia" w:ascii="宋体" w:hAnsi="宋体" w:eastAsia="宋体" w:cs="宋体"/>
          <w:bCs/>
          <w:color w:val="auto"/>
          <w:highlight w:val="none"/>
        </w:rPr>
        <w:t>响应文件内容不完整、编排混乱、关联错误导致</w:t>
      </w:r>
      <w:r>
        <w:rPr>
          <w:rFonts w:hint="eastAsia" w:ascii="宋体" w:hAnsi="宋体" w:eastAsia="宋体" w:cs="宋体"/>
          <w:bCs/>
          <w:color w:val="auto"/>
          <w:highlight w:val="none"/>
          <w:lang w:val="en-US" w:eastAsia="zh-CN"/>
        </w:rPr>
        <w:t>响应</w:t>
      </w:r>
      <w:r>
        <w:rPr>
          <w:rFonts w:hint="eastAsia" w:ascii="宋体" w:hAnsi="宋体" w:eastAsia="宋体" w:cs="宋体"/>
          <w:bCs/>
          <w:color w:val="auto"/>
          <w:highlight w:val="none"/>
        </w:rPr>
        <w:t>文件被误读、漏读或者查找不到相关内容的，是响应人的责任。</w:t>
      </w:r>
      <w:r>
        <w:rPr>
          <w:rFonts w:hint="eastAsia" w:ascii="宋体" w:hAnsi="宋体" w:eastAsia="宋体" w:cs="宋体"/>
          <w:bCs/>
          <w:color w:val="auto"/>
          <w:highlight w:val="none"/>
        </w:rPr>
        <w:fldChar w:fldCharType="end"/>
      </w:r>
    </w:p>
    <w:p w14:paraId="677F500F">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bCs/>
          <w:color w:val="auto"/>
          <w:highlight w:val="none"/>
        </w:rPr>
      </w:pPr>
      <w:r>
        <w:rPr>
          <w:rFonts w:hint="eastAsia" w:ascii="宋体" w:hAnsi="宋体" w:eastAsia="宋体" w:cs="宋体"/>
          <w:bCs/>
          <w:color w:val="auto"/>
          <w:highlight w:val="none"/>
        </w:rPr>
        <w:t>▲16.2电子响应文件中须加盖公章部分均采用CA签章。</w:t>
      </w:r>
    </w:p>
    <w:p w14:paraId="77FCFE3C">
      <w:pPr>
        <w:pageBreakBefore w:val="0"/>
        <w:widowControl/>
        <w:kinsoku/>
        <w:wordWrap/>
        <w:overflowPunct/>
        <w:topLinePunct w:val="0"/>
        <w:bidi w:val="0"/>
        <w:spacing w:line="400" w:lineRule="exact"/>
        <w:ind w:firstLine="422" w:firstLineChars="200"/>
        <w:jc w:val="both"/>
        <w:textAlignment w:val="auto"/>
        <w:outlineLvl w:val="9"/>
        <w:rPr>
          <w:rFonts w:hint="eastAsia" w:ascii="宋体" w:hAnsi="宋体" w:eastAsia="宋体" w:cs="宋体"/>
          <w:bCs/>
          <w:color w:val="auto"/>
          <w:highlight w:val="none"/>
        </w:rPr>
      </w:pPr>
      <w:bookmarkStart w:id="48" w:name="_Toc333842549"/>
      <w:bookmarkStart w:id="49" w:name="_Toc326937535"/>
      <w:bookmarkStart w:id="50" w:name="_Toc504642669"/>
      <w:bookmarkStart w:id="51" w:name="_Toc433917265"/>
      <w:bookmarkStart w:id="52" w:name="_Toc358384693"/>
      <w:bookmarkStart w:id="53" w:name="_Toc393201712"/>
      <w:r>
        <w:rPr>
          <w:rFonts w:hint="eastAsia" w:ascii="宋体" w:hAnsi="宋体" w:eastAsia="宋体" w:cs="宋体"/>
          <w:b/>
          <w:bCs/>
          <w:color w:val="auto"/>
          <w:kern w:val="0"/>
          <w:highlight w:val="none"/>
        </w:rPr>
        <w:t>17.响应文件提交截止时间和磋商地址</w:t>
      </w:r>
    </w:p>
    <w:p w14:paraId="5464949F">
      <w:pPr>
        <w:pStyle w:val="27"/>
        <w:pageBreakBefore w:val="0"/>
        <w:tabs>
          <w:tab w:val="left" w:pos="6930"/>
        </w:tabs>
        <w:kinsoku/>
        <w:wordWrap/>
        <w:overflowPunct/>
        <w:topLinePunct w:val="0"/>
        <w:bidi w:val="0"/>
        <w:spacing w:beforeAutospacing="0" w:afterAutospacing="0" w:line="400" w:lineRule="exact"/>
        <w:ind w:firstLine="420" w:firstLineChars="200"/>
        <w:jc w:val="both"/>
        <w:textAlignment w:val="auto"/>
        <w:outlineLvl w:val="9"/>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17.1截止时间：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31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16:00 </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r>
        <w:rPr>
          <w:rFonts w:hint="eastAsia" w:ascii="宋体" w:hAnsi="宋体" w:eastAsia="宋体" w:cs="宋体"/>
          <w:bCs/>
          <w:color w:val="auto"/>
          <w:kern w:val="2"/>
          <w:sz w:val="21"/>
          <w:szCs w:val="21"/>
          <w:highlight w:val="none"/>
        </w:rPr>
        <w:t>，逾期不受理；</w:t>
      </w:r>
    </w:p>
    <w:p w14:paraId="08BA4B06">
      <w:pPr>
        <w:pStyle w:val="17"/>
        <w:pageBreakBefore w:val="0"/>
        <w:kinsoku/>
        <w:wordWrap/>
        <w:overflowPunct/>
        <w:topLinePunct w:val="0"/>
        <w:bidi w:val="0"/>
        <w:adjustRightInd w:val="0"/>
        <w:snapToGrid w:val="0"/>
        <w:spacing w:line="400" w:lineRule="exact"/>
        <w:ind w:firstLine="420" w:firstLineChars="200"/>
        <w:jc w:val="both"/>
        <w:textAlignment w:val="auto"/>
        <w:outlineLvl w:val="9"/>
        <w:rPr>
          <w:rFonts w:hint="eastAsia" w:ascii="宋体" w:hAnsi="宋体" w:eastAsia="宋体" w:cs="宋体"/>
          <w:b/>
          <w:strike/>
          <w:color w:val="auto"/>
          <w:highlight w:val="none"/>
        </w:rPr>
      </w:pPr>
      <w:r>
        <w:rPr>
          <w:rFonts w:hint="eastAsia" w:ascii="宋体" w:hAnsi="宋体" w:eastAsia="宋体" w:cs="宋体"/>
          <w:bCs/>
          <w:color w:val="auto"/>
          <w:highlight w:val="none"/>
        </w:rPr>
        <w:t>17.2地点：开化县公共资源交易中心开标区(开化县凤凰南路2号5楼)。</w:t>
      </w:r>
    </w:p>
    <w:p w14:paraId="1079E173">
      <w:pPr>
        <w:pageBreakBefore w:val="0"/>
        <w:widowControl/>
        <w:kinsoku/>
        <w:wordWrap/>
        <w:overflowPunct/>
        <w:topLinePunct w:val="0"/>
        <w:bidi w:val="0"/>
        <w:spacing w:line="400" w:lineRule="exact"/>
        <w:ind w:firstLine="422" w:firstLineChars="200"/>
        <w:jc w:val="both"/>
        <w:textAlignment w:val="auto"/>
        <w:outlineLvl w:val="9"/>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18.响应文件的补充、修改和撤回</w:t>
      </w:r>
    </w:p>
    <w:p w14:paraId="11F65E01">
      <w:pPr>
        <w:pageBreakBefore w:val="0"/>
        <w:kinsoku/>
        <w:wordWrap/>
        <w:overflowPunct/>
        <w:topLinePunct w:val="0"/>
        <w:autoSpaceDE w:val="0"/>
        <w:autoSpaceDN w:val="0"/>
        <w:bidi w:val="0"/>
        <w:adjustRightInd w:val="0"/>
        <w:snapToGrid w:val="0"/>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0"/>
          <w:highlight w:val="none"/>
        </w:rPr>
        <w:t>18.1</w:t>
      </w:r>
      <w:r>
        <w:rPr>
          <w:rFonts w:hint="eastAsia" w:ascii="宋体" w:hAnsi="宋体" w:eastAsia="宋体" w:cs="宋体"/>
          <w:color w:val="auto"/>
          <w:highlight w:val="none"/>
        </w:rPr>
        <w:t>响应人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3B618208">
      <w:pPr>
        <w:pageBreakBefore w:val="0"/>
        <w:kinsoku/>
        <w:wordWrap/>
        <w:overflowPunct/>
        <w:topLinePunct w:val="0"/>
        <w:bidi w:val="0"/>
        <w:snapToGrid w:val="0"/>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18.2在递交响应文件截止期之后，响应人不得对其响应文件做任何修改。</w:t>
      </w:r>
    </w:p>
    <w:p w14:paraId="74E023A6">
      <w:pPr>
        <w:pageBreakBefore w:val="0"/>
        <w:kinsoku/>
        <w:wordWrap/>
        <w:overflowPunct/>
        <w:topLinePunct w:val="0"/>
        <w:bidi w:val="0"/>
        <w:snapToGrid w:val="0"/>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18.3递交响应文件截止期后，响应人不得撤回其响应文件。</w:t>
      </w:r>
    </w:p>
    <w:p w14:paraId="13A983EF">
      <w:pPr>
        <w:pageBreakBefore w:val="0"/>
        <w:kinsoku/>
        <w:wordWrap/>
        <w:overflowPunct/>
        <w:topLinePunct w:val="0"/>
        <w:bidi w:val="0"/>
        <w:snapToGrid w:val="0"/>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18.4实质上没有响应本文件要求的响应文件将被拒绝。响应人不得通过修正或撤销不合要求的偏离或保留从而使其响应文件成为实质上响应的文件。</w:t>
      </w:r>
    </w:p>
    <w:p w14:paraId="74148822">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cs="宋体"/>
          <w:b w:val="0"/>
          <w:bCs w:val="0"/>
          <w:color w:val="auto"/>
          <w:kern w:val="0"/>
          <w:sz w:val="21"/>
          <w:szCs w:val="21"/>
          <w:highlight w:val="none"/>
        </w:rPr>
      </w:pPr>
    </w:p>
    <w:p w14:paraId="114DB53B">
      <w:pPr>
        <w:widowControl/>
        <w:spacing w:line="400" w:lineRule="exact"/>
        <w:jc w:val="center"/>
        <w:outlineLvl w:val="2"/>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五、磋商、</w:t>
      </w:r>
      <w:bookmarkEnd w:id="48"/>
      <w:bookmarkEnd w:id="49"/>
      <w:r>
        <w:rPr>
          <w:rFonts w:hint="eastAsia" w:ascii="宋体" w:hAnsi="宋体" w:cs="宋体"/>
          <w:b/>
          <w:bCs/>
          <w:color w:val="auto"/>
          <w:kern w:val="0"/>
          <w:sz w:val="28"/>
          <w:szCs w:val="28"/>
          <w:highlight w:val="none"/>
        </w:rPr>
        <w:t>评审</w:t>
      </w:r>
      <w:bookmarkEnd w:id="50"/>
      <w:bookmarkEnd w:id="51"/>
      <w:bookmarkEnd w:id="52"/>
      <w:bookmarkEnd w:id="53"/>
    </w:p>
    <w:p w14:paraId="1B1A66F3">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19.磋商会议程序</w:t>
      </w:r>
    </w:p>
    <w:p w14:paraId="0E4B6AB2">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19.1磋商后响应人登录政采云平台，用“项目采购-磋商评标”功能对电子响应文件进行在线解密。在线解密电子响应文件时间为磋商时间起30分钟内。</w:t>
      </w:r>
    </w:p>
    <w:p w14:paraId="348F820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19.2磋商会由采购代理机构主持，邀请所有响应人及有关监督人员参加。</w:t>
      </w:r>
    </w:p>
    <w:p w14:paraId="04C4785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19.3主持人介绍磋商现场的人员情况，告知响应人代表相关权利、义务、开评标纪律、应当回避的情形等注意事项；</w:t>
      </w:r>
    </w:p>
    <w:p w14:paraId="21A5D9D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19.4磋商小组对各供应商的资格证明文件进行评审，公布资格证明文件评审结果。</w:t>
      </w:r>
    </w:p>
    <w:p w14:paraId="5DAAD45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19.5磋商小组对各供应商的技术商务文件和报价文件进行评审；磋商小组分别与供应商就价格、服务等认为需要磋商的内容进行磋商。逐家磋商为一个轮次，磋商轮次由磋商小组视情况决定；</w:t>
      </w:r>
    </w:p>
    <w:p w14:paraId="3082C4B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19.6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45F073F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19.7由主持人宣布各供应商首次报价、技术资信得分与最后报价、总得分；</w:t>
      </w:r>
    </w:p>
    <w:p w14:paraId="01C00E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19.8磋商小组按磋商办法和细则规定推荐成交候选人；</w:t>
      </w:r>
    </w:p>
    <w:p w14:paraId="5624A0F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19.9主持人宣读评审结果；</w:t>
      </w:r>
    </w:p>
    <w:p w14:paraId="57E6D2D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bCs/>
          <w:color w:val="auto"/>
          <w:highlight w:val="none"/>
        </w:rPr>
        <w:t>19.10</w:t>
      </w:r>
      <w:r>
        <w:rPr>
          <w:rFonts w:hint="eastAsia" w:ascii="宋体" w:hAnsi="宋体" w:eastAsia="宋体" w:cs="宋体"/>
          <w:color w:val="auto"/>
          <w:kern w:val="0"/>
          <w:highlight w:val="none"/>
          <w:shd w:val="clear" w:color="auto" w:fill="FFFFFF"/>
        </w:rPr>
        <w:t>磋商会议结束。</w:t>
      </w:r>
    </w:p>
    <w:p w14:paraId="28B8E123">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特别说明：政采云公司如对电子化磋商及评审程序有调整的，按调整后的程序操作。</w:t>
      </w:r>
    </w:p>
    <w:p w14:paraId="361E7F58">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20.</w:t>
      </w:r>
      <w:r>
        <w:rPr>
          <w:rFonts w:hint="eastAsia" w:ascii="宋体" w:hAnsi="宋体" w:eastAsia="宋体" w:cs="宋体"/>
          <w:b/>
          <w:color w:val="auto"/>
          <w:kern w:val="0"/>
          <w:highlight w:val="none"/>
          <w:shd w:val="clear" w:color="auto" w:fill="FFFFFF"/>
        </w:rPr>
        <w:t>组建</w:t>
      </w:r>
      <w:r>
        <w:rPr>
          <w:rFonts w:hint="eastAsia" w:ascii="宋体" w:hAnsi="宋体" w:eastAsia="宋体" w:cs="宋体"/>
          <w:b/>
          <w:bCs/>
          <w:color w:val="auto"/>
          <w:kern w:val="0"/>
          <w:highlight w:val="none"/>
          <w:shd w:val="clear" w:color="auto" w:fill="FFFFFF"/>
        </w:rPr>
        <w:t>磋商小组</w:t>
      </w:r>
    </w:p>
    <w:p w14:paraId="18C81F2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20.1评审工作由磋商小组负责，磋商小组</w:t>
      </w:r>
      <w:r>
        <w:rPr>
          <w:rFonts w:hint="eastAsia" w:ascii="宋体" w:hAnsi="宋体" w:eastAsia="宋体" w:cs="宋体"/>
          <w:color w:val="auto"/>
          <w:highlight w:val="none"/>
        </w:rPr>
        <w:t>由采购人代表和评审专家组成，成员人数</w:t>
      </w:r>
      <w:r>
        <w:rPr>
          <w:rFonts w:hint="eastAsia" w:ascii="宋体" w:hAnsi="宋体" w:eastAsia="宋体" w:cs="宋体"/>
          <w:color w:val="auto"/>
          <w:kern w:val="0"/>
          <w:highlight w:val="none"/>
          <w:shd w:val="clear" w:color="auto" w:fill="FFFFFF"/>
        </w:rPr>
        <w:t>为5人</w:t>
      </w:r>
      <w:r>
        <w:rPr>
          <w:rFonts w:hint="eastAsia" w:ascii="宋体" w:hAnsi="宋体" w:eastAsia="宋体" w:cs="宋体"/>
          <w:color w:val="auto"/>
          <w:highlight w:val="none"/>
        </w:rPr>
        <w:t>，其中评审专家不得少于成员总数的三分之二</w:t>
      </w:r>
      <w:r>
        <w:rPr>
          <w:rFonts w:hint="eastAsia" w:ascii="宋体" w:hAnsi="宋体" w:eastAsia="宋体" w:cs="宋体"/>
          <w:color w:val="auto"/>
          <w:kern w:val="0"/>
          <w:highlight w:val="none"/>
          <w:shd w:val="clear" w:color="auto" w:fill="FFFFFF"/>
        </w:rPr>
        <w:t>；</w:t>
      </w:r>
    </w:p>
    <w:p w14:paraId="5AF8FA8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20.2</w:t>
      </w:r>
      <w:r>
        <w:rPr>
          <w:rFonts w:hint="eastAsia" w:ascii="宋体" w:hAnsi="宋体" w:eastAsia="宋体" w:cs="宋体"/>
          <w:bCs/>
          <w:color w:val="auto"/>
          <w:kern w:val="0"/>
          <w:highlight w:val="none"/>
          <w:shd w:val="clear" w:color="auto" w:fill="FFFFFF"/>
        </w:rPr>
        <w:t>磋商小组</w:t>
      </w:r>
      <w:r>
        <w:rPr>
          <w:rFonts w:hint="eastAsia" w:ascii="宋体" w:hAnsi="宋体" w:eastAsia="宋体" w:cs="宋体"/>
          <w:color w:val="auto"/>
          <w:kern w:val="0"/>
          <w:highlight w:val="none"/>
          <w:shd w:val="clear" w:color="auto" w:fill="FFFFFF"/>
        </w:rPr>
        <w:t>负责人由</w:t>
      </w:r>
      <w:r>
        <w:rPr>
          <w:rFonts w:hint="eastAsia" w:ascii="宋体" w:hAnsi="宋体" w:eastAsia="宋体" w:cs="宋体"/>
          <w:bCs/>
          <w:color w:val="auto"/>
          <w:kern w:val="0"/>
          <w:highlight w:val="none"/>
          <w:shd w:val="clear" w:color="auto" w:fill="FFFFFF"/>
        </w:rPr>
        <w:t>磋商小组</w:t>
      </w:r>
      <w:r>
        <w:rPr>
          <w:rFonts w:hint="eastAsia" w:ascii="宋体" w:hAnsi="宋体" w:eastAsia="宋体" w:cs="宋体"/>
          <w:color w:val="auto"/>
          <w:kern w:val="0"/>
          <w:highlight w:val="none"/>
          <w:shd w:val="clear" w:color="auto" w:fill="FFFFFF"/>
        </w:rPr>
        <w:t>成员推荐产生，采购人代表不得担任</w:t>
      </w:r>
      <w:r>
        <w:rPr>
          <w:rFonts w:hint="eastAsia" w:ascii="宋体" w:hAnsi="宋体" w:eastAsia="宋体" w:cs="宋体"/>
          <w:bCs/>
          <w:color w:val="auto"/>
          <w:kern w:val="0"/>
          <w:highlight w:val="none"/>
          <w:shd w:val="clear" w:color="auto" w:fill="FFFFFF"/>
        </w:rPr>
        <w:t>磋商小组</w:t>
      </w:r>
      <w:r>
        <w:rPr>
          <w:rFonts w:hint="eastAsia" w:ascii="宋体" w:hAnsi="宋体" w:eastAsia="宋体" w:cs="宋体"/>
          <w:color w:val="auto"/>
          <w:kern w:val="0"/>
          <w:highlight w:val="none"/>
          <w:shd w:val="clear" w:color="auto" w:fill="FFFFFF"/>
        </w:rPr>
        <w:t>负责人。</w:t>
      </w:r>
    </w:p>
    <w:p w14:paraId="0156C5AD">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21</w:t>
      </w:r>
      <w:bookmarkStart w:id="54" w:name="_Toc457934633"/>
      <w:r>
        <w:rPr>
          <w:rFonts w:hint="eastAsia" w:ascii="宋体" w:hAnsi="宋体" w:eastAsia="宋体" w:cs="宋体"/>
          <w:b/>
          <w:bCs/>
          <w:color w:val="auto"/>
          <w:kern w:val="0"/>
          <w:highlight w:val="none"/>
          <w:shd w:val="clear" w:color="auto" w:fill="FFFFFF"/>
        </w:rPr>
        <w:t>.磋商程序</w:t>
      </w:r>
      <w:bookmarkEnd w:id="54"/>
    </w:p>
    <w:p w14:paraId="60C8234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71FD03E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21.2磋商小组所有成员集中与单一供应商分别进行磋商，所有参加磋商的供应商均有同等的磋商机会。</w:t>
      </w:r>
    </w:p>
    <w:p w14:paraId="7EC2FE7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34175A9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21.4供应商应当按照磋商文件的变动情况和磋商小组的要求重新提交响应文件，并由其法定代表人或授权委托人签字或者加盖公章。</w:t>
      </w:r>
    </w:p>
    <w:p w14:paraId="714530D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446060D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21.6如磋商文件有实质性的变动，已提交响应文件的供应商，在提交最后报价之前，可以根据磋商情况退出磋商。</w:t>
      </w:r>
    </w:p>
    <w:p w14:paraId="7EA864D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11AE97C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2EA0A9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21.8 磋商小组根据综合评分情况，按照评审得分由高到低顺序推荐</w:t>
      </w:r>
      <w:r>
        <w:rPr>
          <w:rFonts w:hint="eastAsia" w:ascii="宋体" w:hAnsi="宋体" w:eastAsia="宋体" w:cs="宋体"/>
          <w:bCs/>
          <w:color w:val="auto"/>
          <w:kern w:val="0"/>
          <w:highlight w:val="none"/>
          <w:shd w:val="clear" w:color="auto" w:fill="FFFFFF"/>
          <w:lang w:val="en-US" w:eastAsia="zh-CN"/>
        </w:rPr>
        <w:t>1</w:t>
      </w:r>
      <w:r>
        <w:rPr>
          <w:rFonts w:hint="eastAsia" w:ascii="宋体" w:hAnsi="宋体" w:eastAsia="宋体" w:cs="宋体"/>
          <w:bCs/>
          <w:color w:val="auto"/>
          <w:kern w:val="0"/>
          <w:highlight w:val="none"/>
          <w:shd w:val="clear" w:color="auto" w:fill="FFFFFF"/>
        </w:rPr>
        <w:t>名成交候选供应商，并编写评审报告。磋商小组全体人员须在评审报告上签字确认。</w:t>
      </w:r>
    </w:p>
    <w:p w14:paraId="766AD91B">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22.评审原则</w:t>
      </w:r>
    </w:p>
    <w:p w14:paraId="5FBBFC09">
      <w:pPr>
        <w:pStyle w:val="1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22.1磋商小组必须公平、公正、客观，不带任何倾向性和启发性；不得向外界透露任何与评审有关的内容；任何单位和个人不得干扰、影响评审的正常进行；磋商小组及有关工作人员不得私下与响应方接触。</w:t>
      </w:r>
    </w:p>
    <w:p w14:paraId="27CE0D24">
      <w:pPr>
        <w:pStyle w:val="1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7D55219A">
      <w:pPr>
        <w:pStyle w:val="1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22.3磋商小组判断响应文件的响应性，仅基于响应文件本身而不靠外部证据。</w:t>
      </w:r>
    </w:p>
    <w:p w14:paraId="259D6BF8">
      <w:pPr>
        <w:pStyle w:val="1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73CEB789">
      <w:pPr>
        <w:pStyle w:val="1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22.5磋商小组发现采购文件存在歧义、重大缺陷导致评审工作无法进行，或者采购文件内容违反国家有关强制性规定的，应当停止评审工作，与采购人或者采购代理机构沟通并作书面记录</w:t>
      </w:r>
      <w:r>
        <w:rPr>
          <w:rFonts w:hint="eastAsia" w:ascii="宋体" w:hAnsi="宋体" w:eastAsia="宋体" w:cs="宋体"/>
          <w:bCs/>
          <w:color w:val="auto"/>
          <w:highlight w:val="none"/>
          <w:lang w:eastAsia="zh-CN"/>
        </w:rPr>
        <w:t>。</w:t>
      </w:r>
    </w:p>
    <w:p w14:paraId="36742DFA">
      <w:pPr>
        <w:pStyle w:val="1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22.6财政部令第87号《政府采购货物和服务招标响应管理办法》第三十一条规定：使用综合评分法的采购项目，提供相同品牌产品且通过资格审查、符合性审查的不同响应人参加同一合同项下响应的，按一家响应人计算，评审后得分最高的同品牌响应人获得中标人推荐资格；评审得分相同的，由采购人或者采购人委托评标委员会按照招标文件规定的方式确定一个响应人获得中标人推荐资格，招标文件未规定的采取随机抽取方式确定，其他同品牌响应人不作为中标候选人。</w:t>
      </w:r>
    </w:p>
    <w:p w14:paraId="0B84AADF">
      <w:pPr>
        <w:pStyle w:val="1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非单一产品采购项目，采购人应当根据采购项目技术构成、产品价格比重等合理确定核心产品，并在招标文件中载明。多家响应人提供的核心产品品牌相同的，按前款规定处理。</w:t>
      </w:r>
    </w:p>
    <w:p w14:paraId="69F5EF8A">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23、响应文件的澄清</w:t>
      </w:r>
    </w:p>
    <w:p w14:paraId="0593DF53">
      <w:pPr>
        <w:pStyle w:val="9"/>
        <w:keepNext w:val="0"/>
        <w:keepLines w:val="0"/>
        <w:pageBreakBefore w:val="0"/>
        <w:widowControl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21C1FC">
      <w:pPr>
        <w:pStyle w:val="9"/>
        <w:keepNext w:val="0"/>
        <w:keepLines w:val="0"/>
        <w:pageBreakBefore w:val="0"/>
        <w:widowControl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6C243AF3">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24.响应文件的错误修正</w:t>
      </w:r>
    </w:p>
    <w:p w14:paraId="1B04B933">
      <w:pPr>
        <w:pStyle w:val="9"/>
        <w:keepNext w:val="0"/>
        <w:keepLines w:val="0"/>
        <w:pageBreakBefore w:val="0"/>
        <w:widowControl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响应文件报价出现前后不一致的，按照下列规定修正：</w:t>
      </w:r>
    </w:p>
    <w:p w14:paraId="0D9BBCDB">
      <w:pPr>
        <w:pStyle w:val="9"/>
        <w:keepNext w:val="0"/>
        <w:keepLines w:val="0"/>
        <w:pageBreakBefore w:val="0"/>
        <w:widowControl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（一）响应文件中响应一览表（报价表）内容与响应文件中相应内容不一致的，以响应一览表（报价表）为准；</w:t>
      </w:r>
    </w:p>
    <w:p w14:paraId="18B6002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（二）大写金额和小写金额不一致的，以大写金额为准；</w:t>
      </w:r>
    </w:p>
    <w:p w14:paraId="453DB8F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（三）单价金额小数点或者百分比有明显错位的，以响应一览表的总价为准，并修改单价；</w:t>
      </w:r>
    </w:p>
    <w:p w14:paraId="51C0306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（四）总价金额与按单价汇总金额不一致的，以单价金额计算结果为准。</w:t>
      </w:r>
    </w:p>
    <w:p w14:paraId="226CBA7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highlight w:val="none"/>
        </w:rPr>
      </w:pPr>
      <w:r>
        <w:rPr>
          <w:rFonts w:hint="eastAsia" w:ascii="宋体" w:hAnsi="宋体" w:eastAsia="宋体" w:cs="宋体"/>
          <w:color w:val="auto"/>
          <w:highlight w:val="none"/>
        </w:rPr>
        <w:t>同时出现两种以上不一致的，按照前款规定的顺序修正。修正后的报价经响应方确认后产生约束力，响应方不确认的，其响应无效。</w:t>
      </w:r>
    </w:p>
    <w:p w14:paraId="1038E7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25.磋商办法</w:t>
      </w:r>
    </w:p>
    <w:p w14:paraId="318299F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25.1</w:t>
      </w:r>
      <w:r>
        <w:rPr>
          <w:rFonts w:hint="eastAsia" w:ascii="宋体" w:hAnsi="宋体" w:eastAsia="宋体" w:cs="宋体"/>
          <w:color w:val="auto"/>
          <w:highlight w:val="none"/>
        </w:rPr>
        <w:t>采用综合评分法的，满分为100分，其中报价分值</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分，技术商务等分值</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0分。评审结果按评审后得分由高到低顺序排列，响应文件满足采购文件全部实质性要求，且按照评审因素的量化指标评审得分最高的响应方为排名第一的成交候选人。</w:t>
      </w:r>
      <w:r>
        <w:rPr>
          <w:rFonts w:hint="eastAsia" w:ascii="宋体" w:hAnsi="宋体" w:eastAsia="宋体" w:cs="宋体"/>
          <w:color w:val="auto"/>
          <w:highlight w:val="none"/>
          <w:shd w:val="clear" w:color="auto" w:fill="FFFFFF"/>
        </w:rPr>
        <w:t>得分相同的，按</w:t>
      </w:r>
      <w:r>
        <w:rPr>
          <w:rFonts w:hint="eastAsia" w:ascii="宋体" w:hAnsi="宋体" w:eastAsia="宋体" w:cs="宋体"/>
          <w:color w:val="auto"/>
          <w:highlight w:val="none"/>
          <w:shd w:val="clear" w:color="auto" w:fill="FFFFFF"/>
          <w:lang w:eastAsia="zh-CN"/>
        </w:rPr>
        <w:t>磋商</w:t>
      </w:r>
      <w:r>
        <w:rPr>
          <w:rFonts w:hint="eastAsia" w:ascii="宋体" w:hAnsi="宋体" w:eastAsia="宋体" w:cs="宋体"/>
          <w:color w:val="auto"/>
          <w:highlight w:val="none"/>
          <w:shd w:val="clear" w:color="auto" w:fill="FFFFFF"/>
        </w:rPr>
        <w:t>报价由低到高顺序排列，得分且</w:t>
      </w:r>
      <w:r>
        <w:rPr>
          <w:rFonts w:hint="eastAsia" w:ascii="宋体" w:hAnsi="宋体" w:eastAsia="宋体" w:cs="宋体"/>
          <w:color w:val="auto"/>
          <w:highlight w:val="none"/>
          <w:shd w:val="clear" w:color="auto" w:fill="FFFFFF"/>
          <w:lang w:eastAsia="zh-CN"/>
        </w:rPr>
        <w:t>磋商</w:t>
      </w:r>
      <w:r>
        <w:rPr>
          <w:rFonts w:hint="eastAsia" w:ascii="宋体" w:hAnsi="宋体" w:eastAsia="宋体" w:cs="宋体"/>
          <w:color w:val="auto"/>
          <w:highlight w:val="none"/>
          <w:shd w:val="clear" w:color="auto" w:fill="FFFFFF"/>
        </w:rPr>
        <w:t>报价相同的采取随机抽取方式确定。</w:t>
      </w:r>
    </w:p>
    <w:p w14:paraId="169FD58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25.1.1综合评分法中的价格分统一采用低价优先法计算。</w:t>
      </w:r>
    </w:p>
    <w:p w14:paraId="4F86B8F7">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25.2评分标准表：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650"/>
        <w:gridCol w:w="5021"/>
        <w:gridCol w:w="1071"/>
        <w:gridCol w:w="983"/>
      </w:tblGrid>
      <w:tr w14:paraId="0DD7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8" w:type="dxa"/>
            <w:noWrap w:val="0"/>
            <w:vAlign w:val="center"/>
          </w:tcPr>
          <w:p w14:paraId="54D6CE0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650" w:type="dxa"/>
            <w:noWrap w:val="0"/>
            <w:vAlign w:val="center"/>
          </w:tcPr>
          <w:p w14:paraId="648163F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评分内容</w:t>
            </w:r>
          </w:p>
        </w:tc>
        <w:tc>
          <w:tcPr>
            <w:tcW w:w="5021" w:type="dxa"/>
            <w:noWrap w:val="0"/>
            <w:vAlign w:val="center"/>
          </w:tcPr>
          <w:p w14:paraId="19B3CC6F">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评分细则</w:t>
            </w:r>
          </w:p>
        </w:tc>
        <w:tc>
          <w:tcPr>
            <w:tcW w:w="1071" w:type="dxa"/>
            <w:noWrap w:val="0"/>
            <w:vAlign w:val="center"/>
          </w:tcPr>
          <w:p w14:paraId="6D7AF09A">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c>
          <w:tcPr>
            <w:tcW w:w="983" w:type="dxa"/>
            <w:noWrap w:val="0"/>
            <w:vAlign w:val="center"/>
          </w:tcPr>
          <w:p w14:paraId="7862026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类型</w:t>
            </w:r>
          </w:p>
        </w:tc>
      </w:tr>
      <w:tr w14:paraId="541A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8" w:type="dxa"/>
            <w:vMerge w:val="restart"/>
            <w:noWrap w:val="0"/>
            <w:vAlign w:val="center"/>
          </w:tcPr>
          <w:p w14:paraId="3E5C022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50" w:type="dxa"/>
            <w:vMerge w:val="restart"/>
            <w:noWrap w:val="0"/>
            <w:vAlign w:val="center"/>
          </w:tcPr>
          <w:p w14:paraId="5F2A610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技术参数</w:t>
            </w:r>
          </w:p>
        </w:tc>
        <w:tc>
          <w:tcPr>
            <w:tcW w:w="5021" w:type="dxa"/>
            <w:noWrap w:val="0"/>
            <w:vAlign w:val="center"/>
          </w:tcPr>
          <w:p w14:paraId="55A33919">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根据投标人所投产品响应招标文件采购需求三、采购清单及主要技术参数情况进行评分，完全满足招标文件的得</w:t>
            </w: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p>
          <w:p w14:paraId="437A0199">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1、技术要求中标注“★”条款为重点技术参数，一项负偏离扣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3A6790B">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对不带“★”的技术参数属负偏离每项扣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2AEA6703">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3、如负偏离或缺漏项总数在20项及以上的，属于重大偏离，作无效标处理</w:t>
            </w:r>
            <w:r>
              <w:rPr>
                <w:rFonts w:hint="eastAsia" w:ascii="宋体" w:hAnsi="宋体" w:eastAsia="宋体" w:cs="宋体"/>
                <w:color w:val="auto"/>
                <w:sz w:val="21"/>
                <w:szCs w:val="21"/>
                <w:highlight w:val="none"/>
              </w:rPr>
              <w:t>。</w:t>
            </w:r>
          </w:p>
        </w:tc>
        <w:tc>
          <w:tcPr>
            <w:tcW w:w="1071" w:type="dxa"/>
            <w:noWrap w:val="0"/>
            <w:vAlign w:val="center"/>
          </w:tcPr>
          <w:p w14:paraId="498F87A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lang w:eastAsia="zh-CN"/>
              </w:rPr>
              <w:t>分</w:t>
            </w:r>
          </w:p>
        </w:tc>
        <w:tc>
          <w:tcPr>
            <w:tcW w:w="983" w:type="dxa"/>
            <w:noWrap w:val="0"/>
            <w:vAlign w:val="center"/>
          </w:tcPr>
          <w:p w14:paraId="767AAB1C">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客观分</w:t>
            </w:r>
            <w:r>
              <w:rPr>
                <w:rFonts w:hint="eastAsia" w:ascii="宋体" w:hAnsi="宋体" w:eastAsia="宋体" w:cs="宋体"/>
                <w:color w:val="auto"/>
                <w:kern w:val="0"/>
                <w:sz w:val="21"/>
                <w:szCs w:val="21"/>
                <w:highlight w:val="none"/>
              </w:rPr>
              <w:t>　</w:t>
            </w:r>
          </w:p>
        </w:tc>
      </w:tr>
      <w:tr w14:paraId="42AA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8" w:type="dxa"/>
            <w:vMerge w:val="continue"/>
            <w:noWrap w:val="0"/>
            <w:vAlign w:val="center"/>
          </w:tcPr>
          <w:p w14:paraId="1D8790B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p>
        </w:tc>
        <w:tc>
          <w:tcPr>
            <w:tcW w:w="1650" w:type="dxa"/>
            <w:vMerge w:val="continue"/>
            <w:noWrap w:val="0"/>
            <w:vAlign w:val="center"/>
          </w:tcPr>
          <w:p w14:paraId="264CE56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021" w:type="dxa"/>
            <w:noWrap w:val="0"/>
            <w:vAlign w:val="center"/>
          </w:tcPr>
          <w:p w14:paraId="23D7902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bCs/>
                <w:color w:val="auto"/>
                <w:kern w:val="2"/>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分布式控制主机具有</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5芯航空接口，4路继电器控制功能，</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强电或弱电信号控制，可实现投影机升降控制、幕布升降控制、外部供电设备时序电源管理</w:t>
            </w:r>
            <w:r>
              <w:rPr>
                <w:rFonts w:hint="eastAsia" w:ascii="宋体" w:hAnsi="宋体" w:eastAsia="宋体" w:cs="宋体"/>
                <w:color w:val="auto"/>
                <w:sz w:val="21"/>
                <w:szCs w:val="21"/>
                <w:highlight w:val="none"/>
                <w:lang w:val="en-US" w:eastAsia="zh-CN"/>
              </w:rPr>
              <w:t>等；具有</w:t>
            </w:r>
            <w:r>
              <w:rPr>
                <w:rFonts w:hint="eastAsia" w:ascii="宋体" w:hAnsi="宋体" w:eastAsia="宋体" w:cs="宋体"/>
                <w:color w:val="auto"/>
                <w:sz w:val="21"/>
                <w:szCs w:val="21"/>
                <w:highlight w:val="none"/>
              </w:rPr>
              <w:t>智能温度感应模块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二维码扫码控制，支持微信扫码获取控制程序，对会议室设备进行无线控制，控制内容可编辑，支持语音指令控制；</w:t>
            </w:r>
            <w:r>
              <w:rPr>
                <w:rStyle w:val="57"/>
                <w:rFonts w:hint="eastAsia" w:ascii="宋体" w:hAnsi="宋体" w:eastAsia="宋体" w:cs="宋体"/>
                <w:color w:val="auto"/>
                <w:sz w:val="21"/>
                <w:szCs w:val="21"/>
                <w:highlight w:val="none"/>
                <w:lang w:val="en-US" w:eastAsia="zh-CN" w:bidi="ar"/>
              </w:rPr>
              <w:t>（</w:t>
            </w:r>
            <w:r>
              <w:rPr>
                <w:rStyle w:val="94"/>
                <w:rFonts w:hint="eastAsia" w:ascii="宋体" w:hAnsi="宋体" w:eastAsia="宋体" w:cs="宋体"/>
                <w:b w:val="0"/>
                <w:bCs w:val="0"/>
                <w:color w:val="auto"/>
                <w:sz w:val="21"/>
                <w:szCs w:val="21"/>
                <w:highlight w:val="none"/>
                <w:lang w:val="en-US" w:eastAsia="zh-CN" w:bidi="ar"/>
              </w:rPr>
              <w:t>提供具有CMA或CNAS标识的第三方检测构出具的检测报告证明</w:t>
            </w:r>
            <w:r>
              <w:rPr>
                <w:rFonts w:hint="eastAsia" w:ascii="宋体" w:hAnsi="宋体" w:eastAsia="宋体" w:cs="宋体"/>
                <w:i w:val="0"/>
                <w:iCs w:val="0"/>
                <w:color w:val="auto"/>
                <w:kern w:val="0"/>
                <w:sz w:val="21"/>
                <w:szCs w:val="21"/>
                <w:highlight w:val="none"/>
                <w:u w:val="none"/>
                <w:lang w:val="en-US" w:eastAsia="zh-CN" w:bidi="ar"/>
              </w:rPr>
              <w:t>的，得2分，未提供不得分。</w:t>
            </w:r>
            <w:r>
              <w:rPr>
                <w:rStyle w:val="57"/>
                <w:rFonts w:hint="eastAsia" w:ascii="宋体" w:hAnsi="宋体" w:eastAsia="宋体" w:cs="宋体"/>
                <w:color w:val="auto"/>
                <w:sz w:val="21"/>
                <w:szCs w:val="21"/>
                <w:highlight w:val="none"/>
                <w:lang w:val="en-US" w:eastAsia="zh-CN" w:bidi="ar"/>
              </w:rPr>
              <w:t>）</w:t>
            </w:r>
          </w:p>
        </w:tc>
        <w:tc>
          <w:tcPr>
            <w:tcW w:w="1071" w:type="dxa"/>
            <w:noWrap w:val="0"/>
            <w:vAlign w:val="center"/>
          </w:tcPr>
          <w:p w14:paraId="16812F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2"/>
                <w:sz w:val="21"/>
                <w:szCs w:val="21"/>
                <w:highlight w:val="none"/>
                <w:u w:val="none"/>
                <w:lang w:val="en-US" w:eastAsia="zh-CN" w:bidi="ar"/>
              </w:rPr>
            </w:pPr>
            <w:r>
              <w:rPr>
                <w:rStyle w:val="57"/>
                <w:rFonts w:hint="eastAsia" w:ascii="宋体" w:hAnsi="宋体" w:eastAsia="宋体" w:cs="宋体"/>
                <w:color w:val="auto"/>
                <w:sz w:val="21"/>
                <w:szCs w:val="21"/>
                <w:highlight w:val="none"/>
                <w:lang w:val="en-US" w:eastAsia="zh-CN" w:bidi="ar"/>
              </w:rPr>
              <w:t>2分</w:t>
            </w:r>
          </w:p>
        </w:tc>
        <w:tc>
          <w:tcPr>
            <w:tcW w:w="983" w:type="dxa"/>
            <w:noWrap w:val="0"/>
            <w:vAlign w:val="center"/>
          </w:tcPr>
          <w:p w14:paraId="61FB2E2A">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客观分</w:t>
            </w:r>
          </w:p>
        </w:tc>
      </w:tr>
      <w:tr w14:paraId="418E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8" w:type="dxa"/>
            <w:noWrap w:val="0"/>
            <w:vAlign w:val="center"/>
          </w:tcPr>
          <w:p w14:paraId="70F47D50">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650" w:type="dxa"/>
            <w:noWrap w:val="0"/>
            <w:vAlign w:val="center"/>
          </w:tcPr>
          <w:p w14:paraId="27825D5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项目业绩</w:t>
            </w:r>
          </w:p>
        </w:tc>
        <w:tc>
          <w:tcPr>
            <w:tcW w:w="5021" w:type="dxa"/>
            <w:noWrap w:val="0"/>
            <w:vAlign w:val="center"/>
          </w:tcPr>
          <w:p w14:paraId="32DBCFA8">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投标人自2021年1月1日起至投标截止日（以合同签订时间为准）的类似项目业绩，每提供一个得1分，最高得3分。类似项目业绩指：扩声</w:t>
            </w:r>
            <w:r>
              <w:rPr>
                <w:rFonts w:hint="eastAsia" w:ascii="宋体" w:hAnsi="宋体" w:cs="宋体"/>
                <w:kern w:val="2"/>
                <w:sz w:val="21"/>
                <w:szCs w:val="21"/>
                <w:highlight w:val="none"/>
                <w:lang w:val="en-US" w:eastAsia="zh-CN" w:bidi="ar-SA"/>
              </w:rPr>
              <w:t>或</w:t>
            </w:r>
            <w:r>
              <w:rPr>
                <w:rFonts w:hint="eastAsia" w:ascii="宋体" w:hAnsi="宋体" w:eastAsia="宋体" w:cs="宋体"/>
                <w:kern w:val="2"/>
                <w:sz w:val="21"/>
                <w:szCs w:val="21"/>
                <w:highlight w:val="none"/>
                <w:lang w:val="en-US" w:eastAsia="zh-CN" w:bidi="ar-SA"/>
              </w:rPr>
              <w:t>灯光系统项目采购。</w:t>
            </w:r>
          </w:p>
          <w:p w14:paraId="5E0FF89F">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须同时提供业绩证明材料：采购合同文本，否则不得分。</w:t>
            </w:r>
          </w:p>
        </w:tc>
        <w:tc>
          <w:tcPr>
            <w:tcW w:w="1071" w:type="dxa"/>
            <w:noWrap w:val="0"/>
            <w:vAlign w:val="center"/>
          </w:tcPr>
          <w:p w14:paraId="6E3771A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分</w:t>
            </w:r>
          </w:p>
        </w:tc>
        <w:tc>
          <w:tcPr>
            <w:tcW w:w="983" w:type="dxa"/>
            <w:noWrap w:val="0"/>
            <w:vAlign w:val="center"/>
          </w:tcPr>
          <w:p w14:paraId="3BB564E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FF0000"/>
                <w:kern w:val="0"/>
                <w:sz w:val="21"/>
                <w:szCs w:val="21"/>
                <w:highlight w:val="none"/>
                <w:lang w:val="en-US" w:eastAsia="zh-CN"/>
              </w:rPr>
            </w:pPr>
            <w:r>
              <w:rPr>
                <w:rFonts w:hint="eastAsia" w:ascii="宋体" w:hAnsi="宋体" w:eastAsia="宋体" w:cs="宋体"/>
                <w:sz w:val="21"/>
                <w:szCs w:val="21"/>
                <w:highlight w:val="none"/>
              </w:rPr>
              <w:t>客观分</w:t>
            </w:r>
          </w:p>
        </w:tc>
      </w:tr>
      <w:tr w14:paraId="5B0A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8" w:type="dxa"/>
            <w:noWrap w:val="0"/>
            <w:vAlign w:val="center"/>
          </w:tcPr>
          <w:p w14:paraId="4AB0350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650" w:type="dxa"/>
            <w:noWrap w:val="0"/>
            <w:vAlign w:val="center"/>
          </w:tcPr>
          <w:p w14:paraId="73A2C91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项目组成人员</w:t>
            </w:r>
          </w:p>
        </w:tc>
        <w:tc>
          <w:tcPr>
            <w:tcW w:w="5021" w:type="dxa"/>
            <w:noWrap w:val="0"/>
            <w:vAlign w:val="center"/>
          </w:tcPr>
          <w:p w14:paraId="08CEAEEF">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1、项目负责人具有</w:t>
            </w:r>
            <w:r>
              <w:rPr>
                <w:rFonts w:hint="eastAsia" w:ascii="宋体" w:hAnsi="宋体" w:eastAsia="宋体" w:cs="宋体"/>
                <w:sz w:val="21"/>
                <w:szCs w:val="21"/>
                <w:highlight w:val="none"/>
                <w:lang w:eastAsia="zh-CN"/>
              </w:rPr>
              <w:t>信息技术（</w:t>
            </w:r>
            <w:r>
              <w:rPr>
                <w:rFonts w:hint="eastAsia" w:ascii="宋体" w:hAnsi="宋体" w:eastAsia="宋体" w:cs="宋体"/>
                <w:sz w:val="21"/>
                <w:szCs w:val="21"/>
                <w:highlight w:val="none"/>
              </w:rPr>
              <w:t>系统集成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高级工程师的得2分。</w:t>
            </w:r>
          </w:p>
          <w:p w14:paraId="016952C2">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基于安全生产要求，安装人员同时具有低压电工作业证和高处作业证的，每提供一人得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5B3A9755">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sz w:val="21"/>
                <w:szCs w:val="21"/>
                <w:highlight w:val="none"/>
              </w:rPr>
              <w:t>证明材料需同时提供：①相应有效证书复印件；②投标单位开标前6个月（至少其中一个月）为上述人员缴纳的社会保障资金证明（缴纳凭证或人社部门出具的证明）复印件,否则不得分。</w:t>
            </w:r>
          </w:p>
        </w:tc>
        <w:tc>
          <w:tcPr>
            <w:tcW w:w="1071" w:type="dxa"/>
            <w:noWrap w:val="0"/>
            <w:vAlign w:val="center"/>
          </w:tcPr>
          <w:p w14:paraId="7527083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分</w:t>
            </w:r>
          </w:p>
        </w:tc>
        <w:tc>
          <w:tcPr>
            <w:tcW w:w="983" w:type="dxa"/>
            <w:noWrap w:val="0"/>
            <w:vAlign w:val="center"/>
          </w:tcPr>
          <w:p w14:paraId="78617260">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14:paraId="0659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8" w:type="dxa"/>
            <w:noWrap w:val="0"/>
            <w:vAlign w:val="center"/>
          </w:tcPr>
          <w:p w14:paraId="215AFAF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650" w:type="dxa"/>
            <w:noWrap w:val="0"/>
            <w:vAlign w:val="center"/>
          </w:tcPr>
          <w:p w14:paraId="4C1B982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特殊情况或紧急重大情况响应时间</w:t>
            </w:r>
          </w:p>
        </w:tc>
        <w:tc>
          <w:tcPr>
            <w:tcW w:w="5021" w:type="dxa"/>
            <w:noWrap w:val="0"/>
            <w:vAlign w:val="center"/>
          </w:tcPr>
          <w:p w14:paraId="3F3F512A">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承诺在服务对象遇特殊情况或紧急重大情况并提出要求时，团队负责人及团队成员将及时响应并提供专业现场指导的，按以下标准评分：承诺指定人员在接到服务对象通知后0.5小时内到现场开展工作的得4分；0.5小时以上至1小时内的得2分；1小时以上或未作相应承诺的不得分。</w:t>
            </w:r>
          </w:p>
          <w:p w14:paraId="7D0C9B00">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注：需提供相应的承诺函并加盖公章，否则不得分。</w:t>
            </w:r>
          </w:p>
        </w:tc>
        <w:tc>
          <w:tcPr>
            <w:tcW w:w="1071" w:type="dxa"/>
            <w:noWrap w:val="0"/>
            <w:vAlign w:val="center"/>
          </w:tcPr>
          <w:p w14:paraId="0DFE33E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分</w:t>
            </w:r>
          </w:p>
        </w:tc>
        <w:tc>
          <w:tcPr>
            <w:tcW w:w="983" w:type="dxa"/>
            <w:noWrap w:val="0"/>
            <w:vAlign w:val="center"/>
          </w:tcPr>
          <w:p w14:paraId="443F307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客观分</w:t>
            </w:r>
          </w:p>
        </w:tc>
      </w:tr>
      <w:tr w14:paraId="21EA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8" w:type="dxa"/>
            <w:noWrap w:val="0"/>
            <w:vAlign w:val="center"/>
          </w:tcPr>
          <w:p w14:paraId="5250EC0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1650" w:type="dxa"/>
            <w:noWrap w:val="0"/>
            <w:vAlign w:val="center"/>
          </w:tcPr>
          <w:p w14:paraId="6B05370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项目实施方案</w:t>
            </w:r>
          </w:p>
        </w:tc>
        <w:tc>
          <w:tcPr>
            <w:tcW w:w="5021" w:type="dxa"/>
            <w:noWrap w:val="0"/>
            <w:vAlign w:val="center"/>
          </w:tcPr>
          <w:p w14:paraId="3CB3AAC4">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采购需求提供整个项目的实施方案，包括项目的供货、安装、施工、调试等，提供方案功能详细、思路清晰、逻辑合理、方法可行、符合采购需求的得6分；思路不清晰，逻辑性差，可操作性与实际情况有偏离的每处扣1分；内容不符合或不提供的不得分。</w:t>
            </w:r>
          </w:p>
        </w:tc>
        <w:tc>
          <w:tcPr>
            <w:tcW w:w="1071" w:type="dxa"/>
            <w:noWrap w:val="0"/>
            <w:vAlign w:val="center"/>
          </w:tcPr>
          <w:p w14:paraId="2D3B091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分</w:t>
            </w:r>
          </w:p>
        </w:tc>
        <w:tc>
          <w:tcPr>
            <w:tcW w:w="983" w:type="dxa"/>
            <w:noWrap w:val="0"/>
            <w:vAlign w:val="center"/>
          </w:tcPr>
          <w:p w14:paraId="0F54B8C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FF0000"/>
                <w:kern w:val="0"/>
                <w:sz w:val="21"/>
                <w:szCs w:val="21"/>
                <w:highlight w:val="none"/>
                <w:lang w:val="en-US" w:eastAsia="zh-CN"/>
              </w:rPr>
            </w:pPr>
            <w:r>
              <w:rPr>
                <w:rFonts w:hint="eastAsia" w:ascii="宋体" w:hAnsi="宋体" w:eastAsia="宋体" w:cs="宋体"/>
                <w:sz w:val="21"/>
                <w:szCs w:val="21"/>
                <w:highlight w:val="none"/>
                <w:lang w:val="en-US" w:eastAsia="zh-CN"/>
              </w:rPr>
              <w:t>主观</w:t>
            </w:r>
            <w:r>
              <w:rPr>
                <w:rFonts w:hint="eastAsia" w:ascii="宋体" w:hAnsi="宋体" w:eastAsia="宋体" w:cs="宋体"/>
                <w:sz w:val="21"/>
                <w:szCs w:val="21"/>
                <w:highlight w:val="none"/>
                <w:lang w:eastAsia="zh-CN"/>
              </w:rPr>
              <w:t>分</w:t>
            </w:r>
          </w:p>
        </w:tc>
      </w:tr>
      <w:tr w14:paraId="6A2F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8" w:type="dxa"/>
            <w:noWrap w:val="0"/>
            <w:vAlign w:val="center"/>
          </w:tcPr>
          <w:p w14:paraId="3E8207B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1650" w:type="dxa"/>
            <w:noWrap w:val="0"/>
            <w:vAlign w:val="center"/>
          </w:tcPr>
          <w:p w14:paraId="1A3FBA0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功能演示</w:t>
            </w:r>
          </w:p>
        </w:tc>
        <w:tc>
          <w:tcPr>
            <w:tcW w:w="5021" w:type="dxa"/>
            <w:noWrap w:val="0"/>
            <w:vAlign w:val="center"/>
          </w:tcPr>
          <w:p w14:paraId="01E85A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58"/>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要求投标人提供所投的产品进行功能演示（共</w:t>
            </w:r>
            <w:r>
              <w:rPr>
                <w:rFonts w:hint="eastAsia" w:ascii="宋体" w:hAnsi="宋体" w:cs="宋体"/>
                <w:b/>
                <w:bCs/>
                <w:i w:val="0"/>
                <w:iCs w:val="0"/>
                <w:color w:val="auto"/>
                <w:kern w:val="0"/>
                <w:sz w:val="21"/>
                <w:szCs w:val="21"/>
                <w:highlight w:val="none"/>
                <w:u w:val="none"/>
                <w:lang w:val="en-US" w:eastAsia="zh-CN" w:bidi="ar"/>
              </w:rPr>
              <w:t>6</w:t>
            </w:r>
            <w:r>
              <w:rPr>
                <w:rFonts w:hint="eastAsia" w:ascii="宋体" w:hAnsi="宋体" w:eastAsia="宋体" w:cs="宋体"/>
                <w:b/>
                <w:bCs/>
                <w:i w:val="0"/>
                <w:iCs w:val="0"/>
                <w:color w:val="auto"/>
                <w:kern w:val="0"/>
                <w:sz w:val="21"/>
                <w:szCs w:val="21"/>
                <w:highlight w:val="none"/>
                <w:u w:val="none"/>
                <w:lang w:val="en-US" w:eastAsia="zh-CN" w:bidi="ar"/>
              </w:rPr>
              <w:t>分），须将完整的功能演示录制视频，刻录成光盘或存储于U盘</w:t>
            </w:r>
            <w:r>
              <w:rPr>
                <w:rStyle w:val="59"/>
                <w:rFonts w:hint="eastAsia" w:ascii="宋体" w:hAnsi="宋体" w:eastAsia="宋体" w:cs="宋体"/>
                <w:b/>
                <w:bCs/>
                <w:color w:val="auto"/>
                <w:sz w:val="21"/>
                <w:szCs w:val="21"/>
                <w:highlight w:val="none"/>
                <w:lang w:val="en-US" w:eastAsia="zh-CN" w:bidi="ar"/>
              </w:rPr>
              <w:t>中。</w:t>
            </w:r>
            <w:r>
              <w:rPr>
                <w:rStyle w:val="58"/>
                <w:rFonts w:hint="eastAsia" w:ascii="宋体" w:hAnsi="宋体" w:eastAsia="宋体" w:cs="宋体"/>
                <w:b/>
                <w:bCs/>
                <w:color w:val="auto"/>
                <w:sz w:val="21"/>
                <w:szCs w:val="21"/>
                <w:highlight w:val="none"/>
                <w:lang w:val="en-US" w:eastAsia="zh-CN" w:bidi="ar"/>
              </w:rPr>
              <w:t>非所投产品演示不得分，评标过程中若启用光盘或U盘无效（或未提供演示视频的），则演示部分作0分处理：</w:t>
            </w:r>
          </w:p>
          <w:p w14:paraId="0D934394">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演示内容</w:t>
            </w:r>
            <w:r>
              <w:rPr>
                <w:rFonts w:hint="eastAsia" w:ascii="宋体" w:hAnsi="宋体" w:eastAsia="宋体" w:cs="宋体"/>
                <w:color w:val="auto"/>
                <w:sz w:val="21"/>
                <w:szCs w:val="21"/>
                <w:highlight w:val="none"/>
                <w:lang w:val="en-US" w:eastAsia="zh-CN"/>
              </w:rPr>
              <w:t>：</w:t>
            </w:r>
          </w:p>
          <w:p w14:paraId="0DA1E522">
            <w:pPr>
              <w:keepNext w:val="0"/>
              <w:keepLines w:val="0"/>
              <w:pageBreakBefore w:val="0"/>
              <w:numPr>
                <w:ilvl w:val="0"/>
                <w:numId w:val="2"/>
              </w:numPr>
              <w:kinsoku/>
              <w:wordWrap/>
              <w:overflowPunct/>
              <w:topLinePunct w:val="0"/>
              <w:autoSpaceDE/>
              <w:autoSpaceDN/>
              <w:bidi w:val="0"/>
              <w:adjustRightInd/>
              <w:snapToGrid/>
              <w:spacing w:line="2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无线控制功能演示：通过平板电脑开启系统，设备依次开启；完全满足的得1分，</w:t>
            </w:r>
            <w:r>
              <w:rPr>
                <w:rFonts w:hint="eastAsia" w:ascii="宋体" w:hAnsi="宋体" w:eastAsia="宋体" w:cs="宋体"/>
                <w:i w:val="0"/>
                <w:iCs w:val="0"/>
                <w:color w:val="auto"/>
                <w:kern w:val="0"/>
                <w:sz w:val="21"/>
                <w:szCs w:val="21"/>
                <w:highlight w:val="none"/>
                <w:u w:val="none"/>
                <w:lang w:val="en-US" w:eastAsia="zh-CN" w:bidi="ar"/>
              </w:rPr>
              <w:t>功能不全或无此功能得不得分。</w:t>
            </w:r>
          </w:p>
          <w:p w14:paraId="05FDB559">
            <w:pPr>
              <w:keepNext w:val="0"/>
              <w:keepLines w:val="0"/>
              <w:pageBreakBefore w:val="0"/>
              <w:numPr>
                <w:ilvl w:val="0"/>
                <w:numId w:val="2"/>
              </w:numPr>
              <w:kinsoku/>
              <w:wordWrap/>
              <w:overflowPunct/>
              <w:topLinePunct w:val="0"/>
              <w:autoSpaceDE/>
              <w:autoSpaceDN/>
              <w:bidi w:val="0"/>
              <w:adjustRightInd/>
              <w:snapToGrid/>
              <w:spacing w:line="2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舞台机械功能演示：通过平板电脑控制对开大幕开启关闭，在平板电脑上以动态画面展示开启关闭；完全满足得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i w:val="0"/>
                <w:iCs w:val="0"/>
                <w:color w:val="auto"/>
                <w:kern w:val="0"/>
                <w:sz w:val="21"/>
                <w:szCs w:val="21"/>
                <w:highlight w:val="none"/>
                <w:u w:val="none"/>
                <w:lang w:val="en-US" w:eastAsia="zh-CN" w:bidi="ar"/>
              </w:rPr>
              <w:t>功能不全或无此功能得不得分</w:t>
            </w:r>
            <w:r>
              <w:rPr>
                <w:rFonts w:hint="eastAsia" w:ascii="宋体" w:hAnsi="宋体" w:eastAsia="宋体" w:cs="宋体"/>
                <w:color w:val="auto"/>
                <w:sz w:val="21"/>
                <w:szCs w:val="21"/>
                <w:highlight w:val="none"/>
                <w:lang w:val="en-US" w:eastAsia="zh-CN"/>
              </w:rPr>
              <w:t>。</w:t>
            </w:r>
          </w:p>
          <w:p w14:paraId="63F210CE">
            <w:pPr>
              <w:keepNext w:val="0"/>
              <w:keepLines w:val="0"/>
              <w:pageBreakBefore w:val="0"/>
              <w:numPr>
                <w:ilvl w:val="0"/>
                <w:numId w:val="2"/>
              </w:numPr>
              <w:kinsoku/>
              <w:wordWrap/>
              <w:overflowPunct/>
              <w:topLinePunct w:val="0"/>
              <w:autoSpaceDE/>
              <w:autoSpaceDN/>
              <w:bidi w:val="0"/>
              <w:adjustRightInd/>
              <w:snapToGrid/>
              <w:spacing w:line="2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舞台灯光功能演示：通过平板电脑一键调用不同模式，实现不同场景功能展示；完全满足的得1分，</w:t>
            </w:r>
            <w:r>
              <w:rPr>
                <w:rFonts w:hint="eastAsia" w:ascii="宋体" w:hAnsi="宋体" w:eastAsia="宋体" w:cs="宋体"/>
                <w:i w:val="0"/>
                <w:iCs w:val="0"/>
                <w:color w:val="auto"/>
                <w:kern w:val="0"/>
                <w:sz w:val="21"/>
                <w:szCs w:val="21"/>
                <w:highlight w:val="none"/>
                <w:u w:val="none"/>
                <w:lang w:val="en-US" w:eastAsia="zh-CN" w:bidi="ar"/>
              </w:rPr>
              <w:t>功能不全或无此功能得不得分</w:t>
            </w:r>
            <w:r>
              <w:rPr>
                <w:rFonts w:hint="eastAsia" w:ascii="宋体" w:hAnsi="宋体" w:eastAsia="宋体" w:cs="宋体"/>
                <w:color w:val="auto"/>
                <w:sz w:val="21"/>
                <w:szCs w:val="21"/>
                <w:highlight w:val="none"/>
                <w:lang w:val="en-US" w:eastAsia="zh-CN"/>
              </w:rPr>
              <w:t>。</w:t>
            </w:r>
          </w:p>
          <w:p w14:paraId="5BFDDBC7">
            <w:pPr>
              <w:keepNext w:val="0"/>
              <w:keepLines w:val="0"/>
              <w:pageBreakBefore w:val="0"/>
              <w:numPr>
                <w:ilvl w:val="0"/>
                <w:numId w:val="2"/>
              </w:numPr>
              <w:kinsoku/>
              <w:wordWrap/>
              <w:overflowPunct/>
              <w:topLinePunct w:val="0"/>
              <w:autoSpaceDE/>
              <w:autoSpaceDN/>
              <w:bidi w:val="0"/>
              <w:adjustRightInd/>
              <w:snapToGrid/>
              <w:spacing w:line="2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视频信号功能演示：通过平板电脑实时监测无缝高清混插矩阵视频信号回显功能；在平板电脑上展示显示画面；完全满足的得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i w:val="0"/>
                <w:iCs w:val="0"/>
                <w:color w:val="auto"/>
                <w:kern w:val="0"/>
                <w:sz w:val="21"/>
                <w:szCs w:val="21"/>
                <w:highlight w:val="none"/>
                <w:u w:val="none"/>
                <w:lang w:val="en-US" w:eastAsia="zh-CN" w:bidi="ar"/>
              </w:rPr>
              <w:t>功能不全或无此功能得不得分。</w:t>
            </w:r>
          </w:p>
          <w:p w14:paraId="48C70A91">
            <w:pPr>
              <w:keepNext w:val="0"/>
              <w:keepLines w:val="0"/>
              <w:pageBreakBefore w:val="0"/>
              <w:numPr>
                <w:ilvl w:val="0"/>
                <w:numId w:val="2"/>
              </w:numPr>
              <w:kinsoku/>
              <w:wordWrap/>
              <w:overflowPunct/>
              <w:topLinePunct w:val="0"/>
              <w:autoSpaceDE/>
              <w:autoSpaceDN/>
              <w:bidi w:val="0"/>
              <w:adjustRightInd/>
              <w:snapToGrid/>
              <w:spacing w:line="2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运维监测功能演示：通过平板电脑对功放进行远程控制、实时监测，在平板电脑上实时查看功放运行状态和运行数据；完全满足的得1分，</w:t>
            </w:r>
            <w:r>
              <w:rPr>
                <w:rFonts w:hint="eastAsia" w:ascii="宋体" w:hAnsi="宋体" w:eastAsia="宋体" w:cs="宋体"/>
                <w:i w:val="0"/>
                <w:iCs w:val="0"/>
                <w:color w:val="auto"/>
                <w:kern w:val="0"/>
                <w:sz w:val="21"/>
                <w:szCs w:val="21"/>
                <w:highlight w:val="none"/>
                <w:u w:val="none"/>
                <w:lang w:val="en-US" w:eastAsia="zh-CN" w:bidi="ar"/>
              </w:rPr>
              <w:t>功能不全或无此功能得不得分</w:t>
            </w:r>
            <w:r>
              <w:rPr>
                <w:rFonts w:hint="eastAsia" w:ascii="宋体" w:hAnsi="宋体" w:eastAsia="宋体" w:cs="宋体"/>
                <w:color w:val="auto"/>
                <w:sz w:val="21"/>
                <w:szCs w:val="21"/>
                <w:highlight w:val="none"/>
                <w:lang w:val="en-US" w:eastAsia="zh-CN"/>
              </w:rPr>
              <w:t>。</w:t>
            </w:r>
          </w:p>
          <w:p w14:paraId="31C73F5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lang w:val="en-US" w:eastAsia="zh-CN"/>
              </w:rPr>
              <w:t>注：</w:t>
            </w:r>
            <w:bookmarkStart w:id="248" w:name="_GoBack"/>
            <w:bookmarkEnd w:id="248"/>
            <w:r>
              <w:rPr>
                <w:rFonts w:hint="eastAsia" w:ascii="宋体" w:hAnsi="宋体" w:eastAsia="宋体" w:cs="宋体"/>
                <w:b/>
                <w:bCs/>
                <w:color w:val="auto"/>
                <w:sz w:val="21"/>
                <w:szCs w:val="21"/>
                <w:highlight w:val="none"/>
                <w:lang w:val="en-US" w:eastAsia="zh-CN"/>
              </w:rPr>
              <w:t>演示视频时间为15分钟内，否者不得分。</w:t>
            </w:r>
          </w:p>
        </w:tc>
        <w:tc>
          <w:tcPr>
            <w:tcW w:w="1071" w:type="dxa"/>
            <w:noWrap w:val="0"/>
            <w:vAlign w:val="center"/>
          </w:tcPr>
          <w:p w14:paraId="608CF96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tc>
        <w:tc>
          <w:tcPr>
            <w:tcW w:w="983" w:type="dxa"/>
            <w:noWrap w:val="0"/>
            <w:vAlign w:val="center"/>
          </w:tcPr>
          <w:p w14:paraId="48C2E9F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0AE5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8" w:type="dxa"/>
            <w:noWrap w:val="0"/>
            <w:vAlign w:val="center"/>
          </w:tcPr>
          <w:p w14:paraId="03E2520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650" w:type="dxa"/>
            <w:noWrap w:val="0"/>
            <w:vAlign w:val="center"/>
          </w:tcPr>
          <w:p w14:paraId="6043C1B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技术培训</w:t>
            </w:r>
          </w:p>
        </w:tc>
        <w:tc>
          <w:tcPr>
            <w:tcW w:w="5021" w:type="dxa"/>
            <w:noWrap w:val="0"/>
            <w:vAlign w:val="center"/>
          </w:tcPr>
          <w:p w14:paraId="32566C1A">
            <w:pPr>
              <w:pStyle w:val="11"/>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根据投标人提供的培训方案进行打分。符合采购需求的得5分，方案与采购需求有偏离的每处扣1分；内容不符合或不提供的不得分。</w:t>
            </w:r>
          </w:p>
        </w:tc>
        <w:tc>
          <w:tcPr>
            <w:tcW w:w="1071" w:type="dxa"/>
            <w:noWrap w:val="0"/>
            <w:vAlign w:val="center"/>
          </w:tcPr>
          <w:p w14:paraId="422A77E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c>
          <w:tcPr>
            <w:tcW w:w="983" w:type="dxa"/>
            <w:noWrap w:val="0"/>
            <w:vAlign w:val="center"/>
          </w:tcPr>
          <w:p w14:paraId="636A76B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主观分</w:t>
            </w:r>
          </w:p>
        </w:tc>
      </w:tr>
      <w:tr w14:paraId="3C61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8" w:type="dxa"/>
            <w:noWrap w:val="0"/>
            <w:vAlign w:val="center"/>
          </w:tcPr>
          <w:p w14:paraId="4F6E19B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650" w:type="dxa"/>
            <w:noWrap w:val="0"/>
            <w:vAlign w:val="center"/>
          </w:tcPr>
          <w:p w14:paraId="27A1640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w:t>
            </w:r>
          </w:p>
        </w:tc>
        <w:tc>
          <w:tcPr>
            <w:tcW w:w="5021" w:type="dxa"/>
            <w:noWrap w:val="0"/>
            <w:vAlign w:val="center"/>
          </w:tcPr>
          <w:p w14:paraId="6EE5B5FF">
            <w:pPr>
              <w:pStyle w:val="11"/>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根据投标人提供的售后服务方案进行打分。符合采购需求的得5分，方案与采购需求有偏离的每处扣1分；内容不符合或不提供的不得分。</w:t>
            </w:r>
          </w:p>
        </w:tc>
        <w:tc>
          <w:tcPr>
            <w:tcW w:w="1071" w:type="dxa"/>
            <w:noWrap w:val="0"/>
            <w:vAlign w:val="center"/>
          </w:tcPr>
          <w:p w14:paraId="3229632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c>
          <w:tcPr>
            <w:tcW w:w="983" w:type="dxa"/>
            <w:noWrap w:val="0"/>
            <w:vAlign w:val="center"/>
          </w:tcPr>
          <w:p w14:paraId="1F1E144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22A0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8" w:type="dxa"/>
            <w:noWrap w:val="0"/>
            <w:vAlign w:val="center"/>
          </w:tcPr>
          <w:p w14:paraId="0E2892D0">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1650" w:type="dxa"/>
            <w:noWrap w:val="0"/>
            <w:vAlign w:val="center"/>
          </w:tcPr>
          <w:p w14:paraId="7D016AD4">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报价（30分）</w:t>
            </w:r>
          </w:p>
        </w:tc>
        <w:tc>
          <w:tcPr>
            <w:tcW w:w="5021" w:type="dxa"/>
            <w:noWrap w:val="0"/>
            <w:vAlign w:val="center"/>
          </w:tcPr>
          <w:p w14:paraId="24E785B2">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满足招标文件要求且投标价格最低的投标报价为评标基准价，其价格分为满分，其他投标人的价格分统一按下列公式计算（按四舍五入取至小数点后两位）：</w:t>
            </w:r>
          </w:p>
          <w:p w14:paraId="23A16DFE">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投标报价得分=（评标基准价/投标报价）×30。</w:t>
            </w:r>
          </w:p>
        </w:tc>
        <w:tc>
          <w:tcPr>
            <w:tcW w:w="1071" w:type="dxa"/>
            <w:noWrap w:val="0"/>
            <w:vAlign w:val="center"/>
          </w:tcPr>
          <w:p w14:paraId="57863D1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30分</w:t>
            </w:r>
          </w:p>
        </w:tc>
        <w:tc>
          <w:tcPr>
            <w:tcW w:w="983" w:type="dxa"/>
            <w:noWrap w:val="0"/>
            <w:vAlign w:val="center"/>
          </w:tcPr>
          <w:p w14:paraId="1282379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p>
        </w:tc>
      </w:tr>
      <w:tr w14:paraId="3BE0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8" w:type="dxa"/>
            <w:noWrap w:val="0"/>
            <w:vAlign w:val="center"/>
          </w:tcPr>
          <w:p w14:paraId="32C416A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650" w:type="dxa"/>
            <w:noWrap w:val="0"/>
            <w:vAlign w:val="center"/>
          </w:tcPr>
          <w:p w14:paraId="750C3C0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5021" w:type="dxa"/>
            <w:noWrap w:val="0"/>
            <w:vAlign w:val="center"/>
          </w:tcPr>
          <w:p w14:paraId="2F1E4C9A">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总得分=技术商务得分+报价得分</w:t>
            </w:r>
          </w:p>
        </w:tc>
        <w:tc>
          <w:tcPr>
            <w:tcW w:w="1071" w:type="dxa"/>
            <w:noWrap w:val="0"/>
            <w:vAlign w:val="center"/>
          </w:tcPr>
          <w:p w14:paraId="337AD22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100分</w:t>
            </w:r>
          </w:p>
        </w:tc>
        <w:tc>
          <w:tcPr>
            <w:tcW w:w="983" w:type="dxa"/>
            <w:noWrap w:val="0"/>
            <w:vAlign w:val="center"/>
          </w:tcPr>
          <w:p w14:paraId="23683FD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bl>
    <w:p w14:paraId="1100D662">
      <w:pPr>
        <w:keepNext w:val="0"/>
        <w:keepLines w:val="0"/>
        <w:pageBreakBefore w:val="0"/>
        <w:widowControl/>
        <w:kinsoku/>
        <w:wordWrap/>
        <w:overflowPunct/>
        <w:topLinePunct w:val="0"/>
        <w:autoSpaceDE/>
        <w:autoSpaceDN/>
        <w:bidi w:val="0"/>
        <w:adjustRightInd/>
        <w:spacing w:line="400" w:lineRule="exact"/>
        <w:ind w:firstLine="422" w:firstLineChars="200"/>
        <w:jc w:val="both"/>
        <w:textAlignment w:val="auto"/>
        <w:rPr>
          <w:rFonts w:hint="eastAsia" w:ascii="宋体" w:hAnsi="宋体" w:eastAsia="宋体" w:cs="宋体"/>
          <w:b/>
          <w:bCs/>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26.磋商无效的情形</w:t>
      </w:r>
      <w:r>
        <w:rPr>
          <w:rFonts w:hint="eastAsia" w:ascii="宋体" w:hAnsi="宋体" w:eastAsia="宋体" w:cs="宋体"/>
          <w:b/>
          <w:color w:val="auto"/>
          <w:kern w:val="0"/>
          <w:highlight w:val="none"/>
        </w:rPr>
        <w:t>：</w:t>
      </w:r>
    </w:p>
    <w:p w14:paraId="44DD2095">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bCs/>
          <w:color w:val="auto"/>
          <w:kern w:val="0"/>
          <w:highlight w:val="none"/>
          <w:shd w:val="clear" w:color="auto" w:fill="FFFFFF"/>
        </w:rPr>
        <w:t>如发生下列情况之一的，其响应文件视为无效</w:t>
      </w:r>
      <w:r>
        <w:rPr>
          <w:rFonts w:hint="eastAsia" w:ascii="宋体" w:hAnsi="宋体" w:eastAsia="宋体" w:cs="宋体"/>
          <w:color w:val="auto"/>
          <w:kern w:val="0"/>
          <w:highlight w:val="none"/>
          <w:shd w:val="clear" w:color="auto" w:fill="FFFFFF"/>
        </w:rPr>
        <w:t>：</w:t>
      </w:r>
    </w:p>
    <w:p w14:paraId="516C0CB4">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（1）响应文件未按采购文件要求签署、签章的；</w:t>
      </w:r>
    </w:p>
    <w:p w14:paraId="684BB614">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）不具备采购文件中规定的资格要求的；</w:t>
      </w:r>
    </w:p>
    <w:p w14:paraId="2AF0D9F1">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）技术商务文件或资格证明文件中含报价；</w:t>
      </w:r>
    </w:p>
    <w:p w14:paraId="4538B835">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kern w:val="0"/>
          <w:highlight w:val="none"/>
        </w:rPr>
        <w:t>磋商文件中有▲处条款响应方未作实质性响应的；</w:t>
      </w:r>
    </w:p>
    <w:p w14:paraId="2469AB98">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）报价超过磋商文件中规定的预算金额或者最高限价</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w:t>
      </w:r>
    </w:p>
    <w:p w14:paraId="749E784B">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）响应文件含有采购人不能接受的附加条件的；</w:t>
      </w:r>
    </w:p>
    <w:p w14:paraId="6246CACC">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7</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电子</w:t>
      </w:r>
      <w:r>
        <w:rPr>
          <w:rFonts w:hint="eastAsia" w:ascii="宋体" w:hAnsi="宋体" w:eastAsia="宋体" w:cs="宋体"/>
          <w:color w:val="auto"/>
          <w:kern w:val="0"/>
          <w:highlight w:val="none"/>
        </w:rPr>
        <w:t>响应文件未按规定要求提供CA签章的；</w:t>
      </w:r>
    </w:p>
    <w:p w14:paraId="30508C19">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）仅提供备份响应文件的；</w:t>
      </w:r>
    </w:p>
    <w:p w14:paraId="10BB3045">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）电子响应文件解密失败，且未在规定时间内提交备份响应文件的；</w:t>
      </w:r>
    </w:p>
    <w:p w14:paraId="77116A96">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）电子响应文件解密失败，虽然在规定时间内提交了备份响应文件，但是备份响应文件无法导入或者无法读取或者不符合本响应文件和电子交易平台要求的；</w:t>
      </w:r>
    </w:p>
    <w:p w14:paraId="1AF383B4">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）法律、法规和采购文件规定的其他无效情形</w:t>
      </w:r>
      <w:r>
        <w:rPr>
          <w:rFonts w:hint="eastAsia" w:ascii="宋体" w:hAnsi="宋体" w:eastAsia="宋体" w:cs="宋体"/>
          <w:color w:val="auto"/>
          <w:kern w:val="0"/>
          <w:highlight w:val="none"/>
        </w:rPr>
        <w:t>。</w:t>
      </w:r>
    </w:p>
    <w:p w14:paraId="665DA9C7">
      <w:pPr>
        <w:keepNext w:val="0"/>
        <w:keepLines w:val="0"/>
        <w:pageBreakBefore w:val="0"/>
        <w:widowControl/>
        <w:kinsoku/>
        <w:wordWrap/>
        <w:overflowPunct/>
        <w:topLinePunct w:val="0"/>
        <w:autoSpaceDE/>
        <w:autoSpaceDN/>
        <w:bidi w:val="0"/>
        <w:adjustRightInd/>
        <w:spacing w:line="400" w:lineRule="exact"/>
        <w:ind w:firstLine="422" w:firstLineChars="200"/>
        <w:jc w:val="both"/>
        <w:textAlignment w:val="auto"/>
        <w:rPr>
          <w:rFonts w:hint="eastAsia" w:ascii="宋体" w:hAnsi="宋体" w:eastAsia="宋体" w:cs="宋体"/>
          <w:b/>
          <w:bCs/>
          <w:color w:val="auto"/>
          <w:kern w:val="0"/>
          <w:highlight w:val="none"/>
          <w:shd w:val="clear" w:color="auto" w:fill="FFFFFF"/>
        </w:rPr>
      </w:pPr>
      <w:bookmarkStart w:id="55" w:name="_Toc457934632"/>
      <w:bookmarkStart w:id="56" w:name="_Toc359849106"/>
      <w:r>
        <w:rPr>
          <w:rFonts w:hint="eastAsia" w:ascii="宋体" w:hAnsi="宋体" w:eastAsia="宋体" w:cs="宋体"/>
          <w:b/>
          <w:bCs/>
          <w:color w:val="auto"/>
          <w:kern w:val="0"/>
          <w:highlight w:val="none"/>
          <w:shd w:val="clear" w:color="auto" w:fill="FFFFFF"/>
        </w:rPr>
        <w:t>27.采购终止的情形</w:t>
      </w:r>
      <w:bookmarkEnd w:id="55"/>
    </w:p>
    <w:p w14:paraId="3464C08C">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采购中，出现下列情形之一的，采购应予终止。终止后，采购人应将终止理由通知所有供应商：</w:t>
      </w:r>
    </w:p>
    <w:p w14:paraId="176C610D">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（1）因情况变化，不再符合规定的竞争性磋商采购方式适用情形的；</w:t>
      </w:r>
    </w:p>
    <w:p w14:paraId="35733701">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（2）出现影响采购公证的违法、违规行为的；</w:t>
      </w:r>
    </w:p>
    <w:p w14:paraId="58B0A400">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（3）因重大变故，采购任务取消的。</w:t>
      </w:r>
    </w:p>
    <w:bookmarkEnd w:id="56"/>
    <w:p w14:paraId="2D2A84B1">
      <w:pPr>
        <w:keepNext w:val="0"/>
        <w:keepLines w:val="0"/>
        <w:pageBreakBefore w:val="0"/>
        <w:widowControl/>
        <w:kinsoku/>
        <w:wordWrap/>
        <w:overflowPunct/>
        <w:topLinePunct w:val="0"/>
        <w:autoSpaceDE/>
        <w:autoSpaceDN/>
        <w:bidi w:val="0"/>
        <w:adjustRightInd/>
        <w:spacing w:line="400" w:lineRule="exact"/>
        <w:ind w:firstLine="422" w:firstLineChars="200"/>
        <w:jc w:val="both"/>
        <w:textAlignment w:val="auto"/>
        <w:rPr>
          <w:rFonts w:hint="eastAsia" w:ascii="宋体" w:hAnsi="宋体" w:eastAsia="宋体" w:cs="宋体"/>
          <w:b/>
          <w:bCs/>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28.成交通知及成交公告</w:t>
      </w:r>
    </w:p>
    <w:p w14:paraId="3EFE468A">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28.1在成交供应商确定之日起2个工作日内发布成交公告及《成交通知书》，成交公告发布网址：浙江政府采购网(www.zjzfcg.gov.cn/)和开化县人民政府网（www.kaihua.gov.cn/）</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成交</w:t>
      </w:r>
      <w:r>
        <w:rPr>
          <w:rFonts w:hint="eastAsia" w:ascii="宋体" w:hAnsi="宋体" w:eastAsia="宋体" w:cs="宋体"/>
          <w:color w:val="auto"/>
          <w:kern w:val="0"/>
          <w:highlight w:val="none"/>
        </w:rPr>
        <w:t>人的中小企业声明函将随中标结果同时公告。</w:t>
      </w:r>
    </w:p>
    <w:p w14:paraId="3D844A91">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28.2</w:t>
      </w:r>
      <w:r>
        <w:rPr>
          <w:rFonts w:hint="eastAsia" w:ascii="宋体" w:hAnsi="宋体" w:eastAsia="宋体" w:cs="宋体"/>
          <w:color w:val="auto"/>
          <w:highlight w:val="none"/>
        </w:rPr>
        <w:t>成交公告发布同时，</w:t>
      </w:r>
      <w:r>
        <w:rPr>
          <w:rFonts w:hint="eastAsia" w:ascii="宋体" w:hAnsi="宋体" w:eastAsia="宋体" w:cs="宋体"/>
          <w:color w:val="auto"/>
          <w:kern w:val="0"/>
          <w:highlight w:val="none"/>
          <w:shd w:val="clear" w:color="auto" w:fill="FFFFFF"/>
        </w:rPr>
        <w:t>由采购人和</w:t>
      </w:r>
      <w:r>
        <w:rPr>
          <w:rFonts w:hint="eastAsia" w:ascii="宋体" w:hAnsi="宋体" w:eastAsia="宋体" w:cs="宋体"/>
          <w:color w:val="auto"/>
          <w:kern w:val="0"/>
          <w:highlight w:val="none"/>
          <w:shd w:val="clear" w:color="auto" w:fill="FFFFFF"/>
          <w:lang w:eastAsia="zh-CN"/>
        </w:rPr>
        <w:t>浙江鼎峰工程咨询有限公司</w:t>
      </w:r>
      <w:r>
        <w:rPr>
          <w:rFonts w:hint="eastAsia" w:ascii="宋体" w:hAnsi="宋体" w:eastAsia="宋体" w:cs="宋体"/>
          <w:color w:val="auto"/>
          <w:highlight w:val="none"/>
        </w:rPr>
        <w:t>签发《</w:t>
      </w:r>
      <w:r>
        <w:rPr>
          <w:rFonts w:hint="eastAsia" w:ascii="宋体" w:hAnsi="宋体" w:eastAsia="宋体" w:cs="宋体"/>
          <w:color w:val="auto"/>
          <w:kern w:val="0"/>
          <w:highlight w:val="none"/>
        </w:rPr>
        <w:t>成交通知</w:t>
      </w:r>
      <w:r>
        <w:rPr>
          <w:rFonts w:hint="eastAsia" w:ascii="宋体" w:hAnsi="宋体" w:eastAsia="宋体" w:cs="宋体"/>
          <w:color w:val="auto"/>
          <w:highlight w:val="none"/>
        </w:rPr>
        <w:t>书》。</w:t>
      </w:r>
    </w:p>
    <w:p w14:paraId="2C07507B">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28.3《成交通知书》将作为签订合同的重要依据，对采购代理机构、成交方和采购人具有法律效力。</w:t>
      </w:r>
    </w:p>
    <w:p w14:paraId="526204DF">
      <w:pPr>
        <w:keepNext w:val="0"/>
        <w:keepLines w:val="0"/>
        <w:pageBreakBefore w:val="0"/>
        <w:widowControl/>
        <w:kinsoku/>
        <w:wordWrap/>
        <w:overflowPunct/>
        <w:topLinePunct w:val="0"/>
        <w:autoSpaceDE/>
        <w:autoSpaceDN/>
        <w:bidi w:val="0"/>
        <w:adjustRightInd/>
        <w:spacing w:line="400" w:lineRule="exact"/>
        <w:ind w:firstLine="422" w:firstLineChars="200"/>
        <w:jc w:val="both"/>
        <w:textAlignment w:val="auto"/>
        <w:rPr>
          <w:rFonts w:hint="eastAsia" w:ascii="宋体" w:hAnsi="宋体" w:eastAsia="宋体" w:cs="宋体"/>
          <w:b/>
          <w:bCs/>
          <w:color w:val="auto"/>
          <w:kern w:val="0"/>
          <w:highlight w:val="none"/>
        </w:rPr>
      </w:pPr>
      <w:bookmarkStart w:id="57" w:name="_Toc326937536"/>
      <w:bookmarkStart w:id="58" w:name="_Toc358384694"/>
      <w:bookmarkStart w:id="59" w:name="_Toc333842550"/>
      <w:bookmarkStart w:id="60" w:name="_Toc433917266"/>
      <w:bookmarkStart w:id="61" w:name="_Toc393201713"/>
      <w:bookmarkStart w:id="62" w:name="_Toc504642670"/>
      <w:r>
        <w:rPr>
          <w:rFonts w:hint="eastAsia" w:ascii="宋体" w:hAnsi="宋体" w:eastAsia="宋体" w:cs="宋体"/>
          <w:b/>
          <w:bCs/>
          <w:color w:val="auto"/>
          <w:kern w:val="0"/>
          <w:highlight w:val="none"/>
        </w:rPr>
        <w:t>29.质疑与投诉</w:t>
      </w:r>
    </w:p>
    <w:p w14:paraId="3FFE1658">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29.1响应人认为采购过程或成交结果使自己的合法权益受到损害的，可以在</w:t>
      </w:r>
      <w:r>
        <w:rPr>
          <w:rFonts w:hint="eastAsia" w:ascii="宋体" w:hAnsi="宋体" w:eastAsia="宋体" w:cs="宋体"/>
          <w:color w:val="auto"/>
          <w:highlight w:val="none"/>
          <w:lang w:val="en-US" w:eastAsia="zh-CN"/>
        </w:rPr>
        <w:t>中标（成交）结果公告</w:t>
      </w:r>
      <w:r>
        <w:rPr>
          <w:rFonts w:hint="eastAsia" w:ascii="宋体" w:hAnsi="宋体" w:eastAsia="宋体" w:cs="宋体"/>
          <w:color w:val="auto"/>
          <w:highlight w:val="none"/>
        </w:rPr>
        <w:t>期限届满之日起7个工作日内，以书面形式向采购人提出质疑。</w:t>
      </w:r>
    </w:p>
    <w:p w14:paraId="3B4A339E">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29.2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06AF8276">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A.供应商的姓名或者名称、地址、邮编、联系人及联系电话；</w:t>
      </w:r>
    </w:p>
    <w:p w14:paraId="3DA2CB73">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B.质疑项目的名称、编号；</w:t>
      </w:r>
    </w:p>
    <w:p w14:paraId="221FA2B4">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C.具体、明确的质疑事项和与质疑事项相关的请求；</w:t>
      </w:r>
    </w:p>
    <w:p w14:paraId="339F3B6D">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D.事实依据；</w:t>
      </w:r>
    </w:p>
    <w:p w14:paraId="400C00C6">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E.必要的法律依据；</w:t>
      </w:r>
    </w:p>
    <w:p w14:paraId="2B50ABD3">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F.提出质疑的日期。</w:t>
      </w:r>
    </w:p>
    <w:p w14:paraId="098A118C">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2E66262F">
      <w:pPr>
        <w:pStyle w:val="17"/>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29.3质疑材料递交方式：</w:t>
      </w:r>
    </w:p>
    <w:p w14:paraId="266F9BBB">
      <w:pPr>
        <w:pStyle w:val="17"/>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①通过政采云平台在线提出质疑（政采云系统菜单路径：应用中心-项目采购-询问质疑投诉-质疑列表-新增质疑）；</w:t>
      </w:r>
    </w:p>
    <w:p w14:paraId="65D1BEAB">
      <w:pPr>
        <w:pStyle w:val="17"/>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②供应商在法定质疑期内一次性提出针对同一采购程序环节的质疑。</w:t>
      </w:r>
    </w:p>
    <w:p w14:paraId="67BCA700">
      <w:pPr>
        <w:pStyle w:val="17"/>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③书面递交到</w:t>
      </w:r>
      <w:r>
        <w:rPr>
          <w:rFonts w:hint="eastAsia" w:ascii="宋体" w:hAnsi="宋体" w:eastAsia="宋体" w:cs="宋体"/>
          <w:color w:val="auto"/>
          <w:highlight w:val="none"/>
          <w:lang w:eastAsia="zh-CN"/>
        </w:rPr>
        <w:t>浙江鼎峰工程咨询有限公司</w:t>
      </w:r>
      <w:r>
        <w:rPr>
          <w:rFonts w:hint="eastAsia" w:ascii="宋体" w:hAnsi="宋体" w:eastAsia="宋体" w:cs="宋体"/>
          <w:color w:val="auto"/>
          <w:highlight w:val="none"/>
        </w:rPr>
        <w:t>。</w:t>
      </w:r>
    </w:p>
    <w:p w14:paraId="5B629832">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cs="宋体"/>
          <w:b w:val="0"/>
          <w:bCs w:val="0"/>
          <w:color w:val="auto"/>
          <w:kern w:val="0"/>
          <w:sz w:val="21"/>
          <w:szCs w:val="21"/>
          <w:highlight w:val="none"/>
        </w:rPr>
      </w:pPr>
    </w:p>
    <w:p w14:paraId="2A94C536">
      <w:pPr>
        <w:widowControl/>
        <w:spacing w:line="400" w:lineRule="exact"/>
        <w:jc w:val="center"/>
        <w:outlineLvl w:val="2"/>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六、合同授予</w:t>
      </w:r>
      <w:bookmarkEnd w:id="57"/>
      <w:bookmarkEnd w:id="58"/>
      <w:bookmarkEnd w:id="59"/>
      <w:bookmarkEnd w:id="60"/>
      <w:bookmarkEnd w:id="61"/>
      <w:bookmarkEnd w:id="62"/>
    </w:p>
    <w:p w14:paraId="399F6E52">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30.签订合同</w:t>
      </w:r>
    </w:p>
    <w:p w14:paraId="43310D9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30.1成交方</w:t>
      </w:r>
      <w:r>
        <w:rPr>
          <w:rFonts w:hint="eastAsia" w:ascii="宋体" w:hAnsi="宋体" w:eastAsia="宋体" w:cs="宋体"/>
          <w:color w:val="auto"/>
          <w:kern w:val="0"/>
          <w:highlight w:val="none"/>
        </w:rPr>
        <w:t>应在《成交通知书》</w:t>
      </w:r>
      <w:r>
        <w:rPr>
          <w:rFonts w:hint="eastAsia" w:ascii="宋体" w:hAnsi="宋体" w:eastAsia="宋体" w:cs="宋体"/>
          <w:color w:val="auto"/>
          <w:highlight w:val="none"/>
        </w:rPr>
        <w:t>发出之日起</w:t>
      </w:r>
      <w:r>
        <w:rPr>
          <w:rFonts w:hint="eastAsia" w:ascii="宋体" w:hAnsi="宋体" w:eastAsia="宋体" w:cs="宋体"/>
          <w:color w:val="auto"/>
          <w:kern w:val="0"/>
          <w:highlight w:val="none"/>
          <w:u w:val="single"/>
        </w:rPr>
        <w:t>30日</w:t>
      </w:r>
      <w:r>
        <w:rPr>
          <w:rFonts w:hint="eastAsia" w:ascii="宋体" w:hAnsi="宋体" w:eastAsia="宋体" w:cs="宋体"/>
          <w:color w:val="auto"/>
          <w:kern w:val="0"/>
          <w:highlight w:val="none"/>
        </w:rPr>
        <w:t>内与采购人签订合同</w:t>
      </w:r>
      <w:r>
        <w:rPr>
          <w:rFonts w:hint="eastAsia" w:ascii="宋体" w:hAnsi="宋体" w:eastAsia="宋体" w:cs="宋体"/>
          <w:color w:val="auto"/>
          <w:kern w:val="0"/>
          <w:highlight w:val="none"/>
          <w:shd w:val="clear" w:color="auto" w:fill="FFFFFF"/>
        </w:rPr>
        <w:t>。</w:t>
      </w:r>
    </w:p>
    <w:p w14:paraId="3EDEA39A">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30.2 如成交方未在规定时间内签订合同或拒签合同，则按成交方违约处理。</w:t>
      </w:r>
    </w:p>
    <w:p w14:paraId="683D8F8B">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30.3合同经双方法定代表人或授权委托人签字加盖单位公章，并经</w:t>
      </w:r>
      <w:r>
        <w:rPr>
          <w:rFonts w:hint="eastAsia" w:ascii="宋体" w:hAnsi="宋体" w:eastAsia="宋体" w:cs="宋体"/>
          <w:color w:val="auto"/>
          <w:kern w:val="0"/>
          <w:highlight w:val="none"/>
          <w:lang w:eastAsia="zh-CN"/>
        </w:rPr>
        <w:t>浙江鼎峰工程咨询有限公司</w:t>
      </w:r>
      <w:r>
        <w:rPr>
          <w:rFonts w:hint="eastAsia" w:ascii="宋体" w:hAnsi="宋体" w:eastAsia="宋体" w:cs="宋体"/>
          <w:color w:val="auto"/>
          <w:kern w:val="0"/>
          <w:highlight w:val="none"/>
        </w:rPr>
        <w:t>鉴证盖章后生效。</w:t>
      </w:r>
    </w:p>
    <w:p w14:paraId="0A8C76FD">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highlight w:val="none"/>
          <w:shd w:val="clear" w:color="auto" w:fill="FFFFFF"/>
        </w:rPr>
      </w:pPr>
      <w:r>
        <w:rPr>
          <w:rFonts w:hint="eastAsia" w:ascii="宋体" w:hAnsi="宋体" w:eastAsia="宋体" w:cs="宋体"/>
          <w:color w:val="auto"/>
          <w:kern w:val="0"/>
          <w:highlight w:val="none"/>
          <w:shd w:val="clear" w:color="auto" w:fill="FFFFFF"/>
        </w:rPr>
        <w:t>30.4磋商文件、响应文件及其澄清文件等，均作为签订合同的依据。所签订的合同不得对磋商文件和响应文件做实质性修改。</w:t>
      </w:r>
    </w:p>
    <w:p w14:paraId="111441BB">
      <w:pPr>
        <w:widowControl/>
        <w:spacing w:line="500" w:lineRule="exact"/>
        <w:jc w:val="center"/>
        <w:rPr>
          <w:rFonts w:ascii="宋体" w:hAnsi="宋体"/>
          <w:color w:val="auto"/>
          <w:highlight w:val="none"/>
        </w:rPr>
      </w:pPr>
      <w:r>
        <w:rPr>
          <w:rFonts w:hint="eastAsia" w:ascii="仿宋" w:hAnsi="仿宋" w:eastAsia="仿宋" w:cs="宋体"/>
          <w:color w:val="auto"/>
          <w:kern w:val="0"/>
          <w:sz w:val="24"/>
          <w:highlight w:val="none"/>
          <w:shd w:val="clear" w:color="auto" w:fill="FFFFFF"/>
        </w:rPr>
        <w:br w:type="page"/>
      </w:r>
      <w:bookmarkEnd w:id="11"/>
      <w:bookmarkEnd w:id="12"/>
      <w:bookmarkEnd w:id="13"/>
      <w:bookmarkEnd w:id="14"/>
      <w:bookmarkEnd w:id="15"/>
      <w:bookmarkEnd w:id="16"/>
      <w:bookmarkEnd w:id="17"/>
      <w:bookmarkStart w:id="63" w:name="_Toc433917284"/>
      <w:bookmarkStart w:id="64" w:name="_Toc392080784"/>
      <w:bookmarkStart w:id="65" w:name="_Toc479236982"/>
      <w:bookmarkStart w:id="66" w:name="_Toc393201726"/>
      <w:r>
        <w:rPr>
          <w:rFonts w:hint="eastAsia" w:ascii="黑体" w:hAnsi="黑体" w:eastAsia="黑体" w:cs="黑体"/>
          <w:color w:val="auto"/>
          <w:sz w:val="36"/>
          <w:szCs w:val="36"/>
          <w:highlight w:val="none"/>
        </w:rPr>
        <w:t>第三章  采购需求</w:t>
      </w:r>
    </w:p>
    <w:p w14:paraId="093910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1"/>
          <w:szCs w:val="21"/>
          <w:highlight w:val="none"/>
        </w:rPr>
      </w:pPr>
    </w:p>
    <w:p w14:paraId="6613219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color w:val="auto"/>
          <w:sz w:val="21"/>
          <w:szCs w:val="21"/>
          <w:highlight w:val="none"/>
        </w:rPr>
      </w:pPr>
      <w:bookmarkStart w:id="67" w:name="_Toc397775657"/>
      <w:bookmarkStart w:id="68" w:name="_Toc340736189"/>
      <w:bookmarkStart w:id="69" w:name="_Toc333842561"/>
      <w:bookmarkStart w:id="70" w:name="_Toc375206054"/>
      <w:bookmarkStart w:id="71" w:name="_Toc369166669"/>
      <w:bookmarkStart w:id="72" w:name="_Toc429491360"/>
      <w:bookmarkStart w:id="73" w:name="_Toc386636611"/>
      <w:bookmarkStart w:id="74" w:name="_Toc28626"/>
      <w:bookmarkStart w:id="75" w:name="_Toc1184"/>
      <w:r>
        <w:rPr>
          <w:rFonts w:hint="eastAsia" w:ascii="宋体" w:hAnsi="宋体" w:cs="宋体"/>
          <w:b/>
          <w:bCs/>
          <w:color w:val="auto"/>
          <w:sz w:val="21"/>
          <w:szCs w:val="21"/>
          <w:highlight w:val="none"/>
        </w:rPr>
        <w:t>一、总则</w:t>
      </w:r>
      <w:bookmarkEnd w:id="67"/>
      <w:bookmarkEnd w:id="68"/>
      <w:bookmarkEnd w:id="69"/>
      <w:bookmarkEnd w:id="70"/>
      <w:bookmarkEnd w:id="71"/>
      <w:bookmarkEnd w:id="72"/>
      <w:bookmarkEnd w:id="73"/>
      <w:bookmarkEnd w:id="74"/>
    </w:p>
    <w:p w14:paraId="04E4BD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1、这份规格书只是对该项目的一些原则性规定，并不是详尽的要求，投标人有责任对设计符合技术规范、标准负责。</w:t>
      </w:r>
    </w:p>
    <w:p w14:paraId="705B83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2、在投标之前，投标人须仔细阅读招标文件，如发现有任何疑问、冲突或技术问题，投标人须向采购单位咨询。</w:t>
      </w:r>
    </w:p>
    <w:p w14:paraId="7E3DA35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二、项目概况</w:t>
      </w:r>
    </w:p>
    <w:p w14:paraId="5A625A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bookmarkStart w:id="76" w:name="_Toc18270"/>
      <w:bookmarkStart w:id="77" w:name="_Toc4237"/>
      <w:bookmarkStart w:id="78" w:name="_Toc20974"/>
      <w:r>
        <w:rPr>
          <w:rFonts w:hint="eastAsia" w:ascii="宋体" w:hAnsi="宋体" w:cs="宋体"/>
          <w:color w:val="auto"/>
          <w:sz w:val="21"/>
          <w:szCs w:val="21"/>
          <w:highlight w:val="none"/>
        </w:rPr>
        <w:t>1、项目地点：</w:t>
      </w:r>
      <w:r>
        <w:rPr>
          <w:rFonts w:hint="eastAsia" w:ascii="宋体" w:hAnsi="宋体" w:cs="宋体"/>
          <w:color w:val="auto"/>
          <w:sz w:val="21"/>
          <w:szCs w:val="21"/>
          <w:highlight w:val="none"/>
          <w:lang w:val="en-US" w:eastAsia="zh-CN"/>
        </w:rPr>
        <w:t>浙江省开化中学</w:t>
      </w:r>
      <w:r>
        <w:rPr>
          <w:rFonts w:hint="eastAsia" w:ascii="宋体" w:hAnsi="宋体" w:cs="宋体"/>
          <w:color w:val="auto"/>
          <w:sz w:val="21"/>
          <w:szCs w:val="21"/>
          <w:highlight w:val="none"/>
        </w:rPr>
        <w:t>。</w:t>
      </w:r>
    </w:p>
    <w:p w14:paraId="11E57F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工期（合同履行期限）</w:t>
      </w:r>
      <w:r>
        <w:rPr>
          <w:rFonts w:hint="eastAsia" w:ascii="宋体" w:hAnsi="宋体" w:cs="宋体"/>
          <w:color w:val="auto"/>
          <w:sz w:val="21"/>
          <w:szCs w:val="21"/>
          <w:highlight w:val="none"/>
        </w:rPr>
        <w:t>：</w:t>
      </w:r>
      <w:bookmarkEnd w:id="76"/>
      <w:bookmarkEnd w:id="77"/>
      <w:bookmarkEnd w:id="78"/>
      <w:r>
        <w:rPr>
          <w:rFonts w:hint="eastAsia" w:ascii="宋体" w:hAnsi="宋体" w:cs="宋体"/>
          <w:color w:val="auto"/>
          <w:sz w:val="21"/>
          <w:szCs w:val="21"/>
          <w:highlight w:val="none"/>
          <w:lang w:eastAsia="zh-CN"/>
        </w:rPr>
        <w:t>自合同签订之日起</w:t>
      </w:r>
      <w:r>
        <w:rPr>
          <w:rFonts w:hint="eastAsia" w:ascii="宋体" w:hAnsi="宋体" w:cs="宋体"/>
          <w:color w:val="auto"/>
          <w:sz w:val="21"/>
          <w:szCs w:val="21"/>
          <w:highlight w:val="none"/>
          <w:u w:val="single"/>
          <w:lang w:eastAsia="zh-CN"/>
        </w:rPr>
        <w:t xml:space="preserve"> 25 </w:t>
      </w:r>
      <w:r>
        <w:rPr>
          <w:rFonts w:hint="eastAsia" w:ascii="宋体" w:hAnsi="宋体" w:cs="宋体"/>
          <w:color w:val="auto"/>
          <w:sz w:val="21"/>
          <w:szCs w:val="21"/>
          <w:highlight w:val="none"/>
          <w:lang w:eastAsia="zh-CN"/>
        </w:rPr>
        <w:t>日历天内供货至采购人指定的地点并完成安装、调试、检测等，进度须配合主体维修改造工程进度，验收合格并满足使用要求</w:t>
      </w:r>
      <w:r>
        <w:rPr>
          <w:rFonts w:hint="eastAsia" w:ascii="宋体" w:hAnsi="宋体" w:cs="宋体"/>
          <w:color w:val="auto"/>
          <w:sz w:val="21"/>
          <w:szCs w:val="21"/>
          <w:highlight w:val="none"/>
        </w:rPr>
        <w:t>。</w:t>
      </w:r>
    </w:p>
    <w:p w14:paraId="3D6357A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三、采购清单</w:t>
      </w:r>
    </w:p>
    <w:tbl>
      <w:tblPr>
        <w:tblStyle w:val="32"/>
        <w:tblW w:w="51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635"/>
        <w:gridCol w:w="675"/>
        <w:gridCol w:w="645"/>
        <w:gridCol w:w="5156"/>
        <w:gridCol w:w="3"/>
        <w:gridCol w:w="1155"/>
      </w:tblGrid>
      <w:tr w14:paraId="4755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noWrap/>
            <w:vAlign w:val="center"/>
          </w:tcPr>
          <w:p w14:paraId="1C106A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837" w:type="pct"/>
            <w:noWrap w:val="0"/>
            <w:vAlign w:val="center"/>
          </w:tcPr>
          <w:p w14:paraId="1F8E9C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设备名称</w:t>
            </w:r>
          </w:p>
        </w:tc>
        <w:tc>
          <w:tcPr>
            <w:tcW w:w="345" w:type="pct"/>
            <w:noWrap/>
            <w:vAlign w:val="center"/>
          </w:tcPr>
          <w:p w14:paraId="0F414A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330" w:type="pct"/>
            <w:noWrap/>
            <w:vAlign w:val="center"/>
          </w:tcPr>
          <w:p w14:paraId="0340F0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2644" w:type="pct"/>
            <w:gridSpan w:val="2"/>
            <w:noWrap/>
            <w:vAlign w:val="center"/>
          </w:tcPr>
          <w:p w14:paraId="455564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 xml:space="preserve"> 参数</w:t>
            </w:r>
          </w:p>
        </w:tc>
        <w:tc>
          <w:tcPr>
            <w:tcW w:w="591" w:type="pct"/>
            <w:noWrap/>
            <w:vAlign w:val="center"/>
          </w:tcPr>
          <w:p w14:paraId="122BA1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w:t>
            </w:r>
          </w:p>
        </w:tc>
      </w:tr>
      <w:tr w14:paraId="6C04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noWrap/>
            <w:vAlign w:val="center"/>
          </w:tcPr>
          <w:p w14:paraId="66EF51F8">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一、专业扩声系统</w:t>
            </w:r>
          </w:p>
        </w:tc>
      </w:tr>
      <w:tr w14:paraId="4FA2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noWrap/>
            <w:vAlign w:val="center"/>
          </w:tcPr>
          <w:p w14:paraId="74A3240F">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（一）会议系统</w:t>
            </w:r>
          </w:p>
        </w:tc>
      </w:tr>
      <w:tr w14:paraId="23B3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190EE0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7" w:type="pct"/>
            <w:noWrap w:val="0"/>
            <w:vAlign w:val="center"/>
          </w:tcPr>
          <w:p w14:paraId="122A6B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无线话筒（一拖二手持）</w:t>
            </w:r>
          </w:p>
        </w:tc>
        <w:tc>
          <w:tcPr>
            <w:tcW w:w="345" w:type="pct"/>
            <w:noWrap w:val="0"/>
            <w:vAlign w:val="center"/>
          </w:tcPr>
          <w:p w14:paraId="169895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0" w:type="pct"/>
            <w:noWrap w:val="0"/>
            <w:vAlign w:val="center"/>
          </w:tcPr>
          <w:p w14:paraId="578C5C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2644" w:type="pct"/>
            <w:gridSpan w:val="2"/>
            <w:noWrap w:val="0"/>
            <w:vAlign w:val="center"/>
          </w:tcPr>
          <w:p w14:paraId="5075109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1.数字锁相环多信道频率合成技术，提供≥200个信道选择；</w:t>
            </w:r>
          </w:p>
          <w:p w14:paraId="44DD8E4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2.先进的自动对频技术，自动追锁接收机频率；</w:t>
            </w:r>
          </w:p>
          <w:p w14:paraId="4EED368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3.内置高低功率切换功能；</w:t>
            </w:r>
          </w:p>
          <w:p w14:paraId="74ECB72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4.频率锁定功能；</w:t>
            </w:r>
          </w:p>
          <w:p w14:paraId="7DD5CCD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5.灵敏度调节功能；</w:t>
            </w:r>
          </w:p>
          <w:p w14:paraId="6E65CD4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6.高亮度液晶显示屏；                                                                                       </w:t>
            </w:r>
          </w:p>
        </w:tc>
        <w:tc>
          <w:tcPr>
            <w:tcW w:w="591" w:type="pct"/>
            <w:noWrap w:val="0"/>
            <w:vAlign w:val="center"/>
          </w:tcPr>
          <w:p w14:paraId="372BB0A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p>
        </w:tc>
      </w:tr>
      <w:tr w14:paraId="1A24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59E961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37" w:type="pct"/>
            <w:noWrap w:val="0"/>
            <w:vAlign w:val="center"/>
          </w:tcPr>
          <w:p w14:paraId="606E4E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无线话筒（一拖四方杆话筒）</w:t>
            </w:r>
          </w:p>
        </w:tc>
        <w:tc>
          <w:tcPr>
            <w:tcW w:w="345" w:type="pct"/>
            <w:noWrap w:val="0"/>
            <w:vAlign w:val="center"/>
          </w:tcPr>
          <w:p w14:paraId="2F7070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0" w:type="pct"/>
            <w:noWrap w:val="0"/>
            <w:vAlign w:val="center"/>
          </w:tcPr>
          <w:p w14:paraId="440706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2644" w:type="pct"/>
            <w:gridSpan w:val="2"/>
            <w:noWrap w:val="0"/>
            <w:vAlign w:val="center"/>
          </w:tcPr>
          <w:p w14:paraId="5D41A00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1.数字锁相环多信道频率合成技术；</w:t>
            </w:r>
          </w:p>
          <w:p w14:paraId="5ACA635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2.先进的自动对频技术，自动追锁接收机频率；</w:t>
            </w:r>
          </w:p>
          <w:p w14:paraId="352AEAB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3.内置高低功率切换功能；</w:t>
            </w:r>
          </w:p>
          <w:p w14:paraId="5EC484F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4.内置可充电电池供电；</w:t>
            </w:r>
          </w:p>
          <w:p w14:paraId="7F93F5C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5.灵敏度调节功能；</w:t>
            </w:r>
          </w:p>
          <w:p w14:paraId="1B8B5EB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6.高亮度液晶显示屏；</w:t>
            </w:r>
          </w:p>
          <w:p w14:paraId="5ECFB8E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7.四通道接收信号，每通道≥50个信道可选。</w:t>
            </w:r>
          </w:p>
        </w:tc>
        <w:tc>
          <w:tcPr>
            <w:tcW w:w="591" w:type="pct"/>
            <w:noWrap w:val="0"/>
            <w:vAlign w:val="center"/>
          </w:tcPr>
          <w:p w14:paraId="53E7CBF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p>
        </w:tc>
      </w:tr>
      <w:tr w14:paraId="28D8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0123AA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37" w:type="pct"/>
            <w:noWrap w:val="0"/>
            <w:vAlign w:val="center"/>
          </w:tcPr>
          <w:p w14:paraId="2CBC7A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无线话筒（一拖二头戴）</w:t>
            </w:r>
          </w:p>
        </w:tc>
        <w:tc>
          <w:tcPr>
            <w:tcW w:w="345" w:type="pct"/>
            <w:noWrap w:val="0"/>
            <w:vAlign w:val="center"/>
          </w:tcPr>
          <w:p w14:paraId="635CB4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0" w:type="pct"/>
            <w:noWrap w:val="0"/>
            <w:vAlign w:val="center"/>
          </w:tcPr>
          <w:p w14:paraId="7E5DEF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2644" w:type="pct"/>
            <w:gridSpan w:val="2"/>
            <w:noWrap w:val="0"/>
            <w:vAlign w:val="center"/>
          </w:tcPr>
          <w:p w14:paraId="321C982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1.数字锁相环多信道频率合成技术，提供≥100个信道选择；</w:t>
            </w:r>
          </w:p>
          <w:p w14:paraId="594A196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2.先进的自动对频技术，自动追锁接收机频率；</w:t>
            </w:r>
          </w:p>
          <w:p w14:paraId="6062E52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3.内置高低功率切换功能；</w:t>
            </w:r>
          </w:p>
          <w:p w14:paraId="7BEFE42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4.频率锁定功能；</w:t>
            </w:r>
          </w:p>
          <w:p w14:paraId="378CAEE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5.灵敏度调节功能；</w:t>
            </w:r>
          </w:p>
          <w:p w14:paraId="54AB261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6.高亮度液晶显示屏；</w:t>
            </w:r>
          </w:p>
        </w:tc>
        <w:tc>
          <w:tcPr>
            <w:tcW w:w="591" w:type="pct"/>
            <w:noWrap w:val="0"/>
            <w:vAlign w:val="center"/>
          </w:tcPr>
          <w:p w14:paraId="3808AA4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p>
        </w:tc>
      </w:tr>
      <w:tr w14:paraId="2C11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36CA06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37" w:type="pct"/>
            <w:noWrap w:val="0"/>
            <w:vAlign w:val="center"/>
          </w:tcPr>
          <w:p w14:paraId="61379C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话筒信号放大器</w:t>
            </w:r>
          </w:p>
        </w:tc>
        <w:tc>
          <w:tcPr>
            <w:tcW w:w="345" w:type="pct"/>
            <w:noWrap/>
            <w:vAlign w:val="center"/>
          </w:tcPr>
          <w:p w14:paraId="7E9316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0C4115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2644" w:type="pct"/>
            <w:gridSpan w:val="2"/>
            <w:noWrap w:val="0"/>
            <w:vAlign w:val="center"/>
          </w:tcPr>
          <w:p w14:paraId="3810DCA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1.天线分配器 +主动式指向天线；</w:t>
            </w:r>
          </w:p>
          <w:p w14:paraId="33ED225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2.四组电源输出：12V/600~1000mA；</w:t>
            </w:r>
          </w:p>
          <w:p w14:paraId="2B5E769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3.频率范围：500-900MHz；</w:t>
            </w:r>
          </w:p>
          <w:p w14:paraId="1EC3966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4.阻抗：50Ω；</w:t>
            </w:r>
          </w:p>
          <w:p w14:paraId="4D88223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5.插座：TNC female；</w:t>
            </w:r>
          </w:p>
          <w:p w14:paraId="5BE5941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6.电源供应：100-240V/50/60Hz；</w:t>
            </w:r>
          </w:p>
          <w:p w14:paraId="728E429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7.电源消耗：≤170mA。</w:t>
            </w:r>
          </w:p>
        </w:tc>
        <w:tc>
          <w:tcPr>
            <w:tcW w:w="591" w:type="pct"/>
            <w:noWrap w:val="0"/>
            <w:vAlign w:val="center"/>
          </w:tcPr>
          <w:p w14:paraId="1ED556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扩大无线话筒接收范围</w:t>
            </w:r>
          </w:p>
        </w:tc>
      </w:tr>
      <w:tr w14:paraId="16C1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shd w:val="clear" w:color="auto" w:fill="FFFFFF"/>
            <w:noWrap/>
            <w:vAlign w:val="center"/>
          </w:tcPr>
          <w:p w14:paraId="1C45EE0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（二）扩声系统</w:t>
            </w:r>
          </w:p>
        </w:tc>
      </w:tr>
      <w:tr w14:paraId="3C31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5ACF9E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7" w:type="pct"/>
            <w:noWrap w:val="0"/>
            <w:vAlign w:val="center"/>
          </w:tcPr>
          <w:p w14:paraId="423B2F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22路数字调音台</w:t>
            </w:r>
          </w:p>
        </w:tc>
        <w:tc>
          <w:tcPr>
            <w:tcW w:w="345" w:type="pct"/>
            <w:noWrap/>
            <w:vAlign w:val="center"/>
          </w:tcPr>
          <w:p w14:paraId="53BDA1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04DDE6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top"/>
          </w:tcPr>
          <w:p w14:paraId="77974490">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 xml:space="preserve">1.≥22路输入：16路Mic/Line(XLR / TRS复合平衡接口)、2路立体声LineIN ( ¼"TRS平衡接口)、1路立体声USB盘或蓝牙播放；               </w:t>
            </w:r>
          </w:p>
          <w:p w14:paraId="1A92B532">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2.≥18路输出：8路MIX总线输出（ XLR平衡接口）、4路MTRX总线输出（ 1/4" TRS平衡接口）、1路立体声Main-Out L/R（ XLR平衡接口）、1路立体声USB盘录音、1路立体声监听（ 1/4" TRS立体声接口，16Ω最小阻抗耳机）；                                                    </w:t>
            </w:r>
          </w:p>
          <w:p w14:paraId="1D8A2965">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3.≥7"高清晰彩色TFT 液晶显示屏，电容触摸屏；                                                  </w:t>
            </w:r>
          </w:p>
          <w:p w14:paraId="09ADE1E3">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4.数控模拟增益调节Gain 、相位调节、推子前/ 推子后等4 位置音源选择、4 段参量均衡(PEQ)、高通滤波器、低通滤波器、噪声门、压限器；                                                   </w:t>
            </w:r>
          </w:p>
          <w:p w14:paraId="3E0D10BA">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5.15段图示均衡器、高通和低通滤波器、4 段参量均衡(PEQ)、压限器、延时(最大500ms)；                                      </w:t>
            </w:r>
          </w:p>
          <w:p w14:paraId="34C90EB5">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6.立体声双通道录音，对Main-L/R MIX1/MIX2/MIX3/MIX4/MIX5/MIX6、MIX7/MIX8 共5 个立体声总线输出选择一组作为录音音源；                                    </w:t>
            </w:r>
          </w:p>
          <w:p w14:paraId="080354D1">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7.8 个DCA 编组(带静音)，4 个Mute Groups 静音编组；          </w:t>
            </w:r>
          </w:p>
          <w:p w14:paraId="229A8648">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8.4 个专业效果器：Chorus、Echo、Flanger、Pitch-shift、Reverb、Stereo Delay 共六类效果处理，60 个工厂预设( FX Presets )，快捷易用的用户预设；                                                                    </w:t>
            </w:r>
          </w:p>
          <w:p w14:paraId="3A38030E">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9.采样频率：48kHz / 24bit；</w:t>
            </w:r>
          </w:p>
          <w:p w14:paraId="05D93022">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10.频率响应：20 Hz ~ 20 kHz；</w:t>
            </w:r>
          </w:p>
          <w:p w14:paraId="3F53F712">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11.总谐波失真 THD+N ：≤ 0.009% ；</w:t>
            </w:r>
          </w:p>
          <w:p w14:paraId="1F78D6C8">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12.信噪比 S/N ：≥ 95dB。</w:t>
            </w:r>
          </w:p>
        </w:tc>
        <w:tc>
          <w:tcPr>
            <w:tcW w:w="591" w:type="pct"/>
            <w:noWrap w:val="0"/>
            <w:vAlign w:val="top"/>
          </w:tcPr>
          <w:p w14:paraId="669AB0FF">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p>
        </w:tc>
      </w:tr>
      <w:tr w14:paraId="7F76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4070D2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37" w:type="pct"/>
            <w:noWrap w:val="0"/>
            <w:vAlign w:val="center"/>
          </w:tcPr>
          <w:p w14:paraId="7FFD94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音视频运维管理平台</w:t>
            </w:r>
          </w:p>
        </w:tc>
        <w:tc>
          <w:tcPr>
            <w:tcW w:w="345" w:type="pct"/>
            <w:noWrap/>
            <w:vAlign w:val="center"/>
          </w:tcPr>
          <w:p w14:paraId="357C87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4F1829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2644" w:type="pct"/>
            <w:gridSpan w:val="2"/>
            <w:noWrap w:val="0"/>
            <w:vAlign w:val="top"/>
          </w:tcPr>
          <w:p w14:paraId="2CF17A21">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1.基于物联网、大数据和人工智能技术构建，系统采用BS架构，扩展系统接入方便、简单、易操作；</w:t>
            </w:r>
          </w:p>
          <w:p w14:paraId="4387EF04">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2.具备多系统扩展，多系统融合接入，实现各系统无主机运行，各系统功能模块化管理；</w:t>
            </w:r>
          </w:p>
          <w:p w14:paraId="73AD524E">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3.带预警功能，电压、温度、输出等预警参数可调；</w:t>
            </w:r>
          </w:p>
          <w:p w14:paraId="69A1C43B">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4.支持短信信息提醒功能；</w:t>
            </w:r>
          </w:p>
          <w:p w14:paraId="3441EF07">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5.集成广播系统实时采播、定时节目、节目管理功能；</w:t>
            </w:r>
          </w:p>
          <w:p w14:paraId="5FB62381">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6.集成音频处理器模块，能对每一路的幻象供电、音量、反馈抑制、压限、均衡、静音等实时操作，实时反馈处理器的状态信息；</w:t>
            </w:r>
          </w:p>
          <w:p w14:paraId="1D76092D">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7.集成电源时序器模块，能对电源时序器进行实时操作，实时显示整台设备的工作状态信息，还可以显示每路的开关状态、电流、功率等信息；</w:t>
            </w:r>
          </w:p>
          <w:p w14:paraId="34D812A9">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8.内置场景模式，方便调用和操作场景内的设备；</w:t>
            </w:r>
          </w:p>
          <w:p w14:paraId="68D0DC60">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9.带一键报警功能；</w:t>
            </w:r>
          </w:p>
          <w:p w14:paraId="2F98863F">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10.支持多帐号，可以实现不同帐号管理不同区域，实现一套系统多区域或者多部门独立应用；</w:t>
            </w:r>
          </w:p>
          <w:p w14:paraId="5E2A84D0">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11.支持菜单自定义，可以根据实际项目情况修改菜单名称及菜单的显示位置；</w:t>
            </w:r>
          </w:p>
          <w:p w14:paraId="08DFF417">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12.支持项目集成，B/S架构可以提供api接口或者页面嵌入的方式进行项目集成；</w:t>
            </w:r>
          </w:p>
        </w:tc>
        <w:tc>
          <w:tcPr>
            <w:tcW w:w="591" w:type="pct"/>
            <w:noWrap w:val="0"/>
            <w:vAlign w:val="center"/>
          </w:tcPr>
          <w:p w14:paraId="2D99B10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软件</w:t>
            </w:r>
          </w:p>
        </w:tc>
      </w:tr>
      <w:tr w14:paraId="694F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32B874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37" w:type="pct"/>
            <w:noWrap w:val="0"/>
            <w:vAlign w:val="center"/>
          </w:tcPr>
          <w:p w14:paraId="6FE04E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数字反馈抑制器</w:t>
            </w:r>
          </w:p>
        </w:tc>
        <w:tc>
          <w:tcPr>
            <w:tcW w:w="345" w:type="pct"/>
            <w:noWrap/>
            <w:vAlign w:val="center"/>
          </w:tcPr>
          <w:p w14:paraId="7C20FA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58ABE9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13B808A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1.内置24Bit  A/D、D/A转换；24位DSP处理器，48KHz高速采样。采用高速浮点；</w:t>
            </w:r>
          </w:p>
          <w:p w14:paraId="7231467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2.全自动化操作的工作方式，免人工调试，精准可靠使用简单；</w:t>
            </w:r>
          </w:p>
          <w:p w14:paraId="156C719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3.各功能可通过本机或连接电脑设置；</w:t>
            </w:r>
          </w:p>
          <w:p w14:paraId="1B705A2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4.2路XLR和2路TRS输入、输出；</w:t>
            </w:r>
          </w:p>
          <w:p w14:paraId="5A6EE67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5.线路输入阻抗：≤22K，频响：40Hz-20KHz(+2dB)，失真度：≤0.1%，底噪声：≤1mV，增益提升：6-15dB。</w:t>
            </w:r>
          </w:p>
        </w:tc>
        <w:tc>
          <w:tcPr>
            <w:tcW w:w="591" w:type="pct"/>
            <w:noWrap w:val="0"/>
            <w:vAlign w:val="center"/>
          </w:tcPr>
          <w:p w14:paraId="108113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防止话筒啸叫</w:t>
            </w:r>
          </w:p>
        </w:tc>
      </w:tr>
      <w:tr w14:paraId="6293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1DB21A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37" w:type="pct"/>
            <w:noWrap w:val="0"/>
            <w:vAlign w:val="center"/>
          </w:tcPr>
          <w:p w14:paraId="055090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数字音频处理器</w:t>
            </w:r>
          </w:p>
        </w:tc>
        <w:tc>
          <w:tcPr>
            <w:tcW w:w="345" w:type="pct"/>
            <w:noWrap/>
            <w:vAlign w:val="center"/>
          </w:tcPr>
          <w:p w14:paraId="6542B1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694BB7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698E70A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1.自定义的用户操作界面；</w:t>
            </w:r>
          </w:p>
          <w:p w14:paraId="1148D57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2.需内置USB声卡，支持录播和远程会议；</w:t>
            </w:r>
          </w:p>
          <w:p w14:paraId="18CC522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3.处理器芯片采用ADI架构，不低于40bit DSP浮点运算引擎；</w:t>
            </w:r>
          </w:p>
          <w:p w14:paraId="4E2BEC1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4.模拟输入输出通道数量不少于12*12；</w:t>
            </w:r>
          </w:p>
          <w:p w14:paraId="73743BB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5.输入输出量化不低于48KHz/24bit；</w:t>
            </w:r>
          </w:p>
          <w:p w14:paraId="13C6A2A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6.输入通道应该具备：不低于8段PEQ ，且提供不低于五种滤波器类型选择；</w:t>
            </w:r>
          </w:p>
          <w:p w14:paraId="459D481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7.增益共享自动混音(AMC)、自动增益(AGC)；每个通道应不低于8个点的自适应反馈抑制（AFC）；</w:t>
            </w:r>
          </w:p>
          <w:p w14:paraId="699B4A1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8.输出通道应该具备：不低于8段PEQ,分频器、延时器、限幅器。</w:t>
            </w:r>
          </w:p>
          <w:p w14:paraId="28FCFD5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9.不低于16 x13 矩阵；</w:t>
            </w:r>
          </w:p>
          <w:p w14:paraId="099475F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10.不低于16组预设；</w:t>
            </w:r>
          </w:p>
          <w:p w14:paraId="2F2DC26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12.频率响应范围不低于20～20kHz (±0.5dB)；</w:t>
            </w:r>
          </w:p>
          <w:p w14:paraId="06EBEC3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13.总谐波失真(THD+N)不低于0.002% @1kHz，+4dBu；</w:t>
            </w:r>
          </w:p>
        </w:tc>
        <w:tc>
          <w:tcPr>
            <w:tcW w:w="591" w:type="pct"/>
            <w:noWrap w:val="0"/>
            <w:vAlign w:val="center"/>
          </w:tcPr>
          <w:p w14:paraId="200B7E2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p>
        </w:tc>
      </w:tr>
      <w:tr w14:paraId="3298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496A02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37" w:type="pct"/>
            <w:noWrap w:val="0"/>
            <w:vAlign w:val="center"/>
          </w:tcPr>
          <w:p w14:paraId="7EC468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线阵全频功放</w:t>
            </w:r>
          </w:p>
        </w:tc>
        <w:tc>
          <w:tcPr>
            <w:tcW w:w="345" w:type="pct"/>
            <w:noWrap/>
            <w:vAlign w:val="center"/>
          </w:tcPr>
          <w:p w14:paraId="2CF928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1D8341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2644" w:type="pct"/>
            <w:gridSpan w:val="2"/>
            <w:noWrap w:val="0"/>
            <w:vAlign w:val="center"/>
          </w:tcPr>
          <w:p w14:paraId="112C4CBA">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1.四种输入灵敏度：0.775V/1V/1.5V/2V；</w:t>
            </w:r>
          </w:p>
          <w:p w14:paraId="439F67CD">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2.后面板采用平衡的XLR输入和SPEAKON输出；</w:t>
            </w:r>
          </w:p>
          <w:p w14:paraId="164FE83D">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3.全自动保护电路设计，保护功能有短路、直流、过热、过载以及限幅；</w:t>
            </w:r>
          </w:p>
          <w:p w14:paraId="3C24C6A2">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4.立体声输出功率8Ω：≥1300W*2，4Ω：≥2150W*2，桥接功率8Ω：≥6000W；</w:t>
            </w:r>
          </w:p>
          <w:p w14:paraId="1D72FA1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bCs w:val="0"/>
                <w:i w:val="0"/>
                <w:iCs w:val="0"/>
                <w:color w:val="auto"/>
                <w:kern w:val="2"/>
                <w:sz w:val="21"/>
                <w:szCs w:val="21"/>
                <w:u w:val="none"/>
                <w:lang w:val="en-US" w:eastAsia="zh-CN" w:bidi="ar-SA"/>
              </w:rPr>
            </w:pPr>
            <w:r>
              <w:rPr>
                <w:rStyle w:val="94"/>
                <w:rFonts w:hint="eastAsia" w:ascii="宋体" w:hAnsi="宋体" w:eastAsia="宋体" w:cs="宋体"/>
                <w:b w:val="0"/>
                <w:bCs w:val="0"/>
                <w:color w:val="auto"/>
                <w:sz w:val="21"/>
                <w:szCs w:val="21"/>
                <w:lang w:val="en-US" w:eastAsia="zh-CN" w:bidi="ar"/>
              </w:rPr>
              <w:t>5.THD：≤0.03%，信噪比：≥99dB，频响范围：10Hz-20KHz(±0.3dB)。</w:t>
            </w:r>
          </w:p>
        </w:tc>
        <w:tc>
          <w:tcPr>
            <w:tcW w:w="591" w:type="pct"/>
            <w:noWrap w:val="0"/>
            <w:vAlign w:val="center"/>
          </w:tcPr>
          <w:p w14:paraId="693A79E6">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2通道功率放大</w:t>
            </w:r>
          </w:p>
        </w:tc>
      </w:tr>
      <w:tr w14:paraId="71A3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30A061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37" w:type="pct"/>
            <w:noWrap w:val="0"/>
            <w:vAlign w:val="center"/>
          </w:tcPr>
          <w:p w14:paraId="0A638C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线阵低频功放</w:t>
            </w:r>
          </w:p>
        </w:tc>
        <w:tc>
          <w:tcPr>
            <w:tcW w:w="345" w:type="pct"/>
            <w:noWrap/>
            <w:vAlign w:val="center"/>
          </w:tcPr>
          <w:p w14:paraId="690CB1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5CA825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6B4B52F4">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1.四种输入灵敏度：0.775V/1V/1.5V/2V；</w:t>
            </w:r>
          </w:p>
          <w:p w14:paraId="488371BB">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2.后面板采用平衡的XLR输入和SPEAKON输出；</w:t>
            </w:r>
          </w:p>
          <w:p w14:paraId="26EC9FC4">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3.全自动保护电路设计，保护功能有短路、直流、过热、过载以及限幅；</w:t>
            </w:r>
          </w:p>
          <w:p w14:paraId="5D0D4C28">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4.立体声输出功率8Ω：≥1300W*2，4Ω：≥2150W*2，桥接功率8Ω：≥6000W；</w:t>
            </w:r>
          </w:p>
          <w:p w14:paraId="1E3D153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bCs w:val="0"/>
                <w:i w:val="0"/>
                <w:iCs w:val="0"/>
                <w:color w:val="auto"/>
                <w:kern w:val="2"/>
                <w:sz w:val="21"/>
                <w:szCs w:val="21"/>
                <w:u w:val="none"/>
                <w:lang w:val="en-US" w:eastAsia="zh-CN" w:bidi="ar-SA"/>
              </w:rPr>
            </w:pPr>
            <w:r>
              <w:rPr>
                <w:rStyle w:val="94"/>
                <w:rFonts w:hint="eastAsia" w:ascii="宋体" w:hAnsi="宋体" w:eastAsia="宋体" w:cs="宋体"/>
                <w:b w:val="0"/>
                <w:bCs w:val="0"/>
                <w:color w:val="auto"/>
                <w:sz w:val="21"/>
                <w:szCs w:val="21"/>
                <w:lang w:val="en-US" w:eastAsia="zh-CN" w:bidi="ar"/>
              </w:rPr>
              <w:t>5.THD：≤0.03%，信噪比：≥99dB，频响范围：10Hz-20KHz(±0.3dB)。</w:t>
            </w:r>
          </w:p>
        </w:tc>
        <w:tc>
          <w:tcPr>
            <w:tcW w:w="591" w:type="pct"/>
            <w:noWrap w:val="0"/>
            <w:vAlign w:val="center"/>
          </w:tcPr>
          <w:p w14:paraId="2B013D17">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2通道功率放大</w:t>
            </w:r>
          </w:p>
        </w:tc>
      </w:tr>
      <w:tr w14:paraId="12EE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794EB6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837" w:type="pct"/>
            <w:noWrap w:val="0"/>
            <w:vAlign w:val="center"/>
          </w:tcPr>
          <w:p w14:paraId="7B3A87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辅助功放</w:t>
            </w:r>
          </w:p>
        </w:tc>
        <w:tc>
          <w:tcPr>
            <w:tcW w:w="345" w:type="pct"/>
            <w:noWrap/>
            <w:vAlign w:val="center"/>
          </w:tcPr>
          <w:p w14:paraId="28C672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30" w:type="pct"/>
            <w:noWrap/>
            <w:vAlign w:val="center"/>
          </w:tcPr>
          <w:p w14:paraId="52D35F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4A87B55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1.标准2U高度、铝面板拉丝，高效的功率放大电路、功率输出强劲；</w:t>
            </w:r>
          </w:p>
          <w:p w14:paraId="1BCE25B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2.前面板精准增益控制，有电源、信号、消波和保护的工作LED信号指示灯；</w:t>
            </w:r>
          </w:p>
          <w:p w14:paraId="449BA45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3.后面板采用平衡的XLR输入和SPEAKON、</w:t>
            </w:r>
            <w:r>
              <w:rPr>
                <w:rFonts w:hint="eastAsia" w:ascii="宋体" w:hAnsi="宋体" w:eastAsia="宋体" w:cs="宋体"/>
                <w:i w:val="0"/>
                <w:iCs w:val="0"/>
                <w:color w:val="auto"/>
                <w:kern w:val="0"/>
                <w:sz w:val="21"/>
                <w:szCs w:val="21"/>
                <w:u w:val="none"/>
                <w:lang w:val="en-US" w:eastAsia="zh-CN" w:bidi="ar"/>
              </w:rPr>
              <w:t>线柱</w:t>
            </w:r>
            <w:r>
              <w:rPr>
                <w:rFonts w:hint="eastAsia" w:ascii="宋体" w:hAnsi="宋体" w:eastAsia="宋体" w:cs="宋体"/>
                <w:i w:val="0"/>
                <w:iCs w:val="0"/>
                <w:color w:val="auto"/>
                <w:kern w:val="0"/>
                <w:sz w:val="21"/>
                <w:szCs w:val="21"/>
                <w:highlight w:val="none"/>
                <w:u w:val="none"/>
                <w:lang w:val="en-US" w:eastAsia="zh-CN" w:bidi="ar"/>
              </w:rPr>
              <w:t>输出；</w:t>
            </w:r>
          </w:p>
          <w:p w14:paraId="05B1F58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4.立体声输出功率8Ω：620-650W*2，4Ω：870-900W*2，桥接功率8Ω：1300-1800W；</w:t>
            </w:r>
          </w:p>
          <w:p w14:paraId="3B4C144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5.THD：≤0.05%，信噪比：&gt;105dB，频响范围：20Hz-20KHz(±0.5dB)。</w:t>
            </w:r>
          </w:p>
        </w:tc>
        <w:tc>
          <w:tcPr>
            <w:tcW w:w="591" w:type="pct"/>
            <w:noWrap w:val="0"/>
            <w:vAlign w:val="center"/>
          </w:tcPr>
          <w:p w14:paraId="623745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Style w:val="94"/>
                <w:rFonts w:hint="eastAsia" w:ascii="宋体" w:hAnsi="宋体" w:eastAsia="宋体" w:cs="宋体"/>
                <w:b w:val="0"/>
                <w:bCs w:val="0"/>
                <w:color w:val="auto"/>
                <w:sz w:val="21"/>
                <w:szCs w:val="21"/>
                <w:lang w:val="en-US" w:eastAsia="zh-CN" w:bidi="ar"/>
              </w:rPr>
              <w:t>2通道功率放大</w:t>
            </w:r>
          </w:p>
        </w:tc>
      </w:tr>
      <w:tr w14:paraId="1037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587DF5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837" w:type="pct"/>
            <w:noWrap w:val="0"/>
            <w:vAlign w:val="center"/>
          </w:tcPr>
          <w:p w14:paraId="726597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返听功放</w:t>
            </w:r>
          </w:p>
        </w:tc>
        <w:tc>
          <w:tcPr>
            <w:tcW w:w="345" w:type="pct"/>
            <w:noWrap/>
            <w:vAlign w:val="center"/>
          </w:tcPr>
          <w:p w14:paraId="6794BE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153715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4B8D887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1.标准2U高度、铝面板拉丝，高效的功率放大电路、功率输出强劲；</w:t>
            </w:r>
          </w:p>
          <w:p w14:paraId="2E76588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2.前面板精准增益控制，有电源、信号、消波和保护的工作LED信号指示灯；</w:t>
            </w:r>
          </w:p>
          <w:p w14:paraId="6E506E7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3.后面板采用平衡的XLR输入和SPEAKON、</w:t>
            </w:r>
            <w:r>
              <w:rPr>
                <w:rFonts w:hint="eastAsia" w:ascii="宋体" w:hAnsi="宋体" w:eastAsia="宋体" w:cs="宋体"/>
                <w:i w:val="0"/>
                <w:iCs w:val="0"/>
                <w:color w:val="auto"/>
                <w:kern w:val="0"/>
                <w:sz w:val="21"/>
                <w:szCs w:val="21"/>
                <w:u w:val="none"/>
                <w:lang w:val="en-US" w:eastAsia="zh-CN" w:bidi="ar"/>
              </w:rPr>
              <w:t>线柱</w:t>
            </w:r>
            <w:r>
              <w:rPr>
                <w:rFonts w:hint="eastAsia" w:ascii="宋体" w:hAnsi="宋体" w:eastAsia="宋体" w:cs="宋体"/>
                <w:i w:val="0"/>
                <w:iCs w:val="0"/>
                <w:color w:val="auto"/>
                <w:kern w:val="0"/>
                <w:sz w:val="21"/>
                <w:szCs w:val="21"/>
                <w:highlight w:val="none"/>
                <w:u w:val="none"/>
                <w:lang w:val="en-US" w:eastAsia="zh-CN" w:bidi="ar"/>
              </w:rPr>
              <w:t>输出；</w:t>
            </w:r>
          </w:p>
          <w:p w14:paraId="02EDDD4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4.立体声输出功率8Ω：620-650W*2，4Ω：870-900W*2，桥接功率8Ω：1300-1800W；</w:t>
            </w:r>
          </w:p>
          <w:p w14:paraId="294F446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5.THD：≤0.05%，信噪比：&gt;105dB，频响范围：20Hz-20KHz(±0.5dB)。</w:t>
            </w:r>
          </w:p>
        </w:tc>
        <w:tc>
          <w:tcPr>
            <w:tcW w:w="591" w:type="pct"/>
            <w:noWrap w:val="0"/>
            <w:vAlign w:val="center"/>
          </w:tcPr>
          <w:p w14:paraId="00A063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Style w:val="94"/>
                <w:rFonts w:hint="eastAsia" w:ascii="宋体" w:hAnsi="宋体" w:eastAsia="宋体" w:cs="宋体"/>
                <w:b w:val="0"/>
                <w:bCs w:val="0"/>
                <w:color w:val="auto"/>
                <w:sz w:val="21"/>
                <w:szCs w:val="21"/>
                <w:lang w:val="en-US" w:eastAsia="zh-CN" w:bidi="ar"/>
              </w:rPr>
              <w:t>2通道功率放大</w:t>
            </w:r>
          </w:p>
        </w:tc>
      </w:tr>
      <w:tr w14:paraId="4EE2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5EC0B3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837" w:type="pct"/>
            <w:noWrap w:val="0"/>
            <w:vAlign w:val="center"/>
          </w:tcPr>
          <w:p w14:paraId="4BEBD2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台唇功放</w:t>
            </w:r>
          </w:p>
        </w:tc>
        <w:tc>
          <w:tcPr>
            <w:tcW w:w="345" w:type="pct"/>
            <w:noWrap/>
            <w:vAlign w:val="center"/>
          </w:tcPr>
          <w:p w14:paraId="148628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5175FB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01FA3C3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1.标准2U高度、铝面板拉丝，高效的功率放大电路、功率输出强劲；</w:t>
            </w:r>
          </w:p>
          <w:p w14:paraId="245CEF6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2.前面板精准增益控制，有电源、信号、消波和保护的工作LED信号指示灯；</w:t>
            </w:r>
          </w:p>
          <w:p w14:paraId="49B8181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后面板采用平衡的XLR输入和SPEAKON、</w:t>
            </w:r>
            <w:r>
              <w:rPr>
                <w:rFonts w:hint="eastAsia" w:ascii="宋体" w:hAnsi="宋体" w:eastAsia="宋体" w:cs="宋体"/>
                <w:i w:val="0"/>
                <w:iCs w:val="0"/>
                <w:color w:val="auto"/>
                <w:kern w:val="0"/>
                <w:sz w:val="21"/>
                <w:szCs w:val="21"/>
                <w:u w:val="none"/>
                <w:lang w:val="en-US" w:eastAsia="zh-CN" w:bidi="ar"/>
              </w:rPr>
              <w:t>线柱</w:t>
            </w:r>
            <w:r>
              <w:rPr>
                <w:rFonts w:hint="eastAsia" w:ascii="宋体" w:hAnsi="宋体" w:eastAsia="宋体" w:cs="宋体"/>
                <w:i w:val="0"/>
                <w:iCs w:val="0"/>
                <w:color w:val="auto"/>
                <w:kern w:val="0"/>
                <w:sz w:val="21"/>
                <w:szCs w:val="21"/>
                <w:highlight w:val="none"/>
                <w:u w:val="none"/>
                <w:lang w:val="en-US" w:eastAsia="zh-CN" w:bidi="ar"/>
              </w:rPr>
              <w:t>输出；</w:t>
            </w:r>
          </w:p>
          <w:p w14:paraId="2DB6560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4.立体声输出功率8Ω：420-450W*2，4Ω：620-650W*2，桥接功率8Ω：900-1200W；</w:t>
            </w:r>
          </w:p>
          <w:p w14:paraId="101FC8F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5.总谐波失真：≤0.1%，信噪比：≥100dB，频响范围：20Hz-20kHz（±1dB）。</w:t>
            </w:r>
          </w:p>
        </w:tc>
        <w:tc>
          <w:tcPr>
            <w:tcW w:w="591" w:type="pct"/>
            <w:noWrap w:val="0"/>
            <w:vAlign w:val="center"/>
          </w:tcPr>
          <w:p w14:paraId="0BA699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Style w:val="94"/>
                <w:rFonts w:hint="eastAsia" w:ascii="宋体" w:hAnsi="宋体" w:eastAsia="宋体" w:cs="宋体"/>
                <w:b w:val="0"/>
                <w:bCs w:val="0"/>
                <w:color w:val="auto"/>
                <w:sz w:val="21"/>
                <w:szCs w:val="21"/>
                <w:lang w:val="en-US" w:eastAsia="zh-CN" w:bidi="ar"/>
              </w:rPr>
              <w:t>2通道功率放大</w:t>
            </w:r>
          </w:p>
        </w:tc>
      </w:tr>
      <w:tr w14:paraId="0629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6EE15A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37" w:type="pct"/>
            <w:noWrap w:val="0"/>
            <w:vAlign w:val="center"/>
          </w:tcPr>
          <w:p w14:paraId="77C414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超低音功放</w:t>
            </w:r>
          </w:p>
        </w:tc>
        <w:tc>
          <w:tcPr>
            <w:tcW w:w="345" w:type="pct"/>
            <w:noWrap/>
            <w:vAlign w:val="center"/>
          </w:tcPr>
          <w:p w14:paraId="21BE83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050F7A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7B89832A">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1.四种输入灵敏度：0.775V/1V/1.5V/2V；</w:t>
            </w:r>
          </w:p>
          <w:p w14:paraId="5359004F">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后面板采用平衡的XLR输入和SPEAKON、</w:t>
            </w:r>
            <w:r>
              <w:rPr>
                <w:rFonts w:hint="eastAsia" w:ascii="宋体" w:hAnsi="宋体" w:eastAsia="宋体" w:cs="宋体"/>
                <w:i w:val="0"/>
                <w:iCs w:val="0"/>
                <w:color w:val="auto"/>
                <w:kern w:val="0"/>
                <w:sz w:val="21"/>
                <w:szCs w:val="21"/>
                <w:u w:val="none"/>
                <w:lang w:val="en-US" w:eastAsia="zh-CN" w:bidi="ar"/>
              </w:rPr>
              <w:t>线柱</w:t>
            </w:r>
            <w:r>
              <w:rPr>
                <w:rFonts w:hint="eastAsia" w:ascii="宋体" w:hAnsi="宋体" w:eastAsia="宋体" w:cs="宋体"/>
                <w:i w:val="0"/>
                <w:iCs w:val="0"/>
                <w:color w:val="auto"/>
                <w:kern w:val="0"/>
                <w:sz w:val="21"/>
                <w:szCs w:val="21"/>
                <w:highlight w:val="none"/>
                <w:u w:val="none"/>
                <w:lang w:val="en-US" w:eastAsia="zh-CN" w:bidi="ar"/>
              </w:rPr>
              <w:t>输出；</w:t>
            </w:r>
          </w:p>
          <w:p w14:paraId="7FFB226B">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3.全自动保护电路设计，保护功能有短路、直流、过热、过载以及限幅；</w:t>
            </w:r>
          </w:p>
          <w:p w14:paraId="00B05C6B">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4.立体声输出功率8Ω：≥1500W*2，4Ω：≥2500W*2，桥接功率8Ω：≥6500W；</w:t>
            </w:r>
          </w:p>
          <w:p w14:paraId="3A12DCF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bCs w:val="0"/>
                <w:i w:val="0"/>
                <w:iCs w:val="0"/>
                <w:color w:val="auto"/>
                <w:kern w:val="2"/>
                <w:sz w:val="21"/>
                <w:szCs w:val="21"/>
                <w:u w:val="none"/>
                <w:lang w:val="en-US" w:eastAsia="zh-CN" w:bidi="ar-SA"/>
              </w:rPr>
            </w:pPr>
            <w:r>
              <w:rPr>
                <w:rStyle w:val="94"/>
                <w:rFonts w:hint="eastAsia" w:ascii="宋体" w:hAnsi="宋体" w:eastAsia="宋体" w:cs="宋体"/>
                <w:b w:val="0"/>
                <w:bCs w:val="0"/>
                <w:color w:val="auto"/>
                <w:sz w:val="21"/>
                <w:szCs w:val="21"/>
                <w:lang w:val="en-US" w:eastAsia="zh-CN" w:bidi="ar"/>
              </w:rPr>
              <w:t>5.THD：≤0.03%，信噪比：≥99dB，频响范围：10Hz-20KHz(±0.3dB)；</w:t>
            </w:r>
          </w:p>
        </w:tc>
        <w:tc>
          <w:tcPr>
            <w:tcW w:w="591" w:type="pct"/>
            <w:noWrap w:val="0"/>
            <w:vAlign w:val="center"/>
          </w:tcPr>
          <w:p w14:paraId="1DF81732">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2通道功率放大</w:t>
            </w:r>
          </w:p>
        </w:tc>
      </w:tr>
      <w:tr w14:paraId="2061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0DBC35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837" w:type="pct"/>
            <w:noWrap w:val="0"/>
            <w:vAlign w:val="center"/>
          </w:tcPr>
          <w:p w14:paraId="21D0D8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专业线阵音箱</w:t>
            </w:r>
          </w:p>
        </w:tc>
        <w:tc>
          <w:tcPr>
            <w:tcW w:w="345" w:type="pct"/>
            <w:noWrap/>
            <w:vAlign w:val="center"/>
          </w:tcPr>
          <w:p w14:paraId="2AE283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30" w:type="pct"/>
            <w:noWrap/>
            <w:vAlign w:val="center"/>
          </w:tcPr>
          <w:p w14:paraId="4ACAFD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2644" w:type="pct"/>
            <w:gridSpan w:val="2"/>
            <w:noWrap w:val="0"/>
            <w:vAlign w:val="center"/>
          </w:tcPr>
          <w:p w14:paraId="61BC9E7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1.单元配置：10寸钕磁低音单元×2；3寸75芯钕磁高音单元×1；</w:t>
            </w:r>
          </w:p>
          <w:p w14:paraId="04553DC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2.频响：40Hz-20kHz</w:t>
            </w:r>
          </w:p>
          <w:p w14:paraId="6FA8644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3.阻抗：8Ω</w:t>
            </w:r>
          </w:p>
          <w:p w14:paraId="000F603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4.灵敏度：≥102dB </w:t>
            </w:r>
          </w:p>
          <w:p w14:paraId="1EB33E1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5.高音：≥200W</w:t>
            </w:r>
          </w:p>
          <w:p w14:paraId="1A49121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6.低音：≥600W</w:t>
            </w:r>
          </w:p>
          <w:p w14:paraId="14F1C44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7.最大声压级：≥130dB </w:t>
            </w:r>
          </w:p>
          <w:p w14:paraId="621F668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8.覆盖角度（H×V)：80°×50° </w:t>
            </w:r>
          </w:p>
        </w:tc>
        <w:tc>
          <w:tcPr>
            <w:tcW w:w="591" w:type="pct"/>
            <w:noWrap w:val="0"/>
            <w:vAlign w:val="center"/>
          </w:tcPr>
          <w:p w14:paraId="346C2C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线阵全频</w:t>
            </w:r>
          </w:p>
        </w:tc>
      </w:tr>
      <w:tr w14:paraId="732C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50B80F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837" w:type="pct"/>
            <w:noWrap w:val="0"/>
            <w:vAlign w:val="center"/>
          </w:tcPr>
          <w:p w14:paraId="378ECE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专业线阵超低音箱</w:t>
            </w:r>
          </w:p>
        </w:tc>
        <w:tc>
          <w:tcPr>
            <w:tcW w:w="345" w:type="pct"/>
            <w:noWrap/>
            <w:vAlign w:val="center"/>
          </w:tcPr>
          <w:p w14:paraId="7D1B28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5975C2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2644" w:type="pct"/>
            <w:gridSpan w:val="2"/>
            <w:noWrap w:val="0"/>
            <w:vAlign w:val="center"/>
          </w:tcPr>
          <w:p w14:paraId="1B9F9DD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1.单元配置：18寸钕磁低音单元×1；</w:t>
            </w:r>
          </w:p>
          <w:p w14:paraId="7C2423F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2.频响：45Hz-500Hz</w:t>
            </w:r>
          </w:p>
          <w:p w14:paraId="1088A1E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3.阻抗：8Ω</w:t>
            </w:r>
          </w:p>
          <w:p w14:paraId="6661AA6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4.灵敏度：≥102dB </w:t>
            </w:r>
          </w:p>
          <w:p w14:paraId="10AD45D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5.额定功率：≥800W</w:t>
            </w:r>
          </w:p>
          <w:p w14:paraId="5D237A2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6.峰值：≥1300W</w:t>
            </w:r>
          </w:p>
          <w:p w14:paraId="3BB74C2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7.最大声压级：≥130dB </w:t>
            </w:r>
          </w:p>
          <w:p w14:paraId="1A31EFE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8.扩散角度：无指向性；</w:t>
            </w:r>
          </w:p>
        </w:tc>
        <w:tc>
          <w:tcPr>
            <w:tcW w:w="591" w:type="pct"/>
            <w:noWrap w:val="0"/>
            <w:vAlign w:val="center"/>
          </w:tcPr>
          <w:p w14:paraId="74C705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线阵超低音箱</w:t>
            </w:r>
          </w:p>
        </w:tc>
      </w:tr>
      <w:tr w14:paraId="7108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0C3DF5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837" w:type="pct"/>
            <w:noWrap w:val="0"/>
            <w:vAlign w:val="center"/>
          </w:tcPr>
          <w:p w14:paraId="154D90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线阵音箱田字吊架</w:t>
            </w:r>
          </w:p>
        </w:tc>
        <w:tc>
          <w:tcPr>
            <w:tcW w:w="345" w:type="pct"/>
            <w:noWrap/>
            <w:vAlign w:val="center"/>
          </w:tcPr>
          <w:p w14:paraId="3B3A41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629F39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2644" w:type="pct"/>
            <w:gridSpan w:val="2"/>
            <w:noWrap w:val="0"/>
            <w:vAlign w:val="center"/>
          </w:tcPr>
          <w:p w14:paraId="2C5D2DA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定制，含田字架、链接支架、大力绳，用于线阵音响的吊装</w:t>
            </w:r>
          </w:p>
        </w:tc>
        <w:tc>
          <w:tcPr>
            <w:tcW w:w="591" w:type="pct"/>
            <w:noWrap w:val="0"/>
            <w:vAlign w:val="center"/>
          </w:tcPr>
          <w:p w14:paraId="08FE5D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线阵吊架</w:t>
            </w:r>
          </w:p>
        </w:tc>
      </w:tr>
      <w:tr w14:paraId="5660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26FA60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837" w:type="pct"/>
            <w:noWrap/>
            <w:vAlign w:val="center"/>
          </w:tcPr>
          <w:p w14:paraId="25F9EC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辅助音箱</w:t>
            </w:r>
          </w:p>
        </w:tc>
        <w:tc>
          <w:tcPr>
            <w:tcW w:w="345" w:type="pct"/>
            <w:noWrap/>
            <w:vAlign w:val="center"/>
          </w:tcPr>
          <w:p w14:paraId="7C3F76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30" w:type="pct"/>
            <w:noWrap/>
            <w:vAlign w:val="center"/>
          </w:tcPr>
          <w:p w14:paraId="3D11D7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2644" w:type="pct"/>
            <w:gridSpan w:val="2"/>
            <w:noWrap w:val="0"/>
            <w:vAlign w:val="center"/>
          </w:tcPr>
          <w:p w14:paraId="0764FAC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1.单元配置：1x12寸低音单元；1x1.7寸高音单元；</w:t>
            </w:r>
          </w:p>
          <w:p w14:paraId="634DA7C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2.频响：45Hz-20kHz；</w:t>
            </w:r>
          </w:p>
          <w:p w14:paraId="1BE2AB1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3.阻抗：8Ω；</w:t>
            </w:r>
          </w:p>
          <w:p w14:paraId="2C6399F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4.灵敏度：≥97dB； </w:t>
            </w:r>
          </w:p>
          <w:p w14:paraId="48EDDD3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5.额定功率：≥400W；</w:t>
            </w:r>
          </w:p>
          <w:p w14:paraId="101BEFA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6.峰值：≥600W；</w:t>
            </w:r>
          </w:p>
          <w:p w14:paraId="3BE7A79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7.最大声压级：≥126dB；</w:t>
            </w:r>
          </w:p>
          <w:p w14:paraId="3AEE530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8.覆盖角度（H×V)：90°（H）×50°（V）；</w:t>
            </w:r>
          </w:p>
          <w:p w14:paraId="5BBFE5A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9.连接方式：2xNL4 Speakon。</w:t>
            </w:r>
          </w:p>
        </w:tc>
        <w:tc>
          <w:tcPr>
            <w:tcW w:w="591" w:type="pct"/>
            <w:noWrap w:val="0"/>
            <w:vAlign w:val="center"/>
          </w:tcPr>
          <w:p w14:paraId="43A83D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壁挂安装</w:t>
            </w:r>
          </w:p>
        </w:tc>
      </w:tr>
      <w:tr w14:paraId="76D3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238DD3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837" w:type="pct"/>
            <w:noWrap/>
            <w:vAlign w:val="center"/>
          </w:tcPr>
          <w:p w14:paraId="7BEE20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音箱支架</w:t>
            </w:r>
          </w:p>
        </w:tc>
        <w:tc>
          <w:tcPr>
            <w:tcW w:w="345" w:type="pct"/>
            <w:noWrap/>
            <w:vAlign w:val="center"/>
          </w:tcPr>
          <w:p w14:paraId="38D1B2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330" w:type="pct"/>
            <w:noWrap/>
            <w:vAlign w:val="center"/>
          </w:tcPr>
          <w:p w14:paraId="3596A6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2644" w:type="pct"/>
            <w:gridSpan w:val="2"/>
            <w:noWrap w:val="0"/>
            <w:vAlign w:val="center"/>
          </w:tcPr>
          <w:p w14:paraId="02E9913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音箱壁挂，尺寸：150mm*230mm*（320）470mm</w:t>
            </w:r>
          </w:p>
        </w:tc>
        <w:tc>
          <w:tcPr>
            <w:tcW w:w="591" w:type="pct"/>
            <w:noWrap w:val="0"/>
            <w:vAlign w:val="center"/>
          </w:tcPr>
          <w:p w14:paraId="0A18BA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壁挂安装</w:t>
            </w:r>
          </w:p>
        </w:tc>
      </w:tr>
      <w:tr w14:paraId="0822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25F089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837" w:type="pct"/>
            <w:noWrap/>
            <w:vAlign w:val="center"/>
          </w:tcPr>
          <w:p w14:paraId="6E17D3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返听音箱</w:t>
            </w:r>
          </w:p>
        </w:tc>
        <w:tc>
          <w:tcPr>
            <w:tcW w:w="345" w:type="pct"/>
            <w:noWrap/>
            <w:vAlign w:val="center"/>
          </w:tcPr>
          <w:p w14:paraId="2C9FF9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30" w:type="pct"/>
            <w:noWrap/>
            <w:vAlign w:val="center"/>
          </w:tcPr>
          <w:p w14:paraId="4D714F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2644" w:type="pct"/>
            <w:gridSpan w:val="2"/>
            <w:noWrap w:val="0"/>
            <w:vAlign w:val="center"/>
          </w:tcPr>
          <w:p w14:paraId="0049010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1.单元配置：12寸同轴喇叭单元；</w:t>
            </w:r>
          </w:p>
          <w:p w14:paraId="53CE3A8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2.频响：50Hz-20kHz；</w:t>
            </w:r>
          </w:p>
          <w:p w14:paraId="1C10716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3.阻抗：8Ω；</w:t>
            </w:r>
          </w:p>
          <w:p w14:paraId="76A8579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4.灵敏度：≥92dB； </w:t>
            </w:r>
          </w:p>
          <w:p w14:paraId="6FBC82A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5.额定功率：≥300W；</w:t>
            </w:r>
          </w:p>
          <w:p w14:paraId="59E0FBE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6.峰值：≥450W；</w:t>
            </w:r>
          </w:p>
          <w:p w14:paraId="783E82F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7.最大声压级：≥122dB；</w:t>
            </w:r>
          </w:p>
          <w:p w14:paraId="4802AA8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8.覆盖角度（H×V)：80°（H）×50°（V）；</w:t>
            </w:r>
          </w:p>
        </w:tc>
        <w:tc>
          <w:tcPr>
            <w:tcW w:w="591" w:type="pct"/>
            <w:noWrap w:val="0"/>
            <w:vAlign w:val="center"/>
          </w:tcPr>
          <w:p w14:paraId="6979EA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rPr>
              <w:t>落地摆放</w:t>
            </w:r>
          </w:p>
        </w:tc>
      </w:tr>
      <w:tr w14:paraId="320E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203B92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837" w:type="pct"/>
            <w:noWrap/>
            <w:vAlign w:val="center"/>
          </w:tcPr>
          <w:p w14:paraId="7DD1B7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台唇音箱</w:t>
            </w:r>
          </w:p>
        </w:tc>
        <w:tc>
          <w:tcPr>
            <w:tcW w:w="345" w:type="pct"/>
            <w:noWrap/>
            <w:vAlign w:val="center"/>
          </w:tcPr>
          <w:p w14:paraId="6C73C9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25B0D7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2644" w:type="pct"/>
            <w:gridSpan w:val="2"/>
            <w:noWrap w:val="0"/>
            <w:vAlign w:val="center"/>
          </w:tcPr>
          <w:p w14:paraId="7A35F35B">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1.单元配置：10寸50芯170磁低音单元；1.3寸34芯高音单元；</w:t>
            </w:r>
          </w:p>
          <w:p w14:paraId="7249AE41">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2.频响：65Hz- 20 kHz；</w:t>
            </w:r>
          </w:p>
          <w:p w14:paraId="6D3D6978">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3.阻抗：6Ω；</w:t>
            </w:r>
          </w:p>
          <w:p w14:paraId="5933AA7E">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 xml:space="preserve">4.灵敏度：≥94dB； </w:t>
            </w:r>
          </w:p>
          <w:p w14:paraId="43531DE2">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5.额定功率：≥300W；</w:t>
            </w:r>
          </w:p>
          <w:p w14:paraId="69F0649D">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6.峰值：≥600W；</w:t>
            </w:r>
          </w:p>
          <w:p w14:paraId="165A28F7">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7.最大声压级：≥122dB；</w:t>
            </w:r>
          </w:p>
          <w:p w14:paraId="4FF44031">
            <w:pPr>
              <w:keepNext w:val="0"/>
              <w:keepLines w:val="0"/>
              <w:pageBreakBefore w:val="0"/>
              <w:widowControl/>
              <w:suppressLineNumbers w:val="0"/>
              <w:kinsoku/>
              <w:wordWrap/>
              <w:overflowPunct/>
              <w:topLinePunct w:val="0"/>
              <w:autoSpaceDE/>
              <w:autoSpaceDN/>
              <w:bidi w:val="0"/>
              <w:adjustRightInd/>
              <w:snapToGrid/>
              <w:jc w:val="both"/>
              <w:textAlignment w:val="center"/>
              <w:rPr>
                <w:rStyle w:val="94"/>
                <w:rFonts w:hint="eastAsia" w:ascii="宋体" w:hAnsi="宋体" w:eastAsia="宋体" w:cs="宋体"/>
                <w:b w:val="0"/>
                <w:bCs w:val="0"/>
                <w:color w:val="auto"/>
                <w:sz w:val="21"/>
                <w:szCs w:val="21"/>
                <w:lang w:val="en-US" w:eastAsia="zh-CN" w:bidi="ar"/>
              </w:rPr>
            </w:pPr>
            <w:r>
              <w:rPr>
                <w:rStyle w:val="94"/>
                <w:rFonts w:hint="eastAsia" w:ascii="宋体" w:hAnsi="宋体" w:eastAsia="宋体" w:cs="宋体"/>
                <w:b w:val="0"/>
                <w:bCs w:val="0"/>
                <w:color w:val="auto"/>
                <w:sz w:val="21"/>
                <w:szCs w:val="21"/>
                <w:lang w:val="en-US" w:eastAsia="zh-CN" w:bidi="ar"/>
              </w:rPr>
              <w:t>8.指向性指数（H°×V°）： 90°×50°。</w:t>
            </w:r>
          </w:p>
          <w:p w14:paraId="2D804CE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bCs w:val="0"/>
                <w:i w:val="0"/>
                <w:iCs w:val="0"/>
                <w:color w:val="auto"/>
                <w:kern w:val="2"/>
                <w:sz w:val="21"/>
                <w:szCs w:val="21"/>
                <w:u w:val="none"/>
                <w:lang w:val="en-US" w:eastAsia="zh-CN" w:bidi="ar-SA"/>
              </w:rPr>
            </w:pPr>
            <w:r>
              <w:rPr>
                <w:rStyle w:val="94"/>
                <w:rFonts w:hint="eastAsia" w:ascii="宋体" w:hAnsi="宋体" w:eastAsia="宋体" w:cs="宋体"/>
                <w:b w:val="0"/>
                <w:bCs w:val="0"/>
                <w:color w:val="auto"/>
                <w:sz w:val="21"/>
                <w:szCs w:val="21"/>
                <w:lang w:val="en-US" w:eastAsia="zh-CN" w:bidi="ar"/>
              </w:rPr>
              <w:t>9.总谐波失真：≤3%(65Hz-10kHz)。</w:t>
            </w:r>
          </w:p>
        </w:tc>
        <w:tc>
          <w:tcPr>
            <w:tcW w:w="591" w:type="pct"/>
            <w:noWrap w:val="0"/>
            <w:vAlign w:val="center"/>
          </w:tcPr>
          <w:p w14:paraId="10A48C36">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4"/>
                <w:rFonts w:hint="eastAsia" w:ascii="宋体" w:hAnsi="宋体" w:eastAsia="宋体" w:cs="宋体"/>
                <w:color w:val="auto"/>
                <w:sz w:val="21"/>
                <w:szCs w:val="21"/>
                <w:lang w:val="en-US" w:eastAsia="zh-CN" w:bidi="ar"/>
              </w:rPr>
            </w:pPr>
            <w:r>
              <w:rPr>
                <w:rFonts w:hint="eastAsia"/>
                <w:color w:val="auto"/>
              </w:rPr>
              <w:t>落地摆放</w:t>
            </w:r>
          </w:p>
        </w:tc>
      </w:tr>
      <w:tr w14:paraId="08E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561FB3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837" w:type="pct"/>
            <w:noWrap w:val="0"/>
            <w:vAlign w:val="center"/>
          </w:tcPr>
          <w:p w14:paraId="637EF7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专业超低音箱</w:t>
            </w:r>
          </w:p>
        </w:tc>
        <w:tc>
          <w:tcPr>
            <w:tcW w:w="345" w:type="pct"/>
            <w:noWrap/>
            <w:vAlign w:val="center"/>
          </w:tcPr>
          <w:p w14:paraId="4D2F18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62F7CF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2644" w:type="pct"/>
            <w:gridSpan w:val="2"/>
            <w:noWrap w:val="0"/>
            <w:vAlign w:val="center"/>
          </w:tcPr>
          <w:p w14:paraId="4CFA677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1.单元配置：2个18寸100芯220磁低音单元；</w:t>
            </w:r>
          </w:p>
          <w:p w14:paraId="05CE636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2.频响：25-500Hz；</w:t>
            </w:r>
          </w:p>
          <w:p w14:paraId="37CDBDF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3.阻抗：8Ω；</w:t>
            </w:r>
          </w:p>
          <w:p w14:paraId="5BA160F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4.灵敏度：≥98dB； </w:t>
            </w:r>
          </w:p>
          <w:p w14:paraId="5B30F94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5.额定功率：≥1200W；</w:t>
            </w:r>
          </w:p>
          <w:p w14:paraId="6E0441A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6.峰值：≥1800W；</w:t>
            </w:r>
          </w:p>
          <w:p w14:paraId="56AEFB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7.最大声压级：≥120dB；</w:t>
            </w:r>
          </w:p>
          <w:p w14:paraId="01352FF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8.扩散角度：无指向性；</w:t>
            </w:r>
          </w:p>
        </w:tc>
        <w:tc>
          <w:tcPr>
            <w:tcW w:w="591" w:type="pct"/>
            <w:noWrap w:val="0"/>
            <w:vAlign w:val="center"/>
          </w:tcPr>
          <w:p w14:paraId="55A17A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rPr>
              <w:t>落地摆放</w:t>
            </w:r>
          </w:p>
        </w:tc>
      </w:tr>
      <w:tr w14:paraId="282F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4BF141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837" w:type="pct"/>
            <w:noWrap w:val="0"/>
            <w:vAlign w:val="center"/>
          </w:tcPr>
          <w:p w14:paraId="1E72D7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监听音箱</w:t>
            </w:r>
          </w:p>
        </w:tc>
        <w:tc>
          <w:tcPr>
            <w:tcW w:w="345" w:type="pct"/>
            <w:noWrap/>
            <w:vAlign w:val="center"/>
          </w:tcPr>
          <w:p w14:paraId="15D466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44311C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2644" w:type="pct"/>
            <w:gridSpan w:val="2"/>
            <w:noWrap w:val="0"/>
            <w:vAlign w:val="top"/>
          </w:tcPr>
          <w:p w14:paraId="6FF5A0DB">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1.使用2.4G数字射频技术，有效避免传输干扰，满足同一场所大量使用的需要，开机自动进入配对状态，配对成功后有提示音，自动转入接收状态；</w:t>
            </w:r>
          </w:p>
          <w:p w14:paraId="42344C1C">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2.带一路广播优先接口，当有广播信号时自动切换；</w:t>
            </w:r>
          </w:p>
          <w:p w14:paraId="37D35DB8">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3.一路立体声RCA输入，二路话筒；</w:t>
            </w:r>
          </w:p>
          <w:p w14:paraId="02DEE22E">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4.话筒带LED液晶屏显示各项技术参数，数字音量大小调节、信号强弱、电池余量信息显示；</w:t>
            </w:r>
          </w:p>
          <w:p w14:paraId="12F6DA0A">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5.话筒具有激光教鞭功能。</w:t>
            </w:r>
          </w:p>
        </w:tc>
        <w:tc>
          <w:tcPr>
            <w:tcW w:w="591" w:type="pct"/>
            <w:noWrap w:val="0"/>
            <w:vAlign w:val="center"/>
          </w:tcPr>
          <w:p w14:paraId="5E8043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单独使用</w:t>
            </w:r>
          </w:p>
        </w:tc>
      </w:tr>
      <w:tr w14:paraId="04E5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2FC43D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837" w:type="pct"/>
            <w:noWrap w:val="0"/>
            <w:vAlign w:val="center"/>
          </w:tcPr>
          <w:p w14:paraId="28022E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网络电源时序器</w:t>
            </w:r>
          </w:p>
        </w:tc>
        <w:tc>
          <w:tcPr>
            <w:tcW w:w="345" w:type="pct"/>
            <w:noWrap/>
            <w:vAlign w:val="center"/>
          </w:tcPr>
          <w:p w14:paraId="4447F7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30" w:type="pct"/>
            <w:noWrap/>
            <w:vAlign w:val="center"/>
          </w:tcPr>
          <w:p w14:paraId="3D11A8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0FBA7D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1.内置速工业芯片ARM处理器；</w:t>
            </w:r>
          </w:p>
          <w:p w14:paraId="2A70657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2.面板≥2路直通电源输出，最大16A,方便用户取电；</w:t>
            </w:r>
          </w:p>
          <w:p w14:paraId="6E69D55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3.后板≥8路受控电源输出，                                                 </w:t>
            </w:r>
          </w:p>
          <w:p w14:paraId="0D283C9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4.具有RFI/EMI电源滤波器，为设备提供环保洁净稳定的电源；</w:t>
            </w:r>
          </w:p>
          <w:p w14:paraId="3ACABC2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5.≥2寸LCD全彩显示屏；</w:t>
            </w:r>
          </w:p>
          <w:p w14:paraId="3A52E3B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6.密码锁定功能；</w:t>
            </w:r>
          </w:p>
          <w:p w14:paraId="1E666B6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7</w:t>
            </w:r>
            <w:r>
              <w:rPr>
                <w:rFonts w:hint="eastAsia" w:ascii="宋体" w:hAnsi="宋体" w:eastAsia="宋体" w:cs="宋体"/>
                <w:i w:val="0"/>
                <w:iCs w:val="0"/>
                <w:color w:val="auto"/>
                <w:sz w:val="21"/>
                <w:szCs w:val="21"/>
                <w:u w:val="none"/>
              </w:rPr>
              <w:t>.远程控制功能，让用户能随时随地对本设备进行开启或关闭操作；</w:t>
            </w:r>
          </w:p>
          <w:p w14:paraId="0716B27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8</w:t>
            </w:r>
            <w:r>
              <w:rPr>
                <w:rFonts w:hint="eastAsia" w:ascii="宋体" w:hAnsi="宋体" w:eastAsia="宋体" w:cs="宋体"/>
                <w:i w:val="0"/>
                <w:iCs w:val="0"/>
                <w:color w:val="auto"/>
                <w:sz w:val="21"/>
                <w:szCs w:val="21"/>
                <w:u w:val="none"/>
              </w:rPr>
              <w:t xml:space="preserve">.能与同型号的电源时序器多台级联；                                                                           </w:t>
            </w:r>
          </w:p>
          <w:p w14:paraId="0190D5E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9</w:t>
            </w:r>
            <w:r>
              <w:rPr>
                <w:rFonts w:hint="eastAsia" w:ascii="宋体" w:hAnsi="宋体" w:eastAsia="宋体" w:cs="宋体"/>
                <w:i w:val="0"/>
                <w:iCs w:val="0"/>
                <w:color w:val="auto"/>
                <w:sz w:val="21"/>
                <w:szCs w:val="21"/>
                <w:u w:val="none"/>
              </w:rPr>
              <w:t>.多种接口协议：TCP、UDP、RS485、RS232</w:t>
            </w:r>
            <w:r>
              <w:rPr>
                <w:rFonts w:hint="eastAsia" w:ascii="宋体" w:hAnsi="宋体" w:eastAsia="宋体" w:cs="宋体"/>
                <w:i w:val="0"/>
                <w:iCs w:val="0"/>
                <w:color w:val="auto"/>
                <w:sz w:val="21"/>
                <w:szCs w:val="21"/>
                <w:u w:val="none"/>
                <w:lang w:eastAsia="zh-CN"/>
              </w:rPr>
              <w:t>。</w:t>
            </w:r>
          </w:p>
        </w:tc>
        <w:tc>
          <w:tcPr>
            <w:tcW w:w="591" w:type="pct"/>
            <w:noWrap w:val="0"/>
            <w:vAlign w:val="center"/>
          </w:tcPr>
          <w:p w14:paraId="0A0CE0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设备电源管理</w:t>
            </w:r>
          </w:p>
        </w:tc>
      </w:tr>
      <w:tr w14:paraId="41B2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noWrap/>
            <w:vAlign w:val="center"/>
          </w:tcPr>
          <w:p w14:paraId="3E1839FC">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（三）中控系统</w:t>
            </w:r>
          </w:p>
        </w:tc>
      </w:tr>
      <w:tr w14:paraId="4852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72F5B2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7" w:type="pct"/>
            <w:noWrap w:val="0"/>
            <w:vAlign w:val="center"/>
          </w:tcPr>
          <w:p w14:paraId="069F90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分布式控制主机</w:t>
            </w:r>
          </w:p>
        </w:tc>
        <w:tc>
          <w:tcPr>
            <w:tcW w:w="345" w:type="pct"/>
            <w:noWrap/>
            <w:vAlign w:val="center"/>
          </w:tcPr>
          <w:p w14:paraId="69658D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6BC127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55A536D9">
            <w:pPr>
              <w:keepNext w:val="0"/>
              <w:keepLines w:val="0"/>
              <w:pageBreakBefore w:val="0"/>
              <w:widowControl/>
              <w:numPr>
                <w:ilvl w:val="0"/>
                <w:numId w:val="3"/>
              </w:numPr>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安全性高，内置IP过滤，具备死机自动重启功能；</w:t>
            </w:r>
          </w:p>
          <w:p w14:paraId="299F9C0D">
            <w:pPr>
              <w:keepNext w:val="0"/>
              <w:keepLines w:val="0"/>
              <w:pageBreakBefore w:val="0"/>
              <w:widowControl/>
              <w:numPr>
                <w:ilvl w:val="0"/>
                <w:numId w:val="3"/>
              </w:numPr>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串口速率600-115200bps，可自定义速率，各个端口可单独设置参数；</w:t>
            </w:r>
          </w:p>
          <w:p w14:paraId="737A6E69">
            <w:pPr>
              <w:keepNext w:val="0"/>
              <w:keepLines w:val="0"/>
              <w:pageBreakBefore w:val="0"/>
              <w:widowControl/>
              <w:numPr>
                <w:ilvl w:val="0"/>
                <w:numId w:val="3"/>
              </w:numPr>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支持RS-232/485和以太网之间的数据双向透明传输，可以让串行设备立即联接网络；</w:t>
            </w:r>
          </w:p>
          <w:p w14:paraId="1CBD2BFD">
            <w:pPr>
              <w:keepNext w:val="0"/>
              <w:keepLines w:val="0"/>
              <w:pageBreakBefore w:val="0"/>
              <w:widowControl/>
              <w:numPr>
                <w:ilvl w:val="0"/>
                <w:numId w:val="3"/>
              </w:numPr>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每个COM口均同步支持多波特率并发RS-232/485协议内容；</w:t>
            </w:r>
          </w:p>
          <w:p w14:paraId="33D988D3">
            <w:pPr>
              <w:keepNext w:val="0"/>
              <w:keepLines w:val="0"/>
              <w:pageBreakBefore w:val="0"/>
              <w:widowControl/>
              <w:numPr>
                <w:ilvl w:val="0"/>
                <w:numId w:val="3"/>
              </w:numPr>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支持IR设备和以太网之间的数据通讯；</w:t>
            </w:r>
          </w:p>
          <w:p w14:paraId="485F6F33">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支持多达10个TCP/UDP连接；</w:t>
            </w:r>
          </w:p>
          <w:p w14:paraId="05D0F816">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支持设备扩展，如8路电源控制接口，音量及调光模块等总线设备、</w:t>
            </w:r>
          </w:p>
          <w:p w14:paraId="35CEF237">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8.灵活的串口数据分帧设置，满足用户各种分包需要；</w:t>
            </w:r>
          </w:p>
          <w:p w14:paraId="1987A2BC">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9.运行模式：TCP/IP UDP Server；</w:t>
            </w:r>
          </w:p>
          <w:p w14:paraId="210F7C5A">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10.COM端口：2个独立的三线制RS-232全双工端口，6个2线制单工端口；</w:t>
            </w:r>
          </w:p>
          <w:p w14:paraId="74D9251A">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11.管理端口：RJ45 10/100Mbps自适应以太网接口，TCP/IP、UDP协议，串口全双工DB9接口，RS485 半双工接口；</w:t>
            </w:r>
          </w:p>
          <w:p w14:paraId="7B1A18A3">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12.8路IR端口，8路COM，1路以太网通讯接口；</w:t>
            </w:r>
          </w:p>
          <w:p w14:paraId="0A7B7331">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13.存储器：512M的Flash存储器，64M数据存储器；</w:t>
            </w:r>
          </w:p>
          <w:p w14:paraId="35CED41A">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14.处理器：32位ARM CPU，320MHz操作频率；</w:t>
            </w:r>
          </w:p>
          <w:p w14:paraId="601AFA0C">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★15.异于传统中控，可直接控制所有接入同一网域中的配套设备，中间无需第三方设备转换，各个控制模块可以单独联网即可工作、无需主机、更加灵活、稳定；</w:t>
            </w:r>
          </w:p>
          <w:p w14:paraId="7DDF66E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★16.支持画面预览窗口等功能。</w:t>
            </w:r>
          </w:p>
        </w:tc>
        <w:tc>
          <w:tcPr>
            <w:tcW w:w="591" w:type="pct"/>
            <w:noWrap w:val="0"/>
            <w:vAlign w:val="center"/>
          </w:tcPr>
          <w:p w14:paraId="595390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串口、红外控制主机</w:t>
            </w:r>
          </w:p>
        </w:tc>
      </w:tr>
      <w:tr w14:paraId="4181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5B7968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37" w:type="pct"/>
            <w:noWrap w:val="0"/>
            <w:vAlign w:val="center"/>
          </w:tcPr>
          <w:p w14:paraId="24FAB0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网络中控电源时序器</w:t>
            </w:r>
          </w:p>
        </w:tc>
        <w:tc>
          <w:tcPr>
            <w:tcW w:w="345" w:type="pct"/>
            <w:noWrap/>
            <w:vAlign w:val="center"/>
          </w:tcPr>
          <w:p w14:paraId="1D8172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6542C6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4A1809D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1.内置≥8个强制应急拨码开关；</w:t>
            </w:r>
          </w:p>
          <w:p w14:paraId="13044C8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2.自带零.地接线端子，易于安装与连接；</w:t>
            </w:r>
          </w:p>
          <w:p w14:paraId="7A57F56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3.支持RS-232/NET(RS-485)通讯，可方便地与第三方控制器兼容；</w:t>
            </w:r>
          </w:p>
          <w:p w14:paraId="13F0A32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4.具有以太网通讯接口，支持TCP连接；</w:t>
            </w:r>
          </w:p>
          <w:p w14:paraId="1B765E5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5.前面板带LED电流显示；</w:t>
            </w:r>
          </w:p>
          <w:p w14:paraId="57E31CC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6.支持过压.过流保护，确保过流.过压时的设备安全；</w:t>
            </w:r>
          </w:p>
          <w:p w14:paraId="37C86EE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7.继电器通道数量：≥8路；</w:t>
            </w:r>
          </w:p>
          <w:p w14:paraId="30F3AEA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8.继电器触点结构：1对常开；</w:t>
            </w:r>
          </w:p>
          <w:p w14:paraId="7AAB982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9.通讯方式：TCP/UDP.NET（RS-485）.RS-232；</w:t>
            </w:r>
          </w:p>
          <w:p w14:paraId="46DF3B7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10.负载能力：单路功率≥2200W，总功率≥8000W，最大电流值20A。</w:t>
            </w:r>
          </w:p>
        </w:tc>
        <w:tc>
          <w:tcPr>
            <w:tcW w:w="591" w:type="pct"/>
            <w:noWrap w:val="0"/>
            <w:vAlign w:val="center"/>
          </w:tcPr>
          <w:p w14:paraId="5A105D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控制设备强弱电开关</w:t>
            </w:r>
          </w:p>
        </w:tc>
      </w:tr>
      <w:tr w14:paraId="04B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4B22BD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37" w:type="pct"/>
            <w:noWrap w:val="0"/>
            <w:vAlign w:val="center"/>
          </w:tcPr>
          <w:p w14:paraId="386EE4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网络协作管理软件</w:t>
            </w:r>
          </w:p>
        </w:tc>
        <w:tc>
          <w:tcPr>
            <w:tcW w:w="345" w:type="pct"/>
            <w:noWrap/>
            <w:vAlign w:val="center"/>
          </w:tcPr>
          <w:p w14:paraId="7BAC2E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3ECF77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2644" w:type="pct"/>
            <w:gridSpan w:val="2"/>
            <w:noWrap w:val="0"/>
            <w:vAlign w:val="center"/>
          </w:tcPr>
          <w:p w14:paraId="3642540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1.分布式网络控制终端编程软件可定制开发；</w:t>
            </w:r>
          </w:p>
          <w:p w14:paraId="1D3620A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2.支持iOS、Android操作界面，平板轻松编程；</w:t>
            </w:r>
          </w:p>
        </w:tc>
        <w:tc>
          <w:tcPr>
            <w:tcW w:w="591" w:type="pct"/>
            <w:noWrap w:val="0"/>
            <w:vAlign w:val="center"/>
          </w:tcPr>
          <w:p w14:paraId="5E9FFE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中控软件编程</w:t>
            </w:r>
          </w:p>
        </w:tc>
      </w:tr>
      <w:tr w14:paraId="53F6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0855F2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37" w:type="pct"/>
            <w:noWrap w:val="0"/>
            <w:vAlign w:val="center"/>
          </w:tcPr>
          <w:p w14:paraId="2F1EBE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无线路由器</w:t>
            </w:r>
          </w:p>
        </w:tc>
        <w:tc>
          <w:tcPr>
            <w:tcW w:w="345" w:type="pct"/>
            <w:noWrap/>
            <w:vAlign w:val="center"/>
          </w:tcPr>
          <w:p w14:paraId="52B8D9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294B3A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3EB3411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千兆无线路由器</w:t>
            </w:r>
          </w:p>
        </w:tc>
        <w:tc>
          <w:tcPr>
            <w:tcW w:w="591" w:type="pct"/>
            <w:noWrap w:val="0"/>
            <w:vAlign w:val="center"/>
          </w:tcPr>
          <w:p w14:paraId="0400C9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p>
        </w:tc>
      </w:tr>
      <w:tr w14:paraId="31DA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634C83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37" w:type="pct"/>
            <w:noWrap w:val="0"/>
            <w:vAlign w:val="center"/>
          </w:tcPr>
          <w:p w14:paraId="21C527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平板电脑</w:t>
            </w:r>
          </w:p>
        </w:tc>
        <w:tc>
          <w:tcPr>
            <w:tcW w:w="345" w:type="pct"/>
            <w:noWrap/>
            <w:vAlign w:val="center"/>
          </w:tcPr>
          <w:p w14:paraId="7FE775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650745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590B006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1.基本要求：国产自主品牌；</w:t>
            </w:r>
          </w:p>
          <w:p w14:paraId="0CDC077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2.≥10英寸屏幕，≥8+128GB</w:t>
            </w:r>
          </w:p>
        </w:tc>
        <w:tc>
          <w:tcPr>
            <w:tcW w:w="591" w:type="pct"/>
            <w:noWrap w:val="0"/>
            <w:vAlign w:val="center"/>
          </w:tcPr>
          <w:p w14:paraId="39ABF5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通过平板电脑控制设备</w:t>
            </w:r>
          </w:p>
        </w:tc>
      </w:tr>
      <w:tr w14:paraId="1FA7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noWrap/>
            <w:vAlign w:val="center"/>
          </w:tcPr>
          <w:p w14:paraId="393EEA35">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（四）矩阵系统</w:t>
            </w:r>
          </w:p>
        </w:tc>
      </w:tr>
      <w:tr w14:paraId="2833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50F515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7" w:type="pct"/>
            <w:noWrap w:val="0"/>
            <w:vAlign w:val="center"/>
          </w:tcPr>
          <w:p w14:paraId="54E1F4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无缝高清混插矩阵</w:t>
            </w:r>
          </w:p>
        </w:tc>
        <w:tc>
          <w:tcPr>
            <w:tcW w:w="345" w:type="pct"/>
            <w:noWrap w:val="0"/>
            <w:vAlign w:val="center"/>
          </w:tcPr>
          <w:p w14:paraId="7380AE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3BBABD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79FF5E9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1.插卡式结构：输入信号支持：AV、VGA、YPbPr、DVI、HDMI、HD-SDI、光纤、网络；输出信号支持：HDMI、DVI（色差\VGA)、Video、光纤、网络；</w:t>
            </w:r>
          </w:p>
          <w:p w14:paraId="5ADC021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2.卡片式机构，极其容易扩展或更换，并可扩展中控功能，可扩展网络控制；</w:t>
            </w:r>
          </w:p>
          <w:p w14:paraId="5DDC743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3.连接提示功能：输入输出板卡带指示灯，输入有信号，输出有接设备并且有信号时，指示灯长亮；</w:t>
            </w:r>
          </w:p>
          <w:p w14:paraId="1964AC8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 xml:space="preserve">4.音频接入功能：VIDEO、VGA、色差输入板带有音频输入接口，配合输出板音频分离输出功能，能实现音视频同步切换而无需另外配置音频切换设备； </w:t>
            </w:r>
          </w:p>
          <w:p w14:paraId="03F8756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EDID支持计算功能：能实时自动计算任意个输出端显示器的EDID信息的交集合集，当一路输入信号送给多个不同分辨率的显示设备时，能自动获取当前切换状态的最佳分辨率，并触发信号源更改分辨率（自动模式）；</w:t>
            </w:r>
          </w:p>
          <w:p w14:paraId="4DD2C0F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6.EDID支持切换功能：可以将任意一路输出显示设备的EDID信息读回，并切换给任何另外一路输出显示设备（手动模式）；</w:t>
            </w:r>
          </w:p>
          <w:p w14:paraId="551FC3F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7.掉电记忆功能和现场记忆功能：带有断电现场保护功能；</w:t>
            </w:r>
          </w:p>
          <w:p w14:paraId="12C08A9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 xml:space="preserve">8.支持ipad 、安桌平板对本机进行控制矩阵切换； </w:t>
            </w:r>
          </w:p>
          <w:p w14:paraId="7CFE4CB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9.最大支持8路信号输入，8路信号输出，支持嵌入式多通道数字音频信号的交叉切换；</w:t>
            </w:r>
          </w:p>
          <w:p w14:paraId="4D74739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10.输入输出卡：可按需求配置不同格式的输入板卡(视频输入卡、VGA输入卡、HDMI 输入卡、色差信号输入卡 )；</w:t>
            </w:r>
          </w:p>
          <w:p w14:paraId="52A7C1C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11.支持全高清：与包括1080p/60的所有HDTV分辨率和高达1920*1200的PC的分辨率兼容；</w:t>
            </w:r>
          </w:p>
          <w:p w14:paraId="016FF59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12.支持3D、HDMI1.4（部分）、HDCP、与及 DVI1.0协议，支持高色深，以及高达 3.25Gbps速率；</w:t>
            </w:r>
          </w:p>
          <w:p w14:paraId="21A571F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13.具有1路RS-232通讯接口，1路RJ45网络口；</w:t>
            </w:r>
          </w:p>
          <w:p w14:paraId="522057B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14.所有输出通道都支持画面无缝切换，自适应每路输出参数（分辨率、上下左右大小）独立可调整；</w:t>
            </w:r>
          </w:p>
          <w:p w14:paraId="198025A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15.支持功能扩展，可以选定一个分辨率作为该路输出的分辨率，解决边框对不准的现象。</w:t>
            </w:r>
          </w:p>
        </w:tc>
        <w:tc>
          <w:tcPr>
            <w:tcW w:w="591" w:type="pct"/>
            <w:noWrap w:val="0"/>
            <w:vAlign w:val="center"/>
          </w:tcPr>
          <w:p w14:paraId="286139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8路混合母箱</w:t>
            </w:r>
          </w:p>
        </w:tc>
      </w:tr>
      <w:tr w14:paraId="3978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239DB9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37" w:type="pct"/>
            <w:noWrap w:val="0"/>
            <w:vAlign w:val="center"/>
          </w:tcPr>
          <w:p w14:paraId="3B4BC3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无缝高清输入卡</w:t>
            </w:r>
          </w:p>
        </w:tc>
        <w:tc>
          <w:tcPr>
            <w:tcW w:w="345" w:type="pct"/>
            <w:noWrap w:val="0"/>
            <w:vAlign w:val="center"/>
          </w:tcPr>
          <w:p w14:paraId="69B238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5F7E72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579455D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1.单卡支持4路HDMI信号输入，采用标准的HDMI接口，不黑屏，瞬间无缝切换；</w:t>
            </w:r>
          </w:p>
          <w:p w14:paraId="140D35C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2.支持EDID管理，每路输入默认使用EDID自动获取技术；</w:t>
            </w:r>
          </w:p>
          <w:p w14:paraId="3700C34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3.点对点硬件无压缩实时转换，HDMI信号输入预加载，切换速度更快；</w:t>
            </w:r>
          </w:p>
          <w:p w14:paraId="625B5D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4.卡片式即插即用设计，无需软件，无需驱动；</w:t>
            </w:r>
          </w:p>
          <w:p w14:paraId="3BAF207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5.支持一条线缆可以传输音视频；</w:t>
            </w:r>
          </w:p>
          <w:p w14:paraId="7AB7D26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6.具备音频单独输入，立体声音频输入采用3.5mm接口；</w:t>
            </w:r>
          </w:p>
          <w:p w14:paraId="62E0EDE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7.分辨率支持4Kx2K，1200x1920，1080x1920等。</w:t>
            </w:r>
          </w:p>
        </w:tc>
        <w:tc>
          <w:tcPr>
            <w:tcW w:w="591" w:type="pct"/>
            <w:noWrap w:val="0"/>
            <w:vAlign w:val="center"/>
          </w:tcPr>
          <w:p w14:paraId="27F6BF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HDMI信号</w:t>
            </w:r>
          </w:p>
        </w:tc>
      </w:tr>
      <w:tr w14:paraId="21D6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627DD4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37" w:type="pct"/>
            <w:noWrap w:val="0"/>
            <w:vAlign w:val="center"/>
          </w:tcPr>
          <w:p w14:paraId="66C0BB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无缝高清输出卡</w:t>
            </w:r>
          </w:p>
        </w:tc>
        <w:tc>
          <w:tcPr>
            <w:tcW w:w="345" w:type="pct"/>
            <w:noWrap w:val="0"/>
            <w:vAlign w:val="center"/>
          </w:tcPr>
          <w:p w14:paraId="370E93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215AE9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72E7BEB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1.单卡支持4路HDMI信号输出，采用标准的HDMI接口，不黑屏，瞬间无缝切换；</w:t>
            </w:r>
          </w:p>
          <w:p w14:paraId="69F6FA1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2.支持EDID管理，每路输入默认使用EDID自动获取技术；</w:t>
            </w:r>
          </w:p>
          <w:p w14:paraId="6C35DFA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3.点对点硬件无压缩实时转换，HDMI信号输出预加载，切换速度更快；</w:t>
            </w:r>
          </w:p>
          <w:p w14:paraId="37995A6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4.卡片式即插即用设计，无需软件，无需驱动；</w:t>
            </w:r>
          </w:p>
          <w:p w14:paraId="4DEA75D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5.支持一条线缆可以传输音视频；</w:t>
            </w:r>
          </w:p>
          <w:p w14:paraId="334FD8E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6.具备音频单独输出，立体声音频输出采用3.5mm接口；</w:t>
            </w:r>
          </w:p>
          <w:p w14:paraId="4658D63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7.分辨率支持4Kx2K，1200x1920，1080x1920等。</w:t>
            </w:r>
          </w:p>
        </w:tc>
        <w:tc>
          <w:tcPr>
            <w:tcW w:w="591" w:type="pct"/>
            <w:noWrap w:val="0"/>
            <w:vAlign w:val="center"/>
          </w:tcPr>
          <w:p w14:paraId="317F54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HDMI信号</w:t>
            </w:r>
          </w:p>
        </w:tc>
      </w:tr>
      <w:tr w14:paraId="0678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noWrap/>
            <w:vAlign w:val="center"/>
          </w:tcPr>
          <w:p w14:paraId="49F898D0">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rPr>
              <w:t>二 、舞台灯光系统设备</w:t>
            </w:r>
          </w:p>
        </w:tc>
      </w:tr>
      <w:tr w14:paraId="3116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noWrap/>
            <w:vAlign w:val="center"/>
          </w:tcPr>
          <w:p w14:paraId="5F5745E2">
            <w:pPr>
              <w:keepNext w:val="0"/>
              <w:keepLines w:val="0"/>
              <w:pageBreakBefore w:val="0"/>
              <w:widowControl/>
              <w:kinsoku/>
              <w:wordWrap/>
              <w:overflowPunct/>
              <w:topLinePunct w:val="0"/>
              <w:autoSpaceDE/>
              <w:autoSpaceDN/>
              <w:bidi w:val="0"/>
              <w:adjustRightInd/>
              <w:snapToGrid/>
              <w:jc w:val="both"/>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（一）面光</w:t>
            </w:r>
          </w:p>
        </w:tc>
      </w:tr>
      <w:tr w14:paraId="1057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43E97E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7" w:type="pct"/>
            <w:noWrap w:val="0"/>
            <w:vAlign w:val="center"/>
          </w:tcPr>
          <w:p w14:paraId="1A8493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成像灯</w:t>
            </w:r>
          </w:p>
        </w:tc>
        <w:tc>
          <w:tcPr>
            <w:tcW w:w="345" w:type="pct"/>
            <w:noWrap/>
            <w:vAlign w:val="center"/>
          </w:tcPr>
          <w:p w14:paraId="247A33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330" w:type="pct"/>
            <w:noWrap/>
            <w:vAlign w:val="center"/>
          </w:tcPr>
          <w:p w14:paraId="658638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4" w:type="pct"/>
            <w:gridSpan w:val="2"/>
            <w:noWrap w:val="0"/>
            <w:vAlign w:val="center"/>
          </w:tcPr>
          <w:p w14:paraId="06217F8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1.LED成像灯，光源：</w:t>
            </w: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i w:val="0"/>
                <w:iCs w:val="0"/>
                <w:color w:val="auto"/>
                <w:kern w:val="0"/>
                <w:sz w:val="21"/>
                <w:szCs w:val="21"/>
                <w:u w:val="none"/>
                <w:lang w:val="en-US" w:eastAsia="zh-CN" w:bidi="ar"/>
              </w:rPr>
              <w:t>200W COB LED；</w:t>
            </w:r>
          </w:p>
          <w:p w14:paraId="5E2CAF4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2.独特精密的聚光成像光路设计，成像度高，亮度均匀，光斑中心照度与边缘照度偏差不超过5%；</w:t>
            </w:r>
          </w:p>
          <w:p w14:paraId="4B2CE32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3.热管传导加超静音风机的散热方式，散热效果良好，确保LED的使用寿命与安全性；</w:t>
            </w:r>
          </w:p>
          <w:p w14:paraId="2925211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4.适用于各种演出场所的面光、耳光、侧光、逆光等所作为功能性照明设备使用。</w:t>
            </w:r>
          </w:p>
        </w:tc>
        <w:tc>
          <w:tcPr>
            <w:tcW w:w="591" w:type="pct"/>
            <w:noWrap w:val="0"/>
            <w:vAlign w:val="center"/>
          </w:tcPr>
          <w:p w14:paraId="31AB66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面光照明</w:t>
            </w:r>
          </w:p>
        </w:tc>
      </w:tr>
      <w:tr w14:paraId="4790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shd w:val="clear" w:color="auto" w:fill="FFFFFF"/>
            <w:noWrap/>
            <w:vAlign w:val="center"/>
          </w:tcPr>
          <w:p w14:paraId="7975D0E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（二）一顶光</w:t>
            </w:r>
          </w:p>
        </w:tc>
      </w:tr>
      <w:tr w14:paraId="7FEF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78AD1A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7" w:type="pct"/>
            <w:noWrap w:val="0"/>
            <w:vAlign w:val="center"/>
          </w:tcPr>
          <w:p w14:paraId="54574F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帕灯</w:t>
            </w:r>
          </w:p>
        </w:tc>
        <w:tc>
          <w:tcPr>
            <w:tcW w:w="345" w:type="pct"/>
            <w:noWrap/>
            <w:vAlign w:val="center"/>
          </w:tcPr>
          <w:p w14:paraId="282C9F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330" w:type="pct"/>
            <w:noWrap/>
            <w:vAlign w:val="center"/>
          </w:tcPr>
          <w:p w14:paraId="20FB10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2" w:type="pct"/>
            <w:noWrap w:val="0"/>
            <w:vAlign w:val="center"/>
          </w:tcPr>
          <w:p w14:paraId="319ECCE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1.光源：54颗3合一LED；                             </w:t>
            </w:r>
          </w:p>
          <w:p w14:paraId="1FF51BB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2.LED采用静态恒流驱动方式，恒流精度高，无闪烁；</w:t>
            </w:r>
          </w:p>
          <w:p w14:paraId="1E80618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3.投射距离：≥30M；</w:t>
            </w:r>
          </w:p>
          <w:p w14:paraId="584E76B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4.颜色：RGBW混色调节，HSL混色调节，多种频闪效果；</w:t>
            </w:r>
          </w:p>
          <w:p w14:paraId="36097C5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5.控制：DMX512、主从控制、自走；                              </w:t>
            </w:r>
          </w:p>
          <w:p w14:paraId="34BEBCF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6.通道： </w:t>
            </w: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i w:val="0"/>
                <w:iCs w:val="0"/>
                <w:color w:val="auto"/>
                <w:kern w:val="0"/>
                <w:sz w:val="21"/>
                <w:szCs w:val="21"/>
                <w:u w:val="none"/>
                <w:lang w:val="en-US" w:eastAsia="zh-CN" w:bidi="ar"/>
              </w:rPr>
              <w:t xml:space="preserve">8通道。                                                         </w:t>
            </w:r>
          </w:p>
        </w:tc>
        <w:tc>
          <w:tcPr>
            <w:tcW w:w="593" w:type="pct"/>
            <w:gridSpan w:val="2"/>
            <w:noWrap w:val="0"/>
            <w:vAlign w:val="center"/>
          </w:tcPr>
          <w:p w14:paraId="7AEA08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场景染色</w:t>
            </w:r>
          </w:p>
        </w:tc>
      </w:tr>
      <w:tr w14:paraId="0C1A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642D68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37" w:type="pct"/>
            <w:noWrap w:val="0"/>
            <w:vAlign w:val="center"/>
          </w:tcPr>
          <w:p w14:paraId="5CE8CB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三基色灯</w:t>
            </w:r>
          </w:p>
        </w:tc>
        <w:tc>
          <w:tcPr>
            <w:tcW w:w="345" w:type="pct"/>
            <w:noWrap/>
            <w:vAlign w:val="center"/>
          </w:tcPr>
          <w:p w14:paraId="6CF5EE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30" w:type="pct"/>
            <w:noWrap/>
            <w:vAlign w:val="center"/>
          </w:tcPr>
          <w:p w14:paraId="52297E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2" w:type="pct"/>
            <w:noWrap w:val="0"/>
            <w:vAlign w:val="center"/>
          </w:tcPr>
          <w:p w14:paraId="5339DBA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1.功率：</w:t>
            </w: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i w:val="0"/>
                <w:iCs w:val="0"/>
                <w:color w:val="auto"/>
                <w:kern w:val="0"/>
                <w:sz w:val="21"/>
                <w:szCs w:val="21"/>
                <w:u w:val="none"/>
                <w:lang w:val="en-US" w:eastAsia="zh-CN" w:bidi="ar"/>
              </w:rPr>
              <w:t xml:space="preserve">120W；               </w:t>
            </w:r>
          </w:p>
          <w:p w14:paraId="379793A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2.额定功率：AC220V；               </w:t>
            </w:r>
          </w:p>
          <w:p w14:paraId="7A2EE21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3.通道：4-6CH DMX512通道</w:t>
            </w:r>
          </w:p>
          <w:p w14:paraId="62971E6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4.控制模式：声控，自动</w:t>
            </w:r>
          </w:p>
          <w:p w14:paraId="6D6DC7A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5.频闪 DMX512；</w:t>
            </w:r>
          </w:p>
          <w:p w14:paraId="23AC04A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6.光源：≥5730灯珠</w:t>
            </w:r>
          </w:p>
          <w:p w14:paraId="5D315F2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7.光源数量：≥256颗       </w:t>
            </w:r>
          </w:p>
          <w:p w14:paraId="685DFBB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8.频率：50Hz-60Hz；                       </w:t>
            </w:r>
          </w:p>
          <w:p w14:paraId="3854739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9.色温：3200K或6000K。          </w:t>
            </w:r>
          </w:p>
        </w:tc>
        <w:tc>
          <w:tcPr>
            <w:tcW w:w="593" w:type="pct"/>
            <w:gridSpan w:val="2"/>
            <w:noWrap w:val="0"/>
            <w:vAlign w:val="center"/>
          </w:tcPr>
          <w:p w14:paraId="065871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会议照明</w:t>
            </w:r>
          </w:p>
        </w:tc>
      </w:tr>
      <w:tr w14:paraId="6114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shd w:val="clear" w:color="auto" w:fill="FFFFFF"/>
            <w:noWrap/>
            <w:vAlign w:val="center"/>
          </w:tcPr>
          <w:p w14:paraId="2003771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（三）二顶光</w:t>
            </w:r>
          </w:p>
        </w:tc>
      </w:tr>
      <w:tr w14:paraId="4A93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0C1D33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37" w:type="pct"/>
            <w:noWrap w:val="0"/>
            <w:vAlign w:val="center"/>
          </w:tcPr>
          <w:p w14:paraId="54FB46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帕灯</w:t>
            </w:r>
          </w:p>
        </w:tc>
        <w:tc>
          <w:tcPr>
            <w:tcW w:w="345" w:type="pct"/>
            <w:noWrap/>
            <w:vAlign w:val="center"/>
          </w:tcPr>
          <w:p w14:paraId="0DEAD9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w:t>
            </w:r>
          </w:p>
        </w:tc>
        <w:tc>
          <w:tcPr>
            <w:tcW w:w="330" w:type="pct"/>
            <w:noWrap/>
            <w:vAlign w:val="center"/>
          </w:tcPr>
          <w:p w14:paraId="73EF42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642" w:type="pct"/>
            <w:noWrap w:val="0"/>
            <w:vAlign w:val="center"/>
          </w:tcPr>
          <w:p w14:paraId="321921C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1.光源：54颗3合一LED；                             </w:t>
            </w:r>
          </w:p>
          <w:p w14:paraId="1D4C63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2.LED采用静态恒流驱动方式，恒流精度高，无闪烁；</w:t>
            </w:r>
          </w:p>
          <w:p w14:paraId="79B324C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3.投射距离：≥30M；</w:t>
            </w:r>
          </w:p>
          <w:p w14:paraId="33BC3C8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4.颜色：RGBW混色调节，HSL混色调节，多种频闪效果；</w:t>
            </w:r>
          </w:p>
          <w:p w14:paraId="0A289AA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5.控制：DMX512、主从控制、自走；                              </w:t>
            </w:r>
          </w:p>
          <w:p w14:paraId="5F6A73A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6.通道： </w:t>
            </w: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i w:val="0"/>
                <w:iCs w:val="0"/>
                <w:color w:val="auto"/>
                <w:kern w:val="0"/>
                <w:sz w:val="21"/>
                <w:szCs w:val="21"/>
                <w:u w:val="none"/>
                <w:lang w:val="en-US" w:eastAsia="zh-CN" w:bidi="ar"/>
              </w:rPr>
              <w:t xml:space="preserve">8通道。    </w:t>
            </w:r>
          </w:p>
        </w:tc>
        <w:tc>
          <w:tcPr>
            <w:tcW w:w="593" w:type="pct"/>
            <w:gridSpan w:val="2"/>
            <w:noWrap w:val="0"/>
            <w:vAlign w:val="center"/>
          </w:tcPr>
          <w:p w14:paraId="0B4073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场景染色</w:t>
            </w:r>
          </w:p>
        </w:tc>
      </w:tr>
      <w:tr w14:paraId="20E0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4B26E7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37" w:type="pct"/>
            <w:noWrap w:val="0"/>
            <w:vAlign w:val="center"/>
          </w:tcPr>
          <w:p w14:paraId="6D031B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三基色灯</w:t>
            </w:r>
          </w:p>
        </w:tc>
        <w:tc>
          <w:tcPr>
            <w:tcW w:w="345" w:type="pct"/>
            <w:noWrap/>
            <w:vAlign w:val="center"/>
          </w:tcPr>
          <w:p w14:paraId="5DDB24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330" w:type="pct"/>
            <w:noWrap/>
            <w:vAlign w:val="center"/>
          </w:tcPr>
          <w:p w14:paraId="760592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642" w:type="pct"/>
            <w:noWrap w:val="0"/>
            <w:vAlign w:val="center"/>
          </w:tcPr>
          <w:p w14:paraId="467F670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1.功率：</w:t>
            </w: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i w:val="0"/>
                <w:iCs w:val="0"/>
                <w:color w:val="auto"/>
                <w:kern w:val="0"/>
                <w:sz w:val="21"/>
                <w:szCs w:val="21"/>
                <w:u w:val="none"/>
                <w:lang w:val="en-US" w:eastAsia="zh-CN" w:bidi="ar"/>
              </w:rPr>
              <w:t xml:space="preserve">120W；               </w:t>
            </w:r>
          </w:p>
          <w:p w14:paraId="66B3FB6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2.额定功率：AC220V；               </w:t>
            </w:r>
          </w:p>
          <w:p w14:paraId="0E71945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3.通道：4-6CH DMX512通道</w:t>
            </w:r>
          </w:p>
          <w:p w14:paraId="1DAA3D0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4.控制模式：声控，自动</w:t>
            </w:r>
          </w:p>
          <w:p w14:paraId="2660E0B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5.频闪 DMX512；</w:t>
            </w:r>
          </w:p>
          <w:p w14:paraId="3902D6F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6.光源：≥5730灯珠</w:t>
            </w:r>
          </w:p>
          <w:p w14:paraId="54A00AF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7.光源数量：≥256颗       </w:t>
            </w:r>
          </w:p>
          <w:p w14:paraId="61E9A4E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8.频率：50Hz-60Hz；                        </w:t>
            </w:r>
          </w:p>
          <w:p w14:paraId="5619544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9.色温：3200K或6000K。          </w:t>
            </w:r>
          </w:p>
        </w:tc>
        <w:tc>
          <w:tcPr>
            <w:tcW w:w="593" w:type="pct"/>
            <w:gridSpan w:val="2"/>
            <w:noWrap w:val="0"/>
            <w:vAlign w:val="center"/>
          </w:tcPr>
          <w:p w14:paraId="0823D6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会议照明</w:t>
            </w:r>
          </w:p>
        </w:tc>
      </w:tr>
      <w:tr w14:paraId="6D48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17D56E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37" w:type="pct"/>
            <w:noWrap w:val="0"/>
            <w:vAlign w:val="center"/>
          </w:tcPr>
          <w:p w14:paraId="448DFA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光束灯</w:t>
            </w:r>
          </w:p>
        </w:tc>
        <w:tc>
          <w:tcPr>
            <w:tcW w:w="345" w:type="pct"/>
            <w:noWrap/>
            <w:vAlign w:val="center"/>
          </w:tcPr>
          <w:p w14:paraId="1207DE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30" w:type="pct"/>
            <w:noWrap/>
            <w:vAlign w:val="center"/>
          </w:tcPr>
          <w:p w14:paraId="390A31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2" w:type="pct"/>
            <w:noWrap w:val="0"/>
            <w:vAlign w:val="center"/>
          </w:tcPr>
          <w:p w14:paraId="1C1175B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1.DMX标准控制；</w:t>
            </w:r>
          </w:p>
          <w:p w14:paraId="6350D96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2.不少于两个棱镜，具有任意角度定位和正反自转效果；</w:t>
            </w:r>
          </w:p>
          <w:p w14:paraId="5D29B8E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3.扫描角度：水平扫描540度，垂直扫描270度，扫描速度可调节，自动纠错；</w:t>
            </w:r>
          </w:p>
          <w:p w14:paraId="74602F2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4.一个颜色盘：≥14个颜色加白光，一个图案盘：≥13个图案加白光。颜色盘具有流水滚动半色效果。图案盘具有流水滚动和抖动效果。</w:t>
            </w:r>
          </w:p>
          <w:p w14:paraId="6302C0D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5.调光：线性调节；</w:t>
            </w:r>
          </w:p>
          <w:p w14:paraId="7E30557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6.调焦：双电机线性调节；</w:t>
            </w:r>
          </w:p>
          <w:p w14:paraId="2BD95C5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7.灯泡散热：风扇对流散热，确保良好的散热系统。</w:t>
            </w:r>
          </w:p>
        </w:tc>
        <w:tc>
          <w:tcPr>
            <w:tcW w:w="593" w:type="pct"/>
            <w:gridSpan w:val="2"/>
            <w:noWrap w:val="0"/>
            <w:vAlign w:val="center"/>
          </w:tcPr>
          <w:p w14:paraId="5F5245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气氛渲染</w:t>
            </w:r>
          </w:p>
        </w:tc>
      </w:tr>
      <w:tr w14:paraId="553F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shd w:val="clear" w:color="auto" w:fill="FFFFFF"/>
            <w:noWrap/>
            <w:vAlign w:val="center"/>
          </w:tcPr>
          <w:p w14:paraId="4955C7E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（四）三顶光</w:t>
            </w:r>
          </w:p>
        </w:tc>
      </w:tr>
      <w:tr w14:paraId="0A93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0B667B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37" w:type="pct"/>
            <w:noWrap w:val="0"/>
            <w:vAlign w:val="center"/>
          </w:tcPr>
          <w:p w14:paraId="19D2A0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帕灯</w:t>
            </w:r>
          </w:p>
        </w:tc>
        <w:tc>
          <w:tcPr>
            <w:tcW w:w="345" w:type="pct"/>
            <w:noWrap/>
            <w:vAlign w:val="center"/>
          </w:tcPr>
          <w:p w14:paraId="18921B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w:t>
            </w:r>
          </w:p>
        </w:tc>
        <w:tc>
          <w:tcPr>
            <w:tcW w:w="330" w:type="pct"/>
            <w:noWrap/>
            <w:vAlign w:val="center"/>
          </w:tcPr>
          <w:p w14:paraId="7418AE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642" w:type="pct"/>
            <w:noWrap w:val="0"/>
            <w:vAlign w:val="center"/>
          </w:tcPr>
          <w:p w14:paraId="54A91B7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1.光源：54颗3合一LED；                             </w:t>
            </w:r>
          </w:p>
          <w:p w14:paraId="3DBBF04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2.LED采用静态恒流驱动方式，恒流精度高，无闪烁；</w:t>
            </w:r>
          </w:p>
          <w:p w14:paraId="2354CD7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3.投射距离：≥30M；</w:t>
            </w:r>
          </w:p>
          <w:p w14:paraId="782C614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4.颜色：RGBW混色调节，HSL混色调节，多种频闪效果；</w:t>
            </w:r>
          </w:p>
          <w:p w14:paraId="47E95F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5.控制：DMX512、主从控制、自走；                              </w:t>
            </w:r>
          </w:p>
          <w:p w14:paraId="5C635A4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6.通道：</w:t>
            </w: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i w:val="0"/>
                <w:iCs w:val="0"/>
                <w:color w:val="auto"/>
                <w:kern w:val="0"/>
                <w:sz w:val="21"/>
                <w:szCs w:val="21"/>
                <w:u w:val="none"/>
                <w:lang w:val="en-US" w:eastAsia="zh-CN" w:bidi="ar"/>
              </w:rPr>
              <w:t>8通道。</w:t>
            </w:r>
          </w:p>
        </w:tc>
        <w:tc>
          <w:tcPr>
            <w:tcW w:w="593" w:type="pct"/>
            <w:gridSpan w:val="2"/>
            <w:noWrap w:val="0"/>
            <w:vAlign w:val="center"/>
          </w:tcPr>
          <w:p w14:paraId="4F0A62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场景染色</w:t>
            </w:r>
          </w:p>
        </w:tc>
      </w:tr>
      <w:tr w14:paraId="27D9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08FC5F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37" w:type="pct"/>
            <w:noWrap w:val="0"/>
            <w:vAlign w:val="center"/>
          </w:tcPr>
          <w:p w14:paraId="15A4C8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光束灯</w:t>
            </w:r>
          </w:p>
        </w:tc>
        <w:tc>
          <w:tcPr>
            <w:tcW w:w="345" w:type="pct"/>
            <w:noWrap/>
            <w:vAlign w:val="center"/>
          </w:tcPr>
          <w:p w14:paraId="40F7DE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330" w:type="pct"/>
            <w:noWrap/>
            <w:vAlign w:val="center"/>
          </w:tcPr>
          <w:p w14:paraId="3C31CF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642" w:type="pct"/>
            <w:noWrap w:val="0"/>
            <w:vAlign w:val="center"/>
          </w:tcPr>
          <w:p w14:paraId="42AFE0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1.DMX标准控制；</w:t>
            </w:r>
          </w:p>
          <w:p w14:paraId="1BFCBD2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2.不少于两个棱镜，具有任意角度定位和正反自转效果；</w:t>
            </w:r>
          </w:p>
          <w:p w14:paraId="70362E0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3.扫描角度：水平扫描540度，垂直扫描270度，扫描速度可调节，自动纠错；</w:t>
            </w:r>
          </w:p>
          <w:p w14:paraId="19FEE33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4.一个颜色盘：≥14个颜色加白光，一个图案盘：≥13个图案加白光。颜色盘具有流水滚动半色效果。图案盘具有流水滚动和抖动效果。</w:t>
            </w:r>
          </w:p>
          <w:p w14:paraId="37C5627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5.调光：线性调节；</w:t>
            </w:r>
          </w:p>
          <w:p w14:paraId="1DBCF0B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6.调焦：双电机线性调节；</w:t>
            </w:r>
          </w:p>
          <w:p w14:paraId="689756A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7.灯泡散热：风扇对流散热，确保良好的散热系统。</w:t>
            </w:r>
          </w:p>
        </w:tc>
        <w:tc>
          <w:tcPr>
            <w:tcW w:w="593" w:type="pct"/>
            <w:gridSpan w:val="2"/>
            <w:noWrap w:val="0"/>
            <w:vAlign w:val="center"/>
          </w:tcPr>
          <w:p w14:paraId="335D99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气氛渲染</w:t>
            </w:r>
          </w:p>
        </w:tc>
      </w:tr>
      <w:tr w14:paraId="4D64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shd w:val="clear" w:color="auto" w:fill="FFFFFF"/>
            <w:noWrap/>
            <w:vAlign w:val="center"/>
          </w:tcPr>
          <w:p w14:paraId="36CDB38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（五）左右侧光</w:t>
            </w:r>
          </w:p>
        </w:tc>
      </w:tr>
      <w:tr w14:paraId="03C6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4B7BA3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37" w:type="pct"/>
            <w:noWrap w:val="0"/>
            <w:vAlign w:val="center"/>
          </w:tcPr>
          <w:p w14:paraId="2296B7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帕灯</w:t>
            </w:r>
          </w:p>
        </w:tc>
        <w:tc>
          <w:tcPr>
            <w:tcW w:w="345" w:type="pct"/>
            <w:noWrap/>
            <w:vAlign w:val="center"/>
          </w:tcPr>
          <w:p w14:paraId="768C9B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w:t>
            </w:r>
          </w:p>
        </w:tc>
        <w:tc>
          <w:tcPr>
            <w:tcW w:w="330" w:type="pct"/>
            <w:noWrap/>
            <w:vAlign w:val="center"/>
          </w:tcPr>
          <w:p w14:paraId="2725F5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642" w:type="pct"/>
            <w:noWrap w:val="0"/>
            <w:vAlign w:val="center"/>
          </w:tcPr>
          <w:p w14:paraId="2E6611C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1.光源：54颗3合一LED；                             </w:t>
            </w:r>
          </w:p>
          <w:p w14:paraId="2EF14BF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2.LED采用静态恒流驱动方式，恒流精度高，无闪烁；</w:t>
            </w:r>
          </w:p>
          <w:p w14:paraId="0CF832C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3.投射距离：≥30M；</w:t>
            </w:r>
          </w:p>
          <w:p w14:paraId="25107E3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4.颜色：RGBW混色调节，HSL混色调节，多种频闪效果；</w:t>
            </w:r>
          </w:p>
          <w:p w14:paraId="29C89B8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5.控制：DMX512、主从控制、自走；                              </w:t>
            </w:r>
          </w:p>
          <w:p w14:paraId="5625012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6.通道： </w:t>
            </w: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i w:val="0"/>
                <w:iCs w:val="0"/>
                <w:color w:val="auto"/>
                <w:kern w:val="0"/>
                <w:sz w:val="21"/>
                <w:szCs w:val="21"/>
                <w:u w:val="none"/>
                <w:lang w:val="en-US" w:eastAsia="zh-CN" w:bidi="ar"/>
              </w:rPr>
              <w:t>8通道。</w:t>
            </w:r>
          </w:p>
        </w:tc>
        <w:tc>
          <w:tcPr>
            <w:tcW w:w="593" w:type="pct"/>
            <w:gridSpan w:val="2"/>
            <w:noWrap w:val="0"/>
            <w:vAlign w:val="center"/>
          </w:tcPr>
          <w:p w14:paraId="3B8BC7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场景染色</w:t>
            </w:r>
          </w:p>
        </w:tc>
      </w:tr>
      <w:tr w14:paraId="1005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6" w:type="pct"/>
            <w:gridSpan w:val="5"/>
            <w:shd w:val="clear" w:color="auto" w:fill="FFFFFF"/>
            <w:noWrap/>
            <w:vAlign w:val="center"/>
          </w:tcPr>
          <w:p w14:paraId="1C5268D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（六）控制</w:t>
            </w:r>
          </w:p>
        </w:tc>
        <w:tc>
          <w:tcPr>
            <w:tcW w:w="593" w:type="pct"/>
            <w:gridSpan w:val="2"/>
            <w:noWrap w:val="0"/>
            <w:vAlign w:val="center"/>
          </w:tcPr>
          <w:p w14:paraId="098EAC6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p>
        </w:tc>
      </w:tr>
      <w:tr w14:paraId="286B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000F41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7" w:type="pct"/>
            <w:noWrap w:val="0"/>
            <w:vAlign w:val="center"/>
          </w:tcPr>
          <w:p w14:paraId="05B0EE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灯控台</w:t>
            </w:r>
          </w:p>
        </w:tc>
        <w:tc>
          <w:tcPr>
            <w:tcW w:w="345" w:type="pct"/>
            <w:noWrap/>
            <w:vAlign w:val="center"/>
          </w:tcPr>
          <w:p w14:paraId="57CA10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207CC0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2" w:type="pct"/>
            <w:noWrap w:val="0"/>
            <w:vAlign w:val="center"/>
          </w:tcPr>
          <w:p w14:paraId="542AEB6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1.内置图形轨迹发生器，有≥135个内置图形，方便用户对电脑灯进行图形轨迹控制，如画圆、螺旋、彩虹、追逐等多种效果；</w:t>
            </w:r>
          </w:p>
          <w:p w14:paraId="019A497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2.图形参数（如：振幅、速度、间隔、波浪、方向）均可独立设置；</w:t>
            </w:r>
          </w:p>
          <w:p w14:paraId="5B206E2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3.120个重演场景，用于储存多步场景和单步场景，多步场景最多可储存1200步；</w:t>
            </w:r>
          </w:p>
          <w:p w14:paraId="30BE74D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4.DMX512/1990标准，最大512个DMX控制通道，光电隔离信号输出；</w:t>
            </w:r>
          </w:p>
          <w:p w14:paraId="35B887E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5.可控制≥60台电脑灯或≥60路调光，控台自己创建灯库；</w:t>
            </w:r>
          </w:p>
          <w:p w14:paraId="6550A4D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6.带背光的LCD显示屏，中英文显示；</w:t>
            </w:r>
          </w:p>
          <w:p w14:paraId="260CFFA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7.关机数据保持，U盘备份和升级；</w:t>
            </w:r>
          </w:p>
          <w:p w14:paraId="651A9AD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8.电源：AC 100-240V，50-60Hz。</w:t>
            </w:r>
          </w:p>
        </w:tc>
        <w:tc>
          <w:tcPr>
            <w:tcW w:w="593" w:type="pct"/>
            <w:gridSpan w:val="2"/>
            <w:noWrap w:val="0"/>
            <w:vAlign w:val="center"/>
          </w:tcPr>
          <w:p w14:paraId="1C31AA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控制灯光</w:t>
            </w:r>
          </w:p>
        </w:tc>
      </w:tr>
      <w:tr w14:paraId="631D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08E981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37" w:type="pct"/>
            <w:noWrap w:val="0"/>
            <w:vAlign w:val="center"/>
          </w:tcPr>
          <w:p w14:paraId="4BA3B0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信号放大器</w:t>
            </w:r>
          </w:p>
        </w:tc>
        <w:tc>
          <w:tcPr>
            <w:tcW w:w="345" w:type="pct"/>
            <w:noWrap/>
            <w:vAlign w:val="center"/>
          </w:tcPr>
          <w:p w14:paraId="1E999C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55F803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2" w:type="pct"/>
            <w:noWrap w:val="0"/>
            <w:vAlign w:val="center"/>
          </w:tcPr>
          <w:p w14:paraId="4C8E590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1.≥8路独立放大驱动输出；</w:t>
            </w:r>
          </w:p>
          <w:p w14:paraId="6D3D5C5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2.信号放大整形功能，延长信号传输距离；</w:t>
            </w:r>
          </w:p>
          <w:p w14:paraId="2F5797A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3.供电电源：AC220-V、50/60Hz。</w:t>
            </w:r>
          </w:p>
        </w:tc>
        <w:tc>
          <w:tcPr>
            <w:tcW w:w="593" w:type="pct"/>
            <w:gridSpan w:val="2"/>
            <w:noWrap w:val="0"/>
            <w:vAlign w:val="center"/>
          </w:tcPr>
          <w:p w14:paraId="068341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信号放大</w:t>
            </w:r>
          </w:p>
        </w:tc>
      </w:tr>
      <w:tr w14:paraId="0BE8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17ACC8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37" w:type="pct"/>
            <w:noWrap w:val="0"/>
            <w:vAlign w:val="center"/>
          </w:tcPr>
          <w:p w14:paraId="2E265D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直通箱</w:t>
            </w:r>
          </w:p>
        </w:tc>
        <w:tc>
          <w:tcPr>
            <w:tcW w:w="345" w:type="pct"/>
            <w:noWrap/>
            <w:vAlign w:val="center"/>
          </w:tcPr>
          <w:p w14:paraId="4A7234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73A807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2642" w:type="pct"/>
            <w:noWrap w:val="0"/>
            <w:vAlign w:val="center"/>
          </w:tcPr>
          <w:p w14:paraId="600779F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1.供电：三相五线制AC380V±10％，频率50Hz±5％；</w:t>
            </w:r>
          </w:p>
          <w:p w14:paraId="5B34704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2.额定功率：12路×4KW； 可适用于任何负载；</w:t>
            </w:r>
          </w:p>
          <w:p w14:paraId="3B02391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3.过载与短路双重保护高分断空气开关；</w:t>
            </w:r>
          </w:p>
          <w:p w14:paraId="260D705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4.A.B.C三相工作指示灯.设两脚和三脚带开关备用插座方便使用。</w:t>
            </w:r>
          </w:p>
        </w:tc>
        <w:tc>
          <w:tcPr>
            <w:tcW w:w="593" w:type="pct"/>
            <w:gridSpan w:val="2"/>
            <w:noWrap w:val="0"/>
            <w:vAlign w:val="center"/>
          </w:tcPr>
          <w:p w14:paraId="6E8727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控制灯光电源</w:t>
            </w:r>
          </w:p>
        </w:tc>
      </w:tr>
      <w:tr w14:paraId="310E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shd w:val="clear" w:color="auto" w:fill="FFFFFF"/>
            <w:noWrap/>
            <w:vAlign w:val="center"/>
          </w:tcPr>
          <w:p w14:paraId="6766F9D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（七）配件</w:t>
            </w:r>
          </w:p>
        </w:tc>
      </w:tr>
      <w:tr w14:paraId="3B4C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509E12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7" w:type="pct"/>
            <w:noWrap w:val="0"/>
            <w:vAlign w:val="center"/>
          </w:tcPr>
          <w:p w14:paraId="68EF90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灯钩</w:t>
            </w:r>
          </w:p>
        </w:tc>
        <w:tc>
          <w:tcPr>
            <w:tcW w:w="345" w:type="pct"/>
            <w:noWrap w:val="0"/>
            <w:vAlign w:val="center"/>
          </w:tcPr>
          <w:p w14:paraId="4BDBB0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330" w:type="pct"/>
            <w:noWrap/>
            <w:vAlign w:val="center"/>
          </w:tcPr>
          <w:p w14:paraId="752C88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2642" w:type="pct"/>
            <w:noWrap w:val="0"/>
            <w:vAlign w:val="center"/>
          </w:tcPr>
          <w:p w14:paraId="0343E0D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中号，固定灯光配件</w:t>
            </w:r>
          </w:p>
        </w:tc>
        <w:tc>
          <w:tcPr>
            <w:tcW w:w="593" w:type="pct"/>
            <w:gridSpan w:val="2"/>
            <w:noWrap w:val="0"/>
            <w:vAlign w:val="center"/>
          </w:tcPr>
          <w:p w14:paraId="7D6AC8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挂灯光</w:t>
            </w:r>
          </w:p>
        </w:tc>
      </w:tr>
      <w:tr w14:paraId="06AA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047890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37" w:type="pct"/>
            <w:noWrap w:val="0"/>
            <w:vAlign w:val="center"/>
          </w:tcPr>
          <w:p w14:paraId="318F41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保险绳</w:t>
            </w:r>
          </w:p>
        </w:tc>
        <w:tc>
          <w:tcPr>
            <w:tcW w:w="345" w:type="pct"/>
            <w:noWrap w:val="0"/>
            <w:vAlign w:val="center"/>
          </w:tcPr>
          <w:p w14:paraId="548071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330" w:type="pct"/>
            <w:noWrap/>
            <w:vAlign w:val="center"/>
          </w:tcPr>
          <w:p w14:paraId="337FEC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2642" w:type="pct"/>
            <w:noWrap w:val="0"/>
            <w:vAlign w:val="center"/>
          </w:tcPr>
          <w:p w14:paraId="1EC281B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提高灯光的安全系数</w:t>
            </w:r>
          </w:p>
        </w:tc>
        <w:tc>
          <w:tcPr>
            <w:tcW w:w="593" w:type="pct"/>
            <w:gridSpan w:val="2"/>
            <w:noWrap w:val="0"/>
            <w:vAlign w:val="center"/>
          </w:tcPr>
          <w:p w14:paraId="29EFB1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灯光设备保险</w:t>
            </w:r>
          </w:p>
        </w:tc>
      </w:tr>
      <w:tr w14:paraId="3B66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shd w:val="clear" w:color="auto" w:fill="FFFFFF"/>
            <w:noWrap/>
            <w:vAlign w:val="center"/>
          </w:tcPr>
          <w:p w14:paraId="26FB45B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（八）辅材</w:t>
            </w:r>
          </w:p>
        </w:tc>
      </w:tr>
      <w:tr w14:paraId="509A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442EE2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37" w:type="pct"/>
            <w:noWrap/>
            <w:vAlign w:val="center"/>
          </w:tcPr>
          <w:p w14:paraId="2F6BB9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豪华机柜</w:t>
            </w:r>
          </w:p>
        </w:tc>
        <w:tc>
          <w:tcPr>
            <w:tcW w:w="345" w:type="pct"/>
            <w:noWrap w:val="0"/>
            <w:vAlign w:val="center"/>
          </w:tcPr>
          <w:p w14:paraId="01807E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68C5B7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2642" w:type="pct"/>
            <w:noWrap w:val="0"/>
            <w:vAlign w:val="center"/>
          </w:tcPr>
          <w:p w14:paraId="6DA5D15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前后门带锁，前门玻璃材质，机柜顶有散热装置，尺寸：600*600*2000</w:t>
            </w:r>
          </w:p>
        </w:tc>
        <w:tc>
          <w:tcPr>
            <w:tcW w:w="593" w:type="pct"/>
            <w:gridSpan w:val="2"/>
            <w:noWrap w:val="0"/>
            <w:vAlign w:val="center"/>
          </w:tcPr>
          <w:p w14:paraId="27A507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p>
        </w:tc>
      </w:tr>
      <w:tr w14:paraId="7318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6DE175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37" w:type="pct"/>
            <w:noWrap w:val="0"/>
            <w:vAlign w:val="center"/>
          </w:tcPr>
          <w:p w14:paraId="391B1F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设备连接线</w:t>
            </w:r>
          </w:p>
        </w:tc>
        <w:tc>
          <w:tcPr>
            <w:tcW w:w="345" w:type="pct"/>
            <w:noWrap w:val="0"/>
            <w:vAlign w:val="center"/>
          </w:tcPr>
          <w:p w14:paraId="6D309F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06D02C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批</w:t>
            </w:r>
          </w:p>
        </w:tc>
        <w:tc>
          <w:tcPr>
            <w:tcW w:w="2642" w:type="pct"/>
            <w:noWrap w:val="0"/>
            <w:vAlign w:val="center"/>
          </w:tcPr>
          <w:p w14:paraId="3BBC50A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卡农线公母线、莲花线、长尾插、6.35单声道线、莲花转6.5接头</w:t>
            </w:r>
          </w:p>
        </w:tc>
        <w:tc>
          <w:tcPr>
            <w:tcW w:w="593" w:type="pct"/>
            <w:gridSpan w:val="2"/>
            <w:noWrap w:val="0"/>
            <w:vAlign w:val="center"/>
          </w:tcPr>
          <w:p w14:paraId="4B3C71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p>
        </w:tc>
      </w:tr>
      <w:tr w14:paraId="7314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748BC8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37" w:type="pct"/>
            <w:noWrap w:val="0"/>
            <w:vAlign w:val="center"/>
          </w:tcPr>
          <w:p w14:paraId="5F9B19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手拉葫芦</w:t>
            </w:r>
          </w:p>
        </w:tc>
        <w:tc>
          <w:tcPr>
            <w:tcW w:w="345" w:type="pct"/>
            <w:noWrap w:val="0"/>
            <w:vAlign w:val="center"/>
          </w:tcPr>
          <w:p w14:paraId="5FF498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208FF1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2642" w:type="pct"/>
            <w:noWrap w:val="0"/>
            <w:vAlign w:val="center"/>
          </w:tcPr>
          <w:p w14:paraId="6EBBA6C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手拉葫芦（吊装音箱升降使用，向上提升音箱时，顺时针拽动手动链条、手链轮转动，下降时逆时针拽动手拉链条。与线阵音箱田字架配套使用）</w:t>
            </w:r>
          </w:p>
        </w:tc>
        <w:tc>
          <w:tcPr>
            <w:tcW w:w="593" w:type="pct"/>
            <w:gridSpan w:val="2"/>
            <w:noWrap w:val="0"/>
            <w:vAlign w:val="center"/>
          </w:tcPr>
          <w:p w14:paraId="4C6B78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与线阵音箱田字架配套</w:t>
            </w:r>
          </w:p>
        </w:tc>
      </w:tr>
      <w:tr w14:paraId="63FC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5218D8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837" w:type="pct"/>
            <w:noWrap w:val="0"/>
            <w:vAlign w:val="center"/>
          </w:tcPr>
          <w:p w14:paraId="207347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辅材</w:t>
            </w:r>
          </w:p>
        </w:tc>
        <w:tc>
          <w:tcPr>
            <w:tcW w:w="345" w:type="pct"/>
            <w:noWrap w:val="0"/>
            <w:vAlign w:val="center"/>
          </w:tcPr>
          <w:p w14:paraId="3E11CD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699E64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批</w:t>
            </w:r>
          </w:p>
        </w:tc>
        <w:tc>
          <w:tcPr>
            <w:tcW w:w="2642" w:type="pct"/>
            <w:noWrap w:val="0"/>
            <w:vAlign w:val="center"/>
          </w:tcPr>
          <w:p w14:paraId="22BB77E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视频线、音箱线、音频线、控制线、六类网线、水晶头、电源线、馈线、管材、10A插头、施工工具、钢钉、软管、线卡等</w:t>
            </w:r>
          </w:p>
        </w:tc>
        <w:tc>
          <w:tcPr>
            <w:tcW w:w="593" w:type="pct"/>
            <w:gridSpan w:val="2"/>
            <w:noWrap w:val="0"/>
            <w:vAlign w:val="center"/>
          </w:tcPr>
          <w:p w14:paraId="5CF5EB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p>
        </w:tc>
      </w:tr>
      <w:tr w14:paraId="399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shd w:val="clear" w:color="auto" w:fill="FFFFFF"/>
            <w:noWrap/>
            <w:vAlign w:val="center"/>
          </w:tcPr>
          <w:p w14:paraId="543DF69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宋体" w:cs="Times New Roman"/>
                <w:color w:val="auto"/>
                <w:lang w:val="en-US" w:eastAsia="zh-CN"/>
              </w:rPr>
            </w:pPr>
            <w:r>
              <w:rPr>
                <w:rFonts w:hint="eastAsia" w:ascii="宋体" w:hAnsi="宋体" w:eastAsia="宋体" w:cs="宋体"/>
                <w:b/>
                <w:bCs/>
                <w:i w:val="0"/>
                <w:iCs w:val="0"/>
                <w:color w:val="auto"/>
                <w:kern w:val="0"/>
                <w:sz w:val="21"/>
                <w:szCs w:val="21"/>
                <w:u w:val="none"/>
                <w:lang w:val="en-US" w:eastAsia="zh-CN" w:bidi="ar"/>
              </w:rPr>
              <w:t>三、舞台机械系统辅材等设备</w:t>
            </w:r>
          </w:p>
        </w:tc>
      </w:tr>
      <w:tr w14:paraId="6A7D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shd w:val="clear" w:color="auto" w:fill="FFFFFF"/>
            <w:noWrap/>
            <w:vAlign w:val="center"/>
          </w:tcPr>
          <w:p w14:paraId="1A75508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宋体" w:cs="Times New Roman"/>
                <w:color w:val="auto"/>
                <w:lang w:val="en-US" w:eastAsia="zh-CN"/>
              </w:rPr>
            </w:pPr>
            <w:r>
              <w:rPr>
                <w:rFonts w:hint="eastAsia" w:ascii="宋体" w:hAnsi="宋体" w:eastAsia="宋体" w:cs="宋体"/>
                <w:b/>
                <w:bCs/>
                <w:i w:val="0"/>
                <w:iCs w:val="0"/>
                <w:color w:val="auto"/>
                <w:kern w:val="0"/>
                <w:sz w:val="21"/>
                <w:szCs w:val="21"/>
                <w:u w:val="none"/>
                <w:lang w:val="en-US" w:eastAsia="zh-CN" w:bidi="ar"/>
              </w:rPr>
              <w:t>（一）舞台机械设备</w:t>
            </w:r>
          </w:p>
        </w:tc>
      </w:tr>
      <w:tr w14:paraId="0AA0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5C9A5A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37" w:type="pct"/>
            <w:noWrap w:val="0"/>
            <w:vAlign w:val="center"/>
          </w:tcPr>
          <w:p w14:paraId="39ECA7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电动面光吊杆</w:t>
            </w:r>
          </w:p>
        </w:tc>
        <w:tc>
          <w:tcPr>
            <w:tcW w:w="345" w:type="pct"/>
            <w:noWrap w:val="0"/>
            <w:vAlign w:val="center"/>
          </w:tcPr>
          <w:p w14:paraId="4759DA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096E18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2642" w:type="pct"/>
            <w:noWrap w:val="0"/>
            <w:vAlign w:val="center"/>
          </w:tcPr>
          <w:p w14:paraId="4473CF9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1.规格：4吊点多层缠绕式吊杆机；</w:t>
            </w:r>
          </w:p>
          <w:p w14:paraId="64F5A2D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2.行程：不小于10m，载荷：≥600kg；</w:t>
            </w:r>
          </w:p>
          <w:p w14:paraId="3C76504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3.电机：交流异步电动机</w:t>
            </w:r>
          </w:p>
          <w:p w14:paraId="2C3DE8A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4.电机功率：≥3.0KW；速度：≥0.2m/s；精确定位：±5mm；噪音：≤48dB。</w:t>
            </w:r>
          </w:p>
          <w:p w14:paraId="7064571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5.安全装置：包含上下限位装置、冲顶保护装置</w:t>
            </w:r>
          </w:p>
          <w:p w14:paraId="1FB260D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6.传动形式：蜗轮蜗杆式；</w:t>
            </w:r>
          </w:p>
          <w:p w14:paraId="7A4534D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7.杆体：双衔接式灯光吊杆，黑色面漆防锈处理；</w:t>
            </w:r>
          </w:p>
          <w:p w14:paraId="3F6130D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8.配件：导向滑轮、吊点滑轮、紧固件等。</w:t>
            </w:r>
          </w:p>
        </w:tc>
        <w:tc>
          <w:tcPr>
            <w:tcW w:w="593" w:type="pct"/>
            <w:gridSpan w:val="2"/>
            <w:noWrap w:val="0"/>
            <w:vAlign w:val="center"/>
          </w:tcPr>
          <w:p w14:paraId="0688AB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p>
        </w:tc>
      </w:tr>
      <w:tr w14:paraId="3F83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321E82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37" w:type="pct"/>
            <w:noWrap w:val="0"/>
            <w:vAlign w:val="center"/>
          </w:tcPr>
          <w:p w14:paraId="6C8FF4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电动前沿幕吊杆</w:t>
            </w:r>
          </w:p>
        </w:tc>
        <w:tc>
          <w:tcPr>
            <w:tcW w:w="345" w:type="pct"/>
            <w:noWrap w:val="0"/>
            <w:vAlign w:val="center"/>
          </w:tcPr>
          <w:p w14:paraId="64402C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5F0BDB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2642" w:type="pct"/>
            <w:noWrap w:val="0"/>
            <w:vAlign w:val="center"/>
          </w:tcPr>
          <w:p w14:paraId="0A9C29D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1.规格：4吊点多层缠绕式吊杆机；</w:t>
            </w:r>
          </w:p>
          <w:p w14:paraId="555F84C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2.行程：不小于10m，载荷：≥400kg；</w:t>
            </w:r>
          </w:p>
          <w:p w14:paraId="77F3AC7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3.电机：交流异步电动机</w:t>
            </w:r>
          </w:p>
          <w:p w14:paraId="672C5BD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4.电机功率：≥2.2KW；速度：≥0.2m/s；精确定位：±5mm；噪音：≤48dB。</w:t>
            </w:r>
          </w:p>
          <w:p w14:paraId="45D83A9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5.安全装置：包含上下限位装置、冲顶保护装置</w:t>
            </w:r>
          </w:p>
          <w:p w14:paraId="428FEEC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6.传动形式：蜗轮蜗杆式；</w:t>
            </w:r>
          </w:p>
          <w:p w14:paraId="6DEC465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7.杆体：一字型幕布吊杆，黑色面漆防锈处理；</w:t>
            </w:r>
          </w:p>
          <w:p w14:paraId="5B137DE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8.配件：导向滑轮、吊点滑轮、紧固件等；                       </w:t>
            </w:r>
          </w:p>
        </w:tc>
        <w:tc>
          <w:tcPr>
            <w:tcW w:w="593" w:type="pct"/>
            <w:gridSpan w:val="2"/>
            <w:noWrap w:val="0"/>
            <w:vAlign w:val="center"/>
          </w:tcPr>
          <w:p w14:paraId="34F1EF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p>
        </w:tc>
      </w:tr>
      <w:tr w14:paraId="5D1F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2A279F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37" w:type="pct"/>
            <w:noWrap w:val="0"/>
            <w:vAlign w:val="center"/>
          </w:tcPr>
          <w:p w14:paraId="3D02C2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电动对开大幕机</w:t>
            </w:r>
          </w:p>
        </w:tc>
        <w:tc>
          <w:tcPr>
            <w:tcW w:w="345" w:type="pct"/>
            <w:noWrap w:val="0"/>
            <w:vAlign w:val="center"/>
          </w:tcPr>
          <w:p w14:paraId="5695DD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472626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2642" w:type="pct"/>
            <w:noWrap w:val="0"/>
            <w:vAlign w:val="center"/>
          </w:tcPr>
          <w:p w14:paraId="29EDD87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1.电机功率：≥0.75KW；</w:t>
            </w:r>
          </w:p>
          <w:p w14:paraId="08A2211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2.牵引力：满足幕布传动需求，不小于350N；</w:t>
            </w:r>
          </w:p>
          <w:p w14:paraId="2E72937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3.幕布重叠范围：不小于2米；</w:t>
            </w:r>
          </w:p>
          <w:p w14:paraId="12C163E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4.定位：误差小于5mm；</w:t>
            </w:r>
          </w:p>
          <w:p w14:paraId="063D874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5.噪音：观众席第一排中间位置检测不大于50分贝；</w:t>
            </w:r>
          </w:p>
          <w:p w14:paraId="55CFBA5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6.运行速度：≥0.35m/s，匀速；</w:t>
            </w:r>
          </w:p>
          <w:p w14:paraId="0BC961F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7.轨道：4#角钢现场定制，防锈处理；</w:t>
            </w:r>
          </w:p>
          <w:p w14:paraId="5EBE928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8.配件：牵引小车、幕布挂钩、对开限位装置、转向滑轮、钢丝绳、收紧装置等</w:t>
            </w:r>
          </w:p>
        </w:tc>
        <w:tc>
          <w:tcPr>
            <w:tcW w:w="593" w:type="pct"/>
            <w:gridSpan w:val="2"/>
            <w:noWrap w:val="0"/>
            <w:vAlign w:val="center"/>
          </w:tcPr>
          <w:p w14:paraId="5CE016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p>
        </w:tc>
      </w:tr>
      <w:tr w14:paraId="4356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129C02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837" w:type="pct"/>
            <w:noWrap w:val="0"/>
            <w:vAlign w:val="center"/>
          </w:tcPr>
          <w:p w14:paraId="621AC5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电动灯光吊杆</w:t>
            </w:r>
          </w:p>
        </w:tc>
        <w:tc>
          <w:tcPr>
            <w:tcW w:w="345" w:type="pct"/>
            <w:noWrap w:val="0"/>
            <w:vAlign w:val="center"/>
          </w:tcPr>
          <w:p w14:paraId="3BE353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330" w:type="pct"/>
            <w:noWrap/>
            <w:vAlign w:val="center"/>
          </w:tcPr>
          <w:p w14:paraId="527C3C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2642" w:type="pct"/>
            <w:noWrap w:val="0"/>
            <w:vAlign w:val="center"/>
          </w:tcPr>
          <w:p w14:paraId="2FA4747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1.规格：4吊点多层缠绕式吊杆机；</w:t>
            </w:r>
          </w:p>
          <w:p w14:paraId="198386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2.行程：不小于10m，载荷：≥600kg；</w:t>
            </w:r>
          </w:p>
          <w:p w14:paraId="056ED2B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3.电机：交流异步电动机</w:t>
            </w:r>
          </w:p>
          <w:p w14:paraId="79085EA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4.电机功率：≥3.0KW；速度：≥0.2m/s；精确定位：±5mm；噪音：≤48dB。</w:t>
            </w:r>
          </w:p>
          <w:p w14:paraId="4A237E5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5.安全装置：包含上下限位装置、冲顶保护装置</w:t>
            </w:r>
          </w:p>
          <w:p w14:paraId="7D7235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6.传动形式：蜗轮蜗杆式；</w:t>
            </w:r>
          </w:p>
          <w:p w14:paraId="62E2050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7.杆体：双衔接式灯光吊杆，黑色面漆防锈处理；</w:t>
            </w:r>
          </w:p>
          <w:p w14:paraId="53EDB76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8.配件：导向滑轮、吊点滑轮、紧固件等；                      </w:t>
            </w:r>
          </w:p>
        </w:tc>
        <w:tc>
          <w:tcPr>
            <w:tcW w:w="593" w:type="pct"/>
            <w:gridSpan w:val="2"/>
            <w:noWrap w:val="0"/>
            <w:vAlign w:val="center"/>
          </w:tcPr>
          <w:p w14:paraId="577AD9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p>
        </w:tc>
      </w:tr>
      <w:tr w14:paraId="7829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4C77C2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837" w:type="pct"/>
            <w:noWrap w:val="0"/>
            <w:vAlign w:val="center"/>
          </w:tcPr>
          <w:p w14:paraId="49EA09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固定侧光吊杆</w:t>
            </w:r>
          </w:p>
        </w:tc>
        <w:tc>
          <w:tcPr>
            <w:tcW w:w="345" w:type="pct"/>
            <w:noWrap w:val="0"/>
            <w:vAlign w:val="center"/>
          </w:tcPr>
          <w:p w14:paraId="427A85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043D64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2642" w:type="pct"/>
            <w:noWrap w:val="0"/>
            <w:vAlign w:val="center"/>
          </w:tcPr>
          <w:p w14:paraId="7241262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钢丝绳固定吊装，双层衔接式吊杆，可两排挂灯</w:t>
            </w:r>
          </w:p>
        </w:tc>
        <w:tc>
          <w:tcPr>
            <w:tcW w:w="593" w:type="pct"/>
            <w:gridSpan w:val="2"/>
            <w:noWrap w:val="0"/>
            <w:vAlign w:val="center"/>
          </w:tcPr>
          <w:p w14:paraId="5208B1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p>
        </w:tc>
      </w:tr>
      <w:tr w14:paraId="5E89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1B96C0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37" w:type="pct"/>
            <w:noWrap w:val="0"/>
            <w:vAlign w:val="center"/>
          </w:tcPr>
          <w:p w14:paraId="5D78CC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固定沿条幕吊杆</w:t>
            </w:r>
          </w:p>
        </w:tc>
        <w:tc>
          <w:tcPr>
            <w:tcW w:w="345" w:type="pct"/>
            <w:noWrap w:val="0"/>
            <w:vAlign w:val="center"/>
          </w:tcPr>
          <w:p w14:paraId="296051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330" w:type="pct"/>
            <w:noWrap/>
            <w:vAlign w:val="center"/>
          </w:tcPr>
          <w:p w14:paraId="19C0C3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2642" w:type="pct"/>
            <w:noWrap w:val="0"/>
            <w:vAlign w:val="center"/>
          </w:tcPr>
          <w:p w14:paraId="7AAC69E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钢丝绳固定吊装，一字型吊杆，用于幕布安装</w:t>
            </w:r>
          </w:p>
        </w:tc>
        <w:tc>
          <w:tcPr>
            <w:tcW w:w="593" w:type="pct"/>
            <w:gridSpan w:val="2"/>
            <w:noWrap w:val="0"/>
            <w:vAlign w:val="center"/>
          </w:tcPr>
          <w:p w14:paraId="0E903E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p>
        </w:tc>
      </w:tr>
      <w:tr w14:paraId="1072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618E49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837" w:type="pct"/>
            <w:noWrap w:val="0"/>
            <w:vAlign w:val="center"/>
          </w:tcPr>
          <w:p w14:paraId="25568A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机械控制系统</w:t>
            </w:r>
          </w:p>
        </w:tc>
        <w:tc>
          <w:tcPr>
            <w:tcW w:w="345" w:type="pct"/>
            <w:noWrap w:val="0"/>
            <w:vAlign w:val="center"/>
          </w:tcPr>
          <w:p w14:paraId="7E78DB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21EBCC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2642" w:type="pct"/>
            <w:noWrap w:val="0"/>
            <w:vAlign w:val="center"/>
          </w:tcPr>
          <w:p w14:paraId="274A17E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7路控制系统：可任何一个线路上的上限到位和下限到位，具有点控、急停控制，防冲顶保护等功能，设有电锁，电源指示等设施</w:t>
            </w:r>
          </w:p>
        </w:tc>
        <w:tc>
          <w:tcPr>
            <w:tcW w:w="593" w:type="pct"/>
            <w:gridSpan w:val="2"/>
            <w:noWrap w:val="0"/>
            <w:vAlign w:val="center"/>
          </w:tcPr>
          <w:p w14:paraId="1DF141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p>
        </w:tc>
      </w:tr>
      <w:tr w14:paraId="112D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2A0603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837" w:type="pct"/>
            <w:noWrap w:val="0"/>
            <w:vAlign w:val="center"/>
          </w:tcPr>
          <w:p w14:paraId="6FF399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舞台机械栅顶</w:t>
            </w:r>
          </w:p>
        </w:tc>
        <w:tc>
          <w:tcPr>
            <w:tcW w:w="345" w:type="pct"/>
            <w:noWrap w:val="0"/>
            <w:vAlign w:val="center"/>
          </w:tcPr>
          <w:p w14:paraId="3ACECA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396BA6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2642" w:type="pct"/>
            <w:noWrap w:val="0"/>
            <w:vAlign w:val="center"/>
          </w:tcPr>
          <w:p w14:paraId="2DF3B26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简易型舞台栅顶钢架，包含主梁、滑轮梁和下挂吊筋等。</w:t>
            </w:r>
          </w:p>
        </w:tc>
        <w:tc>
          <w:tcPr>
            <w:tcW w:w="593" w:type="pct"/>
            <w:gridSpan w:val="2"/>
            <w:noWrap w:val="0"/>
            <w:vAlign w:val="center"/>
          </w:tcPr>
          <w:p w14:paraId="64CA1E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p>
        </w:tc>
      </w:tr>
      <w:tr w14:paraId="13D7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718D47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837" w:type="pct"/>
            <w:noWrap w:val="0"/>
            <w:vAlign w:val="center"/>
          </w:tcPr>
          <w:p w14:paraId="288C39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机械附件</w:t>
            </w:r>
          </w:p>
        </w:tc>
        <w:tc>
          <w:tcPr>
            <w:tcW w:w="345" w:type="pct"/>
            <w:noWrap w:val="0"/>
            <w:vAlign w:val="center"/>
          </w:tcPr>
          <w:p w14:paraId="22A9C8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30" w:type="pct"/>
            <w:noWrap/>
            <w:vAlign w:val="center"/>
          </w:tcPr>
          <w:p w14:paraId="262C48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2642" w:type="pct"/>
            <w:noWrap w:val="0"/>
            <w:vAlign w:val="center"/>
          </w:tcPr>
          <w:p w14:paraId="3F68CB7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含管线及安装附件</w:t>
            </w:r>
          </w:p>
        </w:tc>
        <w:tc>
          <w:tcPr>
            <w:tcW w:w="593" w:type="pct"/>
            <w:gridSpan w:val="2"/>
            <w:noWrap w:val="0"/>
            <w:vAlign w:val="center"/>
          </w:tcPr>
          <w:p w14:paraId="15C028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color w:val="auto"/>
                <w:lang w:val="en-US" w:eastAsia="zh-CN"/>
              </w:rPr>
            </w:pPr>
          </w:p>
        </w:tc>
      </w:tr>
      <w:tr w14:paraId="62E0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shd w:val="clear" w:color="auto" w:fill="FFFFFF"/>
            <w:noWrap/>
            <w:vAlign w:val="center"/>
          </w:tcPr>
          <w:p w14:paraId="3881C50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四、礼堂椅设备</w:t>
            </w:r>
          </w:p>
        </w:tc>
      </w:tr>
      <w:tr w14:paraId="35C3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shd w:val="clear" w:color="auto" w:fill="FFFFFF"/>
            <w:noWrap/>
            <w:vAlign w:val="center"/>
          </w:tcPr>
          <w:p w14:paraId="7A6795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837" w:type="pct"/>
            <w:noWrap w:val="0"/>
            <w:vAlign w:val="center"/>
          </w:tcPr>
          <w:p w14:paraId="3291C8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报告厅座椅</w:t>
            </w:r>
          </w:p>
        </w:tc>
        <w:tc>
          <w:tcPr>
            <w:tcW w:w="345" w:type="pct"/>
            <w:noWrap/>
            <w:vAlign w:val="center"/>
          </w:tcPr>
          <w:p w14:paraId="123856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830</w:t>
            </w:r>
          </w:p>
        </w:tc>
        <w:tc>
          <w:tcPr>
            <w:tcW w:w="330" w:type="pct"/>
            <w:noWrap/>
            <w:vAlign w:val="center"/>
          </w:tcPr>
          <w:p w14:paraId="48C380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张</w:t>
            </w:r>
          </w:p>
        </w:tc>
        <w:tc>
          <w:tcPr>
            <w:tcW w:w="2642" w:type="pct"/>
            <w:noWrap w:val="0"/>
            <w:vAlign w:val="top"/>
          </w:tcPr>
          <w:p w14:paraId="4D895EFF">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座椅规格：椅高 1000mm±10mm,座深700±10mm,中心距580-600mm。</w:t>
            </w:r>
          </w:p>
          <w:p w14:paraId="7F4355D2">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座椅靠背和坐垫的弯曲度要求符合人体入座姿态的形体曲线；座垫可自动回复，采用两侧双脚落地支撑。</w:t>
            </w:r>
          </w:p>
          <w:p w14:paraId="06BD971B">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1、靠背外板、座外板采用多层板，多层板厚度不低于17mm，座外板厚度不低于12mm。</w:t>
            </w:r>
          </w:p>
          <w:p w14:paraId="5D02565E">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2、面料采用耐磨、防静电的座椅面料，要求耐磨性高,渗透力强,吸声效果好。阻燃达到国家B1级要求。</w:t>
            </w:r>
          </w:p>
          <w:p w14:paraId="2EB8A65C">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3、座椅海绵采用高回弹聚氨酯冷发泡定型海绵，靠背海绵密度≥50kg/m³，座垫海绵密度≥60kg/m³。</w:t>
            </w:r>
          </w:p>
          <w:p w14:paraId="529D24BF">
            <w:pPr>
              <w:keepNext w:val="0"/>
              <w:keepLines w:val="0"/>
              <w:pageBreakBefore w:val="0"/>
              <w:widowControl/>
              <w:suppressLineNumbers w:val="0"/>
              <w:kinsoku/>
              <w:wordWrap/>
              <w:overflowPunct/>
              <w:topLinePunct w:val="0"/>
              <w:autoSpaceDE/>
              <w:autoSpaceDN/>
              <w:bidi w:val="0"/>
              <w:adjustRightInd/>
              <w:snapToGrid/>
              <w:jc w:val="both"/>
              <w:textAlignment w:val="top"/>
              <w:rPr>
                <w:color w:val="auto"/>
              </w:rPr>
            </w:pPr>
            <w:r>
              <w:rPr>
                <w:rFonts w:hint="eastAsia" w:ascii="宋体" w:hAnsi="宋体" w:eastAsia="宋体" w:cs="宋体"/>
                <w:i w:val="0"/>
                <w:iCs w:val="0"/>
                <w:color w:val="auto"/>
                <w:kern w:val="0"/>
                <w:sz w:val="21"/>
                <w:szCs w:val="21"/>
                <w:u w:val="none"/>
                <w:lang w:val="en-US" w:eastAsia="zh-CN" w:bidi="ar"/>
              </w:rPr>
              <w:t>4、座垫回复机构：</w:t>
            </w:r>
            <w:r>
              <w:rPr>
                <w:color w:val="auto"/>
              </w:rPr>
              <w:t>坐垫翻起采用缓冲慢回弹回复，座板回复时无杂音，无撞击，缓慢回复复位精准，低噪音。</w:t>
            </w:r>
          </w:p>
          <w:p w14:paraId="455A773B">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6、内藏式书写板：使用时，打开扶手盖可以轻松的翻出写字板，不使用时，能内藏与扶手框内，方便观众疏散。</w:t>
            </w:r>
          </w:p>
          <w:p w14:paraId="4D23899B">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kern w:val="0"/>
                <w:sz w:val="21"/>
                <w:szCs w:val="21"/>
                <w:u w:val="none"/>
                <w:lang w:val="en-US" w:eastAsia="zh-CN" w:bidi="ar"/>
              </w:rPr>
              <w:t>6、扶手框及站脚：采用2mm优质冷轧钢冲压焊接而成或采用</w:t>
            </w:r>
            <w:r>
              <w:rPr>
                <w:color w:val="auto"/>
              </w:rPr>
              <w:t>厚2.0MM</w:t>
            </w:r>
            <w:r>
              <w:rPr>
                <w:rFonts w:hint="eastAsia"/>
                <w:color w:val="auto"/>
                <w:lang w:val="en-US" w:eastAsia="zh-CN"/>
              </w:rPr>
              <w:t xml:space="preserve"> </w:t>
            </w:r>
            <w:r>
              <w:rPr>
                <w:color w:val="auto"/>
              </w:rPr>
              <w:t>A级冷扎板模压成型</w:t>
            </w:r>
            <w:r>
              <w:rPr>
                <w:rFonts w:hint="eastAsia" w:ascii="宋体" w:hAnsi="宋体" w:eastAsia="宋体" w:cs="宋体"/>
                <w:i w:val="0"/>
                <w:iCs w:val="0"/>
                <w:color w:val="auto"/>
                <w:kern w:val="0"/>
                <w:sz w:val="21"/>
                <w:szCs w:val="21"/>
                <w:u w:val="none"/>
                <w:lang w:val="en-US" w:eastAsia="zh-CN" w:bidi="ar"/>
              </w:rPr>
              <w:t>，所有金属件经除锈、磷化处理后静电喷塑，以确保永不生锈。</w:t>
            </w:r>
          </w:p>
          <w:p w14:paraId="53DEA1B3">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7、座排号由特殊的反光材料制成，号码能在微弱的光线下清楚地显示出来。</w:t>
            </w:r>
          </w:p>
        </w:tc>
        <w:tc>
          <w:tcPr>
            <w:tcW w:w="593" w:type="pct"/>
            <w:gridSpan w:val="2"/>
            <w:noWrap w:val="0"/>
            <w:vAlign w:val="top"/>
          </w:tcPr>
          <w:p w14:paraId="1EB04AE6">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宋体" w:hAnsi="宋体" w:eastAsia="宋体" w:cs="宋体"/>
                <w:i w:val="0"/>
                <w:iCs w:val="0"/>
                <w:color w:val="auto"/>
                <w:kern w:val="0"/>
                <w:sz w:val="21"/>
                <w:szCs w:val="21"/>
                <w:u w:val="none"/>
                <w:lang w:val="en-US" w:eastAsia="zh-CN" w:bidi="ar"/>
              </w:rPr>
            </w:pPr>
          </w:p>
        </w:tc>
      </w:tr>
    </w:tbl>
    <w:p w14:paraId="1CF0B1AC">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jc w:val="both"/>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本标项核心产品为</w:t>
      </w:r>
      <w:r>
        <w:rPr>
          <w:rFonts w:hint="eastAsia" w:ascii="宋体" w:hAnsi="宋体" w:cs="宋体"/>
          <w:b/>
          <w:bCs/>
          <w:color w:val="auto"/>
          <w:sz w:val="21"/>
          <w:szCs w:val="21"/>
          <w:highlight w:val="none"/>
          <w:u w:val="single"/>
          <w:lang w:val="en-US" w:eastAsia="zh-CN"/>
        </w:rPr>
        <w:t xml:space="preserve"> 音视频运维管理平台、分布式控制主机 </w:t>
      </w:r>
      <w:r>
        <w:rPr>
          <w:rFonts w:hint="eastAsia" w:ascii="宋体" w:hAnsi="宋体" w:cs="宋体"/>
          <w:b/>
          <w:bCs/>
          <w:color w:val="auto"/>
          <w:sz w:val="21"/>
          <w:szCs w:val="21"/>
          <w:highlight w:val="none"/>
          <w:u w:val="none"/>
          <w:lang w:val="en-US" w:eastAsia="zh-CN"/>
        </w:rPr>
        <w:t>，</w:t>
      </w:r>
      <w:r>
        <w:rPr>
          <w:rFonts w:hint="eastAsia" w:ascii="宋体" w:hAnsi="宋体" w:cs="宋体"/>
          <w:b/>
          <w:bCs/>
          <w:color w:val="auto"/>
          <w:sz w:val="21"/>
          <w:szCs w:val="21"/>
          <w:highlight w:val="none"/>
        </w:rPr>
        <w:t>非单一产品采购项目中，多家投标人提供的核心产品品牌相同的按一家投标人计算</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若设定多个核心产品的，多家投标人提供的核心产品中有一种产品品牌相同，即视为提供相同品牌产品</w:t>
      </w:r>
      <w:r>
        <w:rPr>
          <w:rFonts w:hint="eastAsia" w:ascii="宋体" w:hAnsi="宋体" w:cs="宋体"/>
          <w:b/>
          <w:bCs/>
          <w:color w:val="auto"/>
          <w:sz w:val="21"/>
          <w:szCs w:val="21"/>
          <w:highlight w:val="none"/>
        </w:rPr>
        <w:t>。</w:t>
      </w:r>
    </w:p>
    <w:p w14:paraId="7EC48FDF">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u w:val="single"/>
          <w:lang w:val="en-US" w:eastAsia="zh-CN"/>
        </w:rPr>
        <w:t xml:space="preserve"> 平板电脑 </w:t>
      </w:r>
      <w:r>
        <w:rPr>
          <w:rFonts w:hint="eastAsia" w:ascii="宋体" w:hAnsi="宋体" w:cs="宋体"/>
          <w:b/>
          <w:bCs/>
          <w:color w:val="auto"/>
          <w:sz w:val="21"/>
          <w:szCs w:val="21"/>
          <w:highlight w:val="none"/>
          <w:lang w:val="en-US" w:eastAsia="zh-CN"/>
        </w:rPr>
        <w:t>属于政府强制采购的节能产品品目清单范围，投标人相应的投标产品须获得市场监管总局确定的认证机构出具的、处于有效期之内的节能产品认证证书扫描件或网页查询截图。</w:t>
      </w:r>
    </w:p>
    <w:p w14:paraId="141858BF">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投标人所投产品的技术参数不应低于本项目的技术要求和档次。采购清单内如出现某类品牌型号特有的技术或性能，仅作建议性参考或为代替部分技术指标描述所用，不具指定或唯一；投标供应商可选择提供其他品牌或型号的产品参加投标，但选用的产品其功能、性能等相关技术指标应具有相当于或优于招标技术要求并在投标文件中提供阐述说明。</w:t>
      </w:r>
    </w:p>
    <w:p w14:paraId="7C3313BA">
      <w:pPr>
        <w:pStyle w:val="12"/>
        <w:keepNext w:val="0"/>
        <w:keepLines w:val="0"/>
        <w:pageBreakBefore w:val="0"/>
        <w:widowControl/>
        <w:kinsoku/>
        <w:wordWrap/>
        <w:overflowPunct/>
        <w:topLinePunct w:val="0"/>
        <w:bidi w:val="0"/>
        <w:adjustRightInd/>
        <w:snapToGrid/>
        <w:spacing w:line="400" w:lineRule="exact"/>
        <w:ind w:left="0" w:leftChars="0" w:firstLine="422" w:firstLineChars="200"/>
        <w:jc w:val="both"/>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、项目实施要求</w:t>
      </w:r>
    </w:p>
    <w:p w14:paraId="4F1B2C7D">
      <w:pPr>
        <w:keepNext w:val="0"/>
        <w:keepLines w:val="0"/>
        <w:pageBreakBefore w:val="0"/>
        <w:widowControl/>
        <w:kinsoku/>
        <w:wordWrap/>
        <w:overflowPunct/>
        <w:topLinePunct w:val="0"/>
        <w:autoSpaceDE w:val="0"/>
        <w:autoSpaceDN w:val="0"/>
        <w:bidi w:val="0"/>
        <w:adjustRightInd/>
        <w:snapToGrid/>
        <w:spacing w:line="400" w:lineRule="exact"/>
        <w:ind w:left="0" w:leftChars="0" w:firstLine="422" w:firstLineChars="200"/>
        <w:jc w:val="both"/>
        <w:textAlignment w:val="bottom"/>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产品的防护、包装及运输要求</w:t>
      </w:r>
    </w:p>
    <w:p w14:paraId="330AAB7D">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（1）产品内、外表面应洁净。</w:t>
      </w:r>
    </w:p>
    <w:p w14:paraId="543F1058">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（2）所有产品应合理、有效地包装，以使其有效防止各种损坏。</w:t>
      </w:r>
    </w:p>
    <w:p w14:paraId="659EA3CF">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（3）供货方应对产品的整个交货过程负责，包括运输、装卸及安全措施。</w:t>
      </w:r>
    </w:p>
    <w:p w14:paraId="037388A3">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（4）随包装箱带的文件、资料应防潮密封，并放置在包装箱内明显的地方。</w:t>
      </w:r>
    </w:p>
    <w:p w14:paraId="37D2304A">
      <w:pPr>
        <w:keepNext w:val="0"/>
        <w:keepLines w:val="0"/>
        <w:pageBreakBefore w:val="0"/>
        <w:widowControl/>
        <w:kinsoku/>
        <w:wordWrap/>
        <w:overflowPunct/>
        <w:topLinePunct w:val="0"/>
        <w:bidi w:val="0"/>
        <w:adjustRightInd/>
        <w:snapToGrid/>
        <w:spacing w:line="400" w:lineRule="exact"/>
        <w:ind w:left="0" w:leftChars="0" w:firstLine="420" w:firstLineChars="200"/>
        <w:jc w:val="both"/>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）由</w:t>
      </w:r>
      <w:r>
        <w:rPr>
          <w:rFonts w:hint="eastAsia" w:ascii="宋体" w:hAnsi="宋体" w:eastAsia="宋体" w:cs="宋体"/>
          <w:b w:val="0"/>
          <w:bCs w:val="0"/>
          <w:color w:val="auto"/>
          <w:sz w:val="21"/>
          <w:szCs w:val="21"/>
          <w:lang w:eastAsia="zh-CN"/>
        </w:rPr>
        <w:t>中标供应商</w:t>
      </w:r>
      <w:r>
        <w:rPr>
          <w:rFonts w:hint="eastAsia" w:ascii="宋体" w:hAnsi="宋体" w:eastAsia="宋体" w:cs="宋体"/>
          <w:b w:val="0"/>
          <w:bCs w:val="0"/>
          <w:color w:val="auto"/>
          <w:sz w:val="21"/>
          <w:szCs w:val="21"/>
        </w:rPr>
        <w:t>将设备直接免费送至指定地点</w:t>
      </w:r>
      <w:r>
        <w:rPr>
          <w:rFonts w:hint="eastAsia" w:ascii="宋体" w:hAnsi="宋体" w:eastAsia="宋体" w:cs="宋体"/>
          <w:b w:val="0"/>
          <w:bCs w:val="0"/>
          <w:color w:val="auto"/>
          <w:sz w:val="21"/>
          <w:szCs w:val="21"/>
          <w:lang w:eastAsia="zh-CN"/>
        </w:rPr>
        <w:t>（浙江省开化中学）</w:t>
      </w:r>
      <w:r>
        <w:rPr>
          <w:rFonts w:hint="eastAsia" w:ascii="宋体" w:hAnsi="宋体" w:eastAsia="宋体" w:cs="宋体"/>
          <w:b w:val="0"/>
          <w:bCs w:val="0"/>
          <w:color w:val="auto"/>
          <w:sz w:val="21"/>
          <w:szCs w:val="21"/>
        </w:rPr>
        <w:t>。如在运输、搬运、安装过程中造成设备损坏，采购人有权不签收并由</w:t>
      </w:r>
      <w:r>
        <w:rPr>
          <w:rFonts w:hint="eastAsia" w:ascii="宋体" w:hAnsi="宋体" w:eastAsia="宋体" w:cs="宋体"/>
          <w:b w:val="0"/>
          <w:bCs w:val="0"/>
          <w:color w:val="auto"/>
          <w:sz w:val="21"/>
          <w:szCs w:val="21"/>
          <w:lang w:eastAsia="zh-CN"/>
        </w:rPr>
        <w:t>中标供应商</w:t>
      </w:r>
      <w:r>
        <w:rPr>
          <w:rFonts w:hint="eastAsia" w:ascii="宋体" w:hAnsi="宋体" w:eastAsia="宋体" w:cs="宋体"/>
          <w:b w:val="0"/>
          <w:bCs w:val="0"/>
          <w:color w:val="auto"/>
          <w:sz w:val="21"/>
          <w:szCs w:val="21"/>
        </w:rPr>
        <w:t>承担相应经济损失；因搬运过程中造成车间物品损坏，采购人有权从</w:t>
      </w:r>
      <w:r>
        <w:rPr>
          <w:rFonts w:hint="eastAsia" w:ascii="宋体" w:hAnsi="宋体" w:eastAsia="宋体" w:cs="宋体"/>
          <w:b w:val="0"/>
          <w:bCs w:val="0"/>
          <w:color w:val="auto"/>
          <w:sz w:val="21"/>
          <w:szCs w:val="21"/>
          <w:lang w:eastAsia="zh-CN"/>
        </w:rPr>
        <w:t>中标供应商</w:t>
      </w:r>
      <w:r>
        <w:rPr>
          <w:rFonts w:hint="eastAsia" w:ascii="宋体" w:hAnsi="宋体" w:eastAsia="宋体" w:cs="宋体"/>
          <w:b w:val="0"/>
          <w:bCs w:val="0"/>
          <w:color w:val="auto"/>
          <w:sz w:val="21"/>
          <w:szCs w:val="21"/>
        </w:rPr>
        <w:t xml:space="preserve">保证金中扣除相应赔偿金额。 </w:t>
      </w:r>
    </w:p>
    <w:p w14:paraId="2CC76D81">
      <w:pPr>
        <w:keepNext w:val="0"/>
        <w:keepLines w:val="0"/>
        <w:pageBreakBefore w:val="0"/>
        <w:widowControl/>
        <w:kinsoku/>
        <w:wordWrap/>
        <w:overflowPunct/>
        <w:topLinePunct w:val="0"/>
        <w:autoSpaceDE w:val="0"/>
        <w:autoSpaceDN w:val="0"/>
        <w:bidi w:val="0"/>
        <w:adjustRightInd/>
        <w:snapToGrid/>
        <w:spacing w:line="400" w:lineRule="exact"/>
        <w:ind w:left="0" w:leftChars="0" w:firstLine="422" w:firstLineChars="200"/>
        <w:jc w:val="both"/>
        <w:textAlignment w:val="bottom"/>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、安装调试</w:t>
      </w:r>
    </w:p>
    <w:p w14:paraId="1835FEBF">
      <w:pPr>
        <w:keepNext w:val="0"/>
        <w:keepLines w:val="0"/>
        <w:pageBreakBefore w:val="0"/>
        <w:widowControl/>
        <w:kinsoku/>
        <w:wordWrap/>
        <w:overflowPunct/>
        <w:topLinePunct w:val="0"/>
        <w:bidi w:val="0"/>
        <w:adjustRightInd/>
        <w:snapToGrid/>
        <w:spacing w:line="400" w:lineRule="exact"/>
        <w:ind w:left="0" w:leftChars="0" w:firstLine="420" w:firstLineChars="20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（1）安装地点（交货地点）：浙江省开化中学。</w:t>
      </w:r>
    </w:p>
    <w:p w14:paraId="40188AB0">
      <w:pPr>
        <w:keepNext w:val="0"/>
        <w:keepLines w:val="0"/>
        <w:pageBreakBefore w:val="0"/>
        <w:widowControl/>
        <w:kinsoku/>
        <w:wordWrap/>
        <w:overflowPunct/>
        <w:topLinePunct w:val="0"/>
        <w:bidi w:val="0"/>
        <w:adjustRightInd/>
        <w:snapToGrid/>
        <w:spacing w:line="400" w:lineRule="exact"/>
        <w:ind w:left="0" w:leftChars="0" w:firstLine="420" w:firstLineChars="20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（2）安装标准：符合我国国家有关技术规范要求和技术标准。</w:t>
      </w:r>
    </w:p>
    <w:p w14:paraId="45F349A8">
      <w:pPr>
        <w:keepNext w:val="0"/>
        <w:keepLines w:val="0"/>
        <w:pageBreakBefore w:val="0"/>
        <w:widowControl/>
        <w:kinsoku/>
        <w:wordWrap/>
        <w:overflowPunct/>
        <w:topLinePunct w:val="0"/>
        <w:bidi w:val="0"/>
        <w:adjustRightInd/>
        <w:snapToGrid/>
        <w:spacing w:line="400" w:lineRule="exact"/>
        <w:ind w:left="0" w:leftChars="0" w:firstLine="420" w:firstLineChars="20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（3）中标供应商负责送货以及完成安装调试等工作，安装过程中发生的费用由供应商负责。</w:t>
      </w:r>
    </w:p>
    <w:p w14:paraId="0C2A6EFF">
      <w:pPr>
        <w:keepNext w:val="0"/>
        <w:keepLines w:val="0"/>
        <w:pageBreakBefore w:val="0"/>
        <w:widowControl/>
        <w:kinsoku/>
        <w:wordWrap/>
        <w:overflowPunct/>
        <w:topLinePunct w:val="0"/>
        <w:bidi w:val="0"/>
        <w:adjustRightInd/>
        <w:snapToGrid/>
        <w:spacing w:line="400" w:lineRule="exact"/>
        <w:ind w:left="0" w:leftChars="0" w:firstLine="420" w:firstLineChars="20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（4）供应商应在投标文件中提供其安装调试过程中使用单位需配合的内容。</w:t>
      </w:r>
    </w:p>
    <w:p w14:paraId="4AB7DAC3">
      <w:pPr>
        <w:keepNext w:val="0"/>
        <w:keepLines w:val="0"/>
        <w:pageBreakBefore w:val="0"/>
        <w:widowControl/>
        <w:kinsoku/>
        <w:wordWrap/>
        <w:overflowPunct/>
        <w:topLinePunct w:val="0"/>
        <w:bidi w:val="0"/>
        <w:adjustRightInd/>
        <w:snapToGrid/>
        <w:spacing w:line="400" w:lineRule="exact"/>
        <w:ind w:left="0" w:leftChars="0" w:firstLine="422" w:firstLineChars="200"/>
        <w:jc w:val="both"/>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3、质量要求</w:t>
      </w:r>
    </w:p>
    <w:p w14:paraId="5ED0C790">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（1）合格及以上，符合国家规定的质量要求。</w:t>
      </w:r>
    </w:p>
    <w:p w14:paraId="6D5C84F0">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（2）货物验收过程中，由于质量不合格或运输等原因所造成的一切费用均由供应商负责。</w:t>
      </w:r>
    </w:p>
    <w:p w14:paraId="16DBEFBB">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（3）中标供应商须对因投标货物使用期内本身的固有缺陷和瑕疵承担责任。</w:t>
      </w:r>
    </w:p>
    <w:p w14:paraId="49714D10">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（4）质保期内，如因修理货物或更换部件，而非人为因素出现故障而造成短期停用时，则保修期和免费维修期相应顺延。如停用时间累计超过20天，则货物保修期重新计算。</w:t>
      </w:r>
    </w:p>
    <w:p w14:paraId="096D82D0">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（5）保修期内，采购人无须自行付费，中标供应商负责修理和替换任何由于货物自身的质量问题造成的损坏及故障。</w:t>
      </w:r>
    </w:p>
    <w:p w14:paraId="3B46134E">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（6）质保期内，须指定一名技术工程师专门负责本项目的售后服务工作；如有更换，须采购人同意。</w:t>
      </w:r>
    </w:p>
    <w:p w14:paraId="2BEB98B0">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（7）中标供应商在保修期内安装（更换）的任何零配件，必须是货物制造商原产的或是经采购人认可的。</w:t>
      </w:r>
    </w:p>
    <w:p w14:paraId="280EA38A">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（8）所有的替代零配件必须是新的未使用和未经修复的,除非最终用户提供书面许可，否则不可使用此范围外的其他（非新的）配件。</w:t>
      </w:r>
    </w:p>
    <w:p w14:paraId="2787B538">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9）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68ECD86C">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（10）中标供应商或原厂家的承诺的保修期不符的，以最高标准为准，除非供应商事前正式声明，否则均视为认同，并将在合同中载明。</w:t>
      </w:r>
    </w:p>
    <w:p w14:paraId="1A0F8A4F">
      <w:pPr>
        <w:keepNext w:val="0"/>
        <w:keepLines w:val="0"/>
        <w:pageBreakBefore w:val="0"/>
        <w:kinsoku/>
        <w:wordWrap/>
        <w:overflowPunct/>
        <w:topLinePunct w:val="0"/>
        <w:bidi w:val="0"/>
        <w:adjustRightInd/>
        <w:snapToGrid/>
        <w:spacing w:line="400" w:lineRule="exact"/>
        <w:ind w:left="0" w:leftChars="0" w:firstLine="422" w:firstLineChars="200"/>
        <w:jc w:val="both"/>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4、质保期</w:t>
      </w:r>
      <w:r>
        <w:rPr>
          <w:rFonts w:hint="eastAsia" w:ascii="宋体" w:hAnsi="宋体" w:eastAsia="宋体" w:cs="宋体"/>
          <w:b/>
          <w:bCs/>
          <w:color w:val="auto"/>
          <w:sz w:val="21"/>
          <w:szCs w:val="21"/>
          <w:lang w:val="en-US" w:eastAsia="zh-CN"/>
        </w:rPr>
        <w:t>及售后服务要求</w:t>
      </w:r>
    </w:p>
    <w:p w14:paraId="1209D793">
      <w:pPr>
        <w:keepNext w:val="0"/>
        <w:keepLines w:val="0"/>
        <w:pageBreakBefore w:val="0"/>
        <w:widowControl/>
        <w:kinsoku/>
        <w:wordWrap/>
        <w:overflowPunct/>
        <w:topLinePunct w:val="0"/>
        <w:autoSpaceDE/>
        <w:autoSpaceDN/>
        <w:bidi w:val="0"/>
        <w:adjustRightInd/>
        <w:snapToGrid/>
        <w:spacing w:line="400" w:lineRule="exact"/>
        <w:ind w:left="0" w:leftChars="0" w:firstLine="211" w:firstLineChars="100"/>
        <w:jc w:val="both"/>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▲（1）免费质保期和维保期为</w:t>
      </w: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自项目验收合格之日起计；在保修期内，中标方应对出现的质量及安全问题负责处理解决并承担一切费用</w:t>
      </w:r>
      <w:r>
        <w:rPr>
          <w:rFonts w:hint="eastAsia" w:ascii="宋体" w:hAnsi="宋体" w:eastAsia="宋体" w:cs="宋体"/>
          <w:b/>
          <w:bCs/>
          <w:color w:val="auto"/>
          <w:sz w:val="21"/>
          <w:szCs w:val="21"/>
        </w:rPr>
        <w:t>。</w:t>
      </w:r>
    </w:p>
    <w:p w14:paraId="2D99048A">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（2）供应商在投标文件中说明质保期内提供的服务计划</w:t>
      </w:r>
      <w:r>
        <w:rPr>
          <w:rFonts w:hint="eastAsia" w:ascii="宋体" w:hAnsi="宋体" w:eastAsia="宋体" w:cs="宋体"/>
          <w:color w:val="auto"/>
          <w:sz w:val="21"/>
          <w:szCs w:val="21"/>
          <w:lang w:val="en-US" w:eastAsia="zh-CN"/>
        </w:rPr>
        <w:t>及售后服务方案，内容包括但不限于售后服务期限、售后服务内容、故障问题处理等</w:t>
      </w:r>
      <w:r>
        <w:rPr>
          <w:rFonts w:hint="eastAsia" w:ascii="宋体" w:hAnsi="宋体" w:eastAsia="宋体" w:cs="宋体"/>
          <w:color w:val="auto"/>
          <w:sz w:val="21"/>
          <w:szCs w:val="21"/>
        </w:rPr>
        <w:t>。</w:t>
      </w:r>
    </w:p>
    <w:p w14:paraId="2F246DA6">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一般</w:t>
      </w:r>
      <w:r>
        <w:rPr>
          <w:rFonts w:hint="eastAsia" w:ascii="宋体" w:hAnsi="宋体" w:eastAsia="宋体" w:cs="宋体"/>
          <w:color w:val="auto"/>
          <w:sz w:val="21"/>
          <w:szCs w:val="21"/>
        </w:rPr>
        <w:t>响应时间：提供快速响应服务，如系统出现故障，0.5小时内应做出实质性响应，到现场</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小时以内到现场，</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小时以内提出问题解决方案。非工作日及国家法定节日，维护工程师电话值班，以便应急问题的处理。</w:t>
      </w:r>
    </w:p>
    <w:p w14:paraId="17B29F1C">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）技术支持形式：在线服务、热线服务、远程维护服务、现场服务、功能改进服务、巡检与跟踪、操作与使用培训等。</w:t>
      </w:r>
    </w:p>
    <w:p w14:paraId="384721E9">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供应商必须有可靠的售后服务保障，能提供正常的技术、备品备件服务。在质保期和维保期内，中标方提供日常维护服务及软件升级与技术支持服务。因软件设计质量不良而产生损坏或不能正常工作，成交供应商应及时免费修复。经维修后达不到要求的，由乙方进行重做，并承担所发生的全部费用。</w:t>
      </w:r>
    </w:p>
    <w:p w14:paraId="002F9D96">
      <w:pPr>
        <w:keepNext w:val="0"/>
        <w:keepLines w:val="0"/>
        <w:pageBreakBefore w:val="0"/>
        <w:widowControl/>
        <w:kinsoku/>
        <w:wordWrap/>
        <w:overflowPunct/>
        <w:topLinePunct w:val="0"/>
        <w:autoSpaceDE w:val="0"/>
        <w:autoSpaceDN w:val="0"/>
        <w:bidi w:val="0"/>
        <w:adjustRightInd/>
        <w:snapToGrid/>
        <w:spacing w:line="400" w:lineRule="exact"/>
        <w:ind w:left="0" w:leftChars="0" w:firstLine="422" w:firstLineChars="200"/>
        <w:jc w:val="both"/>
        <w:textAlignment w:val="bottom"/>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、培训要求</w:t>
      </w:r>
    </w:p>
    <w:p w14:paraId="46D9A37D">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项目验收前须完成相关技术培训，提供不少于3次集中技术培训，培训的内容必须覆盖本次投标产品的日常使用操作和管理维护等，培训时需提供培训资料，同时结合现场口授、指导。</w:t>
      </w:r>
    </w:p>
    <w:p w14:paraId="61D07986">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应对用户的操作人员进行培训并承担所有费用，使其能对设备进行日常的维护保养及能对一般故障进行维修，并向培训人员提供详细的技术维修及调试参数资料；</w:t>
      </w:r>
    </w:p>
    <w:p w14:paraId="55B2AEC4">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提供完整详尽的技术培训方案，包含但不限于培训方式、培训地点、培训讲师情况、培训时间等。</w:t>
      </w:r>
    </w:p>
    <w:p w14:paraId="52491B8B">
      <w:pPr>
        <w:pStyle w:val="12"/>
        <w:keepNext w:val="0"/>
        <w:keepLines w:val="0"/>
        <w:pageBreakBefore w:val="0"/>
        <w:widowControl/>
        <w:kinsoku/>
        <w:wordWrap/>
        <w:overflowPunct/>
        <w:topLinePunct w:val="0"/>
        <w:bidi w:val="0"/>
        <w:adjustRightInd/>
        <w:snapToGrid/>
        <w:spacing w:line="400" w:lineRule="exact"/>
        <w:ind w:left="0" w:leftChars="0" w:firstLine="422" w:firstLineChars="200"/>
        <w:jc w:val="both"/>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、验收</w:t>
      </w:r>
    </w:p>
    <w:p w14:paraId="4BA5B7BD">
      <w:pPr>
        <w:keepNext w:val="0"/>
        <w:keepLines w:val="0"/>
        <w:pageBreakBefore w:val="0"/>
        <w:kinsoku/>
        <w:wordWrap/>
        <w:overflowPunct/>
        <w:topLinePunct w:val="0"/>
        <w:bidi w:val="0"/>
        <w:adjustRightInd/>
        <w:snapToGrid/>
        <w:spacing w:line="400" w:lineRule="exact"/>
        <w:ind w:left="0" w:leftChars="0" w:firstLine="420" w:firstLineChars="20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（1）供应商应按招标文件规定的货物性能、技术要求、质量标准向采购人提供未经使用的全新产品。</w:t>
      </w:r>
    </w:p>
    <w:p w14:paraId="5E8674A7">
      <w:pPr>
        <w:keepNext w:val="0"/>
        <w:keepLines w:val="0"/>
        <w:pageBreakBefore w:val="0"/>
        <w:kinsoku/>
        <w:wordWrap/>
        <w:overflowPunct/>
        <w:topLinePunct w:val="0"/>
        <w:bidi w:val="0"/>
        <w:adjustRightInd/>
        <w:snapToGrid/>
        <w:spacing w:line="400" w:lineRule="exact"/>
        <w:ind w:left="0" w:leftChars="0" w:firstLine="420" w:firstLineChars="20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（2）供应商已按合同规定提供了符合招标文件规定的要求的货物，并经使用单位检验合格，所有的技术资料和清单已向采购人提交并被接受，验收视为合格；如有不符者给予退货。</w:t>
      </w:r>
    </w:p>
    <w:p w14:paraId="6EBFC5FF">
      <w:pPr>
        <w:keepNext w:val="0"/>
        <w:keepLines w:val="0"/>
        <w:pageBreakBefore w:val="0"/>
        <w:kinsoku/>
        <w:wordWrap/>
        <w:overflowPunct/>
        <w:topLinePunct w:val="0"/>
        <w:bidi w:val="0"/>
        <w:adjustRightInd/>
        <w:snapToGrid/>
        <w:spacing w:line="400" w:lineRule="exact"/>
        <w:ind w:left="0" w:leftChars="0" w:firstLine="420" w:firstLineChars="20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（3）验收方式、时间由采购人提前通知供应商，由供应商做好准备。</w:t>
      </w:r>
    </w:p>
    <w:p w14:paraId="1DCDBA64">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（4）采购人可组织专家对供应商所交产品依照招标文件上的技术规格要求和国家（产品制造国）有关标准进行现场验收，性能达到技术要求的，给予签收。验收不合格的不予签收，后果由供应商负责。</w:t>
      </w:r>
    </w:p>
    <w:p w14:paraId="5480673E">
      <w:pPr>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both"/>
        <w:textAlignment w:val="bottom"/>
        <w:outlineLvl w:val="9"/>
        <w:rPr>
          <w:rFonts w:hint="eastAsia" w:ascii="宋体" w:hAnsi="宋体" w:eastAsia="宋体" w:cs="宋体"/>
          <w:color w:val="auto"/>
          <w:sz w:val="21"/>
          <w:szCs w:val="21"/>
        </w:rPr>
      </w:pPr>
      <w:r>
        <w:rPr>
          <w:rFonts w:hint="eastAsia" w:ascii="宋体" w:hAnsi="宋体" w:eastAsia="宋体" w:cs="宋体"/>
          <w:color w:val="auto"/>
          <w:sz w:val="21"/>
          <w:szCs w:val="21"/>
        </w:rPr>
        <w:t>（5）采购人应在安装调试完毕之日起</w:t>
      </w:r>
      <w:r>
        <w:rPr>
          <w:rFonts w:hint="eastAsia" w:ascii="宋体" w:hAnsi="宋体" w:eastAsia="宋体" w:cs="宋体"/>
          <w:color w:val="auto"/>
          <w:sz w:val="21"/>
          <w:szCs w:val="21"/>
          <w:u w:val="single"/>
        </w:rPr>
        <w:t xml:space="preserve"> 15 </w:t>
      </w:r>
      <w:r>
        <w:rPr>
          <w:rFonts w:hint="eastAsia" w:ascii="宋体" w:hAnsi="宋体" w:eastAsia="宋体" w:cs="宋体"/>
          <w:color w:val="auto"/>
          <w:sz w:val="21"/>
          <w:szCs w:val="21"/>
        </w:rPr>
        <w:t>个工作日内验收完毕，并作出验收结果报告。</w:t>
      </w:r>
    </w:p>
    <w:p w14:paraId="6402FCCA">
      <w:pPr>
        <w:keepNext w:val="0"/>
        <w:keepLines w:val="0"/>
        <w:pageBreakBefore w:val="0"/>
        <w:kinsoku/>
        <w:wordWrap/>
        <w:overflowPunct/>
        <w:topLinePunct w:val="0"/>
        <w:bidi w:val="0"/>
        <w:adjustRightInd/>
        <w:snapToGrid/>
        <w:spacing w:line="400" w:lineRule="exact"/>
        <w:ind w:left="0" w:leftChars="0" w:firstLine="422" w:firstLineChars="200"/>
        <w:jc w:val="both"/>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、项目团队</w:t>
      </w:r>
    </w:p>
    <w:p w14:paraId="7FD79902">
      <w:pPr>
        <w:keepNext w:val="0"/>
        <w:keepLines w:val="0"/>
        <w:pageBreakBefore w:val="0"/>
        <w:kinsoku/>
        <w:wordWrap/>
        <w:overflowPunct/>
        <w:topLinePunct w:val="0"/>
        <w:bidi w:val="0"/>
        <w:adjustRightInd/>
        <w:snapToGrid/>
        <w:spacing w:line="400" w:lineRule="exact"/>
        <w:ind w:left="0" w:leftChars="0" w:firstLine="420" w:firstLineChars="200"/>
        <w:jc w:val="both"/>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应组建能够满足本项目服务需要的项目组，项目负责人1人,项目组成员（除项目负责人外）3人，并在响应文件中列出项目组的主要人员及分工，合同运营期间必须参与服务此项目。项目组成员（除项目负责人外）如需更换，则应提供能力、经验相当的人员，并经采购人认可后予以更换。</w:t>
      </w:r>
    </w:p>
    <w:p w14:paraId="4DF831AC">
      <w:pPr>
        <w:keepNext w:val="0"/>
        <w:keepLines w:val="0"/>
        <w:pageBreakBefore w:val="0"/>
        <w:kinsoku/>
        <w:wordWrap/>
        <w:overflowPunct/>
        <w:topLinePunct w:val="0"/>
        <w:bidi w:val="0"/>
        <w:adjustRightInd/>
        <w:snapToGrid/>
        <w:spacing w:line="400" w:lineRule="exact"/>
        <w:ind w:left="0" w:leftChars="0" w:firstLine="422" w:firstLineChars="200"/>
        <w:jc w:val="both"/>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、其他要求</w:t>
      </w:r>
    </w:p>
    <w:p w14:paraId="181D9C6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1、本项目所有器材、材料均由中标</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提供，并按要求安装、调试及培训，费用包含在投标综合总单价中，</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自行考虑该风险</w:t>
      </w:r>
      <w:r>
        <w:rPr>
          <w:rFonts w:hint="eastAsia" w:ascii="宋体" w:hAnsi="宋体" w:eastAsia="宋体" w:cs="宋体"/>
          <w:color w:val="auto"/>
          <w:sz w:val="21"/>
          <w:szCs w:val="21"/>
          <w:lang w:eastAsia="zh-CN"/>
        </w:rPr>
        <w:t>。</w:t>
      </w:r>
    </w:p>
    <w:p w14:paraId="0777D4C0">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项目预中标签订合同前，采购单位有权对预中标供应商所投的产品对照投标文件响应的参数逐条核验，核验结果达不到或不满足投标文件响应参数的作虚假应标处理</w:t>
      </w:r>
      <w:r>
        <w:rPr>
          <w:rFonts w:hint="eastAsia" w:ascii="宋体" w:hAnsi="宋体" w:eastAsia="宋体" w:cs="宋体"/>
          <w:color w:val="auto"/>
          <w:kern w:val="0"/>
          <w:sz w:val="21"/>
          <w:szCs w:val="21"/>
          <w:lang w:eastAsia="zh-CN"/>
        </w:rPr>
        <w:t>。</w:t>
      </w:r>
    </w:p>
    <w:p w14:paraId="7C5BEC73">
      <w:pPr>
        <w:keepNext w:val="0"/>
        <w:keepLines w:val="0"/>
        <w:pageBreakBefore w:val="0"/>
        <w:kinsoku/>
        <w:wordWrap/>
        <w:overflowPunct/>
        <w:topLinePunct w:val="0"/>
        <w:bidi w:val="0"/>
        <w:adjustRightInd/>
        <w:snapToGrid/>
        <w:spacing w:line="400" w:lineRule="exact"/>
        <w:ind w:left="0" w:leftChars="0" w:firstLine="422" w:firstLineChars="200"/>
        <w:jc w:val="both"/>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七、付款方式</w:t>
      </w:r>
    </w:p>
    <w:p w14:paraId="61830113">
      <w:pPr>
        <w:keepNext w:val="0"/>
        <w:keepLines w:val="0"/>
        <w:pageBreakBefore w:val="0"/>
        <w:kinsoku/>
        <w:wordWrap/>
        <w:overflowPunct/>
        <w:topLinePunct w:val="0"/>
        <w:bidi w:val="0"/>
        <w:adjustRightInd/>
        <w:snapToGrid/>
        <w:spacing w:line="400" w:lineRule="exact"/>
        <w:ind w:left="0" w:leftChars="0" w:firstLine="420" w:firstLineChars="200"/>
        <w:jc w:val="both"/>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1、合同签订后且收到正式发票15个工作日内支付合同金额的40%作为预付款；</w:t>
      </w:r>
    </w:p>
    <w:p w14:paraId="79F9AA79">
      <w:pPr>
        <w:keepNext w:val="0"/>
        <w:keepLines w:val="0"/>
        <w:pageBreakBefore w:val="0"/>
        <w:kinsoku/>
        <w:wordWrap/>
        <w:overflowPunct/>
        <w:topLinePunct w:val="0"/>
        <w:bidi w:val="0"/>
        <w:adjustRightInd/>
        <w:snapToGrid/>
        <w:spacing w:line="400" w:lineRule="exact"/>
        <w:ind w:left="0" w:leftChars="0" w:firstLine="420" w:firstLineChars="200"/>
        <w:jc w:val="both"/>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2、所有设备到达采购人指定地点，安装调试完成并验收合格后且收到正式发票15个工作日内支付合同金额的100%</w:t>
      </w:r>
      <w:r>
        <w:rPr>
          <w:rFonts w:hint="eastAsia" w:ascii="宋体" w:hAnsi="宋体" w:eastAsia="宋体" w:cs="宋体"/>
          <w:color w:val="auto"/>
          <w:sz w:val="21"/>
          <w:szCs w:val="21"/>
          <w:lang w:eastAsia="zh-CN"/>
        </w:rPr>
        <w:t>。</w:t>
      </w:r>
    </w:p>
    <w:p w14:paraId="5E02F0C1">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lang w:eastAsia="zh-CN"/>
        </w:rPr>
      </w:pPr>
    </w:p>
    <w:p w14:paraId="3800A7BC">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lang w:eastAsia="zh-CN"/>
        </w:rPr>
      </w:pPr>
    </w:p>
    <w:p w14:paraId="583565D0">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lang w:eastAsia="zh-CN"/>
        </w:rPr>
      </w:pPr>
    </w:p>
    <w:p w14:paraId="637F2E51">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lang w:eastAsia="zh-CN"/>
        </w:rPr>
      </w:pPr>
    </w:p>
    <w:p w14:paraId="6B283138">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lang w:eastAsia="zh-CN"/>
        </w:rPr>
        <w:sectPr>
          <w:pgSz w:w="11906" w:h="16838"/>
          <w:pgMar w:top="1361" w:right="1304" w:bottom="1191" w:left="1304" w:header="765" w:footer="992" w:gutter="0"/>
          <w:pgNumType w:fmt="decimal"/>
          <w:cols w:space="720" w:num="1"/>
          <w:rtlGutter w:val="0"/>
          <w:docGrid w:type="lines" w:linePitch="320" w:charSpace="0"/>
        </w:sectPr>
      </w:pPr>
    </w:p>
    <w:bookmarkEnd w:id="75"/>
    <w:p w14:paraId="3644F2D1">
      <w:pPr>
        <w:widowControl/>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第四章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合同主要条款</w:t>
      </w:r>
    </w:p>
    <w:p w14:paraId="04E18B8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sz w:val="21"/>
          <w:szCs w:val="21"/>
        </w:rPr>
      </w:pPr>
      <w:r>
        <w:rPr>
          <w:rFonts w:hint="eastAsia" w:ascii="宋体" w:hAnsi="宋体" w:cs="宋体"/>
          <w:b/>
          <w:bCs/>
          <w:color w:val="auto"/>
          <w:sz w:val="21"/>
          <w:szCs w:val="21"/>
          <w:highlight w:val="none"/>
        </w:rPr>
        <w:t>注：本合同作为示范文本，具体以</w:t>
      </w:r>
      <w:r>
        <w:rPr>
          <w:rFonts w:hint="eastAsia" w:ascii="宋体" w:hAnsi="宋体" w:cs="宋体"/>
          <w:b/>
          <w:bCs/>
          <w:color w:val="auto"/>
          <w:sz w:val="21"/>
          <w:szCs w:val="21"/>
          <w:highlight w:val="none"/>
          <w:lang w:eastAsia="zh-CN"/>
        </w:rPr>
        <w:t>成交供应商</w:t>
      </w:r>
      <w:r>
        <w:rPr>
          <w:rFonts w:hint="eastAsia" w:ascii="宋体" w:hAnsi="宋体" w:cs="宋体"/>
          <w:b/>
          <w:bCs/>
          <w:color w:val="auto"/>
          <w:sz w:val="21"/>
          <w:szCs w:val="21"/>
          <w:highlight w:val="none"/>
        </w:rPr>
        <w:t>与</w:t>
      </w:r>
      <w:r>
        <w:rPr>
          <w:rFonts w:hint="eastAsia" w:ascii="宋体" w:hAnsi="宋体" w:cs="宋体"/>
          <w:b/>
          <w:bCs/>
          <w:color w:val="auto"/>
          <w:sz w:val="21"/>
          <w:szCs w:val="21"/>
          <w:highlight w:val="none"/>
          <w:lang w:val="en-US" w:eastAsia="zh-CN"/>
        </w:rPr>
        <w:t>采购</w:t>
      </w:r>
      <w:r>
        <w:rPr>
          <w:rFonts w:hint="eastAsia" w:ascii="宋体" w:hAnsi="宋体" w:cs="宋体"/>
          <w:b/>
          <w:bCs/>
          <w:color w:val="auto"/>
          <w:sz w:val="21"/>
          <w:szCs w:val="21"/>
          <w:highlight w:val="none"/>
        </w:rPr>
        <w:t>人所签定正式合同为准。</w:t>
      </w:r>
    </w:p>
    <w:p w14:paraId="36642D97">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outlineLvl w:val="9"/>
        <w:rPr>
          <w:rFonts w:hint="eastAsia" w:ascii="宋体" w:hAnsi="宋体" w:cs="宋体"/>
          <w:b w:val="0"/>
          <w:bCs w:val="0"/>
          <w:color w:val="auto"/>
          <w:kern w:val="0"/>
          <w:sz w:val="21"/>
          <w:szCs w:val="21"/>
          <w:highlight w:val="none"/>
          <w:lang w:val="en-US" w:eastAsia="zh-CN" w:bidi="ar-SA"/>
        </w:rPr>
      </w:pPr>
    </w:p>
    <w:p w14:paraId="1F6C69B4">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outlineLvl w:val="9"/>
        <w:rPr>
          <w:rFonts w:hint="eastAsia" w:ascii="宋体" w:hAnsi="宋体" w:eastAsia="宋体" w:cs="宋体"/>
          <w:b w:val="0"/>
          <w:bCs w:val="0"/>
          <w:color w:val="auto"/>
          <w:kern w:val="0"/>
          <w:sz w:val="21"/>
          <w:szCs w:val="21"/>
          <w:highlight w:val="none"/>
          <w:lang w:val="en-US" w:eastAsia="zh-CN" w:bidi="ar-SA"/>
        </w:rPr>
      </w:pPr>
    </w:p>
    <w:p w14:paraId="7E6518FB">
      <w:pPr>
        <w:keepNext/>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outlineLvl w:val="9"/>
        <w:rPr>
          <w:rFonts w:hint="default"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一、合同条款前附表</w:t>
      </w:r>
    </w:p>
    <w:tbl>
      <w:tblPr>
        <w:tblStyle w:val="32"/>
        <w:tblW w:w="0" w:type="auto"/>
        <w:jc w:val="center"/>
        <w:tblLayout w:type="fixed"/>
        <w:tblCellMar>
          <w:top w:w="0" w:type="dxa"/>
          <w:left w:w="108" w:type="dxa"/>
          <w:bottom w:w="0" w:type="dxa"/>
          <w:right w:w="108" w:type="dxa"/>
        </w:tblCellMar>
      </w:tblPr>
      <w:tblGrid>
        <w:gridCol w:w="1815"/>
        <w:gridCol w:w="7200"/>
      </w:tblGrid>
      <w:tr w14:paraId="26E53696">
        <w:tblPrEx>
          <w:tblCellMar>
            <w:top w:w="0" w:type="dxa"/>
            <w:left w:w="108" w:type="dxa"/>
            <w:bottom w:w="0" w:type="dxa"/>
            <w:right w:w="108" w:type="dxa"/>
          </w:tblCellMar>
        </w:tblPrEx>
        <w:trPr>
          <w:trHeight w:val="526"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14:paraId="60C84D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主要条款</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534B1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容</w:t>
            </w:r>
          </w:p>
        </w:tc>
      </w:tr>
      <w:tr w14:paraId="2A9E02B3">
        <w:tblPrEx>
          <w:tblCellMar>
            <w:top w:w="0" w:type="dxa"/>
            <w:left w:w="108" w:type="dxa"/>
            <w:bottom w:w="0" w:type="dxa"/>
            <w:right w:w="108" w:type="dxa"/>
          </w:tblCellMar>
        </w:tblPrEx>
        <w:trPr>
          <w:trHeight w:val="526"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14:paraId="44220D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质量等级</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942A35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合格并符合招标文件相应条款要求</w:t>
            </w:r>
          </w:p>
        </w:tc>
      </w:tr>
      <w:tr w14:paraId="64115168">
        <w:tblPrEx>
          <w:tblCellMar>
            <w:top w:w="0" w:type="dxa"/>
            <w:left w:w="108" w:type="dxa"/>
            <w:bottom w:w="0" w:type="dxa"/>
            <w:right w:w="108" w:type="dxa"/>
          </w:tblCellMar>
        </w:tblPrEx>
        <w:trPr>
          <w:trHeight w:val="526"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14:paraId="7316C4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工期</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481CAA29">
            <w:pPr>
              <w:widowControl/>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自合同签订之日起</w:t>
            </w:r>
            <w:r>
              <w:rPr>
                <w:rFonts w:hint="eastAsia" w:ascii="宋体" w:hAnsi="宋体" w:cs="宋体"/>
                <w:color w:val="auto"/>
                <w:sz w:val="21"/>
                <w:szCs w:val="21"/>
                <w:highlight w:val="none"/>
                <w:u w:val="single"/>
                <w:lang w:eastAsia="zh-CN"/>
              </w:rPr>
              <w:t xml:space="preserve"> 25 </w:t>
            </w:r>
            <w:r>
              <w:rPr>
                <w:rFonts w:hint="eastAsia" w:ascii="宋体" w:hAnsi="宋体" w:cs="宋体"/>
                <w:color w:val="auto"/>
                <w:sz w:val="21"/>
                <w:szCs w:val="21"/>
                <w:highlight w:val="none"/>
                <w:lang w:eastAsia="zh-CN"/>
              </w:rPr>
              <w:t>日历天内供货至采购人指定的地点并完成安装、调试、检测等，进度须配合主体维修改造工程进度，验收合格并满足使用要求</w:t>
            </w:r>
            <w:r>
              <w:rPr>
                <w:rFonts w:hint="eastAsia" w:ascii="宋体" w:hAnsi="宋体" w:cs="宋体"/>
                <w:color w:val="auto"/>
                <w:sz w:val="21"/>
                <w:szCs w:val="21"/>
                <w:highlight w:val="none"/>
              </w:rPr>
              <w:t>。</w:t>
            </w:r>
          </w:p>
        </w:tc>
      </w:tr>
      <w:tr w14:paraId="0A3C0E1D">
        <w:tblPrEx>
          <w:tblCellMar>
            <w:top w:w="0" w:type="dxa"/>
            <w:left w:w="108" w:type="dxa"/>
            <w:bottom w:w="0" w:type="dxa"/>
            <w:right w:w="108" w:type="dxa"/>
          </w:tblCellMar>
        </w:tblPrEx>
        <w:trPr>
          <w:trHeight w:val="526"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14:paraId="281BD4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供货地点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68CE0C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开化</w:t>
            </w:r>
            <w:r>
              <w:rPr>
                <w:rFonts w:hint="eastAsia" w:ascii="宋体" w:hAnsi="宋体" w:eastAsia="宋体" w:cs="宋体"/>
                <w:color w:val="auto"/>
                <w:kern w:val="0"/>
                <w:sz w:val="21"/>
                <w:szCs w:val="21"/>
                <w:highlight w:val="none"/>
                <w:lang w:val="en-US" w:eastAsia="zh-CN"/>
              </w:rPr>
              <w:t>中学</w:t>
            </w:r>
          </w:p>
        </w:tc>
      </w:tr>
      <w:tr w14:paraId="4F9AE87D">
        <w:tblPrEx>
          <w:tblCellMar>
            <w:top w:w="0" w:type="dxa"/>
            <w:left w:w="108" w:type="dxa"/>
            <w:bottom w:w="0" w:type="dxa"/>
            <w:right w:w="108" w:type="dxa"/>
          </w:tblCellMar>
        </w:tblPrEx>
        <w:trPr>
          <w:trHeight w:val="724"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14:paraId="1F07DC3A">
            <w:pPr>
              <w:widowControl/>
              <w:spacing w:line="44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合同价格</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84F66B1">
            <w:pPr>
              <w:pStyle w:val="16"/>
              <w:ind w:left="0" w:leftChars="0" w:firstLine="0" w:firstLineChars="0"/>
              <w:rPr>
                <w:rFonts w:hint="eastAsia" w:ascii="宋体" w:hAnsi="宋体" w:eastAsia="宋体" w:cs="宋体"/>
                <w:b w:val="0"/>
                <w:bCs w:val="0"/>
                <w:color w:val="auto"/>
                <w:kern w:val="0"/>
                <w:sz w:val="21"/>
                <w:szCs w:val="21"/>
                <w:highlight w:val="none"/>
              </w:rPr>
            </w:pPr>
            <w:r>
              <w:rPr>
                <w:rFonts w:hint="eastAsia" w:ascii="宋体" w:hAnsi="宋体" w:cs="宋体"/>
                <w:b/>
                <w:bCs/>
                <w:color w:val="auto"/>
                <w:kern w:val="0"/>
                <w:sz w:val="21"/>
                <w:szCs w:val="21"/>
                <w:highlight w:val="none"/>
              </w:rPr>
              <w:t>本合同为固定总价合同，以成交价为基准，政策性变化等均不允许调整。</w:t>
            </w:r>
          </w:p>
        </w:tc>
      </w:tr>
      <w:tr w14:paraId="3A761198">
        <w:tblPrEx>
          <w:tblCellMar>
            <w:top w:w="0" w:type="dxa"/>
            <w:left w:w="108" w:type="dxa"/>
            <w:bottom w:w="0" w:type="dxa"/>
            <w:right w:w="108" w:type="dxa"/>
          </w:tblCellMar>
        </w:tblPrEx>
        <w:trPr>
          <w:trHeight w:val="818" w:hRule="atLeast"/>
          <w:jc w:val="center"/>
        </w:trPr>
        <w:tc>
          <w:tcPr>
            <w:tcW w:w="1815" w:type="dxa"/>
            <w:tcBorders>
              <w:top w:val="single" w:color="auto" w:sz="4" w:space="0"/>
              <w:left w:val="single" w:color="auto" w:sz="4" w:space="0"/>
              <w:bottom w:val="single" w:color="auto" w:sz="4" w:space="0"/>
              <w:right w:val="single" w:color="auto" w:sz="4" w:space="0"/>
            </w:tcBorders>
            <w:noWrap w:val="0"/>
            <w:vAlign w:val="center"/>
          </w:tcPr>
          <w:p w14:paraId="3D3BBFC2">
            <w:pPr>
              <w:widowControl/>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40D2E3E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合同签订后且收到正式发票</w:t>
            </w:r>
            <w:r>
              <w:rPr>
                <w:rFonts w:hint="eastAsia" w:ascii="宋体" w:hAnsi="宋体" w:cs="宋体"/>
                <w:color w:val="auto"/>
                <w:szCs w:val="21"/>
                <w:lang w:val="en-US" w:eastAsia="zh-CN"/>
              </w:rPr>
              <w:t>15</w:t>
            </w:r>
            <w:r>
              <w:rPr>
                <w:rFonts w:hint="eastAsia" w:ascii="宋体" w:hAnsi="宋体" w:cs="宋体"/>
                <w:color w:val="auto"/>
                <w:szCs w:val="21"/>
              </w:rPr>
              <w:t>个工作日内支付合同金额的40%</w:t>
            </w:r>
            <w:r>
              <w:rPr>
                <w:rFonts w:hint="eastAsia" w:ascii="宋体" w:hAnsi="宋体" w:cs="宋体"/>
                <w:color w:val="auto"/>
                <w:szCs w:val="21"/>
                <w:lang w:val="en-US" w:eastAsia="zh-CN"/>
              </w:rPr>
              <w:t>作为预付款</w:t>
            </w:r>
            <w:r>
              <w:rPr>
                <w:rFonts w:hint="eastAsia" w:ascii="宋体" w:hAnsi="宋体" w:cs="宋体"/>
                <w:color w:val="auto"/>
                <w:szCs w:val="21"/>
              </w:rPr>
              <w:t>；</w:t>
            </w:r>
          </w:p>
          <w:p w14:paraId="043966D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lang w:val="en-US" w:eastAsia="zh-CN"/>
              </w:rPr>
              <w:t>2、</w:t>
            </w:r>
            <w:r>
              <w:rPr>
                <w:rFonts w:hint="eastAsia" w:ascii="宋体" w:hAnsi="宋体" w:cs="宋体"/>
                <w:color w:val="auto"/>
                <w:szCs w:val="21"/>
              </w:rPr>
              <w:t>所有设备到达采购人指定地点，安装调试完成并验收合格后且收到正式发票</w:t>
            </w:r>
            <w:r>
              <w:rPr>
                <w:rFonts w:hint="eastAsia" w:ascii="宋体" w:hAnsi="宋体" w:cs="宋体"/>
                <w:color w:val="auto"/>
                <w:szCs w:val="21"/>
                <w:lang w:val="en-US" w:eastAsia="zh-CN"/>
              </w:rPr>
              <w:t>15</w:t>
            </w:r>
            <w:r>
              <w:rPr>
                <w:rFonts w:hint="eastAsia" w:ascii="宋体" w:hAnsi="宋体" w:cs="宋体"/>
                <w:color w:val="auto"/>
                <w:szCs w:val="21"/>
              </w:rPr>
              <w:t>个工作日内支付合同金额的</w:t>
            </w:r>
            <w:r>
              <w:rPr>
                <w:rFonts w:hint="eastAsia" w:ascii="宋体" w:hAnsi="宋体" w:cs="宋体"/>
                <w:color w:val="auto"/>
                <w:szCs w:val="21"/>
                <w:lang w:val="en-US" w:eastAsia="zh-CN"/>
              </w:rPr>
              <w:t>100</w:t>
            </w:r>
            <w:r>
              <w:rPr>
                <w:rFonts w:hint="eastAsia" w:ascii="宋体" w:hAnsi="宋体" w:cs="宋体"/>
                <w:color w:val="auto"/>
                <w:szCs w:val="21"/>
              </w:rPr>
              <w:t>%</w:t>
            </w:r>
            <w:r>
              <w:rPr>
                <w:rFonts w:hint="eastAsia" w:ascii="宋体" w:hAnsi="宋体" w:cs="宋体"/>
                <w:color w:val="auto"/>
                <w:szCs w:val="21"/>
                <w:lang w:eastAsia="zh-CN"/>
              </w:rPr>
              <w:t>。</w:t>
            </w:r>
          </w:p>
        </w:tc>
      </w:tr>
    </w:tbl>
    <w:p w14:paraId="532F2A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kern w:val="0"/>
          <w:sz w:val="21"/>
          <w:szCs w:val="21"/>
          <w:highlight w:val="none"/>
          <w:lang w:val="en-US" w:eastAsia="zh-CN" w:bidi="ar-SA"/>
        </w:rPr>
      </w:pPr>
    </w:p>
    <w:p w14:paraId="35B9A8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kern w:val="0"/>
          <w:sz w:val="21"/>
          <w:szCs w:val="21"/>
          <w:highlight w:val="none"/>
          <w:lang w:val="en-US" w:eastAsia="zh-CN" w:bidi="ar-SA"/>
        </w:rPr>
      </w:pPr>
    </w:p>
    <w:p w14:paraId="5E4E84B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kern w:val="0"/>
          <w:sz w:val="21"/>
          <w:szCs w:val="21"/>
          <w:highlight w:val="none"/>
          <w:lang w:val="en-US" w:eastAsia="zh-CN" w:bidi="ar-SA"/>
        </w:rPr>
      </w:pPr>
    </w:p>
    <w:p w14:paraId="39B4E6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kern w:val="0"/>
          <w:sz w:val="21"/>
          <w:szCs w:val="21"/>
          <w:highlight w:val="none"/>
          <w:lang w:val="en-US" w:eastAsia="zh-CN" w:bidi="ar-SA"/>
        </w:rPr>
      </w:pPr>
    </w:p>
    <w:p w14:paraId="0473D62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kern w:val="0"/>
          <w:sz w:val="21"/>
          <w:szCs w:val="21"/>
          <w:highlight w:val="none"/>
          <w:lang w:val="en-US" w:eastAsia="zh-CN" w:bidi="ar-SA"/>
        </w:rPr>
      </w:pPr>
    </w:p>
    <w:p w14:paraId="5C988C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kern w:val="0"/>
          <w:sz w:val="21"/>
          <w:szCs w:val="21"/>
          <w:highlight w:val="none"/>
          <w:lang w:val="en-US" w:eastAsia="zh-CN" w:bidi="ar-SA"/>
        </w:rPr>
        <w:sectPr>
          <w:pgSz w:w="11906" w:h="16838"/>
          <w:pgMar w:top="1361" w:right="1304" w:bottom="1191" w:left="1304" w:header="765" w:footer="992" w:gutter="0"/>
          <w:pgNumType w:fmt="decimal"/>
          <w:cols w:space="720" w:num="1"/>
          <w:rtlGutter w:val="0"/>
          <w:docGrid w:type="lines" w:linePitch="320" w:charSpace="0"/>
        </w:sectPr>
      </w:pPr>
    </w:p>
    <w:p w14:paraId="61C3003D">
      <w:pPr>
        <w:keepNext/>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outlineLvl w:val="9"/>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二、合同主要条款</w:t>
      </w:r>
    </w:p>
    <w:p w14:paraId="4AEF5180">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p>
    <w:p w14:paraId="40C0039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eastAsia="宋体"/>
          <w:b/>
          <w:bCs/>
          <w:sz w:val="28"/>
          <w:szCs w:val="28"/>
          <w:lang w:eastAsia="zh-CN"/>
        </w:rPr>
      </w:pPr>
      <w:r>
        <w:rPr>
          <w:rFonts w:hint="eastAsia" w:eastAsia="宋体"/>
          <w:b/>
          <w:bCs/>
          <w:sz w:val="28"/>
          <w:szCs w:val="28"/>
          <w:lang w:eastAsia="zh-CN"/>
        </w:rPr>
        <w:t>千人报告厅维修改造工程—舞台音响设备及座椅采购项目</w:t>
      </w:r>
    </w:p>
    <w:p w14:paraId="0CBC6ACA">
      <w:pPr>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lang w:eastAsia="zh-CN"/>
        </w:rPr>
        <w:t xml:space="preserve">（采购单位） </w:t>
      </w:r>
    </w:p>
    <w:p w14:paraId="5EFAAE27">
      <w:pPr>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lang w:eastAsia="zh-CN"/>
        </w:rPr>
        <w:t>（中标方）</w:t>
      </w:r>
    </w:p>
    <w:p w14:paraId="5BFAD3A4">
      <w:pPr>
        <w:keepNext w:val="0"/>
        <w:keepLines w:val="0"/>
        <w:pageBreakBefore w:val="0"/>
        <w:widowControl w:val="0"/>
        <w:kinsoku/>
        <w:wordWrap/>
        <w:overflowPunct/>
        <w:topLinePunct w:val="0"/>
        <w:autoSpaceDE/>
        <w:autoSpaceDN/>
        <w:bidi w:val="0"/>
        <w:adjustRightInd/>
        <w:spacing w:line="400" w:lineRule="exact"/>
        <w:ind w:left="0" w:firstLine="420" w:firstLineChars="200"/>
        <w:jc w:val="both"/>
        <w:textAlignment w:val="auto"/>
        <w:rPr>
          <w:rFonts w:hint="eastAsia" w:ascii="宋体" w:hAnsi="宋体" w:cs="宋体"/>
          <w:sz w:val="21"/>
          <w:szCs w:val="21"/>
        </w:rPr>
      </w:pPr>
      <w:r>
        <w:rPr>
          <w:rFonts w:hint="eastAsia" w:ascii="宋体" w:hAnsi="宋体" w:cs="宋体"/>
          <w:sz w:val="21"/>
          <w:szCs w:val="21"/>
          <w:lang w:eastAsia="zh-CN"/>
        </w:rPr>
        <w:t>千人报告厅维修改造工程—舞台音响设备及座椅采购项目</w:t>
      </w:r>
      <w:r>
        <w:rPr>
          <w:rFonts w:hint="eastAsia" w:ascii="宋体" w:hAnsi="宋体" w:cs="宋体"/>
          <w:sz w:val="21"/>
          <w:szCs w:val="21"/>
        </w:rPr>
        <w:t>委托</w:t>
      </w:r>
      <w:r>
        <w:rPr>
          <w:rFonts w:hint="eastAsia" w:ascii="宋体" w:hAnsi="宋体" w:cs="宋体"/>
          <w:sz w:val="21"/>
          <w:szCs w:val="21"/>
          <w:lang w:eastAsia="zh-CN"/>
        </w:rPr>
        <w:t>浙江鼎峰工程咨询有限公司</w:t>
      </w:r>
      <w:r>
        <w:rPr>
          <w:rFonts w:hint="eastAsia" w:ascii="宋体" w:hAnsi="宋体" w:cs="宋体"/>
          <w:sz w:val="21"/>
          <w:szCs w:val="21"/>
        </w:rPr>
        <w:t>进行了政府采购。按照评委会评审推荐、甲方确定乙方为中标单位。现甲乙双方协商同意签订本合同。</w:t>
      </w:r>
    </w:p>
    <w:p w14:paraId="0CF169EE">
      <w:pPr>
        <w:keepNext w:val="0"/>
        <w:keepLines w:val="0"/>
        <w:pageBreakBefore w:val="0"/>
        <w:widowControl w:val="0"/>
        <w:kinsoku/>
        <w:wordWrap/>
        <w:overflowPunct/>
        <w:topLinePunct w:val="0"/>
        <w:autoSpaceDE/>
        <w:autoSpaceDN/>
        <w:bidi w:val="0"/>
        <w:adjustRightInd/>
        <w:spacing w:line="400" w:lineRule="exact"/>
        <w:ind w:left="0" w:firstLine="422" w:firstLineChars="200"/>
        <w:jc w:val="both"/>
        <w:textAlignment w:val="auto"/>
        <w:rPr>
          <w:rFonts w:hint="eastAsia" w:ascii="宋体" w:hAnsi="宋体" w:cs="宋体"/>
          <w:b/>
          <w:sz w:val="21"/>
          <w:szCs w:val="21"/>
        </w:rPr>
      </w:pPr>
      <w:r>
        <w:rPr>
          <w:rFonts w:hint="eastAsia" w:ascii="宋体" w:hAnsi="宋体" w:cs="宋体"/>
          <w:b/>
          <w:sz w:val="21"/>
          <w:szCs w:val="21"/>
        </w:rPr>
        <w:t>第一条  合同文件</w:t>
      </w:r>
    </w:p>
    <w:p w14:paraId="478EFCA9">
      <w:pPr>
        <w:keepNext w:val="0"/>
        <w:keepLines w:val="0"/>
        <w:pageBreakBefore w:val="0"/>
        <w:widowControl w:val="0"/>
        <w:kinsoku/>
        <w:wordWrap/>
        <w:overflowPunct/>
        <w:topLinePunct w:val="0"/>
        <w:autoSpaceDE/>
        <w:autoSpaceDN/>
        <w:bidi w:val="0"/>
        <w:adjustRightInd/>
        <w:spacing w:line="400" w:lineRule="exact"/>
        <w:ind w:left="0" w:firstLine="420" w:firstLineChars="200"/>
        <w:jc w:val="both"/>
        <w:textAlignment w:val="auto"/>
        <w:rPr>
          <w:rFonts w:hint="eastAsia" w:ascii="宋体" w:hAnsi="宋体" w:cs="宋体"/>
          <w:sz w:val="21"/>
          <w:szCs w:val="21"/>
        </w:rPr>
      </w:pPr>
      <w:r>
        <w:rPr>
          <w:rFonts w:hint="eastAsia" w:ascii="宋体" w:hAnsi="宋体" w:cs="宋体"/>
          <w:sz w:val="21"/>
          <w:szCs w:val="21"/>
        </w:rPr>
        <w:t>下列与本次采购活动有关的文件及附件是本合同不可分割的组成部分，与本合同具有同等法律效力，这些文件包括但不限于：</w:t>
      </w:r>
    </w:p>
    <w:p w14:paraId="38A8590E">
      <w:pPr>
        <w:keepNext w:val="0"/>
        <w:keepLines w:val="0"/>
        <w:pageBreakBefore w:val="0"/>
        <w:widowControl w:val="0"/>
        <w:kinsoku/>
        <w:wordWrap/>
        <w:overflowPunct/>
        <w:topLinePunct w:val="0"/>
        <w:autoSpaceDE/>
        <w:autoSpaceDN/>
        <w:bidi w:val="0"/>
        <w:adjustRightInd/>
        <w:spacing w:line="400" w:lineRule="exact"/>
        <w:ind w:left="0" w:firstLine="420" w:firstLineChars="200"/>
        <w:jc w:val="both"/>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公开</w:t>
      </w:r>
      <w:r>
        <w:rPr>
          <w:rFonts w:hint="eastAsia" w:ascii="宋体" w:hAnsi="宋体" w:cs="宋体"/>
          <w:sz w:val="21"/>
          <w:szCs w:val="21"/>
        </w:rPr>
        <w:t>招标采购文件</w:t>
      </w:r>
    </w:p>
    <w:p w14:paraId="4E070292">
      <w:pPr>
        <w:keepNext w:val="0"/>
        <w:keepLines w:val="0"/>
        <w:pageBreakBefore w:val="0"/>
        <w:widowControl w:val="0"/>
        <w:kinsoku/>
        <w:wordWrap/>
        <w:overflowPunct/>
        <w:topLinePunct w:val="0"/>
        <w:autoSpaceDE/>
        <w:autoSpaceDN/>
        <w:bidi w:val="0"/>
        <w:adjustRightInd/>
        <w:spacing w:line="400" w:lineRule="exact"/>
        <w:ind w:left="0" w:firstLine="420" w:firstLineChars="200"/>
        <w:jc w:val="both"/>
        <w:textAlignment w:val="auto"/>
        <w:rPr>
          <w:rFonts w:hint="eastAsia" w:ascii="宋体" w:hAnsi="宋体" w:cs="宋体"/>
          <w:sz w:val="21"/>
          <w:szCs w:val="21"/>
        </w:rPr>
      </w:pPr>
      <w:r>
        <w:rPr>
          <w:rFonts w:hint="eastAsia" w:ascii="宋体" w:hAnsi="宋体" w:cs="宋体"/>
          <w:sz w:val="21"/>
          <w:szCs w:val="21"/>
        </w:rPr>
        <w:t>2.投标文件</w:t>
      </w:r>
    </w:p>
    <w:p w14:paraId="04C4D85D">
      <w:pPr>
        <w:keepNext w:val="0"/>
        <w:keepLines w:val="0"/>
        <w:pageBreakBefore w:val="0"/>
        <w:widowControl w:val="0"/>
        <w:kinsoku/>
        <w:wordWrap/>
        <w:overflowPunct/>
        <w:topLinePunct w:val="0"/>
        <w:autoSpaceDE/>
        <w:autoSpaceDN/>
        <w:bidi w:val="0"/>
        <w:adjustRightInd/>
        <w:spacing w:line="400" w:lineRule="exact"/>
        <w:ind w:left="0" w:firstLine="420" w:firstLineChars="200"/>
        <w:jc w:val="both"/>
        <w:textAlignment w:val="auto"/>
        <w:rPr>
          <w:rFonts w:hint="eastAsia" w:ascii="宋体" w:hAnsi="宋体" w:cs="宋体"/>
          <w:sz w:val="21"/>
          <w:szCs w:val="21"/>
        </w:rPr>
      </w:pPr>
      <w:r>
        <w:rPr>
          <w:rFonts w:hint="eastAsia" w:ascii="宋体" w:hAnsi="宋体" w:cs="宋体"/>
          <w:sz w:val="21"/>
          <w:szCs w:val="21"/>
        </w:rPr>
        <w:t>3.乙方在投标时的书面承诺</w:t>
      </w:r>
    </w:p>
    <w:p w14:paraId="30728587">
      <w:pPr>
        <w:keepNext w:val="0"/>
        <w:keepLines w:val="0"/>
        <w:pageBreakBefore w:val="0"/>
        <w:widowControl w:val="0"/>
        <w:kinsoku/>
        <w:wordWrap/>
        <w:overflowPunct/>
        <w:topLinePunct w:val="0"/>
        <w:autoSpaceDE/>
        <w:autoSpaceDN/>
        <w:bidi w:val="0"/>
        <w:adjustRightInd/>
        <w:spacing w:line="400" w:lineRule="exact"/>
        <w:ind w:left="0" w:firstLine="420" w:firstLineChars="200"/>
        <w:jc w:val="both"/>
        <w:textAlignment w:val="auto"/>
        <w:rPr>
          <w:rFonts w:hint="eastAsia" w:ascii="宋体" w:hAnsi="宋体" w:cs="宋体"/>
          <w:sz w:val="21"/>
          <w:szCs w:val="21"/>
        </w:rPr>
      </w:pPr>
      <w:r>
        <w:rPr>
          <w:rFonts w:hint="eastAsia" w:ascii="宋体" w:hAnsi="宋体" w:cs="宋体"/>
          <w:sz w:val="21"/>
          <w:szCs w:val="21"/>
        </w:rPr>
        <w:t>4.中标通知书</w:t>
      </w:r>
    </w:p>
    <w:p w14:paraId="2FF4AA1F">
      <w:pPr>
        <w:keepNext w:val="0"/>
        <w:keepLines w:val="0"/>
        <w:pageBreakBefore w:val="0"/>
        <w:widowControl w:val="0"/>
        <w:kinsoku/>
        <w:wordWrap/>
        <w:overflowPunct/>
        <w:topLinePunct w:val="0"/>
        <w:autoSpaceDE/>
        <w:autoSpaceDN/>
        <w:bidi w:val="0"/>
        <w:adjustRightInd/>
        <w:spacing w:line="400" w:lineRule="exact"/>
        <w:ind w:left="0" w:firstLine="420" w:firstLineChars="200"/>
        <w:jc w:val="both"/>
        <w:textAlignment w:val="auto"/>
        <w:rPr>
          <w:rFonts w:hint="eastAsia" w:ascii="宋体" w:hAnsi="宋体" w:cs="宋体"/>
          <w:sz w:val="21"/>
          <w:szCs w:val="21"/>
        </w:rPr>
      </w:pPr>
      <w:r>
        <w:rPr>
          <w:rFonts w:hint="eastAsia" w:ascii="宋体" w:hAnsi="宋体" w:cs="宋体"/>
          <w:sz w:val="21"/>
          <w:szCs w:val="21"/>
        </w:rPr>
        <w:t>5.合同补充条款或说明</w:t>
      </w:r>
    </w:p>
    <w:p w14:paraId="6621CEF6">
      <w:pPr>
        <w:keepNext w:val="0"/>
        <w:keepLines w:val="0"/>
        <w:pageBreakBefore w:val="0"/>
        <w:widowControl w:val="0"/>
        <w:kinsoku/>
        <w:wordWrap/>
        <w:overflowPunct/>
        <w:topLinePunct w:val="0"/>
        <w:autoSpaceDE/>
        <w:autoSpaceDN/>
        <w:bidi w:val="0"/>
        <w:adjustRightInd/>
        <w:spacing w:line="400" w:lineRule="exact"/>
        <w:ind w:left="0" w:firstLine="420" w:firstLineChars="200"/>
        <w:jc w:val="both"/>
        <w:textAlignment w:val="auto"/>
        <w:rPr>
          <w:rFonts w:hint="eastAsia" w:ascii="宋体" w:hAnsi="宋体" w:cs="宋体"/>
          <w:sz w:val="21"/>
          <w:szCs w:val="21"/>
        </w:rPr>
      </w:pPr>
      <w:r>
        <w:rPr>
          <w:rFonts w:ascii="宋体" w:hAnsi="宋体" w:cs="宋体"/>
          <w:sz w:val="21"/>
          <w:szCs w:val="21"/>
        </w:rPr>
        <w:t>6</w:t>
      </w:r>
      <w:r>
        <w:rPr>
          <w:rFonts w:hint="eastAsia" w:ascii="宋体" w:hAnsi="宋体" w:cs="宋体"/>
          <w:sz w:val="21"/>
          <w:szCs w:val="21"/>
        </w:rPr>
        <w:t>.相关附件</w:t>
      </w:r>
    </w:p>
    <w:p w14:paraId="62DA05ED">
      <w:pPr>
        <w:keepNext w:val="0"/>
        <w:keepLines w:val="0"/>
        <w:pageBreakBefore w:val="0"/>
        <w:widowControl w:val="0"/>
        <w:kinsoku/>
        <w:wordWrap/>
        <w:overflowPunct/>
        <w:topLinePunct w:val="0"/>
        <w:autoSpaceDE/>
        <w:autoSpaceDN/>
        <w:bidi w:val="0"/>
        <w:adjustRightInd/>
        <w:spacing w:line="400" w:lineRule="exact"/>
        <w:ind w:left="0" w:firstLine="422" w:firstLineChars="200"/>
        <w:jc w:val="both"/>
        <w:textAlignment w:val="auto"/>
        <w:rPr>
          <w:rFonts w:hint="eastAsia" w:ascii="宋体" w:hAnsi="宋体" w:cs="宋体"/>
          <w:b/>
          <w:sz w:val="21"/>
          <w:szCs w:val="21"/>
        </w:rPr>
      </w:pPr>
      <w:r>
        <w:rPr>
          <w:rFonts w:hint="eastAsia" w:ascii="宋体" w:hAnsi="宋体" w:cs="宋体"/>
          <w:b/>
          <w:sz w:val="21"/>
          <w:szCs w:val="21"/>
        </w:rPr>
        <w:t>第二条  合同标的</w:t>
      </w:r>
    </w:p>
    <w:p w14:paraId="18DEB24D">
      <w:pPr>
        <w:keepNext w:val="0"/>
        <w:keepLines w:val="0"/>
        <w:pageBreakBefore w:val="0"/>
        <w:widowControl w:val="0"/>
        <w:kinsoku/>
        <w:wordWrap/>
        <w:overflowPunct/>
        <w:topLinePunct w:val="0"/>
        <w:autoSpaceDE/>
        <w:autoSpaceDN/>
        <w:bidi w:val="0"/>
        <w:adjustRightInd/>
        <w:spacing w:line="400" w:lineRule="exact"/>
        <w:ind w:left="0" w:firstLine="420" w:firstLineChars="200"/>
        <w:jc w:val="both"/>
        <w:textAlignment w:val="auto"/>
        <w:rPr>
          <w:rFonts w:hint="eastAsia" w:ascii="宋体" w:hAnsi="宋体"/>
          <w:sz w:val="21"/>
          <w:szCs w:val="21"/>
        </w:rPr>
      </w:pPr>
      <w:r>
        <w:rPr>
          <w:rFonts w:hint="eastAsia" w:ascii="宋体" w:hAnsi="宋体"/>
          <w:sz w:val="21"/>
          <w:szCs w:val="21"/>
        </w:rPr>
        <w:t>双方经协商，就成交供应商向采购人提供本公司产品以及相关产品的伴随服务事宜达成以下条款：</w:t>
      </w:r>
    </w:p>
    <w:p w14:paraId="64BB0E0A">
      <w:pPr>
        <w:pStyle w:val="17"/>
        <w:keepNext w:val="0"/>
        <w:keepLines w:val="0"/>
        <w:pageBreakBefore w:val="0"/>
        <w:widowControl w:val="0"/>
        <w:kinsoku/>
        <w:wordWrap/>
        <w:overflowPunct/>
        <w:topLinePunct w:val="0"/>
        <w:autoSpaceDE/>
        <w:autoSpaceDN/>
        <w:bidi w:val="0"/>
        <w:adjustRightInd/>
        <w:snapToGrid w:val="0"/>
        <w:spacing w:line="400" w:lineRule="exact"/>
        <w:ind w:left="0" w:firstLine="422" w:firstLineChars="200"/>
        <w:jc w:val="both"/>
        <w:textAlignment w:val="auto"/>
        <w:rPr>
          <w:rFonts w:hint="eastAsia" w:hAnsi="宋体"/>
          <w:b/>
          <w:bCs/>
          <w:sz w:val="21"/>
          <w:szCs w:val="21"/>
        </w:rPr>
      </w:pPr>
      <w:r>
        <w:rPr>
          <w:rFonts w:hint="eastAsia" w:hAnsi="宋体"/>
          <w:b/>
          <w:bCs/>
          <w:sz w:val="21"/>
          <w:szCs w:val="21"/>
          <w:lang w:val="en-US" w:eastAsia="zh-CN"/>
        </w:rPr>
        <w:t>1.</w:t>
      </w:r>
      <w:r>
        <w:rPr>
          <w:rFonts w:hint="eastAsia" w:hAnsi="宋体"/>
          <w:b/>
          <w:bCs/>
          <w:sz w:val="21"/>
          <w:szCs w:val="21"/>
        </w:rPr>
        <w:t>采购商品清单</w:t>
      </w:r>
    </w:p>
    <w:p w14:paraId="37865367">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jc w:val="both"/>
        <w:textAlignment w:val="auto"/>
        <w:rPr>
          <w:rFonts w:hint="eastAsia" w:ascii="宋体"/>
          <w:sz w:val="21"/>
          <w:szCs w:val="21"/>
          <w:highlight w:val="none"/>
        </w:rPr>
      </w:pPr>
      <w:r>
        <w:rPr>
          <w:rFonts w:hint="eastAsia" w:ascii="宋体"/>
          <w:sz w:val="21"/>
          <w:szCs w:val="21"/>
          <w:highlight w:val="none"/>
        </w:rPr>
        <w:t>成交供应商保证提供如下内容的合格产品：</w:t>
      </w:r>
    </w:p>
    <w:p w14:paraId="580F9CE0">
      <w:pPr>
        <w:keepNext w:val="0"/>
        <w:keepLines w:val="0"/>
        <w:pageBreakBefore w:val="0"/>
        <w:widowControl w:val="0"/>
        <w:kinsoku/>
        <w:wordWrap/>
        <w:overflowPunct/>
        <w:topLinePunct w:val="0"/>
        <w:autoSpaceDE/>
        <w:autoSpaceDN/>
        <w:bidi w:val="0"/>
        <w:adjustRightInd/>
        <w:snapToGrid w:val="0"/>
        <w:spacing w:line="400" w:lineRule="exact"/>
        <w:ind w:left="0" w:right="840" w:rightChars="400" w:firstLine="0" w:firstLineChars="0"/>
        <w:jc w:val="right"/>
        <w:textAlignment w:val="auto"/>
        <w:rPr>
          <w:rFonts w:hint="eastAsia" w:ascii="宋体"/>
          <w:sz w:val="21"/>
          <w:szCs w:val="21"/>
          <w:highlight w:val="none"/>
        </w:rPr>
      </w:pPr>
      <w:r>
        <w:rPr>
          <w:rFonts w:hint="eastAsia" w:ascii="宋体"/>
          <w:sz w:val="21"/>
          <w:szCs w:val="21"/>
          <w:highlight w:val="none"/>
        </w:rPr>
        <w:t>金额单位：</w:t>
      </w:r>
      <w:r>
        <w:rPr>
          <w:rFonts w:hint="eastAsia" w:ascii="宋体"/>
          <w:sz w:val="21"/>
          <w:szCs w:val="21"/>
          <w:highlight w:val="none"/>
          <w:lang w:val="en-US" w:eastAsia="zh-CN"/>
        </w:rPr>
        <w:t xml:space="preserve">   </w:t>
      </w:r>
      <w:r>
        <w:rPr>
          <w:rFonts w:hint="eastAsia" w:ascii="宋体"/>
          <w:sz w:val="21"/>
          <w:szCs w:val="21"/>
          <w:highlight w:val="none"/>
        </w:rPr>
        <w:t>元</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565"/>
        <w:gridCol w:w="2713"/>
        <w:gridCol w:w="816"/>
        <w:gridCol w:w="1259"/>
        <w:gridCol w:w="1079"/>
        <w:gridCol w:w="1094"/>
      </w:tblGrid>
      <w:tr w14:paraId="0208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3" w:type="dxa"/>
            <w:noWrap w:val="0"/>
            <w:vAlign w:val="center"/>
          </w:tcPr>
          <w:p w14:paraId="6A7992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szCs w:val="21"/>
                <w:lang w:val="en-US" w:eastAsia="zh-CN"/>
              </w:rPr>
            </w:pPr>
            <w:r>
              <w:rPr>
                <w:rFonts w:hint="eastAsia" w:ascii="宋体"/>
                <w:szCs w:val="21"/>
                <w:lang w:val="en-US" w:eastAsia="zh-CN"/>
              </w:rPr>
              <w:t>序号</w:t>
            </w:r>
          </w:p>
        </w:tc>
        <w:tc>
          <w:tcPr>
            <w:tcW w:w="1565" w:type="dxa"/>
            <w:noWrap w:val="0"/>
            <w:vAlign w:val="center"/>
          </w:tcPr>
          <w:p w14:paraId="09B74B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r>
              <w:rPr>
                <w:rFonts w:hint="eastAsia" w:ascii="宋体"/>
                <w:szCs w:val="21"/>
              </w:rPr>
              <w:t>采购产品名称</w:t>
            </w:r>
          </w:p>
        </w:tc>
        <w:tc>
          <w:tcPr>
            <w:tcW w:w="2713" w:type="dxa"/>
            <w:noWrap w:val="0"/>
            <w:vAlign w:val="center"/>
          </w:tcPr>
          <w:p w14:paraId="4A1E51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r>
              <w:rPr>
                <w:rFonts w:hint="eastAsia" w:ascii="宋体"/>
                <w:szCs w:val="21"/>
                <w:lang w:val="en-US" w:eastAsia="zh-CN"/>
              </w:rPr>
              <w:t>尺寸、</w:t>
            </w:r>
            <w:r>
              <w:rPr>
                <w:rFonts w:hint="eastAsia" w:ascii="宋体"/>
                <w:szCs w:val="21"/>
              </w:rPr>
              <w:t>型号规格和主要配置</w:t>
            </w:r>
          </w:p>
        </w:tc>
        <w:tc>
          <w:tcPr>
            <w:tcW w:w="816" w:type="dxa"/>
            <w:noWrap w:val="0"/>
            <w:vAlign w:val="center"/>
          </w:tcPr>
          <w:p w14:paraId="1A18DB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r>
              <w:rPr>
                <w:rFonts w:hint="eastAsia" w:ascii="宋体"/>
                <w:szCs w:val="21"/>
              </w:rPr>
              <w:t>数量</w:t>
            </w:r>
          </w:p>
        </w:tc>
        <w:tc>
          <w:tcPr>
            <w:tcW w:w="1259" w:type="dxa"/>
            <w:noWrap w:val="0"/>
            <w:vAlign w:val="center"/>
          </w:tcPr>
          <w:p w14:paraId="77754F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r>
              <w:rPr>
                <w:rFonts w:hint="eastAsia" w:ascii="宋体"/>
                <w:szCs w:val="21"/>
                <w:lang w:val="en-US" w:eastAsia="zh-CN"/>
              </w:rPr>
              <w:t>单</w:t>
            </w:r>
            <w:r>
              <w:rPr>
                <w:rFonts w:hint="eastAsia" w:ascii="宋体"/>
                <w:szCs w:val="21"/>
              </w:rPr>
              <w:t>价</w:t>
            </w:r>
          </w:p>
        </w:tc>
        <w:tc>
          <w:tcPr>
            <w:tcW w:w="1079" w:type="dxa"/>
            <w:noWrap w:val="0"/>
            <w:vAlign w:val="center"/>
          </w:tcPr>
          <w:p w14:paraId="0E2FFF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eastAsia="宋体"/>
                <w:szCs w:val="21"/>
                <w:lang w:val="en-US" w:eastAsia="zh-CN"/>
              </w:rPr>
            </w:pPr>
            <w:r>
              <w:rPr>
                <w:rFonts w:hint="eastAsia" w:ascii="宋体"/>
                <w:szCs w:val="21"/>
                <w:lang w:val="en-US" w:eastAsia="zh-CN"/>
              </w:rPr>
              <w:t>合计</w:t>
            </w:r>
          </w:p>
        </w:tc>
        <w:tc>
          <w:tcPr>
            <w:tcW w:w="1094" w:type="dxa"/>
            <w:noWrap w:val="0"/>
            <w:vAlign w:val="center"/>
          </w:tcPr>
          <w:p w14:paraId="6524D2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r>
              <w:rPr>
                <w:rFonts w:hint="eastAsia" w:ascii="宋体"/>
                <w:szCs w:val="21"/>
              </w:rPr>
              <w:t>备注</w:t>
            </w:r>
          </w:p>
        </w:tc>
      </w:tr>
      <w:tr w14:paraId="7330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43" w:type="dxa"/>
            <w:noWrap w:val="0"/>
            <w:vAlign w:val="center"/>
          </w:tcPr>
          <w:p w14:paraId="1618F8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1565" w:type="dxa"/>
            <w:noWrap w:val="0"/>
            <w:vAlign w:val="center"/>
          </w:tcPr>
          <w:p w14:paraId="510C42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2713" w:type="dxa"/>
            <w:noWrap w:val="0"/>
            <w:vAlign w:val="center"/>
          </w:tcPr>
          <w:p w14:paraId="71A200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816" w:type="dxa"/>
            <w:noWrap w:val="0"/>
            <w:vAlign w:val="center"/>
          </w:tcPr>
          <w:p w14:paraId="3D6F38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1259" w:type="dxa"/>
            <w:noWrap w:val="0"/>
            <w:vAlign w:val="center"/>
          </w:tcPr>
          <w:p w14:paraId="30E2BF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1079" w:type="dxa"/>
            <w:noWrap w:val="0"/>
            <w:vAlign w:val="center"/>
          </w:tcPr>
          <w:p w14:paraId="372AB4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1094" w:type="dxa"/>
            <w:noWrap w:val="0"/>
            <w:vAlign w:val="center"/>
          </w:tcPr>
          <w:p w14:paraId="04AF74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r>
      <w:tr w14:paraId="1895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43" w:type="dxa"/>
            <w:noWrap w:val="0"/>
            <w:vAlign w:val="center"/>
          </w:tcPr>
          <w:p w14:paraId="087615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1565" w:type="dxa"/>
            <w:noWrap w:val="0"/>
            <w:vAlign w:val="center"/>
          </w:tcPr>
          <w:p w14:paraId="5D84F2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eastAsia="宋体"/>
                <w:szCs w:val="21"/>
                <w:lang w:eastAsia="zh-CN"/>
              </w:rPr>
            </w:pPr>
            <w:r>
              <w:rPr>
                <w:rFonts w:hint="eastAsia" w:ascii="宋体"/>
                <w:szCs w:val="21"/>
                <w:lang w:eastAsia="zh-CN"/>
              </w:rPr>
              <w:t>……</w:t>
            </w:r>
          </w:p>
        </w:tc>
        <w:tc>
          <w:tcPr>
            <w:tcW w:w="2713" w:type="dxa"/>
            <w:noWrap w:val="0"/>
            <w:vAlign w:val="center"/>
          </w:tcPr>
          <w:p w14:paraId="5D4B2C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816" w:type="dxa"/>
            <w:noWrap w:val="0"/>
            <w:vAlign w:val="center"/>
          </w:tcPr>
          <w:p w14:paraId="2CE85B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1259" w:type="dxa"/>
            <w:noWrap w:val="0"/>
            <w:vAlign w:val="center"/>
          </w:tcPr>
          <w:p w14:paraId="0DB150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1079" w:type="dxa"/>
            <w:noWrap w:val="0"/>
            <w:vAlign w:val="center"/>
          </w:tcPr>
          <w:p w14:paraId="61FA3D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1094" w:type="dxa"/>
            <w:noWrap w:val="0"/>
            <w:vAlign w:val="center"/>
          </w:tcPr>
          <w:p w14:paraId="2AF3E4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r>
      <w:tr w14:paraId="11B6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43" w:type="dxa"/>
            <w:noWrap w:val="0"/>
            <w:vAlign w:val="center"/>
          </w:tcPr>
          <w:p w14:paraId="7B3043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1565" w:type="dxa"/>
            <w:noWrap w:val="0"/>
            <w:vAlign w:val="center"/>
          </w:tcPr>
          <w:p w14:paraId="784253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2713" w:type="dxa"/>
            <w:noWrap w:val="0"/>
            <w:vAlign w:val="center"/>
          </w:tcPr>
          <w:p w14:paraId="6515BD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816" w:type="dxa"/>
            <w:noWrap w:val="0"/>
            <w:vAlign w:val="center"/>
          </w:tcPr>
          <w:p w14:paraId="6EC186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1259" w:type="dxa"/>
            <w:noWrap w:val="0"/>
            <w:vAlign w:val="center"/>
          </w:tcPr>
          <w:p w14:paraId="280E71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1079" w:type="dxa"/>
            <w:noWrap w:val="0"/>
            <w:vAlign w:val="center"/>
          </w:tcPr>
          <w:p w14:paraId="64CC09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c>
          <w:tcPr>
            <w:tcW w:w="1094" w:type="dxa"/>
            <w:noWrap w:val="0"/>
            <w:vAlign w:val="center"/>
          </w:tcPr>
          <w:p w14:paraId="0A1217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szCs w:val="21"/>
              </w:rPr>
            </w:pPr>
          </w:p>
        </w:tc>
      </w:tr>
    </w:tbl>
    <w:p w14:paraId="0A9C9277">
      <w:pPr>
        <w:keepNext w:val="0"/>
        <w:keepLines w:val="0"/>
        <w:pageBreakBefore w:val="0"/>
        <w:kinsoku/>
        <w:wordWrap/>
        <w:overflowPunct/>
        <w:topLinePunct w:val="0"/>
        <w:autoSpaceDE/>
        <w:autoSpaceDN/>
        <w:bidi w:val="0"/>
        <w:adjustRightInd/>
        <w:snapToGrid/>
        <w:spacing w:line="400" w:lineRule="exact"/>
        <w:ind w:left="0"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第三条  合同总金额</w:t>
      </w:r>
    </w:p>
    <w:p w14:paraId="440752AB">
      <w:pPr>
        <w:keepNext w:val="0"/>
        <w:keepLines w:val="0"/>
        <w:pageBreakBefore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大写：</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42D7C15B">
      <w:pPr>
        <w:keepNext w:val="0"/>
        <w:keepLines w:val="0"/>
        <w:pageBreakBefore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本合同项下货物总金额：￥</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0265128C">
      <w:pPr>
        <w:keepNext w:val="0"/>
        <w:keepLines w:val="0"/>
        <w:pageBreakBefore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本合同总价款</w:t>
      </w:r>
      <w:r>
        <w:rPr>
          <w:rFonts w:hint="eastAsia" w:ascii="宋体" w:hAnsi="宋体" w:eastAsia="宋体" w:cs="宋体"/>
          <w:sz w:val="21"/>
          <w:szCs w:val="21"/>
          <w:lang w:val="zh-CN"/>
        </w:rPr>
        <w:t>包括货物、随配附件、材料、备品备件、工具、厂家赠品、运抵指定交货地点费用、保险费、安装调试费、售后服务、培训及其他所有费用的总和。</w:t>
      </w:r>
      <w:r>
        <w:rPr>
          <w:rFonts w:hint="eastAsia" w:ascii="宋体" w:hAnsi="宋体" w:eastAsia="宋体" w:cs="宋体"/>
          <w:b/>
          <w:bCs/>
          <w:sz w:val="21"/>
          <w:szCs w:val="21"/>
          <w:u w:val="single"/>
          <w:lang w:val="zh-CN"/>
        </w:rPr>
        <w:t>投标人的投标报价为整个采购项目的总报价，如有漏项，视同已包含在其总项目中。</w:t>
      </w:r>
    </w:p>
    <w:p w14:paraId="72A84DF9">
      <w:pPr>
        <w:keepNext w:val="0"/>
        <w:keepLines w:val="0"/>
        <w:pageBreakBefore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本合同执行期间中标总价保持不变。</w:t>
      </w:r>
    </w:p>
    <w:p w14:paraId="378E613E">
      <w:pPr>
        <w:keepNext w:val="0"/>
        <w:keepLines w:val="0"/>
        <w:pageBreakBefore w:val="0"/>
        <w:kinsoku/>
        <w:wordWrap/>
        <w:overflowPunct/>
        <w:topLinePunct w:val="0"/>
        <w:autoSpaceDE/>
        <w:autoSpaceDN/>
        <w:bidi w:val="0"/>
        <w:adjustRightInd/>
        <w:snapToGrid/>
        <w:spacing w:line="400" w:lineRule="exact"/>
        <w:ind w:left="0"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第四条 质量要求和售后服务</w:t>
      </w:r>
    </w:p>
    <w:p w14:paraId="2292EED8">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1、乙方提供的产品必须是符合国家有关标准，未经使用全新的产品。</w:t>
      </w:r>
    </w:p>
    <w:p w14:paraId="7F86A589">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rPr>
        <w:t>2、</w:t>
      </w:r>
      <w:r>
        <w:rPr>
          <w:rFonts w:hint="eastAsia" w:ascii="宋体" w:hAnsi="宋体" w:eastAsia="宋体" w:cs="宋体"/>
          <w:color w:val="auto"/>
          <w:kern w:val="0"/>
          <w:sz w:val="21"/>
          <w:szCs w:val="21"/>
          <w:highlight w:val="none"/>
          <w:lang w:eastAsia="zh-CN"/>
        </w:rPr>
        <w:t>产品</w:t>
      </w:r>
      <w:r>
        <w:rPr>
          <w:rFonts w:hint="eastAsia" w:ascii="宋体" w:hAnsi="宋体" w:eastAsia="宋体" w:cs="宋体"/>
          <w:color w:val="auto"/>
          <w:kern w:val="0"/>
          <w:sz w:val="21"/>
          <w:szCs w:val="21"/>
          <w:highlight w:val="none"/>
        </w:rPr>
        <w:t>质保期为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年，自项目验收合格之日起计。</w:t>
      </w:r>
    </w:p>
    <w:p w14:paraId="2DE2042E">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rPr>
        <w:t>3、</w:t>
      </w:r>
      <w:r>
        <w:rPr>
          <w:rFonts w:hint="eastAsia" w:ascii="宋体" w:hAnsi="宋体" w:eastAsia="宋体" w:cs="宋体"/>
          <w:sz w:val="21"/>
          <w:szCs w:val="21"/>
        </w:rPr>
        <w:t xml:space="preserve">甲方在使用过程中发生质量问题，要求 </w:t>
      </w:r>
      <w:r>
        <w:rPr>
          <w:rFonts w:hint="eastAsia" w:ascii="宋体" w:hAnsi="宋体" w:eastAsia="宋体" w:cs="宋体"/>
          <w:sz w:val="21"/>
          <w:szCs w:val="21"/>
          <w:u w:val="single"/>
        </w:rPr>
        <w:t xml:space="preserve">   </w:t>
      </w:r>
      <w:r>
        <w:rPr>
          <w:rFonts w:hint="eastAsia" w:ascii="宋体" w:hAnsi="宋体" w:eastAsia="宋体" w:cs="宋体"/>
          <w:sz w:val="21"/>
          <w:szCs w:val="21"/>
        </w:rPr>
        <w:t>小时响应，</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小时内到达现场处理现场故障，必须</w:t>
      </w:r>
      <w:r>
        <w:rPr>
          <w:rFonts w:hint="eastAsia" w:ascii="宋体" w:hAnsi="宋体" w:eastAsia="宋体" w:cs="宋体"/>
          <w:sz w:val="21"/>
          <w:szCs w:val="21"/>
          <w:u w:val="single"/>
        </w:rPr>
        <w:t xml:space="preserve">     </w:t>
      </w:r>
      <w:r>
        <w:rPr>
          <w:rFonts w:hint="eastAsia" w:ascii="宋体" w:hAnsi="宋体" w:eastAsia="宋体" w:cs="宋体"/>
          <w:sz w:val="21"/>
          <w:szCs w:val="21"/>
        </w:rPr>
        <w:t>小时内修复，以保证用户的正常工作。</w:t>
      </w:r>
    </w:p>
    <w:p w14:paraId="69621EEA">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4、因产品的质量问题发生争议，由相关技术单位进行质量鉴定，该鉴定结论是终局的，甲乙双方应当接受；质量合格的，鉴定费由甲方承担，质量不合格的，鉴定费由乙方承担。</w:t>
      </w:r>
    </w:p>
    <w:p w14:paraId="7EDAABE0">
      <w:pPr>
        <w:keepNext w:val="0"/>
        <w:keepLines w:val="0"/>
        <w:pageBreakBefore w:val="0"/>
        <w:kinsoku/>
        <w:wordWrap/>
        <w:overflowPunct/>
        <w:topLinePunct w:val="0"/>
        <w:autoSpaceDE/>
        <w:autoSpaceDN/>
        <w:bidi w:val="0"/>
        <w:adjustRightInd/>
        <w:snapToGrid/>
        <w:spacing w:line="400" w:lineRule="exact"/>
        <w:ind w:left="0" w:firstLine="422" w:firstLineChars="200"/>
        <w:jc w:val="both"/>
        <w:textAlignment w:val="auto"/>
        <w:rPr>
          <w:rFonts w:hint="eastAsia" w:ascii="宋体" w:hAnsi="宋体" w:eastAsia="宋体" w:cs="宋体"/>
          <w:kern w:val="0"/>
          <w:sz w:val="21"/>
          <w:szCs w:val="21"/>
        </w:rPr>
      </w:pPr>
      <w:r>
        <w:rPr>
          <w:rFonts w:hint="eastAsia" w:ascii="宋体" w:hAnsi="宋体" w:eastAsia="宋体" w:cs="宋体"/>
          <w:b/>
          <w:sz w:val="21"/>
          <w:szCs w:val="21"/>
        </w:rPr>
        <w:t>第五条 产品的包装、发运及运输</w:t>
      </w:r>
    </w:p>
    <w:p w14:paraId="420BF9C2">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l、乙方应在产品发运前对其进行满足于运输距离、防潮、防震、防锈和防破损装卸要求的包装，以保证货物安全运输到达甲方指定地点。</w:t>
      </w:r>
    </w:p>
    <w:p w14:paraId="65B815C4">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2、使用说明书、质量检验证明书、随配附件、工具及清单一并附于产品内。</w:t>
      </w:r>
    </w:p>
    <w:p w14:paraId="05EE8511">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3、乙方负责将产品安全送到甲方指定交货地点，不另收任何费用。</w:t>
      </w:r>
    </w:p>
    <w:p w14:paraId="28DBFE5F">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4、产品在交货前发生的不可预见的风险均由乙方负责。</w:t>
      </w:r>
    </w:p>
    <w:p w14:paraId="7970D98C">
      <w:pPr>
        <w:keepNext w:val="0"/>
        <w:keepLines w:val="0"/>
        <w:pageBreakBefore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5、产品在发运手续办理完毕后__小时内或货到甲方前__小时通知甲方。</w:t>
      </w:r>
    </w:p>
    <w:p w14:paraId="31FE9489">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jc w:val="both"/>
        <w:textAlignment w:val="auto"/>
        <w:rPr>
          <w:rFonts w:hint="eastAsia" w:ascii="宋体" w:hAnsi="宋体" w:cs="宋体"/>
          <w:b/>
          <w:color w:val="auto"/>
          <w:szCs w:val="21"/>
        </w:rPr>
      </w:pPr>
      <w:r>
        <w:rPr>
          <w:rFonts w:hint="eastAsia" w:ascii="宋体" w:hAnsi="宋体" w:cs="宋体"/>
          <w:b/>
          <w:color w:val="auto"/>
          <w:szCs w:val="21"/>
        </w:rPr>
        <w:t>第六条  履约保证金</w:t>
      </w:r>
    </w:p>
    <w:p w14:paraId="2F86C4A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cs="宋体"/>
          <w:color w:val="auto"/>
          <w:szCs w:val="21"/>
        </w:rPr>
      </w:pPr>
      <w:r>
        <w:rPr>
          <w:rFonts w:hint="eastAsia" w:ascii="宋体" w:hAnsi="宋体" w:cs="宋体"/>
          <w:color w:val="auto"/>
          <w:szCs w:val="21"/>
        </w:rPr>
        <w:t>1.本合同签订</w:t>
      </w:r>
      <w:r>
        <w:rPr>
          <w:rFonts w:hint="eastAsia" w:ascii="宋体" w:hAnsi="宋体" w:cs="宋体"/>
          <w:color w:val="auto"/>
          <w:szCs w:val="21"/>
          <w:lang w:val="en-US" w:eastAsia="zh-CN"/>
        </w:rPr>
        <w:t>前</w:t>
      </w:r>
      <w:r>
        <w:rPr>
          <w:rFonts w:hint="eastAsia" w:ascii="宋体" w:hAnsi="宋体" w:cs="宋体"/>
          <w:color w:val="auto"/>
          <w:szCs w:val="21"/>
        </w:rPr>
        <w:t>，乙方向甲方交纳人民币</w:t>
      </w:r>
      <w:r>
        <w:rPr>
          <w:rFonts w:hint="eastAsia" w:ascii="宋体" w:hAnsi="宋体" w:cs="宋体"/>
          <w:color w:val="auto"/>
          <w:szCs w:val="21"/>
          <w:u w:val="single"/>
        </w:rPr>
        <w:t xml:space="preserve">        </w:t>
      </w:r>
      <w:r>
        <w:rPr>
          <w:rFonts w:hint="eastAsia" w:ascii="宋体" w:hAnsi="宋体" w:cs="宋体"/>
          <w:color w:val="auto"/>
          <w:szCs w:val="21"/>
        </w:rPr>
        <w:t>元整（￥</w:t>
      </w:r>
      <w:r>
        <w:rPr>
          <w:rFonts w:hint="eastAsia" w:ascii="宋体" w:hAnsi="宋体" w:cs="宋体"/>
          <w:color w:val="auto"/>
          <w:szCs w:val="21"/>
          <w:u w:val="single"/>
        </w:rPr>
        <w:t xml:space="preserve">        </w:t>
      </w:r>
      <w:r>
        <w:rPr>
          <w:rFonts w:hint="eastAsia" w:ascii="宋体" w:hAnsi="宋体" w:cs="宋体"/>
          <w:color w:val="auto"/>
          <w:szCs w:val="21"/>
        </w:rPr>
        <w:t>）作为履约保证金。</w:t>
      </w:r>
    </w:p>
    <w:p w14:paraId="3546F100">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cs="宋体"/>
          <w:color w:val="auto"/>
          <w:szCs w:val="21"/>
        </w:rPr>
      </w:pPr>
      <w:r>
        <w:rPr>
          <w:rFonts w:hint="eastAsia" w:ascii="宋体" w:hAnsi="宋体" w:cs="宋体"/>
          <w:color w:val="auto"/>
          <w:szCs w:val="21"/>
        </w:rPr>
        <w:t>2.本合同履行完毕后一个月内，甲方全额退还履约保证金（不计利息）。</w:t>
      </w:r>
    </w:p>
    <w:p w14:paraId="3373560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cs="宋体"/>
          <w:color w:val="auto"/>
          <w:szCs w:val="21"/>
        </w:rPr>
      </w:pPr>
      <w:r>
        <w:rPr>
          <w:rFonts w:hint="eastAsia" w:ascii="宋体" w:hAnsi="宋体" w:cs="宋体"/>
          <w:color w:val="auto"/>
          <w:szCs w:val="21"/>
        </w:rPr>
        <w:t>3.乙方不能完整履行合同义务的，甲方有权根据合同约定，从履约保证金中获得所受损失的补偿。</w:t>
      </w:r>
    </w:p>
    <w:p w14:paraId="4EECF85D">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jc w:val="both"/>
        <w:textAlignment w:val="auto"/>
        <w:rPr>
          <w:rFonts w:hint="eastAsia" w:ascii="宋体" w:hAnsi="宋体" w:cs="宋体"/>
          <w:b/>
          <w:color w:val="auto"/>
          <w:szCs w:val="21"/>
        </w:rPr>
      </w:pPr>
      <w:r>
        <w:rPr>
          <w:rFonts w:hint="eastAsia" w:ascii="宋体" w:hAnsi="宋体" w:cs="宋体"/>
          <w:b/>
          <w:color w:val="auto"/>
          <w:szCs w:val="21"/>
        </w:rPr>
        <w:t>第七条 工期及交货方式</w:t>
      </w:r>
    </w:p>
    <w:p w14:paraId="75FC1D1D">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hAnsi="宋体" w:cs="宋体"/>
          <w:color w:val="auto"/>
          <w:szCs w:val="21"/>
        </w:rPr>
      </w:pPr>
      <w:r>
        <w:rPr>
          <w:rFonts w:hint="eastAsia" w:hAnsi="宋体" w:cs="宋体"/>
          <w:color w:val="auto"/>
          <w:szCs w:val="21"/>
        </w:rPr>
        <w:t>1、工期：</w:t>
      </w:r>
      <w:r>
        <w:rPr>
          <w:rFonts w:hint="eastAsia" w:hAnsi="宋体" w:cs="宋体"/>
          <w:color w:val="auto"/>
          <w:szCs w:val="21"/>
          <w:u w:val="single"/>
        </w:rPr>
        <w:t xml:space="preserve">             </w:t>
      </w:r>
      <w:r>
        <w:rPr>
          <w:rFonts w:hint="eastAsia" w:hAnsi="宋体" w:cs="宋体"/>
          <w:color w:val="auto"/>
          <w:szCs w:val="21"/>
        </w:rPr>
        <w:t>。</w:t>
      </w:r>
    </w:p>
    <w:p w14:paraId="5550941E">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hAnsi="宋体" w:cs="宋体"/>
          <w:color w:val="auto"/>
          <w:szCs w:val="21"/>
        </w:rPr>
      </w:pPr>
      <w:r>
        <w:rPr>
          <w:rFonts w:hint="eastAsia" w:hAnsi="宋体" w:cs="宋体"/>
          <w:color w:val="auto"/>
          <w:szCs w:val="21"/>
        </w:rPr>
        <w:t>2、交货方式：</w:t>
      </w:r>
    </w:p>
    <w:p w14:paraId="1DD03A31">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hAnsi="宋体" w:cs="宋体"/>
          <w:color w:val="auto"/>
          <w:szCs w:val="21"/>
        </w:rPr>
      </w:pPr>
      <w:r>
        <w:rPr>
          <w:rFonts w:hint="eastAsia" w:hAnsi="宋体" w:cs="宋体"/>
          <w:color w:val="auto"/>
          <w:szCs w:val="21"/>
        </w:rPr>
        <w:t>①乙方交货前应对产品做出全面检查，进行整理并列出清单，作为甲方收货验收和使用的技术条件依据。</w:t>
      </w:r>
    </w:p>
    <w:p w14:paraId="784DE5F5">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hAnsi="宋体" w:cs="宋体"/>
          <w:color w:val="auto"/>
          <w:szCs w:val="21"/>
        </w:rPr>
      </w:pPr>
      <w:r>
        <w:rPr>
          <w:rFonts w:hint="eastAsia" w:hAnsi="宋体" w:cs="宋体"/>
          <w:color w:val="auto"/>
          <w:szCs w:val="21"/>
        </w:rPr>
        <w:t>②乙方交货到甲方指定地点，甲方与乙方共同对交货数量、外包装情况进行确认。</w:t>
      </w:r>
    </w:p>
    <w:p w14:paraId="36A550C7">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hAnsi="宋体" w:cs="宋体"/>
          <w:color w:val="auto"/>
          <w:szCs w:val="21"/>
        </w:rPr>
      </w:pPr>
      <w:r>
        <w:rPr>
          <w:rFonts w:hint="eastAsia" w:hAnsi="宋体" w:cs="宋体"/>
          <w:color w:val="auto"/>
          <w:szCs w:val="21"/>
        </w:rPr>
        <w:t>③乙方负责安装并免费调试，经验收合格后交甲方。</w:t>
      </w:r>
    </w:p>
    <w:p w14:paraId="740EB382">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both"/>
        <w:textAlignment w:val="auto"/>
        <w:rPr>
          <w:rFonts w:hint="eastAsia" w:ascii="宋体" w:hAnsi="宋体" w:cs="宋体"/>
          <w:b/>
          <w:color w:val="auto"/>
          <w:szCs w:val="21"/>
        </w:rPr>
      </w:pPr>
      <w:r>
        <w:rPr>
          <w:rFonts w:hint="eastAsia" w:ascii="宋体" w:hAnsi="宋体" w:cs="宋体"/>
          <w:b/>
          <w:color w:val="auto"/>
          <w:szCs w:val="21"/>
        </w:rPr>
        <w:t>第八条 付款方式</w:t>
      </w:r>
    </w:p>
    <w:p w14:paraId="16CB73A0">
      <w:pPr>
        <w:keepNext w:val="0"/>
        <w:keepLines w:val="0"/>
        <w:pageBreakBefore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cs="宋体"/>
          <w:color w:val="auto"/>
          <w:szCs w:val="21"/>
        </w:rPr>
      </w:pPr>
      <w:r>
        <w:rPr>
          <w:rFonts w:hint="eastAsia" w:ascii="宋体" w:hAnsi="宋体" w:cs="宋体"/>
          <w:color w:val="auto"/>
          <w:szCs w:val="21"/>
        </w:rPr>
        <w:t>8.1合同签订后且收到正式发票15个工作日内支付合同金额的40%作为预付款；</w:t>
      </w:r>
    </w:p>
    <w:p w14:paraId="22743923">
      <w:pPr>
        <w:keepNext w:val="0"/>
        <w:keepLines w:val="0"/>
        <w:pageBreakBefore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cs="宋体"/>
          <w:color w:val="auto"/>
          <w:szCs w:val="21"/>
        </w:rPr>
      </w:pPr>
      <w:r>
        <w:rPr>
          <w:rFonts w:hint="eastAsia" w:ascii="宋体" w:hAnsi="宋体" w:cs="宋体"/>
          <w:color w:val="auto"/>
          <w:szCs w:val="21"/>
          <w:lang w:val="en-US" w:eastAsia="zh-CN"/>
        </w:rPr>
        <w:t>8.2</w:t>
      </w:r>
      <w:r>
        <w:rPr>
          <w:rFonts w:hint="eastAsia" w:ascii="宋体" w:hAnsi="宋体" w:cs="宋体"/>
          <w:color w:val="auto"/>
          <w:szCs w:val="21"/>
        </w:rPr>
        <w:t>所有设备到达采购人指定地点，安装调试完成并验收合格后且收到正式发票15个工作日内支付合同金额的100%。</w:t>
      </w:r>
    </w:p>
    <w:p w14:paraId="156C47CB">
      <w:pPr>
        <w:keepNext w:val="0"/>
        <w:keepLines w:val="0"/>
        <w:pageBreakBefore w:val="0"/>
        <w:widowControl/>
        <w:kinsoku/>
        <w:wordWrap/>
        <w:overflowPunct/>
        <w:topLinePunct w:val="0"/>
        <w:autoSpaceDE/>
        <w:autoSpaceDN/>
        <w:bidi w:val="0"/>
        <w:adjustRightInd/>
        <w:snapToGrid/>
        <w:spacing w:line="400" w:lineRule="exact"/>
        <w:ind w:left="0" w:leftChars="0" w:firstLine="422" w:firstLineChars="200"/>
        <w:jc w:val="both"/>
        <w:textAlignment w:val="auto"/>
        <w:rPr>
          <w:rFonts w:ascii="宋体" w:hAnsi="宋体" w:cs="宋体"/>
          <w:b/>
          <w:color w:val="auto"/>
          <w:szCs w:val="21"/>
        </w:rPr>
      </w:pPr>
      <w:r>
        <w:rPr>
          <w:rFonts w:hint="eastAsia" w:ascii="宋体" w:hAnsi="宋体" w:cs="宋体"/>
          <w:b/>
          <w:color w:val="auto"/>
          <w:szCs w:val="21"/>
        </w:rPr>
        <w:t>第九条 验收</w:t>
      </w:r>
      <w:r>
        <w:rPr>
          <w:rFonts w:hint="eastAsia" w:ascii="宋体" w:hAnsi="宋体" w:cs="宋体"/>
          <w:b/>
          <w:color w:val="auto"/>
          <w:szCs w:val="21"/>
          <w:lang w:val="zh-CN"/>
        </w:rPr>
        <w:t>标准、规范及方式</w:t>
      </w:r>
    </w:p>
    <w:p w14:paraId="054B2B9A">
      <w:pPr>
        <w:keepNext w:val="0"/>
        <w:keepLines w:val="0"/>
        <w:pageBreakBefore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color w:val="auto"/>
          <w:szCs w:val="21"/>
          <w:lang w:val="zh-CN"/>
        </w:rPr>
      </w:pPr>
      <w:r>
        <w:rPr>
          <w:rFonts w:hint="eastAsia" w:ascii="宋体" w:hAnsi="宋体"/>
          <w:color w:val="auto"/>
          <w:szCs w:val="21"/>
        </w:rPr>
        <w:t>1.</w:t>
      </w:r>
      <w:r>
        <w:rPr>
          <w:rFonts w:hint="eastAsia" w:ascii="宋体" w:hAnsi="宋体"/>
          <w:color w:val="auto"/>
          <w:szCs w:val="21"/>
          <w:lang w:val="zh-CN"/>
        </w:rPr>
        <w:t>验收标准、规范：按照</w:t>
      </w:r>
      <w:r>
        <w:rPr>
          <w:rFonts w:hint="eastAsia" w:ascii="宋体" w:hAnsi="宋体"/>
          <w:color w:val="auto"/>
          <w:szCs w:val="21"/>
        </w:rPr>
        <w:t>政府采购合同、招标文件要求、投标文件承诺的设备质量、服务标准进行验收。</w:t>
      </w:r>
    </w:p>
    <w:p w14:paraId="3D25FB6A">
      <w:pPr>
        <w:keepNext w:val="0"/>
        <w:keepLines w:val="0"/>
        <w:pageBreakBefore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color w:val="auto"/>
          <w:szCs w:val="21"/>
          <w:lang w:val="zh-CN"/>
        </w:rPr>
      </w:pPr>
      <w:r>
        <w:rPr>
          <w:rFonts w:hint="eastAsia" w:ascii="宋体" w:hAnsi="宋体"/>
          <w:color w:val="auto"/>
          <w:szCs w:val="21"/>
        </w:rPr>
        <w:t>2.</w:t>
      </w:r>
      <w:r>
        <w:rPr>
          <w:rFonts w:hint="eastAsia" w:ascii="宋体" w:hAnsi="宋体"/>
          <w:color w:val="auto"/>
          <w:szCs w:val="21"/>
          <w:lang w:val="zh-CN"/>
        </w:rPr>
        <w:t>验收方式：一般程序验收。</w:t>
      </w:r>
    </w:p>
    <w:p w14:paraId="34BBAFF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color w:val="auto"/>
          <w:kern w:val="0"/>
          <w:szCs w:val="21"/>
        </w:rPr>
      </w:pPr>
      <w:r>
        <w:rPr>
          <w:rFonts w:hint="eastAsia" w:ascii="宋体" w:hAnsi="宋体" w:cs="宋体"/>
          <w:b/>
          <w:color w:val="auto"/>
          <w:szCs w:val="21"/>
        </w:rPr>
        <w:t>第十条 违约责任</w:t>
      </w:r>
    </w:p>
    <w:p w14:paraId="7EAAC1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1.乙方所交付的货物不符合本合同规定的，甲方有权拒收，乙方在得到甲方通知之日起</w:t>
      </w:r>
      <w:r>
        <w:rPr>
          <w:rFonts w:hint="eastAsia" w:ascii="宋体" w:hAnsi="宋体" w:cs="宋体"/>
          <w:color w:val="auto"/>
          <w:szCs w:val="21"/>
          <w:u w:val="single"/>
        </w:rPr>
        <w:t xml:space="preserve"> 2 </w:t>
      </w:r>
      <w:r>
        <w:rPr>
          <w:rFonts w:hint="eastAsia" w:ascii="宋体" w:hAnsi="宋体" w:cs="宋体"/>
          <w:color w:val="auto"/>
          <w:szCs w:val="21"/>
        </w:rPr>
        <w:t>个工作日内采取补救措施，逾期仍未采取有效措施的，甲方有权要求乙方赔偿因此造成的损失或扣留履约保证金；同时乙方应向甲方支付合同总价</w:t>
      </w:r>
      <w:r>
        <w:rPr>
          <w:rFonts w:hint="eastAsia" w:ascii="宋体" w:hAnsi="宋体" w:cs="宋体"/>
          <w:color w:val="auto"/>
          <w:szCs w:val="21"/>
          <w:u w:val="single"/>
        </w:rPr>
        <w:t xml:space="preserve"> 1 </w:t>
      </w:r>
      <w:r>
        <w:rPr>
          <w:rFonts w:hint="eastAsia" w:ascii="宋体" w:hAnsi="宋体" w:cs="宋体"/>
          <w:color w:val="auto"/>
          <w:szCs w:val="21"/>
        </w:rPr>
        <w:t>％的违约金。</w:t>
      </w:r>
    </w:p>
    <w:p w14:paraId="646B54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2.甲方无正当理由拒收货物、拒付货款的，甲方应向乙方偿付拒付货款</w:t>
      </w:r>
      <w:r>
        <w:rPr>
          <w:rFonts w:hint="eastAsia" w:ascii="宋体" w:hAnsi="宋体" w:cs="宋体"/>
          <w:color w:val="auto"/>
          <w:szCs w:val="21"/>
          <w:u w:val="single"/>
        </w:rPr>
        <w:t xml:space="preserve"> 1 </w:t>
      </w:r>
      <w:r>
        <w:rPr>
          <w:rFonts w:hint="eastAsia" w:ascii="宋体" w:hAnsi="宋体" w:cs="宋体"/>
          <w:color w:val="auto"/>
          <w:szCs w:val="21"/>
        </w:rPr>
        <w:t>％的违约金。</w:t>
      </w:r>
    </w:p>
    <w:p w14:paraId="035A7E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3.乙方无正当理由逾期交付货物的，每逾期1天，乙方向甲方偿付逾期交货部分货款总额的</w:t>
      </w:r>
      <w:r>
        <w:rPr>
          <w:rFonts w:hint="eastAsia" w:ascii="宋体" w:hAnsi="宋体" w:cs="宋体"/>
          <w:color w:val="auto"/>
          <w:szCs w:val="21"/>
          <w:u w:val="single"/>
        </w:rPr>
        <w:t xml:space="preserve"> 1 </w:t>
      </w:r>
      <w:r>
        <w:rPr>
          <w:rFonts w:hint="eastAsia" w:ascii="宋体" w:hAnsi="宋体" w:cs="宋体"/>
          <w:color w:val="auto"/>
          <w:szCs w:val="21"/>
        </w:rPr>
        <w:t>‰的违约金。如乙方逾期交货达</w:t>
      </w:r>
      <w:r>
        <w:rPr>
          <w:rFonts w:hint="eastAsia" w:ascii="宋体" w:hAnsi="宋体" w:cs="宋体"/>
          <w:color w:val="auto"/>
          <w:szCs w:val="21"/>
          <w:u w:val="single"/>
        </w:rPr>
        <w:t xml:space="preserve"> 5 </w:t>
      </w:r>
      <w:r>
        <w:rPr>
          <w:rFonts w:hint="eastAsia" w:ascii="宋体" w:hAnsi="宋体" w:cs="宋体"/>
          <w:color w:val="auto"/>
          <w:szCs w:val="21"/>
        </w:rPr>
        <w:t>天，甲方有权解除合同，甲方解除合同的通知自到达乙方时生效。在此情况下，乙方给甲方造成的实际损失高于违约金的，对高出违约金的部分乙方应予以赔偿。</w:t>
      </w:r>
    </w:p>
    <w:p w14:paraId="5F0FB2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14:paraId="7D19B4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.所产生的违约金、经济损失等费用直接由甲方从乙方的履约保证金中进行扣除，如有不足仍由乙方负责支付。同时履约保证金不足部分乙方必须在7个工作日内完成补缴。</w:t>
      </w:r>
    </w:p>
    <w:p w14:paraId="269CE6BB">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cs="宋体"/>
          <w:b/>
          <w:color w:val="auto"/>
          <w:szCs w:val="21"/>
        </w:rPr>
      </w:pPr>
      <w:r>
        <w:rPr>
          <w:rFonts w:hint="eastAsia" w:ascii="宋体" w:hAnsi="宋体" w:cs="宋体"/>
          <w:b/>
          <w:color w:val="auto"/>
          <w:szCs w:val="21"/>
        </w:rPr>
        <w:t>第十一条  不可抗力</w:t>
      </w:r>
    </w:p>
    <w:p w14:paraId="5E969720">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hAnsi="宋体" w:cs="宋体"/>
          <w:szCs w:val="21"/>
        </w:rPr>
      </w:pPr>
      <w:r>
        <w:rPr>
          <w:rFonts w:hint="eastAsia" w:hAnsi="宋体" w:cs="宋体"/>
          <w:szCs w:val="21"/>
        </w:rPr>
        <w:t>甲、乙方中任何一方，因不可抗力不能按时或完全履行合同的，应及时通知对方，并在2个工作日内提供相应证明。未履行完合同部分是否继续履行、如何履行等问题，可由双方初步协商，并向主管部门和政府采购管理部门报告。确定为不可抗力原因造成的损失，免予承担责任。</w:t>
      </w:r>
    </w:p>
    <w:p w14:paraId="2E633DC8">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cs="宋体"/>
          <w:b/>
          <w:szCs w:val="21"/>
        </w:rPr>
      </w:pPr>
      <w:r>
        <w:rPr>
          <w:rFonts w:hint="eastAsia" w:ascii="宋体" w:hAnsi="宋体" w:cs="宋体"/>
          <w:b/>
          <w:szCs w:val="21"/>
        </w:rPr>
        <w:t>第十二条  争议的解决方式</w:t>
      </w:r>
    </w:p>
    <w:p w14:paraId="3C07B3F5">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hAnsi="宋体" w:cs="宋体"/>
          <w:szCs w:val="21"/>
        </w:rPr>
      </w:pPr>
      <w:r>
        <w:rPr>
          <w:rFonts w:hint="eastAsia" w:hAnsi="宋体" w:cs="宋体"/>
          <w:szCs w:val="21"/>
        </w:rPr>
        <w:t>1.因货物的质量问题发生争议的，应当邀请国家认可的质量检测机构对货物质量进行鉴定。货物符合标准的，鉴定费由甲方承担；货物不符合质量标准的，鉴定费由乙方承担。</w:t>
      </w:r>
    </w:p>
    <w:p w14:paraId="4A9A5F2C">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hAnsi="宋体" w:cs="宋体"/>
          <w:szCs w:val="21"/>
        </w:rPr>
      </w:pPr>
      <w:r>
        <w:rPr>
          <w:rFonts w:hint="eastAsia" w:hAnsi="宋体" w:cs="宋体"/>
          <w:szCs w:val="21"/>
        </w:rPr>
        <w:t>2.在解释或者执行本合同的过程中发生争议时，双方应通过协商方式解决。</w:t>
      </w:r>
    </w:p>
    <w:p w14:paraId="27182FA5">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hAnsi="宋体" w:cs="宋体"/>
          <w:szCs w:val="21"/>
        </w:rPr>
      </w:pPr>
      <w:r>
        <w:rPr>
          <w:rFonts w:hint="eastAsia" w:hAnsi="宋体" w:cs="宋体"/>
          <w:szCs w:val="21"/>
        </w:rPr>
        <w:t>3.经协商不能解决的争议，双方可选择以下第</w:t>
      </w:r>
      <w:r>
        <w:rPr>
          <w:rFonts w:hint="eastAsia" w:hAnsi="宋体" w:cs="宋体"/>
          <w:szCs w:val="21"/>
          <w:u w:val="single"/>
          <w:lang w:val="en-US" w:eastAsia="zh-CN"/>
        </w:rPr>
        <w:t xml:space="preserve">   </w:t>
      </w:r>
      <w:r>
        <w:rPr>
          <w:rFonts w:hint="eastAsia" w:hAnsi="宋体" w:cs="宋体"/>
          <w:szCs w:val="21"/>
        </w:rPr>
        <w:t>种方式解决：</w:t>
      </w:r>
    </w:p>
    <w:p w14:paraId="5B094C23">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hAnsi="宋体" w:cs="宋体"/>
          <w:szCs w:val="21"/>
        </w:rPr>
      </w:pPr>
      <w:r>
        <w:rPr>
          <w:rFonts w:hint="eastAsia" w:hAnsi="宋体" w:cs="宋体"/>
          <w:szCs w:val="21"/>
        </w:rPr>
        <w:t>①向开化县有管辖权的法院提起诉讼；</w:t>
      </w:r>
    </w:p>
    <w:p w14:paraId="2B52042F">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hAnsi="宋体" w:cs="宋体"/>
          <w:szCs w:val="21"/>
        </w:rPr>
      </w:pPr>
      <w:r>
        <w:rPr>
          <w:rFonts w:hint="eastAsia" w:hAnsi="宋体" w:cs="宋体"/>
          <w:szCs w:val="21"/>
        </w:rPr>
        <w:t>②向开化县仲裁委员会提出仲裁。</w:t>
      </w:r>
    </w:p>
    <w:p w14:paraId="427A8142">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4.在法院审理和仲裁期间，除有争议部分外，本合同其他部分可以履行的仍应按合同条款继续履行。</w:t>
      </w:r>
    </w:p>
    <w:p w14:paraId="34479B16">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第十三条 合同生效及其它</w:t>
      </w:r>
    </w:p>
    <w:p w14:paraId="19091395">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1、合同经双方法定代表人或授权委托人签字加盖单位公章，并经</w:t>
      </w:r>
      <w:r>
        <w:rPr>
          <w:rFonts w:hint="eastAsia" w:ascii="宋体" w:hAnsi="宋体" w:eastAsia="宋体" w:cs="宋体"/>
          <w:szCs w:val="21"/>
          <w:lang w:eastAsia="zh-CN"/>
        </w:rPr>
        <w:t>浙江鼎峰工程咨询有限公司</w:t>
      </w:r>
      <w:r>
        <w:rPr>
          <w:rFonts w:hint="eastAsia" w:ascii="宋体" w:hAnsi="宋体" w:eastAsia="宋体" w:cs="宋体"/>
          <w:szCs w:val="21"/>
        </w:rPr>
        <w:t>鉴证盖章后生效。</w:t>
      </w:r>
    </w:p>
    <w:p w14:paraId="56CBFDB7">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2.生效后，除《政府采购法》第49条、第50条第二款规定的情形外，甲乙双方不得擅自变更、中止或终止合同。</w:t>
      </w:r>
    </w:p>
    <w:p w14:paraId="4B971C60">
      <w:pPr>
        <w:pStyle w:val="17"/>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3、本合同一式</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份，甲、乙双方各</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浙江鼎峰工程咨询有限公司</w:t>
      </w:r>
      <w:r>
        <w:rPr>
          <w:rFonts w:hint="eastAsia" w:ascii="宋体" w:hAnsi="宋体" w:eastAsia="宋体" w:cs="宋体"/>
          <w:szCs w:val="21"/>
        </w:rPr>
        <w:t>一份，均具同等法律效力。</w:t>
      </w:r>
    </w:p>
    <w:p w14:paraId="6DC61A84">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lang w:eastAsia="zh-CN"/>
        </w:rPr>
      </w:pPr>
    </w:p>
    <w:p w14:paraId="758A5B66">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甲方（采购单位） ：         乙方（中标方）：</w:t>
      </w:r>
    </w:p>
    <w:p w14:paraId="03FD788E">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法定代表人或授权委托人：        法定代表人或授权委托人： </w:t>
      </w:r>
    </w:p>
    <w:p w14:paraId="3F689730">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              地    址：</w:t>
      </w:r>
    </w:p>
    <w:p w14:paraId="10781A77">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              联系电话：</w:t>
      </w:r>
    </w:p>
    <w:p w14:paraId="71B4F430">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开户银行：                          开户银行：</w:t>
      </w:r>
    </w:p>
    <w:p w14:paraId="0EE62D31">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开户名称：                          开户名称：</w:t>
      </w:r>
    </w:p>
    <w:p w14:paraId="34F4A154">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银行帐号：                          银行帐号：</w:t>
      </w:r>
    </w:p>
    <w:p w14:paraId="44359893">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签约地址：</w:t>
      </w:r>
    </w:p>
    <w:p w14:paraId="08DED5B5">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签约日期：   年  月  日</w:t>
      </w:r>
    </w:p>
    <w:p w14:paraId="06CA8D13">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lang w:eastAsia="zh-CN"/>
        </w:rPr>
      </w:pPr>
    </w:p>
    <w:p w14:paraId="4B9B65A6">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合同鉴证方（公章）：</w:t>
      </w:r>
    </w:p>
    <w:p w14:paraId="327DAF8B">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日期：   年  月  日</w:t>
      </w:r>
    </w:p>
    <w:p w14:paraId="0794043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color w:val="auto"/>
          <w:sz w:val="21"/>
          <w:szCs w:val="21"/>
          <w:highlight w:val="none"/>
          <w:lang w:eastAsia="zh-CN"/>
        </w:rPr>
      </w:pPr>
    </w:p>
    <w:p w14:paraId="0D4CBBF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color w:val="auto"/>
          <w:sz w:val="21"/>
          <w:szCs w:val="21"/>
          <w:highlight w:val="none"/>
          <w:lang w:eastAsia="zh-CN"/>
        </w:rPr>
      </w:pPr>
    </w:p>
    <w:p w14:paraId="5E8AB0B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color w:val="auto"/>
          <w:sz w:val="21"/>
          <w:szCs w:val="21"/>
          <w:highlight w:val="none"/>
          <w:lang w:eastAsia="zh-CN"/>
        </w:rPr>
      </w:pPr>
    </w:p>
    <w:p w14:paraId="1625524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color w:val="auto"/>
          <w:sz w:val="21"/>
          <w:szCs w:val="21"/>
          <w:highlight w:val="none"/>
          <w:lang w:eastAsia="zh-CN"/>
        </w:rPr>
      </w:pPr>
    </w:p>
    <w:p w14:paraId="636AE14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color w:val="auto"/>
          <w:sz w:val="21"/>
          <w:szCs w:val="21"/>
          <w:highlight w:val="none"/>
          <w:lang w:eastAsia="zh-CN"/>
        </w:rPr>
      </w:pPr>
    </w:p>
    <w:p w14:paraId="48F0010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color w:val="auto"/>
          <w:sz w:val="21"/>
          <w:szCs w:val="21"/>
          <w:highlight w:val="none"/>
          <w:lang w:eastAsia="zh-CN"/>
        </w:rPr>
      </w:pPr>
    </w:p>
    <w:p w14:paraId="70F8CC2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color w:val="auto"/>
          <w:sz w:val="21"/>
          <w:szCs w:val="21"/>
          <w:highlight w:val="none"/>
          <w:lang w:eastAsia="zh-CN"/>
        </w:rPr>
        <w:sectPr>
          <w:pgSz w:w="11906" w:h="16838"/>
          <w:pgMar w:top="1361" w:right="1304" w:bottom="1191" w:left="1304" w:header="765" w:footer="992" w:gutter="0"/>
          <w:pgNumType w:fmt="decimal"/>
          <w:cols w:space="720" w:num="1"/>
          <w:rtlGutter w:val="0"/>
          <w:docGrid w:type="lines" w:linePitch="320" w:charSpace="0"/>
        </w:sectPr>
      </w:pPr>
    </w:p>
    <w:p w14:paraId="054990DE">
      <w:pPr>
        <w:pStyle w:val="17"/>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color w:val="auto"/>
          <w:highlight w:val="none"/>
          <w:lang w:val="zh-CN"/>
        </w:rPr>
      </w:pPr>
      <w:r>
        <w:rPr>
          <w:rFonts w:hint="eastAsia" w:ascii="黑体" w:hAnsi="黑体" w:eastAsia="黑体" w:cs="黑体"/>
          <w:color w:val="auto"/>
          <w:sz w:val="36"/>
          <w:szCs w:val="36"/>
          <w:highlight w:val="none"/>
        </w:rPr>
        <w:t>第五章  响应文件格式</w:t>
      </w:r>
      <w:bookmarkEnd w:id="63"/>
      <w:bookmarkEnd w:id="64"/>
      <w:bookmarkEnd w:id="65"/>
      <w:bookmarkEnd w:id="66"/>
    </w:p>
    <w:p w14:paraId="2DD8EE4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cs="Times New Roman"/>
          <w:color w:val="auto"/>
          <w:sz w:val="21"/>
          <w:szCs w:val="21"/>
          <w:highlight w:val="none"/>
          <w:lang w:val="zh-CN"/>
        </w:rPr>
      </w:pPr>
      <w:r>
        <w:rPr>
          <w:rFonts w:hint="eastAsia" w:ascii="宋体" w:hAnsi="宋体" w:cs="宋体"/>
          <w:color w:val="auto"/>
          <w:sz w:val="21"/>
          <w:szCs w:val="21"/>
          <w:highlight w:val="none"/>
          <w:lang w:val="zh-CN"/>
        </w:rPr>
        <w:t>未提供格式的由响应方自拟</w:t>
      </w:r>
    </w:p>
    <w:p w14:paraId="4F9D7E0A">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46201FFE">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3F1E52CA">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770D568E">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22568F16">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5F3F1C95">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47A1E98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7CC130BB">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0B89EC8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035DF400">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29315622">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5D2C712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70CD5791">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512FEEFE">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002808ED">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5BA73246">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3437BE5A">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3E20EF2A">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233E5D9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06101C07">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0047D0BB">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4A73E4DC">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3C0614E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76576350">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398AF5F7">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522AA58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41654B3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63ABE7F0">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4DD727CD">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20FBB52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2774836E">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cs="Times New Roman"/>
          <w:color w:val="auto"/>
          <w:sz w:val="21"/>
          <w:szCs w:val="21"/>
          <w:highlight w:val="none"/>
          <w:lang w:val="zh-CN"/>
        </w:rPr>
      </w:pPr>
    </w:p>
    <w:p w14:paraId="7C476485">
      <w:pPr>
        <w:keepNext w:val="0"/>
        <w:keepLines w:val="0"/>
        <w:pageBreakBefore w:val="0"/>
        <w:widowControl w:val="0"/>
        <w:kinsoku/>
        <w:wordWrap/>
        <w:overflowPunct/>
        <w:topLinePunct w:val="0"/>
        <w:bidi w:val="0"/>
        <w:snapToGrid/>
        <w:spacing w:line="240" w:lineRule="auto"/>
        <w:jc w:val="both"/>
        <w:textAlignment w:val="auto"/>
        <w:rPr>
          <w:rFonts w:ascii="宋体" w:hAnsi="宋体"/>
          <w:b/>
          <w:color w:val="auto"/>
          <w:sz w:val="21"/>
          <w:szCs w:val="21"/>
          <w:highlight w:val="none"/>
        </w:rPr>
      </w:pPr>
    </w:p>
    <w:p w14:paraId="373C3B62">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pPr>
      <w:bookmarkStart w:id="79" w:name="_Toc468954251"/>
      <w:bookmarkStart w:id="80" w:name="_Toc463851843"/>
      <w:bookmarkStart w:id="81" w:name="_Toc476229712"/>
      <w:bookmarkStart w:id="82" w:name="_Toc336331380"/>
      <w:bookmarkStart w:id="83" w:name="_Toc433882646"/>
      <w:bookmarkStart w:id="84" w:name="_Toc469475468"/>
      <w:bookmarkStart w:id="85" w:name="_Toc424199675"/>
      <w:bookmarkStart w:id="86" w:name="_Toc393201727"/>
      <w:bookmarkStart w:id="87" w:name="_Toc476230507"/>
      <w:bookmarkStart w:id="88" w:name="_Toc387831502"/>
      <w:bookmarkStart w:id="89" w:name="_Toc476230643"/>
      <w:bookmarkStart w:id="90" w:name="_Toc437331615"/>
      <w:bookmarkStart w:id="91" w:name="_Toc476230919"/>
      <w:bookmarkStart w:id="92" w:name="_Toc471819797"/>
      <w:bookmarkStart w:id="93" w:name="_Toc470269884"/>
      <w:bookmarkStart w:id="94" w:name="_Toc435706544"/>
      <w:bookmarkStart w:id="95" w:name="_Toc495666236"/>
      <w:bookmarkStart w:id="96" w:name="_Toc467572533"/>
      <w:bookmarkStart w:id="97" w:name="_Toc392080785"/>
      <w:bookmarkStart w:id="98" w:name="_Toc504642685"/>
      <w:bookmarkStart w:id="99" w:name="_Toc470270000"/>
      <w:bookmarkStart w:id="100" w:name="_Toc471819737"/>
    </w:p>
    <w:p w14:paraId="0339DEAD">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pPr>
    </w:p>
    <w:p w14:paraId="6C5E2537">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pPr>
    </w:p>
    <w:p w14:paraId="42F2E7FE">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pPr>
    </w:p>
    <w:p w14:paraId="0EBF5EAB">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pPr>
    </w:p>
    <w:p w14:paraId="703B6B7F">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pPr>
    </w:p>
    <w:p w14:paraId="4D41DE1E">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pPr>
    </w:p>
    <w:p w14:paraId="1D904AAC">
      <w:pPr>
        <w:spacing w:beforeLines="100" w:line="440" w:lineRule="atLeast"/>
        <w:jc w:val="center"/>
        <w:outlineLvl w:val="1"/>
        <w:rPr>
          <w:rFonts w:hint="eastAsia" w:ascii="黑体" w:hAnsi="宋体" w:eastAsia="黑体"/>
          <w:color w:val="auto"/>
          <w:sz w:val="44"/>
          <w:szCs w:val="44"/>
          <w:highlight w:val="none"/>
        </w:rPr>
      </w:pPr>
      <w:r>
        <w:rPr>
          <w:rFonts w:hint="eastAsia" w:ascii="黑体" w:hAnsi="宋体" w:eastAsia="黑体"/>
          <w:color w:val="auto"/>
          <w:sz w:val="44"/>
          <w:szCs w:val="44"/>
          <w:highlight w:val="none"/>
        </w:rPr>
        <w:t>资格证明文件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D5A152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黑体" w:hAnsi="宋体" w:eastAsia="黑体"/>
          <w:color w:val="auto"/>
          <w:sz w:val="28"/>
          <w:szCs w:val="28"/>
          <w:highlight w:val="none"/>
        </w:rPr>
      </w:pPr>
      <w:bookmarkStart w:id="101" w:name="_Toc340582347"/>
    </w:p>
    <w:p w14:paraId="713FA7C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黑体" w:hAnsi="宋体" w:eastAsia="黑体"/>
          <w:color w:val="auto"/>
          <w:sz w:val="28"/>
          <w:szCs w:val="28"/>
          <w:highlight w:val="none"/>
        </w:rPr>
      </w:pPr>
    </w:p>
    <w:p w14:paraId="57B2FBED">
      <w:pPr>
        <w:keepNext w:val="0"/>
        <w:keepLines w:val="0"/>
        <w:pageBreakBefore w:val="0"/>
        <w:widowControl w:val="0"/>
        <w:kinsoku/>
        <w:wordWrap/>
        <w:overflowPunct/>
        <w:topLinePunct w:val="0"/>
        <w:autoSpaceDE/>
        <w:autoSpaceDN/>
        <w:bidi w:val="0"/>
        <w:adjustRightInd/>
        <w:snapToGrid/>
        <w:spacing w:line="1320" w:lineRule="auto"/>
        <w:ind w:left="0" w:leftChars="0" w:firstLine="336" w:firstLineChars="120"/>
        <w:jc w:val="both"/>
        <w:textAlignment w:val="auto"/>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bookmarkEnd w:id="101"/>
      <w:r>
        <w:rPr>
          <w:rFonts w:hint="eastAsia" w:ascii="黑体" w:hAnsi="宋体" w:eastAsia="黑体"/>
          <w:color w:val="auto"/>
          <w:sz w:val="28"/>
          <w:szCs w:val="28"/>
          <w:highlight w:val="none"/>
        </w:rPr>
        <w:t>：</w:t>
      </w:r>
      <w:bookmarkStart w:id="102" w:name="_Toc340582348"/>
      <w:r>
        <w:rPr>
          <w:rFonts w:hint="eastAsia" w:ascii="黑体" w:hAnsi="宋体" w:eastAsia="黑体"/>
          <w:color w:val="auto"/>
          <w:sz w:val="28"/>
          <w:szCs w:val="28"/>
          <w:highlight w:val="none"/>
          <w:u w:val="single"/>
          <w:lang w:eastAsia="zh-CN"/>
        </w:rPr>
        <w:t>千人报告厅维修改造工程—舞台音响设备及座椅采购项目</w:t>
      </w:r>
      <w:r>
        <w:rPr>
          <w:rFonts w:hint="eastAsia" w:ascii="黑体" w:hAnsi="宋体" w:eastAsia="黑体"/>
          <w:color w:val="auto"/>
          <w:sz w:val="28"/>
          <w:szCs w:val="28"/>
          <w:highlight w:val="none"/>
          <w:u w:val="single"/>
          <w:lang w:val="en-US" w:eastAsia="zh-CN"/>
        </w:rPr>
        <w:t xml:space="preserve"> </w:t>
      </w:r>
    </w:p>
    <w:p w14:paraId="0A82419F">
      <w:pPr>
        <w:keepNext w:val="0"/>
        <w:keepLines w:val="0"/>
        <w:pageBreakBefore w:val="0"/>
        <w:widowControl w:val="0"/>
        <w:kinsoku/>
        <w:wordWrap/>
        <w:overflowPunct/>
        <w:topLinePunct w:val="0"/>
        <w:autoSpaceDE/>
        <w:autoSpaceDN/>
        <w:bidi w:val="0"/>
        <w:adjustRightInd/>
        <w:snapToGrid/>
        <w:spacing w:line="1320" w:lineRule="auto"/>
        <w:ind w:left="0" w:leftChars="0" w:firstLine="336" w:firstLineChars="120"/>
        <w:jc w:val="both"/>
        <w:textAlignment w:val="auto"/>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bookmarkEnd w:id="102"/>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ZJDF2024-003（Ⅱ）</w:t>
      </w:r>
      <w:r>
        <w:rPr>
          <w:rFonts w:hint="eastAsia" w:ascii="黑体" w:hAnsi="宋体" w:eastAsia="黑体"/>
          <w:color w:val="auto"/>
          <w:sz w:val="28"/>
          <w:szCs w:val="28"/>
          <w:highlight w:val="none"/>
          <w:u w:val="single"/>
          <w:lang w:val="en-US" w:eastAsia="zh-CN"/>
        </w:rPr>
        <w:t xml:space="preserve">               </w:t>
      </w:r>
    </w:p>
    <w:p w14:paraId="3698DB37">
      <w:pPr>
        <w:keepNext w:val="0"/>
        <w:keepLines w:val="0"/>
        <w:pageBreakBefore w:val="0"/>
        <w:widowControl w:val="0"/>
        <w:kinsoku/>
        <w:wordWrap/>
        <w:overflowPunct/>
        <w:topLinePunct w:val="0"/>
        <w:autoSpaceDE/>
        <w:autoSpaceDN/>
        <w:bidi w:val="0"/>
        <w:adjustRightInd/>
        <w:snapToGrid/>
        <w:spacing w:line="1320" w:lineRule="auto"/>
        <w:ind w:left="0" w:leftChars="0" w:firstLine="336" w:firstLineChars="120"/>
        <w:jc w:val="both"/>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32C6B3C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黑体" w:hAnsi="宋体" w:eastAsia="黑体"/>
          <w:color w:val="auto"/>
          <w:sz w:val="28"/>
          <w:szCs w:val="28"/>
          <w:highlight w:val="none"/>
        </w:rPr>
      </w:pPr>
    </w:p>
    <w:p w14:paraId="0359EEA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黑体" w:hAnsi="宋体" w:eastAsia="黑体"/>
          <w:color w:val="auto"/>
          <w:sz w:val="28"/>
          <w:szCs w:val="28"/>
          <w:highlight w:val="none"/>
          <w:u w:val="single"/>
        </w:rPr>
      </w:pPr>
    </w:p>
    <w:p w14:paraId="56FF073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黑体" w:hAnsi="宋体" w:eastAsia="黑体"/>
          <w:color w:val="auto"/>
          <w:sz w:val="28"/>
          <w:szCs w:val="28"/>
          <w:highlight w:val="none"/>
        </w:rPr>
      </w:pPr>
    </w:p>
    <w:p w14:paraId="1C20587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黑体" w:hAnsi="宋体" w:eastAsia="黑体"/>
          <w:color w:val="auto"/>
          <w:sz w:val="28"/>
          <w:szCs w:val="28"/>
          <w:highlight w:val="none"/>
        </w:rPr>
      </w:pPr>
    </w:p>
    <w:p w14:paraId="5015F475">
      <w:pPr>
        <w:spacing w:line="440" w:lineRule="atLeast"/>
        <w:ind w:firstLine="1960" w:firstLineChars="700"/>
        <w:rPr>
          <w:rFonts w:ascii="宋体" w:cs="Times New Roman"/>
          <w:color w:val="auto"/>
          <w:sz w:val="28"/>
          <w:szCs w:val="28"/>
          <w:highlight w:val="none"/>
        </w:rPr>
      </w:pPr>
      <w:bookmarkStart w:id="103" w:name="_Toc340582352"/>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bookmarkEnd w:id="103"/>
    </w:p>
    <w:p w14:paraId="0408FF95">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color w:val="auto"/>
          <w:sz w:val="28"/>
          <w:szCs w:val="28"/>
          <w:highlight w:val="none"/>
          <w:lang w:eastAsia="zh-CN"/>
        </w:rPr>
      </w:pPr>
    </w:p>
    <w:p w14:paraId="18B9783C">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pPr>
    </w:p>
    <w:p w14:paraId="403B3CB3">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sectPr>
          <w:footerReference r:id="rId5" w:type="default"/>
          <w:pgSz w:w="11906" w:h="16838"/>
          <w:pgMar w:top="1304" w:right="1304" w:bottom="1361" w:left="1304" w:header="680" w:footer="794" w:gutter="0"/>
          <w:lnNumType w:countBy="0" w:distance="360"/>
          <w:pgNumType w:fmt="decimal"/>
          <w:cols w:space="720" w:num="1"/>
          <w:rtlGutter w:val="1"/>
          <w:docGrid w:type="lines" w:linePitch="312" w:charSpace="0"/>
        </w:sectPr>
      </w:pPr>
    </w:p>
    <w:p w14:paraId="57146251">
      <w:pPr>
        <w:keepNext w:val="0"/>
        <w:keepLines w:val="0"/>
        <w:pageBreakBefore w:val="0"/>
        <w:widowControl w:val="0"/>
        <w:kinsoku/>
        <w:wordWrap/>
        <w:overflowPunct/>
        <w:topLinePunct w:val="0"/>
        <w:autoSpaceDE/>
        <w:autoSpaceDN/>
        <w:bidi w:val="0"/>
        <w:adjustRightInd/>
        <w:snapToGrid/>
        <w:spacing w:before="157" w:beforeLines="50" w:after="157" w:afterLines="50" w:line="440" w:lineRule="atLeast"/>
        <w:jc w:val="center"/>
        <w:textAlignment w:val="auto"/>
        <w:rPr>
          <w:color w:val="auto"/>
          <w:sz w:val="30"/>
          <w:szCs w:val="30"/>
          <w:highlight w:val="none"/>
        </w:rPr>
      </w:pPr>
      <w:r>
        <w:rPr>
          <w:rFonts w:hint="eastAsia" w:ascii="宋体" w:hAnsi="宋体" w:cs="宋体"/>
          <w:b/>
          <w:bCs/>
          <w:color w:val="auto"/>
          <w:sz w:val="30"/>
          <w:szCs w:val="30"/>
          <w:highlight w:val="none"/>
        </w:rPr>
        <w:t>资格证明文件目录</w:t>
      </w:r>
    </w:p>
    <w:p w14:paraId="4BB2B448">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一、</w:t>
      </w:r>
      <w:r>
        <w:rPr>
          <w:rFonts w:hint="eastAsia" w:ascii="宋体" w:hAnsi="宋体" w:eastAsia="宋体" w:cs="宋体"/>
          <w:color w:val="auto"/>
          <w:highlight w:val="none"/>
        </w:rPr>
        <w:t>符合参加政府采购活动应当具备的一般条件的承诺函（格式附后）</w:t>
      </w:r>
    </w:p>
    <w:p w14:paraId="5588FE6D">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法人或者其他组织的营业执照等证明文件扫描件</w:t>
      </w:r>
    </w:p>
    <w:p w14:paraId="0F63EB4D">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法定代表人身份证明及身份证（正、反面）原件扫描件</w:t>
      </w:r>
    </w:p>
    <w:p w14:paraId="665FFE35">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法定代表人授权委托书（如为授权委托人参加磋商，格式附后）</w:t>
      </w:r>
    </w:p>
    <w:p w14:paraId="602FD88B">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中小企业声明函</w:t>
      </w:r>
    </w:p>
    <w:p w14:paraId="7D19D443">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 xml:space="preserve">残疾人福利性单位声明函 </w:t>
      </w:r>
    </w:p>
    <w:p w14:paraId="45BAA07B">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省级以上监狱管理局、戒毒管理局（含新疆生产建设兵团）出具的属于监狱企业的证明文件</w:t>
      </w:r>
    </w:p>
    <w:p w14:paraId="3BF3FF9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响应方需要说明的其他文件和说明（格式自拟）</w:t>
      </w:r>
    </w:p>
    <w:p w14:paraId="2405633C">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宋体" w:hAnsi="宋体" w:eastAsia="宋体" w:cs="宋体"/>
          <w:color w:val="auto"/>
          <w:sz w:val="21"/>
          <w:szCs w:val="21"/>
          <w:highlight w:val="none"/>
        </w:rPr>
      </w:pPr>
    </w:p>
    <w:p w14:paraId="29060126">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宋体" w:hAnsi="宋体" w:eastAsia="宋体" w:cs="宋体"/>
          <w:color w:val="auto"/>
          <w:sz w:val="21"/>
          <w:szCs w:val="21"/>
          <w:highlight w:val="none"/>
        </w:rPr>
      </w:pPr>
    </w:p>
    <w:p w14:paraId="575B048E">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宋体" w:hAnsi="宋体" w:eastAsia="宋体" w:cs="宋体"/>
          <w:color w:val="auto"/>
          <w:sz w:val="21"/>
          <w:szCs w:val="21"/>
          <w:highlight w:val="none"/>
        </w:rPr>
      </w:pPr>
    </w:p>
    <w:p w14:paraId="50D44D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i/>
          <w:color w:val="auto"/>
          <w:sz w:val="21"/>
          <w:szCs w:val="21"/>
          <w:highlight w:val="none"/>
        </w:rPr>
      </w:pPr>
    </w:p>
    <w:p w14:paraId="4DD3FEE0">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宋体" w:hAnsi="宋体" w:eastAsia="宋体" w:cs="宋体"/>
          <w:color w:val="auto"/>
          <w:sz w:val="21"/>
          <w:szCs w:val="21"/>
          <w:highlight w:val="none"/>
        </w:rPr>
      </w:pPr>
      <w:bookmarkStart w:id="104" w:name="_Toc476230922"/>
      <w:bookmarkStart w:id="105" w:name="_Toc435706547"/>
      <w:bookmarkStart w:id="106" w:name="_Toc471819739"/>
      <w:bookmarkStart w:id="107" w:name="_Toc476229715"/>
      <w:bookmarkStart w:id="108" w:name="_Toc469475471"/>
      <w:bookmarkStart w:id="109" w:name="_Toc437504032"/>
      <w:bookmarkStart w:id="110" w:name="_Toc470270003"/>
      <w:bookmarkStart w:id="111" w:name="_Toc504642688"/>
      <w:bookmarkStart w:id="112" w:name="_Toc495666239"/>
      <w:bookmarkStart w:id="113" w:name="_Toc476230510"/>
      <w:bookmarkStart w:id="114" w:name="_Toc463851846"/>
      <w:bookmarkStart w:id="115" w:name="_Toc437509329"/>
      <w:bookmarkStart w:id="116" w:name="_Toc424199678"/>
      <w:bookmarkStart w:id="117" w:name="_Toc476230646"/>
      <w:bookmarkStart w:id="118" w:name="_Toc467572536"/>
      <w:bookmarkStart w:id="119" w:name="_Toc437331307"/>
      <w:bookmarkStart w:id="120" w:name="_Toc433882649"/>
      <w:bookmarkStart w:id="121" w:name="_Toc437331618"/>
      <w:bookmarkStart w:id="122" w:name="_Toc470269887"/>
      <w:bookmarkStart w:id="123" w:name="_Toc468954254"/>
      <w:bookmarkStart w:id="124" w:name="_Toc471819799"/>
      <w:r>
        <w:rPr>
          <w:rFonts w:hint="eastAsia" w:ascii="宋体" w:hAnsi="宋体" w:eastAsia="宋体" w:cs="宋体"/>
          <w:color w:val="auto"/>
          <w:sz w:val="21"/>
          <w:szCs w:val="21"/>
          <w:highlight w:val="none"/>
        </w:rPr>
        <w:br w:type="page"/>
      </w:r>
    </w:p>
    <w:p w14:paraId="3074EA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color w:val="auto"/>
          <w:sz w:val="30"/>
          <w:szCs w:val="30"/>
          <w:highlight w:val="none"/>
        </w:rPr>
      </w:pPr>
      <w:r>
        <w:rPr>
          <w:rFonts w:hint="eastAsia" w:ascii="宋体" w:hAnsi="宋体" w:cs="宋体"/>
          <w:b/>
          <w:bCs/>
          <w:color w:val="auto"/>
          <w:kern w:val="0"/>
          <w:sz w:val="30"/>
          <w:szCs w:val="30"/>
          <w:highlight w:val="none"/>
        </w:rPr>
        <w:t>一、</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5" w:name="_Toc11136"/>
      <w:bookmarkStart w:id="126" w:name="_Toc18613"/>
      <w:bookmarkStart w:id="127" w:name="_Toc2220"/>
      <w:bookmarkStart w:id="128" w:name="_Toc468954259"/>
      <w:bookmarkStart w:id="129" w:name="_Toc437331623"/>
      <w:bookmarkStart w:id="130" w:name="_Toc467572541"/>
      <w:bookmarkStart w:id="131" w:name="_Toc437504037"/>
      <w:bookmarkStart w:id="132" w:name="_Toc471819741"/>
      <w:bookmarkStart w:id="133" w:name="_Toc470270008"/>
      <w:bookmarkStart w:id="134" w:name="_Toc463851851"/>
      <w:bookmarkStart w:id="135" w:name="_Toc471819801"/>
      <w:bookmarkStart w:id="136" w:name="_Toc424199683"/>
      <w:bookmarkStart w:id="137" w:name="_Toc469475476"/>
      <w:bookmarkStart w:id="138" w:name="_Toc470269892"/>
      <w:bookmarkStart w:id="139" w:name="_Toc435706552"/>
      <w:bookmarkStart w:id="140" w:name="_Toc437331312"/>
      <w:bookmarkStart w:id="141" w:name="_Toc433882654"/>
      <w:bookmarkStart w:id="142" w:name="_Toc437509334"/>
      <w:r>
        <w:rPr>
          <w:rFonts w:hint="eastAsia" w:ascii="宋体" w:hAnsi="宋体" w:cs="宋体"/>
          <w:b/>
          <w:color w:val="auto"/>
          <w:sz w:val="30"/>
          <w:szCs w:val="30"/>
          <w:highlight w:val="none"/>
        </w:rPr>
        <w:t>符合参加政府采购活动应当具备的一般条件的承诺函</w:t>
      </w:r>
    </w:p>
    <w:p w14:paraId="2AAB0347">
      <w:pPr>
        <w:keepNext w:val="0"/>
        <w:keepLines w:val="0"/>
        <w:pageBreakBefore w:val="0"/>
        <w:widowControl w:val="0"/>
        <w:kinsoku/>
        <w:wordWrap/>
        <w:overflowPunct/>
        <w:topLinePunct w:val="0"/>
        <w:autoSpaceDE/>
        <w:autoSpaceDN/>
        <w:bidi w:val="0"/>
        <w:adjustRightInd/>
        <w:snapToGrid w:val="0"/>
        <w:spacing w:line="480" w:lineRule="auto"/>
        <w:ind w:firstLine="0" w:firstLineChars="0"/>
        <w:jc w:val="both"/>
        <w:textAlignment w:val="auto"/>
        <w:rPr>
          <w:rFonts w:ascii="宋体" w:hAnsi="宋体" w:cs="宋体"/>
          <w:color w:val="auto"/>
          <w:sz w:val="21"/>
          <w:szCs w:val="21"/>
          <w:highlight w:val="none"/>
          <w:u w:val="single"/>
        </w:rPr>
      </w:pPr>
    </w:p>
    <w:p w14:paraId="2BD6A889">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651D3685">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（采购编号）】政府采购活动，郑重承诺：</w:t>
      </w:r>
    </w:p>
    <w:p w14:paraId="4D36EC0B">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6100632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1AC2836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32EEC2E5">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5F5FF4F2">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6E92C271">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19ECF86C">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7D8E59E9">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6987B372">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75D4239B">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35F53D5B">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16FA7D51">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hint="eastAsia" w:ascii="宋体" w:hAnsi="宋体" w:cs="宋体"/>
          <w:color w:val="auto"/>
          <w:sz w:val="21"/>
          <w:szCs w:val="21"/>
          <w:highlight w:val="none"/>
          <w:lang w:val="zh-CN"/>
        </w:rPr>
      </w:pPr>
    </w:p>
    <w:p w14:paraId="70DEF579">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rPr>
          <w:rFonts w:hint="eastAsia" w:ascii="宋体" w:hAnsi="宋体" w:cs="宋体"/>
          <w:color w:val="auto"/>
          <w:sz w:val="21"/>
          <w:szCs w:val="21"/>
          <w:highlight w:val="none"/>
          <w:lang w:val="zh-CN"/>
        </w:rPr>
      </w:pPr>
    </w:p>
    <w:p w14:paraId="3B5FFBFC">
      <w:pPr>
        <w:keepNext w:val="0"/>
        <w:keepLines w:val="0"/>
        <w:pageBreakBefore w:val="0"/>
        <w:widowControl w:val="0"/>
        <w:kinsoku/>
        <w:wordWrap/>
        <w:overflowPunct/>
        <w:topLinePunct w:val="0"/>
        <w:autoSpaceDE/>
        <w:autoSpaceDN/>
        <w:bidi w:val="0"/>
        <w:adjustRightInd/>
        <w:snapToGrid w:val="0"/>
        <w:spacing w:line="480" w:lineRule="auto"/>
        <w:ind w:firstLine="4830" w:firstLineChars="23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响应人名称(电子签章)：</w:t>
      </w:r>
    </w:p>
    <w:p w14:paraId="3374B846">
      <w:pPr>
        <w:keepNext w:val="0"/>
        <w:keepLines w:val="0"/>
        <w:pageBreakBefore w:val="0"/>
        <w:widowControl w:val="0"/>
        <w:kinsoku/>
        <w:wordWrap/>
        <w:overflowPunct/>
        <w:topLinePunct w:val="0"/>
        <w:autoSpaceDE/>
        <w:autoSpaceDN/>
        <w:bidi w:val="0"/>
        <w:adjustRightInd/>
        <w:snapToGrid w:val="0"/>
        <w:spacing w:line="480" w:lineRule="auto"/>
        <w:ind w:firstLine="4830" w:firstLineChars="23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w:t>
      </w:r>
    </w:p>
    <w:p w14:paraId="0AB68AB3">
      <w:pPr>
        <w:keepNext w:val="0"/>
        <w:keepLines w:val="0"/>
        <w:pageBreakBefore w:val="0"/>
        <w:widowControl w:val="0"/>
        <w:kinsoku/>
        <w:wordWrap/>
        <w:overflowPunct/>
        <w:topLinePunct w:val="0"/>
        <w:autoSpaceDE/>
        <w:autoSpaceDN/>
        <w:bidi w:val="0"/>
        <w:adjustRightInd/>
        <w:snapToGrid/>
        <w:spacing w:line="480" w:lineRule="auto"/>
        <w:ind w:firstLine="0" w:firstLineChars="0"/>
        <w:jc w:val="both"/>
        <w:textAlignment w:val="auto"/>
        <w:rPr>
          <w:rFonts w:hint="eastAsia" w:ascii="宋体" w:hAnsi="宋体" w:eastAsia="宋体" w:cs="宋体"/>
          <w:color w:val="auto"/>
          <w:kern w:val="0"/>
          <w:sz w:val="21"/>
          <w:szCs w:val="21"/>
          <w:highlight w:val="none"/>
        </w:rPr>
      </w:pPr>
    </w:p>
    <w:p w14:paraId="09B3A336">
      <w:pPr>
        <w:keepNext w:val="0"/>
        <w:keepLines w:val="0"/>
        <w:pageBreakBefore w:val="0"/>
        <w:widowControl w:val="0"/>
        <w:kinsoku/>
        <w:wordWrap/>
        <w:overflowPunct/>
        <w:topLinePunct w:val="0"/>
        <w:autoSpaceDE/>
        <w:autoSpaceDN/>
        <w:bidi w:val="0"/>
        <w:adjustRightInd/>
        <w:snapToGrid/>
        <w:spacing w:line="480" w:lineRule="auto"/>
        <w:ind w:firstLine="0" w:firstLineChars="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br w:type="page"/>
      </w:r>
    </w:p>
    <w:p w14:paraId="2E73E9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二、</w:t>
      </w:r>
      <w:bookmarkEnd w:id="125"/>
      <w:bookmarkEnd w:id="126"/>
      <w:bookmarkEnd w:id="127"/>
      <w:bookmarkStart w:id="143" w:name="_Toc17450"/>
      <w:bookmarkStart w:id="144" w:name="_Toc30925"/>
      <w:bookmarkStart w:id="145" w:name="_Toc29756"/>
      <w:r>
        <w:rPr>
          <w:rFonts w:hint="eastAsia" w:ascii="宋体" w:hAnsi="宋体" w:cs="宋体"/>
          <w:b/>
          <w:bCs/>
          <w:color w:val="auto"/>
          <w:kern w:val="0"/>
          <w:sz w:val="30"/>
          <w:szCs w:val="30"/>
          <w:highlight w:val="none"/>
        </w:rPr>
        <w:t>法人或者其他组织的营业执照等证明文件扫描件</w:t>
      </w:r>
    </w:p>
    <w:p w14:paraId="746B0E3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 w:val="0"/>
          <w:bCs w:val="0"/>
          <w:color w:val="auto"/>
          <w:kern w:val="0"/>
          <w:sz w:val="21"/>
          <w:szCs w:val="21"/>
          <w:highlight w:val="none"/>
          <w:lang w:eastAsia="zh-CN"/>
        </w:rPr>
      </w:pPr>
    </w:p>
    <w:p w14:paraId="0A2617F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 w:val="0"/>
          <w:bCs w:val="0"/>
          <w:color w:val="auto"/>
          <w:kern w:val="0"/>
          <w:sz w:val="21"/>
          <w:szCs w:val="21"/>
          <w:highlight w:val="none"/>
          <w:lang w:eastAsia="zh-CN"/>
        </w:rPr>
      </w:pPr>
    </w:p>
    <w:p w14:paraId="5B43D4F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 w:val="0"/>
          <w:bCs w:val="0"/>
          <w:color w:val="auto"/>
          <w:kern w:val="0"/>
          <w:sz w:val="21"/>
          <w:szCs w:val="21"/>
          <w:highlight w:val="none"/>
          <w:lang w:eastAsia="zh-CN"/>
        </w:rPr>
      </w:pPr>
    </w:p>
    <w:p w14:paraId="7A9BBDA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 w:val="0"/>
          <w:bCs w:val="0"/>
          <w:color w:val="auto"/>
          <w:kern w:val="0"/>
          <w:sz w:val="21"/>
          <w:szCs w:val="21"/>
          <w:highlight w:val="none"/>
          <w:lang w:eastAsia="zh-CN"/>
        </w:rPr>
      </w:pPr>
    </w:p>
    <w:p w14:paraId="2C8F4E2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 w:val="0"/>
          <w:bCs w:val="0"/>
          <w:color w:val="auto"/>
          <w:kern w:val="0"/>
          <w:sz w:val="21"/>
          <w:szCs w:val="21"/>
          <w:highlight w:val="none"/>
          <w:lang w:eastAsia="zh-CN"/>
        </w:rPr>
      </w:pPr>
    </w:p>
    <w:p w14:paraId="5A382EF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 w:val="0"/>
          <w:bCs w:val="0"/>
          <w:color w:val="auto"/>
          <w:kern w:val="0"/>
          <w:sz w:val="21"/>
          <w:szCs w:val="21"/>
          <w:highlight w:val="none"/>
          <w:lang w:eastAsia="zh-CN"/>
        </w:rPr>
      </w:pPr>
    </w:p>
    <w:p w14:paraId="4E3B63DF">
      <w:pPr>
        <w:keepNext w:val="0"/>
        <w:keepLines w:val="0"/>
        <w:pageBreakBefore w:val="0"/>
        <w:widowControl w:val="0"/>
        <w:kinsoku/>
        <w:wordWrap/>
        <w:overflowPunct/>
        <w:topLinePunct w:val="0"/>
        <w:autoSpaceDE/>
        <w:autoSpaceDN/>
        <w:bidi w:val="0"/>
        <w:adjustRightInd/>
        <w:snapToGrid/>
        <w:textAlignment w:val="auto"/>
        <w:rPr>
          <w:rFonts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br w:type="page"/>
      </w:r>
    </w:p>
    <w:p w14:paraId="62097E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三、</w:t>
      </w:r>
      <w:r>
        <w:rPr>
          <w:rFonts w:hint="eastAsia" w:ascii="宋体" w:hAnsi="宋体" w:cs="宋体"/>
          <w:b/>
          <w:bCs/>
          <w:color w:val="auto"/>
          <w:kern w:val="0"/>
          <w:sz w:val="30"/>
          <w:szCs w:val="30"/>
          <w:highlight w:val="none"/>
        </w:rPr>
        <w:t>法定代表人身份证明及身份证（正、反面）原件扫描件</w:t>
      </w:r>
    </w:p>
    <w:bookmarkEnd w:id="143"/>
    <w:bookmarkEnd w:id="144"/>
    <w:bookmarkEnd w:id="145"/>
    <w:p w14:paraId="6374EF5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cs="宋体"/>
          <w:color w:val="auto"/>
          <w:sz w:val="21"/>
          <w:szCs w:val="21"/>
          <w:highlight w:val="none"/>
        </w:rPr>
      </w:pPr>
    </w:p>
    <w:p w14:paraId="39A39D0B">
      <w:pPr>
        <w:keepNext w:val="0"/>
        <w:keepLines w:val="0"/>
        <w:pageBreakBefore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单位名称：</w:t>
      </w:r>
      <w:r>
        <w:rPr>
          <w:rFonts w:hint="eastAsia" w:ascii="宋体" w:hAnsi="宋体" w:cs="宋体"/>
          <w:color w:val="auto"/>
          <w:sz w:val="21"/>
          <w:szCs w:val="21"/>
          <w:highlight w:val="none"/>
          <w:u w:val="single"/>
        </w:rPr>
        <w:t xml:space="preserve">                                               </w:t>
      </w:r>
    </w:p>
    <w:p w14:paraId="079A0DB2">
      <w:pPr>
        <w:keepNext w:val="0"/>
        <w:keepLines w:val="0"/>
        <w:pageBreakBefore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p>
    <w:p w14:paraId="36FB0D2E">
      <w:pPr>
        <w:keepNext w:val="0"/>
        <w:keepLines w:val="0"/>
        <w:pageBreakBefore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1079FF0D">
      <w:pPr>
        <w:keepNext w:val="0"/>
        <w:keepLines w:val="0"/>
        <w:pageBreakBefore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xml:space="preserve">：                                               </w:t>
      </w:r>
    </w:p>
    <w:p w14:paraId="4F5C9552">
      <w:pPr>
        <w:keepNext w:val="0"/>
        <w:keepLines w:val="0"/>
        <w:pageBreakBefore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476630F5">
      <w:pPr>
        <w:keepNext w:val="0"/>
        <w:keepLines w:val="0"/>
        <w:pageBreakBefore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p>
    <w:p w14:paraId="040DF3F7">
      <w:pPr>
        <w:keepNext w:val="0"/>
        <w:keepLines w:val="0"/>
        <w:pageBreakBefore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性    别：</w:t>
      </w:r>
      <w:r>
        <w:rPr>
          <w:rFonts w:hint="eastAsia" w:ascii="宋体" w:hAnsi="宋体" w:cs="宋体"/>
          <w:color w:val="auto"/>
          <w:sz w:val="21"/>
          <w:szCs w:val="21"/>
          <w:highlight w:val="none"/>
          <w:u w:val="single"/>
        </w:rPr>
        <w:t xml:space="preserve">            </w:t>
      </w:r>
    </w:p>
    <w:p w14:paraId="644CA6C0">
      <w:pPr>
        <w:keepNext w:val="0"/>
        <w:keepLines w:val="0"/>
        <w:pageBreakBefore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年    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29AF0614">
      <w:pPr>
        <w:keepNext w:val="0"/>
        <w:keepLines w:val="0"/>
        <w:pageBreakBefore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响应人</w:t>
      </w:r>
      <w:r>
        <w:rPr>
          <w:rFonts w:hint="eastAsia" w:ascii="宋体" w:hAnsi="宋体" w:cs="宋体"/>
          <w:color w:val="auto"/>
          <w:sz w:val="21"/>
          <w:szCs w:val="21"/>
          <w:highlight w:val="none"/>
        </w:rPr>
        <w:t>全称）的法定代表人。</w:t>
      </w:r>
    </w:p>
    <w:p w14:paraId="65AF56B8">
      <w:pPr>
        <w:keepNext w:val="0"/>
        <w:keepLines w:val="0"/>
        <w:pageBreakBefore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特此证明。</w:t>
      </w:r>
    </w:p>
    <w:p w14:paraId="3CC7CBD2">
      <w:pPr>
        <w:keepNext w:val="0"/>
        <w:keepLines w:val="0"/>
        <w:pageBreakBefore w:val="0"/>
        <w:kinsoku/>
        <w:wordWrap/>
        <w:overflowPunct/>
        <w:topLinePunct w:val="0"/>
        <w:autoSpaceDE/>
        <w:autoSpaceDN/>
        <w:bidi w:val="0"/>
        <w:adjustRightInd/>
        <w:snapToGrid/>
        <w:spacing w:line="480" w:lineRule="auto"/>
        <w:ind w:firstLine="422" w:firstLineChars="200"/>
        <w:jc w:val="both"/>
        <w:textAlignment w:val="auto"/>
        <w:outlineLvl w:val="9"/>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注：附身份证</w:t>
      </w:r>
      <w:r>
        <w:rPr>
          <w:rFonts w:hint="eastAsia" w:ascii="宋体" w:hAnsi="宋体" w:cs="宋体"/>
          <w:b/>
          <w:color w:val="auto"/>
          <w:sz w:val="21"/>
          <w:szCs w:val="21"/>
          <w:highlight w:val="none"/>
          <w:lang w:val="en-US" w:eastAsia="zh-CN"/>
        </w:rPr>
        <w:t>扫描</w:t>
      </w:r>
      <w:r>
        <w:rPr>
          <w:rFonts w:hint="eastAsia" w:ascii="宋体" w:hAnsi="宋体" w:cs="宋体"/>
          <w:b/>
          <w:color w:val="auto"/>
          <w:sz w:val="21"/>
          <w:szCs w:val="21"/>
          <w:highlight w:val="none"/>
        </w:rPr>
        <w:t>件（正、反两面）</w:t>
      </w:r>
    </w:p>
    <w:p w14:paraId="197D41B6">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9"/>
        <w:rPr>
          <w:rFonts w:ascii="宋体" w:hAnsi="宋体" w:cs="宋体"/>
          <w:b/>
          <w:bCs/>
          <w:color w:val="auto"/>
          <w:kern w:val="0"/>
          <w:sz w:val="21"/>
          <w:szCs w:val="21"/>
          <w:highlight w:val="none"/>
        </w:rPr>
      </w:pPr>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14:paraId="690D5526">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outlineLvl w:val="9"/>
        <w:rPr>
          <w:rFonts w:ascii="仿宋" w:hAnsi="仿宋" w:eastAsia="仿宋"/>
          <w:b/>
          <w:color w:val="auto"/>
          <w:sz w:val="21"/>
          <w:szCs w:val="21"/>
          <w:highlight w:val="none"/>
        </w:rPr>
      </w:pPr>
    </w:p>
    <w:p w14:paraId="68DE9158">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9"/>
        <w:rPr>
          <w:rFonts w:ascii="仿宋" w:hAnsi="仿宋" w:eastAsia="仿宋" w:cs="宋体"/>
          <w:color w:val="auto"/>
          <w:kern w:val="0"/>
          <w:sz w:val="21"/>
          <w:szCs w:val="21"/>
          <w:highlight w:val="none"/>
        </w:rPr>
      </w:pPr>
    </w:p>
    <w:p w14:paraId="37AE6B42">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Theme="minorEastAsia" w:hAnsiTheme="minorEastAsia" w:eastAsiaTheme="minorEastAsia" w:cstheme="minorEastAsia"/>
          <w:color w:val="auto"/>
          <w:sz w:val="21"/>
          <w:szCs w:val="21"/>
          <w:highlight w:val="none"/>
          <w:lang w:eastAsia="zh-CN"/>
        </w:rPr>
      </w:pPr>
    </w:p>
    <w:p w14:paraId="587F1661">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9"/>
        <w:rPr>
          <w:rFonts w:ascii="仿宋" w:hAnsi="仿宋" w:eastAsia="仿宋" w:cs="宋体"/>
          <w:color w:val="auto"/>
          <w:kern w:val="0"/>
          <w:sz w:val="21"/>
          <w:szCs w:val="21"/>
          <w:highlight w:val="none"/>
        </w:rPr>
      </w:pPr>
      <w:bookmarkStart w:id="146" w:name="_Toc469475477"/>
      <w:bookmarkStart w:id="147" w:name="_Toc476230514"/>
      <w:bookmarkStart w:id="148" w:name="_Toc437504038"/>
      <w:bookmarkStart w:id="149" w:name="_Toc435706553"/>
      <w:bookmarkStart w:id="150" w:name="_Toc468954260"/>
      <w:bookmarkStart w:id="151" w:name="_Toc437509335"/>
      <w:bookmarkStart w:id="152" w:name="_Toc470270009"/>
      <w:bookmarkStart w:id="153" w:name="_Toc437331624"/>
      <w:bookmarkStart w:id="154" w:name="_Toc476229719"/>
      <w:bookmarkStart w:id="155" w:name="_Toc467572542"/>
      <w:bookmarkStart w:id="156" w:name="_Toc476230650"/>
      <w:bookmarkStart w:id="157" w:name="_Toc433882655"/>
      <w:bookmarkStart w:id="158" w:name="_Toc495666243"/>
      <w:bookmarkStart w:id="159" w:name="_Toc424199684"/>
      <w:bookmarkStart w:id="160" w:name="_Toc476230926"/>
      <w:bookmarkStart w:id="161" w:name="_Toc437331313"/>
      <w:bookmarkStart w:id="162" w:name="_Toc470269893"/>
      <w:bookmarkStart w:id="163" w:name="_Toc463851852"/>
      <w:bookmarkStart w:id="164" w:name="_Toc504642692"/>
      <w:bookmarkStart w:id="165" w:name="_Toc471819802"/>
      <w:bookmarkStart w:id="166" w:name="_Toc471819742"/>
      <w:r>
        <w:rPr>
          <w:rFonts w:ascii="仿宋" w:hAnsi="仿宋" w:eastAsia="仿宋" w:cs="宋体"/>
          <w:color w:val="auto"/>
          <w:kern w:val="0"/>
          <w:sz w:val="21"/>
          <w:szCs w:val="21"/>
          <w:highlight w:val="none"/>
        </w:rPr>
        <w:br w:type="page"/>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Start w:id="167" w:name="_Toc476230927"/>
      <w:bookmarkStart w:id="168" w:name="_Toc504642693"/>
      <w:bookmarkStart w:id="169" w:name="_Toc476230651"/>
      <w:bookmarkStart w:id="170" w:name="_Toc495666244"/>
      <w:bookmarkStart w:id="171" w:name="_Toc476229720"/>
      <w:bookmarkStart w:id="172" w:name="_Toc476230515"/>
    </w:p>
    <w:p w14:paraId="363AA9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四、</w:t>
      </w:r>
      <w:r>
        <w:rPr>
          <w:rFonts w:hint="eastAsia" w:ascii="宋体" w:hAnsi="宋体" w:cs="宋体"/>
          <w:b/>
          <w:bCs/>
          <w:color w:val="auto"/>
          <w:kern w:val="0"/>
          <w:sz w:val="30"/>
          <w:szCs w:val="30"/>
          <w:highlight w:val="none"/>
        </w:rPr>
        <w:t>法定代表人授权委托书</w:t>
      </w:r>
    </w:p>
    <w:p w14:paraId="771DA967">
      <w:pPr>
        <w:keepNext w:val="0"/>
        <w:keepLines w:val="0"/>
        <w:pageBreakBefore w:val="0"/>
        <w:widowControl w:val="0"/>
        <w:kinsoku/>
        <w:wordWrap/>
        <w:overflowPunct/>
        <w:topLinePunct w:val="0"/>
        <w:autoSpaceDE/>
        <w:autoSpaceDN/>
        <w:bidi w:val="0"/>
        <w:adjustRightInd/>
        <w:snapToGrid w:val="0"/>
        <w:spacing w:line="480" w:lineRule="auto"/>
        <w:ind w:firstLine="0" w:firstLineChars="0"/>
        <w:jc w:val="both"/>
        <w:textAlignment w:val="auto"/>
        <w:outlineLvl w:val="9"/>
        <w:rPr>
          <w:rFonts w:hint="eastAsia" w:ascii="宋体" w:hAnsi="宋体" w:cs="宋体"/>
          <w:color w:val="auto"/>
          <w:sz w:val="21"/>
          <w:szCs w:val="21"/>
          <w:highlight w:val="none"/>
        </w:rPr>
      </w:pPr>
    </w:p>
    <w:p w14:paraId="52C74FDA">
      <w:pPr>
        <w:keepNext w:val="0"/>
        <w:keepLines w:val="0"/>
        <w:pageBreakBefore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本授权书声明：我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（法定代表人姓名、职务）是</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（单位名称）的法人代表，现授权委托本单位在职职工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（姓名，被授权人必须为本单位正式在职员工）为全权代表，以我方的名义参加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（项目编号）的投标活动，并代表我方全权办理针对上述项目的投标（包括提供样品、视频演示光盘或U盘）、开标、评标、签约等具体事务和签署相关文件。我方对全权代表的签名事项负全部责任。</w:t>
      </w:r>
    </w:p>
    <w:p w14:paraId="69DA7C82">
      <w:pPr>
        <w:keepNext w:val="0"/>
        <w:keepLines w:val="0"/>
        <w:pageBreakBefore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全权代表无转委托权，特此委托。</w:t>
      </w:r>
    </w:p>
    <w:p w14:paraId="4E1A4C50">
      <w:pPr>
        <w:keepNext w:val="0"/>
        <w:keepLines w:val="0"/>
        <w:pageBreakBefore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本授权书于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日签字生效，特此声明。</w:t>
      </w:r>
    </w:p>
    <w:p w14:paraId="2A277CAC">
      <w:pPr>
        <w:keepNext w:val="0"/>
        <w:keepLines w:val="0"/>
        <w:pageBreakBefore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法定代表人（签字或盖章）：</w:t>
      </w:r>
      <w:r>
        <w:rPr>
          <w:rFonts w:hint="eastAsia" w:ascii="宋体" w:hAnsi="宋体" w:cs="宋体"/>
          <w:color w:val="auto"/>
          <w:sz w:val="21"/>
          <w:szCs w:val="21"/>
          <w:highlight w:val="none"/>
          <w:u w:val="single"/>
        </w:rPr>
        <w:t xml:space="preserve">                            </w:t>
      </w:r>
    </w:p>
    <w:p w14:paraId="67A2C7F1">
      <w:pPr>
        <w:keepNext w:val="0"/>
        <w:keepLines w:val="0"/>
        <w:pageBreakBefore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授权委托人（签字或盖章）：</w:t>
      </w:r>
      <w:r>
        <w:rPr>
          <w:rFonts w:hint="eastAsia" w:ascii="宋体" w:hAnsi="宋体" w:cs="宋体"/>
          <w:color w:val="auto"/>
          <w:sz w:val="21"/>
          <w:szCs w:val="21"/>
          <w:highlight w:val="none"/>
          <w:u w:val="single"/>
        </w:rPr>
        <w:t xml:space="preserve">                            </w:t>
      </w:r>
    </w:p>
    <w:p w14:paraId="3759C489">
      <w:pPr>
        <w:keepNext w:val="0"/>
        <w:keepLines w:val="0"/>
        <w:pageBreakBefore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xml:space="preserve">：                                      </w:t>
      </w:r>
    </w:p>
    <w:p w14:paraId="6BE02E19">
      <w:pPr>
        <w:keepNext w:val="0"/>
        <w:keepLines w:val="0"/>
        <w:pageBreakBefore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响应人</w:t>
      </w:r>
      <w:r>
        <w:rPr>
          <w:rFonts w:hint="eastAsia" w:ascii="宋体" w:hAnsi="宋体" w:cs="宋体"/>
          <w:color w:val="auto"/>
          <w:sz w:val="21"/>
          <w:szCs w:val="21"/>
          <w:highlight w:val="none"/>
        </w:rPr>
        <w:t>全称（电子签章）</w:t>
      </w:r>
      <w:r>
        <w:rPr>
          <w:rFonts w:hint="eastAsia" w:ascii="宋体" w:hAnsi="宋体" w:cs="宋体"/>
          <w:color w:val="auto"/>
          <w:sz w:val="21"/>
          <w:szCs w:val="21"/>
          <w:highlight w:val="none"/>
          <w:u w:val="single"/>
        </w:rPr>
        <w:t xml:space="preserve">                          </w:t>
      </w:r>
    </w:p>
    <w:p w14:paraId="5361067B">
      <w:pPr>
        <w:keepNext w:val="0"/>
        <w:keepLines w:val="0"/>
        <w:pageBreakBefore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3881565A">
      <w:pPr>
        <w:keepNext w:val="0"/>
        <w:keepLines w:val="0"/>
        <w:pageBreakBefore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cs="宋体"/>
          <w:color w:val="auto"/>
          <w:sz w:val="21"/>
          <w:szCs w:val="21"/>
          <w:highlight w:val="none"/>
        </w:rPr>
      </w:pPr>
    </w:p>
    <w:p w14:paraId="22FAC7AC">
      <w:pPr>
        <w:keepNext w:val="0"/>
        <w:keepLines w:val="0"/>
        <w:pageBreakBefore w:val="0"/>
        <w:kinsoku/>
        <w:wordWrap/>
        <w:overflowPunct/>
        <w:topLinePunct w:val="0"/>
        <w:autoSpaceDE/>
        <w:autoSpaceDN/>
        <w:bidi w:val="0"/>
        <w:adjustRightInd/>
        <w:spacing w:line="480" w:lineRule="auto"/>
        <w:ind w:firstLine="422" w:firstLineChars="200"/>
        <w:jc w:val="both"/>
        <w:textAlignment w:val="auto"/>
        <w:outlineLvl w:val="9"/>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注：附授权委托人身份证（正、反面）扫描件</w:t>
      </w:r>
    </w:p>
    <w:p w14:paraId="7046CE4C">
      <w:pPr>
        <w:keepNext w:val="0"/>
        <w:keepLines w:val="0"/>
        <w:pageBreakBefore w:val="0"/>
        <w:kinsoku/>
        <w:wordWrap/>
        <w:overflowPunct/>
        <w:topLinePunct w:val="0"/>
        <w:autoSpaceDE/>
        <w:autoSpaceDN/>
        <w:bidi w:val="0"/>
        <w:adjustRightInd/>
        <w:snapToGrid w:val="0"/>
        <w:spacing w:line="480" w:lineRule="auto"/>
        <w:ind w:firstLine="420" w:firstLineChars="200"/>
        <w:jc w:val="both"/>
        <w:textAlignment w:val="auto"/>
        <w:outlineLvl w:val="9"/>
        <w:rPr>
          <w:rFonts w:ascii="宋体" w:hAnsi="宋体" w:cs="宋体"/>
          <w:color w:val="auto"/>
          <w:sz w:val="21"/>
          <w:szCs w:val="21"/>
          <w:highlight w:val="none"/>
        </w:rPr>
      </w:pPr>
    </w:p>
    <w:p w14:paraId="13743709">
      <w:pPr>
        <w:keepNext w:val="0"/>
        <w:keepLines w:val="0"/>
        <w:pageBreakBefore w:val="0"/>
        <w:widowControl/>
        <w:kinsoku/>
        <w:wordWrap/>
        <w:overflowPunct/>
        <w:topLinePunct w:val="0"/>
        <w:autoSpaceDE/>
        <w:autoSpaceDN/>
        <w:bidi w:val="0"/>
        <w:adjustRightInd/>
        <w:spacing w:line="480" w:lineRule="auto"/>
        <w:ind w:firstLine="420" w:firstLineChars="200"/>
        <w:jc w:val="both"/>
        <w:textAlignment w:val="auto"/>
        <w:outlineLvl w:val="9"/>
        <w:rPr>
          <w:rFonts w:ascii="宋体" w:hAnsi="宋体" w:cs="宋体"/>
          <w:b/>
          <w:bCs/>
          <w:color w:val="auto"/>
          <w:kern w:val="0"/>
          <w:sz w:val="21"/>
          <w:szCs w:val="21"/>
          <w:highlight w:val="none"/>
        </w:rPr>
      </w:pPr>
      <w:r>
        <w:rPr>
          <w:rFonts w:ascii="仿宋" w:hAnsi="仿宋" w:eastAsia="仿宋"/>
          <w:color w:val="auto"/>
          <w:sz w:val="21"/>
          <w:szCs w:val="21"/>
          <w:highlight w:val="none"/>
        </w:rPr>
        <w:br w:type="page"/>
      </w:r>
      <w:bookmarkEnd w:id="167"/>
      <w:bookmarkEnd w:id="168"/>
      <w:bookmarkEnd w:id="169"/>
      <w:bookmarkEnd w:id="170"/>
      <w:bookmarkEnd w:id="171"/>
      <w:bookmarkEnd w:id="172"/>
    </w:p>
    <w:p w14:paraId="39A122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color w:val="auto"/>
          <w:kern w:val="0"/>
          <w:sz w:val="30"/>
          <w:szCs w:val="30"/>
          <w:highlight w:val="none"/>
        </w:rPr>
      </w:pPr>
      <w:bookmarkStart w:id="173" w:name="_Toc476230931"/>
      <w:bookmarkStart w:id="174" w:name="_Toc476230655"/>
      <w:bookmarkStart w:id="175" w:name="_Toc504642697"/>
      <w:bookmarkStart w:id="176" w:name="_Toc476229724"/>
      <w:bookmarkStart w:id="177" w:name="_Toc476230519"/>
      <w:bookmarkStart w:id="178" w:name="_Toc495666249"/>
      <w:r>
        <w:rPr>
          <w:rFonts w:hint="eastAsia" w:ascii="宋体" w:hAnsi="宋体" w:cs="宋体"/>
          <w:b/>
          <w:bCs/>
          <w:color w:val="auto"/>
          <w:kern w:val="0"/>
          <w:sz w:val="30"/>
          <w:szCs w:val="30"/>
          <w:highlight w:val="none"/>
          <w:lang w:val="en-US" w:eastAsia="zh-CN"/>
        </w:rPr>
        <w:t>五、</w:t>
      </w:r>
      <w:r>
        <w:rPr>
          <w:rFonts w:hint="eastAsia" w:ascii="宋体" w:hAnsi="宋体" w:cs="宋体"/>
          <w:b/>
          <w:bCs/>
          <w:color w:val="auto"/>
          <w:kern w:val="0"/>
          <w:sz w:val="30"/>
          <w:szCs w:val="30"/>
          <w:highlight w:val="none"/>
        </w:rPr>
        <w:t>中小企业声明函</w:t>
      </w:r>
    </w:p>
    <w:p w14:paraId="0E2EE40D">
      <w:pPr>
        <w:keepLines w:val="0"/>
        <w:pageBreakBefore w:val="0"/>
        <w:widowControl w:val="0"/>
        <w:kinsoku/>
        <w:wordWrap/>
        <w:overflowPunct/>
        <w:topLinePunct w:val="0"/>
        <w:autoSpaceDE/>
        <w:autoSpaceDN/>
        <w:bidi w:val="0"/>
        <w:adjustRightInd/>
        <w:spacing w:line="360" w:lineRule="auto"/>
        <w:ind w:firstLine="0" w:firstLineChars="0"/>
        <w:jc w:val="both"/>
        <w:textAlignment w:val="auto"/>
        <w:outlineLvl w:val="9"/>
        <w:rPr>
          <w:rFonts w:hint="eastAsia" w:ascii="宋体" w:hAnsi="宋体" w:eastAsia="宋体" w:cs="宋体"/>
          <w:color w:val="auto"/>
          <w:sz w:val="22"/>
          <w:szCs w:val="22"/>
          <w:highlight w:val="none"/>
        </w:rPr>
      </w:pPr>
    </w:p>
    <w:p w14:paraId="14CCB1F9">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 （联合体）参加</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xml:space="preserve">采购活动，提供的货物全部由符合政策要求的中小企业制造。相关企业（含联合体中的中小企业、签订分包意向协议的中小企业）的具体情况如下： </w:t>
      </w:r>
    </w:p>
    <w:p w14:paraId="7D7C351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w:t>
      </w:r>
      <w:r>
        <w:rPr>
          <w:rFonts w:hint="eastAsia" w:ascii="宋体" w:hAnsi="宋体" w:eastAsia="宋体" w:cs="宋体"/>
          <w:color w:val="auto"/>
          <w:sz w:val="21"/>
          <w:szCs w:val="21"/>
          <w:highlight w:val="none"/>
          <w:u w:val="single"/>
        </w:rPr>
        <w:t xml:space="preserve">（采购文件中明确的所属行业） </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 xml:space="preserve"> 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 型企业、微型企业）</w:t>
      </w:r>
      <w:r>
        <w:rPr>
          <w:rFonts w:hint="eastAsia" w:ascii="宋体" w:hAnsi="宋体" w:eastAsia="宋体" w:cs="宋体"/>
          <w:color w:val="auto"/>
          <w:sz w:val="21"/>
          <w:szCs w:val="21"/>
          <w:highlight w:val="none"/>
        </w:rPr>
        <w:t xml:space="preserve">； </w:t>
      </w:r>
    </w:p>
    <w:p w14:paraId="4BDB31AF">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w:t>
      </w:r>
      <w:r>
        <w:rPr>
          <w:rFonts w:hint="eastAsia" w:ascii="宋体" w:hAnsi="宋体" w:eastAsia="宋体" w:cs="宋体"/>
          <w:color w:val="auto"/>
          <w:sz w:val="21"/>
          <w:szCs w:val="21"/>
          <w:highlight w:val="none"/>
          <w:u w:val="single"/>
        </w:rPr>
        <w:t xml:space="preserve">采购文件中明确的所属行业） </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53803CB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5E2F1C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319BF7A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267A0F7F">
      <w:pPr>
        <w:keepNext w:val="0"/>
        <w:keepLines w:val="0"/>
        <w:pageBreakBefore w:val="0"/>
        <w:widowControl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color w:val="auto"/>
          <w:sz w:val="21"/>
          <w:szCs w:val="21"/>
          <w:highlight w:val="none"/>
        </w:rPr>
      </w:pPr>
    </w:p>
    <w:p w14:paraId="48AF2CD3">
      <w:pPr>
        <w:keepNext w:val="0"/>
        <w:keepLines w:val="0"/>
        <w:pageBreakBefore w:val="0"/>
        <w:widowControl w:val="0"/>
        <w:kinsoku/>
        <w:wordWrap/>
        <w:overflowPunct/>
        <w:topLinePunct w:val="0"/>
        <w:autoSpaceDE/>
        <w:autoSpaceDN/>
        <w:bidi w:val="0"/>
        <w:adjustRightInd/>
        <w:snapToGrid/>
        <w:spacing w:line="480" w:lineRule="auto"/>
        <w:ind w:firstLine="4200" w:firstLineChars="20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投标人全称（电子签章）：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6428D940">
      <w:pPr>
        <w:pStyle w:val="17"/>
        <w:keepNext w:val="0"/>
        <w:keepLines w:val="0"/>
        <w:pageBreakBefore w:val="0"/>
        <w:widowControl w:val="0"/>
        <w:kinsoku/>
        <w:wordWrap/>
        <w:overflowPunct/>
        <w:topLinePunct w:val="0"/>
        <w:autoSpaceDE/>
        <w:autoSpaceDN/>
        <w:bidi w:val="0"/>
        <w:adjustRightInd/>
        <w:snapToGrid/>
        <w:spacing w:line="480" w:lineRule="auto"/>
        <w:ind w:firstLine="4200" w:firstLineChars="2000"/>
        <w:jc w:val="both"/>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日 期：</w:t>
      </w:r>
      <w:r>
        <w:rPr>
          <w:rFonts w:hint="eastAsia" w:hAnsi="宋体" w:cs="宋体"/>
          <w:color w:val="auto"/>
          <w:sz w:val="21"/>
          <w:szCs w:val="21"/>
          <w:highlight w:val="none"/>
          <w:u w:val="single"/>
        </w:rPr>
        <w:t xml:space="preserve">                           </w:t>
      </w:r>
      <w:r>
        <w:rPr>
          <w:rFonts w:hint="eastAsia" w:hAnsi="宋体" w:cs="宋体"/>
          <w:color w:val="auto"/>
          <w:spacing w:val="6"/>
          <w:sz w:val="21"/>
          <w:szCs w:val="21"/>
          <w:highlight w:val="none"/>
        </w:rPr>
        <w:t xml:space="preserve"> </w:t>
      </w:r>
    </w:p>
    <w:p w14:paraId="44FAE1B4">
      <w:pPr>
        <w:pStyle w:val="17"/>
        <w:keepNext w:val="0"/>
        <w:keepLines w:val="0"/>
        <w:pageBreakBefore w:val="0"/>
        <w:widowControl w:val="0"/>
        <w:kinsoku/>
        <w:wordWrap/>
        <w:overflowPunct/>
        <w:topLinePunct w:val="0"/>
        <w:autoSpaceDE/>
        <w:autoSpaceDN/>
        <w:bidi w:val="0"/>
        <w:adjustRightInd/>
        <w:snapToGrid/>
        <w:spacing w:line="480" w:lineRule="auto"/>
        <w:ind w:firstLine="0" w:firstLineChars="0"/>
        <w:jc w:val="both"/>
        <w:textAlignment w:val="auto"/>
        <w:outlineLvl w:val="9"/>
        <w:rPr>
          <w:rFonts w:hint="eastAsia" w:hAnsi="宋体" w:eastAsia="宋体" w:cs="宋体"/>
          <w:color w:val="auto"/>
          <w:position w:val="6"/>
          <w:sz w:val="21"/>
          <w:szCs w:val="21"/>
          <w:highlight w:val="none"/>
          <w:lang w:eastAsia="zh-CN"/>
        </w:rPr>
      </w:pPr>
    </w:p>
    <w:p w14:paraId="61AAE1D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color w:val="auto"/>
          <w:highlight w:val="none"/>
          <w:lang w:eastAsia="zh-CN" w:bidi="ar"/>
        </w:rPr>
      </w:pPr>
      <w:bookmarkStart w:id="179" w:name="_Toc16110"/>
      <w:r>
        <w:rPr>
          <w:rFonts w:hint="eastAsia" w:ascii="宋体" w:hAnsi="宋体" w:eastAsia="宋体" w:cs="宋体"/>
          <w:b/>
          <w:bCs w:val="0"/>
          <w:color w:val="auto"/>
          <w:sz w:val="21"/>
          <w:szCs w:val="21"/>
          <w:highlight w:val="none"/>
          <w:lang w:eastAsia="zh-CN" w:bidi="ar"/>
        </w:rPr>
        <w:t>注：</w:t>
      </w:r>
      <w:r>
        <w:rPr>
          <w:rFonts w:hint="eastAsia" w:ascii="宋体" w:hAnsi="宋体" w:eastAsia="宋体" w:cs="宋体"/>
          <w:b w:val="0"/>
          <w:bCs/>
          <w:color w:val="auto"/>
          <w:sz w:val="21"/>
          <w:szCs w:val="21"/>
          <w:highlight w:val="none"/>
          <w:lang w:eastAsia="zh-CN" w:bidi="ar"/>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不享受中小企业扶持政策。声明内容不实的，属于提供虚假材料谋取中标、成交的，依法承担法律责任。</w:t>
      </w:r>
    </w:p>
    <w:p w14:paraId="736F4758">
      <w:pPr>
        <w:keepNext w:val="0"/>
        <w:keepLines w:val="0"/>
        <w:pageBreakBefore w:val="0"/>
        <w:widowControl/>
        <w:kinsoku/>
        <w:wordWrap/>
        <w:overflowPunct/>
        <w:topLinePunct w:val="0"/>
        <w:autoSpaceDE/>
        <w:autoSpaceDN/>
        <w:bidi w:val="0"/>
        <w:adjustRightInd/>
        <w:snapToGrid/>
        <w:spacing w:line="480" w:lineRule="auto"/>
        <w:jc w:val="both"/>
        <w:textAlignment w:val="auto"/>
        <w:outlineLvl w:val="9"/>
        <w:rPr>
          <w:rFonts w:hint="eastAsia" w:ascii="宋体" w:hAnsi="宋体" w:cs="宋体"/>
          <w:b w:val="0"/>
          <w:bCs/>
          <w:color w:val="auto"/>
          <w:kern w:val="0"/>
          <w:sz w:val="21"/>
          <w:szCs w:val="21"/>
          <w:highlight w:val="none"/>
          <w:lang w:eastAsia="zh-CN"/>
        </w:rPr>
      </w:pPr>
    </w:p>
    <w:p w14:paraId="36281FB7">
      <w:pPr>
        <w:keepNext w:val="0"/>
        <w:keepLines w:val="0"/>
        <w:pageBreakBefore w:val="0"/>
        <w:widowControl/>
        <w:kinsoku/>
        <w:wordWrap/>
        <w:overflowPunct/>
        <w:topLinePunct w:val="0"/>
        <w:autoSpaceDE/>
        <w:autoSpaceDN/>
        <w:bidi w:val="0"/>
        <w:adjustRightInd/>
        <w:snapToGrid/>
        <w:spacing w:line="480" w:lineRule="auto"/>
        <w:jc w:val="both"/>
        <w:textAlignment w:val="auto"/>
        <w:outlineLvl w:val="9"/>
        <w:rPr>
          <w:rFonts w:hint="eastAsia" w:ascii="宋体" w:hAnsi="宋体" w:cs="宋体"/>
          <w:b w:val="0"/>
          <w:bCs/>
          <w:color w:val="auto"/>
          <w:kern w:val="0"/>
          <w:sz w:val="21"/>
          <w:szCs w:val="21"/>
          <w:highlight w:val="none"/>
          <w:lang w:eastAsia="zh-CN"/>
        </w:rPr>
        <w:sectPr>
          <w:pgSz w:w="11906" w:h="16838"/>
          <w:pgMar w:top="1361" w:right="1304" w:bottom="1191" w:left="1304" w:header="765" w:footer="992" w:gutter="0"/>
          <w:pgNumType w:fmt="decimal"/>
          <w:cols w:space="720" w:num="1"/>
          <w:rtlGutter w:val="0"/>
          <w:docGrid w:type="lines" w:linePitch="320" w:charSpace="0"/>
        </w:sectPr>
      </w:pPr>
    </w:p>
    <w:bookmarkEnd w:id="179"/>
    <w:p w14:paraId="12502B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六、</w:t>
      </w:r>
      <w:r>
        <w:rPr>
          <w:rFonts w:hint="eastAsia" w:ascii="宋体" w:hAnsi="宋体" w:cs="宋体"/>
          <w:b/>
          <w:bCs/>
          <w:color w:val="auto"/>
          <w:kern w:val="0"/>
          <w:sz w:val="30"/>
          <w:szCs w:val="30"/>
          <w:highlight w:val="none"/>
        </w:rPr>
        <w:t xml:space="preserve">残疾人福利性单位声明函 </w:t>
      </w:r>
    </w:p>
    <w:p w14:paraId="0E2F5F37">
      <w:pPr>
        <w:keepNext w:val="0"/>
        <w:keepLines w:val="0"/>
        <w:pageBreakBefore w:val="0"/>
        <w:widowControl w:val="0"/>
        <w:kinsoku/>
        <w:wordWrap/>
        <w:overflowPunct/>
        <w:topLinePunct w:val="0"/>
        <w:autoSpaceDE/>
        <w:autoSpaceDN/>
        <w:bidi w:val="0"/>
        <w:adjustRightInd/>
        <w:spacing w:line="480" w:lineRule="auto"/>
        <w:ind w:firstLine="444" w:firstLineChars="200"/>
        <w:textAlignment w:val="auto"/>
        <w:outlineLvl w:val="9"/>
        <w:rPr>
          <w:rFonts w:hint="eastAsia" w:ascii="宋体" w:hAnsi="宋体" w:eastAsia="宋体" w:cs="宋体"/>
          <w:b w:val="0"/>
          <w:bCs/>
          <w:color w:val="auto"/>
          <w:spacing w:val="6"/>
          <w:sz w:val="21"/>
          <w:szCs w:val="21"/>
          <w:highlight w:val="none"/>
        </w:rPr>
      </w:pPr>
    </w:p>
    <w:p w14:paraId="0B360ACC">
      <w:pPr>
        <w:keepNext w:val="0"/>
        <w:keepLines w:val="0"/>
        <w:pageBreakBefore w:val="0"/>
        <w:widowControl w:val="0"/>
        <w:kinsoku/>
        <w:wordWrap/>
        <w:overflowPunct/>
        <w:topLinePunct w:val="0"/>
        <w:autoSpaceDE/>
        <w:autoSpaceDN/>
        <w:bidi w:val="0"/>
        <w:adjustRightInd/>
        <w:snapToGrid w:val="0"/>
        <w:spacing w:line="480" w:lineRule="auto"/>
        <w:ind w:firstLine="444" w:firstLineChars="200"/>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单位的</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项目采购活动提供本单位制造的货物（由本单位承担工程/提供服务），或者提供其他残疾人福利性单位制造的货物（不包括使用非残疾人福利性单位注册商标的货物）。</w:t>
      </w:r>
    </w:p>
    <w:p w14:paraId="3186BDE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0354226F">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hint="eastAsia" w:ascii="宋体" w:hAnsi="宋体" w:eastAsia="宋体" w:cs="宋体"/>
          <w:color w:val="auto"/>
          <w:sz w:val="21"/>
          <w:szCs w:val="21"/>
          <w:highlight w:val="none"/>
        </w:rPr>
      </w:pPr>
    </w:p>
    <w:p w14:paraId="3A736A32">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hint="eastAsia" w:ascii="宋体" w:hAnsi="宋体" w:eastAsia="宋体" w:cs="宋体"/>
          <w:color w:val="auto"/>
          <w:sz w:val="21"/>
          <w:szCs w:val="21"/>
          <w:highlight w:val="none"/>
        </w:rPr>
      </w:pPr>
    </w:p>
    <w:p w14:paraId="27126B94">
      <w:pPr>
        <w:keepNext w:val="0"/>
        <w:keepLines w:val="0"/>
        <w:pageBreakBefore w:val="0"/>
        <w:widowControl w:val="0"/>
        <w:kinsoku/>
        <w:wordWrap/>
        <w:overflowPunct/>
        <w:topLinePunct w:val="0"/>
        <w:autoSpaceDE/>
        <w:autoSpaceDN/>
        <w:bidi w:val="0"/>
        <w:adjustRightInd/>
        <w:spacing w:line="480" w:lineRule="auto"/>
        <w:ind w:firstLine="4200" w:firstLineChars="2000"/>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投标人全称（电子签章）：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76B6A728">
      <w:pPr>
        <w:keepNext w:val="0"/>
        <w:keepLines w:val="0"/>
        <w:pageBreakBefore w:val="0"/>
        <w:widowControl w:val="0"/>
        <w:kinsoku/>
        <w:wordWrap/>
        <w:overflowPunct/>
        <w:topLinePunct w:val="0"/>
        <w:autoSpaceDE/>
        <w:autoSpaceDN/>
        <w:bidi w:val="0"/>
        <w:adjustRightInd/>
        <w:snapToGrid w:val="0"/>
        <w:spacing w:line="480" w:lineRule="auto"/>
        <w:ind w:firstLine="4200" w:firstLineChars="2000"/>
        <w:jc w:val="both"/>
        <w:textAlignment w:val="auto"/>
        <w:outlineLvl w:val="9"/>
        <w:rPr>
          <w:rFonts w:hint="eastAsia" w:ascii="仿宋" w:hAnsi="仿宋" w:eastAsia="仿宋" w:cs="仿宋"/>
          <w:color w:val="auto"/>
          <w:sz w:val="21"/>
          <w:szCs w:val="21"/>
          <w:highlight w:val="none"/>
          <w:u w:val="singl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13FB0A19">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仿宋" w:hAnsi="仿宋" w:eastAsia="仿宋" w:cs="仿宋"/>
          <w:color w:val="auto"/>
          <w:sz w:val="21"/>
          <w:szCs w:val="21"/>
          <w:highlight w:val="none"/>
          <w:u w:val="single"/>
        </w:rPr>
      </w:pPr>
    </w:p>
    <w:p w14:paraId="0E60BE9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仿宋" w:hAnsi="仿宋" w:eastAsia="仿宋" w:cs="仿宋"/>
          <w:color w:val="auto"/>
          <w:sz w:val="21"/>
          <w:szCs w:val="21"/>
          <w:highlight w:val="none"/>
          <w:u w:val="single"/>
        </w:rPr>
      </w:pPr>
    </w:p>
    <w:p w14:paraId="21EDDEC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仿宋" w:hAnsi="仿宋" w:eastAsia="仿宋" w:cs="仿宋"/>
          <w:color w:val="auto"/>
          <w:sz w:val="21"/>
          <w:szCs w:val="21"/>
          <w:highlight w:val="none"/>
          <w:u w:val="single"/>
        </w:rPr>
      </w:pPr>
    </w:p>
    <w:p w14:paraId="40E972C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仿宋" w:hAnsi="仿宋" w:eastAsia="仿宋" w:cs="仿宋"/>
          <w:color w:val="auto"/>
          <w:sz w:val="21"/>
          <w:szCs w:val="21"/>
          <w:highlight w:val="none"/>
          <w:u w:val="single"/>
        </w:rPr>
      </w:pPr>
    </w:p>
    <w:p w14:paraId="526F6060">
      <w:pPr>
        <w:keepNext w:val="0"/>
        <w:keepLines w:val="0"/>
        <w:pageBreakBefore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注：</w:t>
      </w:r>
      <w:r>
        <w:rPr>
          <w:rFonts w:hint="eastAsia" w:ascii="宋体" w:hAnsi="宋体" w:eastAsia="宋体" w:cs="宋体"/>
          <w:b w:val="0"/>
          <w:bCs w:val="0"/>
          <w:color w:val="auto"/>
          <w:spacing w:val="6"/>
          <w:sz w:val="21"/>
          <w:szCs w:val="21"/>
          <w:highlight w:val="none"/>
        </w:rPr>
        <w:t>投标人不属于残疾人福利性单位的，无需提供此声明函。</w:t>
      </w:r>
    </w:p>
    <w:p w14:paraId="3B01C4CA">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color w:val="auto"/>
          <w:sz w:val="21"/>
          <w:szCs w:val="21"/>
          <w:highlight w:val="none"/>
          <w:u w:val="none"/>
          <w:lang w:eastAsia="zh-CN"/>
        </w:rPr>
      </w:pPr>
    </w:p>
    <w:p w14:paraId="712997F5">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color w:val="auto"/>
          <w:sz w:val="21"/>
          <w:szCs w:val="21"/>
          <w:highlight w:val="none"/>
          <w:u w:val="none"/>
          <w:lang w:eastAsia="zh-CN"/>
        </w:rPr>
      </w:pPr>
    </w:p>
    <w:p w14:paraId="78E9A2F7">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color w:val="auto"/>
          <w:sz w:val="21"/>
          <w:szCs w:val="21"/>
          <w:highlight w:val="none"/>
          <w:u w:val="none"/>
          <w:lang w:eastAsia="zh-CN"/>
        </w:rPr>
      </w:pPr>
    </w:p>
    <w:p w14:paraId="5B865713">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color w:val="auto"/>
          <w:sz w:val="21"/>
          <w:szCs w:val="21"/>
          <w:highlight w:val="none"/>
          <w:u w:val="none"/>
          <w:lang w:eastAsia="zh-CN"/>
        </w:rPr>
        <w:sectPr>
          <w:pgSz w:w="11906" w:h="16838"/>
          <w:pgMar w:top="1361" w:right="1304" w:bottom="1191" w:left="1304" w:header="765" w:footer="992" w:gutter="0"/>
          <w:pgNumType w:fmt="decimal"/>
          <w:cols w:space="720" w:num="1"/>
          <w:rtlGutter w:val="0"/>
          <w:docGrid w:type="lines" w:linePitch="320" w:charSpace="0"/>
        </w:sectPr>
      </w:pPr>
    </w:p>
    <w:p w14:paraId="69F83B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七、</w:t>
      </w:r>
      <w:r>
        <w:rPr>
          <w:rFonts w:hint="eastAsia" w:ascii="宋体" w:hAnsi="宋体" w:cs="宋体"/>
          <w:b/>
          <w:bCs/>
          <w:color w:val="auto"/>
          <w:kern w:val="0"/>
          <w:sz w:val="30"/>
          <w:szCs w:val="30"/>
          <w:highlight w:val="none"/>
        </w:rPr>
        <w:t>省级以上监狱管理局、戒毒管理局（含新疆生产建设兵团）出具的属于监狱企业的证明文件</w:t>
      </w:r>
    </w:p>
    <w:p w14:paraId="4E4B7C54">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cs="宋体"/>
          <w:b/>
          <w:color w:val="auto"/>
          <w:kern w:val="0"/>
          <w:sz w:val="22"/>
          <w:szCs w:val="22"/>
          <w:highlight w:val="none"/>
        </w:rPr>
      </w:pPr>
    </w:p>
    <w:p w14:paraId="1C713033">
      <w:pPr>
        <w:keepNext w:val="0"/>
        <w:keepLines w:val="0"/>
        <w:pageBreakBefore w:val="0"/>
        <w:widowControl w:val="0"/>
        <w:kinsoku/>
        <w:wordWrap/>
        <w:overflowPunct/>
        <w:topLinePunct w:val="0"/>
        <w:bidi w:val="0"/>
        <w:snapToGrid/>
        <w:spacing w:line="360" w:lineRule="auto"/>
        <w:jc w:val="both"/>
        <w:textAlignment w:val="auto"/>
        <w:outlineLvl w:val="9"/>
        <w:rPr>
          <w:rFonts w:ascii="仿宋" w:hAnsi="仿宋" w:eastAsia="仿宋" w:cs="宋体"/>
          <w:b/>
          <w:color w:val="auto"/>
          <w:kern w:val="0"/>
          <w:sz w:val="22"/>
          <w:szCs w:val="22"/>
          <w:highlight w:val="none"/>
        </w:rPr>
      </w:pPr>
    </w:p>
    <w:p w14:paraId="0940A93D">
      <w:pPr>
        <w:keepNext w:val="0"/>
        <w:keepLines w:val="0"/>
        <w:pageBreakBefore w:val="0"/>
        <w:widowControl w:val="0"/>
        <w:kinsoku/>
        <w:wordWrap/>
        <w:overflowPunct/>
        <w:topLinePunct w:val="0"/>
        <w:bidi w:val="0"/>
        <w:snapToGrid/>
        <w:spacing w:line="360" w:lineRule="auto"/>
        <w:jc w:val="both"/>
        <w:textAlignment w:val="auto"/>
        <w:outlineLvl w:val="9"/>
        <w:rPr>
          <w:rFonts w:ascii="仿宋" w:hAnsi="仿宋" w:eastAsia="仿宋" w:cs="宋体"/>
          <w:b/>
          <w:color w:val="auto"/>
          <w:kern w:val="0"/>
          <w:sz w:val="22"/>
          <w:szCs w:val="22"/>
          <w:highlight w:val="none"/>
        </w:rPr>
      </w:pPr>
    </w:p>
    <w:p w14:paraId="20F60505">
      <w:pPr>
        <w:keepNext w:val="0"/>
        <w:keepLines w:val="0"/>
        <w:pageBreakBefore w:val="0"/>
        <w:widowControl w:val="0"/>
        <w:kinsoku/>
        <w:wordWrap/>
        <w:overflowPunct/>
        <w:topLinePunct w:val="0"/>
        <w:bidi w:val="0"/>
        <w:snapToGrid/>
        <w:spacing w:line="360" w:lineRule="auto"/>
        <w:jc w:val="both"/>
        <w:textAlignment w:val="auto"/>
        <w:outlineLvl w:val="9"/>
        <w:rPr>
          <w:rFonts w:ascii="仿宋" w:hAnsi="仿宋" w:eastAsia="仿宋" w:cs="宋体"/>
          <w:b/>
          <w:color w:val="auto"/>
          <w:kern w:val="0"/>
          <w:sz w:val="22"/>
          <w:szCs w:val="22"/>
          <w:highlight w:val="none"/>
        </w:rPr>
      </w:pPr>
    </w:p>
    <w:p w14:paraId="14572D86">
      <w:pPr>
        <w:keepNext w:val="0"/>
        <w:keepLines w:val="0"/>
        <w:pageBreakBefore w:val="0"/>
        <w:widowControl w:val="0"/>
        <w:kinsoku/>
        <w:wordWrap/>
        <w:overflowPunct/>
        <w:topLinePunct w:val="0"/>
        <w:bidi w:val="0"/>
        <w:snapToGrid/>
        <w:spacing w:line="360" w:lineRule="auto"/>
        <w:jc w:val="both"/>
        <w:textAlignment w:val="auto"/>
        <w:outlineLvl w:val="9"/>
        <w:rPr>
          <w:rFonts w:ascii="仿宋" w:hAnsi="仿宋" w:eastAsia="仿宋" w:cs="宋体"/>
          <w:b/>
          <w:color w:val="auto"/>
          <w:kern w:val="0"/>
          <w:sz w:val="22"/>
          <w:szCs w:val="22"/>
          <w:highlight w:val="none"/>
        </w:rPr>
      </w:pPr>
    </w:p>
    <w:p w14:paraId="2949035A">
      <w:pPr>
        <w:keepNext w:val="0"/>
        <w:keepLines w:val="0"/>
        <w:pageBreakBefore w:val="0"/>
        <w:widowControl w:val="0"/>
        <w:kinsoku/>
        <w:wordWrap/>
        <w:overflowPunct/>
        <w:topLinePunct w:val="0"/>
        <w:bidi w:val="0"/>
        <w:snapToGrid/>
        <w:spacing w:line="360" w:lineRule="auto"/>
        <w:jc w:val="both"/>
        <w:textAlignment w:val="auto"/>
        <w:outlineLvl w:val="9"/>
        <w:rPr>
          <w:rFonts w:ascii="仿宋" w:hAnsi="仿宋" w:eastAsia="仿宋" w:cs="宋体"/>
          <w:b/>
          <w:color w:val="auto"/>
          <w:kern w:val="0"/>
          <w:sz w:val="22"/>
          <w:szCs w:val="22"/>
          <w:highlight w:val="none"/>
        </w:rPr>
      </w:pPr>
    </w:p>
    <w:p w14:paraId="564D24BB">
      <w:pPr>
        <w:keepNext w:val="0"/>
        <w:keepLines w:val="0"/>
        <w:pageBreakBefore w:val="0"/>
        <w:widowControl w:val="0"/>
        <w:kinsoku/>
        <w:wordWrap/>
        <w:overflowPunct/>
        <w:topLinePunct w:val="0"/>
        <w:bidi w:val="0"/>
        <w:snapToGrid/>
        <w:spacing w:line="360" w:lineRule="auto"/>
        <w:jc w:val="both"/>
        <w:textAlignment w:val="auto"/>
        <w:outlineLvl w:val="9"/>
        <w:rPr>
          <w:rFonts w:ascii="仿宋" w:hAnsi="仿宋" w:eastAsia="仿宋" w:cs="宋体"/>
          <w:b/>
          <w:color w:val="auto"/>
          <w:kern w:val="0"/>
          <w:sz w:val="22"/>
          <w:szCs w:val="22"/>
          <w:highlight w:val="none"/>
        </w:rPr>
      </w:pPr>
    </w:p>
    <w:p w14:paraId="433A6E23">
      <w:pPr>
        <w:keepNext w:val="0"/>
        <w:keepLines w:val="0"/>
        <w:pageBreakBefore w:val="0"/>
        <w:widowControl w:val="0"/>
        <w:tabs>
          <w:tab w:val="left" w:pos="863"/>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注：投标人不属于监狱企业的，可不提供。</w:t>
      </w:r>
    </w:p>
    <w:p w14:paraId="3A0F749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kern w:val="0"/>
          <w:sz w:val="22"/>
          <w:szCs w:val="22"/>
          <w:highlight w:val="none"/>
        </w:rPr>
      </w:pPr>
    </w:p>
    <w:p w14:paraId="7398717E">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kern w:val="0"/>
          <w:sz w:val="22"/>
          <w:szCs w:val="22"/>
          <w:highlight w:val="none"/>
          <w:lang w:eastAsia="zh-CN"/>
        </w:rPr>
      </w:pPr>
    </w:p>
    <w:p w14:paraId="2984C1F9">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kern w:val="0"/>
          <w:sz w:val="22"/>
          <w:szCs w:val="22"/>
          <w:highlight w:val="none"/>
          <w:lang w:eastAsia="zh-CN"/>
        </w:rPr>
      </w:pPr>
    </w:p>
    <w:p w14:paraId="44EB0520">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kern w:val="0"/>
          <w:sz w:val="22"/>
          <w:szCs w:val="22"/>
          <w:highlight w:val="none"/>
          <w:lang w:eastAsia="zh-CN"/>
        </w:rPr>
      </w:pPr>
    </w:p>
    <w:p w14:paraId="20215799">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auto"/>
          <w:kern w:val="0"/>
          <w:sz w:val="22"/>
          <w:szCs w:val="22"/>
          <w:highlight w:val="none"/>
          <w:lang w:eastAsia="zh-CN"/>
        </w:rPr>
        <w:sectPr>
          <w:pgSz w:w="11906" w:h="16838"/>
          <w:pgMar w:top="1361" w:right="1304" w:bottom="1191" w:left="1304" w:header="765" w:footer="992" w:gutter="0"/>
          <w:pgNumType w:fmt="decimal"/>
          <w:cols w:space="720" w:num="1"/>
          <w:rtlGutter w:val="0"/>
          <w:docGrid w:type="lines" w:linePitch="320" w:charSpace="0"/>
        </w:sectPr>
      </w:pPr>
    </w:p>
    <w:p w14:paraId="5E213B11">
      <w:pPr>
        <w:widowControl/>
        <w:spacing w:line="38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八</w:t>
      </w:r>
      <w:r>
        <w:rPr>
          <w:rFonts w:hint="eastAsia" w:ascii="宋体" w:hAnsi="宋体" w:cs="宋体"/>
          <w:b/>
          <w:bCs/>
          <w:color w:val="auto"/>
          <w:kern w:val="0"/>
          <w:sz w:val="30"/>
          <w:szCs w:val="30"/>
          <w:highlight w:val="none"/>
        </w:rPr>
        <w:t>、响应方需要说明的其他文件和说明</w:t>
      </w:r>
      <w:bookmarkEnd w:id="173"/>
      <w:bookmarkEnd w:id="174"/>
      <w:bookmarkEnd w:id="175"/>
      <w:bookmarkEnd w:id="176"/>
      <w:bookmarkEnd w:id="177"/>
      <w:bookmarkEnd w:id="178"/>
    </w:p>
    <w:p w14:paraId="6B81034C">
      <w:pPr>
        <w:jc w:val="right"/>
        <w:rPr>
          <w:rFonts w:ascii="宋体" w:hAnsi="宋体"/>
          <w:b/>
          <w:color w:val="auto"/>
          <w:sz w:val="44"/>
          <w:szCs w:val="44"/>
          <w:highlight w:val="none"/>
        </w:rPr>
      </w:pPr>
      <w:r>
        <w:rPr>
          <w:rFonts w:ascii="宋体" w:cs="Times New Roman"/>
          <w:b/>
          <w:bCs/>
          <w:color w:val="auto"/>
          <w:sz w:val="30"/>
          <w:szCs w:val="30"/>
          <w:highlight w:val="none"/>
        </w:rPr>
        <w:br w:type="page"/>
      </w:r>
      <w:bookmarkStart w:id="180" w:name="_Toc336678150"/>
      <w:bookmarkStart w:id="181" w:name="_Toc336331391"/>
      <w:bookmarkStart w:id="182" w:name="_Toc336671816"/>
    </w:p>
    <w:p w14:paraId="46333982">
      <w:pPr>
        <w:pStyle w:val="7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auto"/>
          <w:sz w:val="28"/>
          <w:szCs w:val="28"/>
          <w:highlight w:val="none"/>
        </w:rPr>
      </w:pPr>
      <w:bookmarkStart w:id="183" w:name="_Toc433882659"/>
      <w:bookmarkStart w:id="184" w:name="_Toc467572549"/>
      <w:bookmarkStart w:id="185" w:name="_Toc424199688"/>
      <w:bookmarkStart w:id="186" w:name="_Toc471819743"/>
      <w:bookmarkStart w:id="187" w:name="_Toc468954267"/>
      <w:bookmarkStart w:id="188" w:name="_Toc470269898"/>
      <w:bookmarkStart w:id="189" w:name="_Toc437331628"/>
      <w:bookmarkStart w:id="190" w:name="_Toc470270014"/>
      <w:bookmarkStart w:id="191" w:name="_Toc476230656"/>
      <w:bookmarkStart w:id="192" w:name="_Toc476230520"/>
      <w:bookmarkStart w:id="193" w:name="_Toc435706557"/>
      <w:bookmarkStart w:id="194" w:name="_Toc471819803"/>
      <w:bookmarkStart w:id="195" w:name="_Toc463851859"/>
      <w:bookmarkStart w:id="196" w:name="_Toc476229725"/>
      <w:bookmarkStart w:id="197" w:name="_Toc476230932"/>
      <w:bookmarkStart w:id="198" w:name="_Toc504642698"/>
      <w:bookmarkStart w:id="199" w:name="_Toc495666250"/>
      <w:bookmarkStart w:id="200" w:name="_Toc469475483"/>
    </w:p>
    <w:p w14:paraId="434F3231">
      <w:pPr>
        <w:pStyle w:val="7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auto"/>
          <w:sz w:val="28"/>
          <w:szCs w:val="28"/>
          <w:highlight w:val="none"/>
        </w:rPr>
      </w:pPr>
    </w:p>
    <w:p w14:paraId="149AC0E6">
      <w:pPr>
        <w:pStyle w:val="7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auto"/>
          <w:sz w:val="28"/>
          <w:szCs w:val="28"/>
          <w:highlight w:val="none"/>
        </w:rPr>
      </w:pPr>
    </w:p>
    <w:p w14:paraId="6F97AC6B">
      <w:pPr>
        <w:jc w:val="center"/>
        <w:outlineLvl w:val="1"/>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技术商务文件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5F9397F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黑体" w:hAnsi="宋体" w:eastAsia="黑体"/>
          <w:color w:val="auto"/>
          <w:sz w:val="28"/>
          <w:szCs w:val="28"/>
          <w:highlight w:val="none"/>
        </w:rPr>
      </w:pPr>
    </w:p>
    <w:p w14:paraId="32DFBB6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黑体" w:hAnsi="宋体" w:eastAsia="黑体"/>
          <w:color w:val="auto"/>
          <w:sz w:val="28"/>
          <w:szCs w:val="28"/>
          <w:highlight w:val="none"/>
        </w:rPr>
      </w:pPr>
    </w:p>
    <w:p w14:paraId="268515D6">
      <w:pPr>
        <w:keepNext w:val="0"/>
        <w:keepLines w:val="0"/>
        <w:pageBreakBefore w:val="0"/>
        <w:widowControl w:val="0"/>
        <w:kinsoku/>
        <w:wordWrap/>
        <w:overflowPunct/>
        <w:topLinePunct w:val="0"/>
        <w:autoSpaceDE/>
        <w:autoSpaceDN/>
        <w:bidi w:val="0"/>
        <w:adjustRightInd/>
        <w:snapToGrid/>
        <w:spacing w:line="1320" w:lineRule="auto"/>
        <w:ind w:left="0" w:leftChars="0" w:firstLine="336" w:firstLineChars="120"/>
        <w:jc w:val="both"/>
        <w:textAlignment w:val="auto"/>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千人报告厅维修改造工程—舞台音响设备及座椅采购项目</w:t>
      </w:r>
      <w:r>
        <w:rPr>
          <w:rFonts w:hint="eastAsia" w:ascii="黑体" w:hAnsi="宋体" w:eastAsia="黑体"/>
          <w:color w:val="auto"/>
          <w:sz w:val="28"/>
          <w:szCs w:val="28"/>
          <w:highlight w:val="none"/>
          <w:u w:val="single"/>
          <w:lang w:val="en-US" w:eastAsia="zh-CN"/>
        </w:rPr>
        <w:t xml:space="preserve"> </w:t>
      </w:r>
    </w:p>
    <w:p w14:paraId="27091D29">
      <w:pPr>
        <w:keepNext w:val="0"/>
        <w:keepLines w:val="0"/>
        <w:pageBreakBefore w:val="0"/>
        <w:widowControl w:val="0"/>
        <w:kinsoku/>
        <w:wordWrap/>
        <w:overflowPunct/>
        <w:topLinePunct w:val="0"/>
        <w:autoSpaceDE/>
        <w:autoSpaceDN/>
        <w:bidi w:val="0"/>
        <w:adjustRightInd/>
        <w:snapToGrid/>
        <w:spacing w:line="1320" w:lineRule="auto"/>
        <w:ind w:left="0" w:leftChars="0" w:firstLine="336" w:firstLineChars="120"/>
        <w:jc w:val="both"/>
        <w:textAlignment w:val="auto"/>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ZJDF2024-003（Ⅱ）</w:t>
      </w:r>
      <w:r>
        <w:rPr>
          <w:rFonts w:hint="eastAsia" w:ascii="黑体" w:hAnsi="宋体" w:eastAsia="黑体"/>
          <w:color w:val="auto"/>
          <w:sz w:val="28"/>
          <w:szCs w:val="28"/>
          <w:highlight w:val="none"/>
          <w:u w:val="single"/>
          <w:lang w:val="en-US" w:eastAsia="zh-CN"/>
        </w:rPr>
        <w:t xml:space="preserve">               </w:t>
      </w:r>
    </w:p>
    <w:p w14:paraId="52B9BBE4">
      <w:pPr>
        <w:keepNext w:val="0"/>
        <w:keepLines w:val="0"/>
        <w:pageBreakBefore w:val="0"/>
        <w:widowControl w:val="0"/>
        <w:kinsoku/>
        <w:wordWrap/>
        <w:overflowPunct/>
        <w:topLinePunct w:val="0"/>
        <w:autoSpaceDE/>
        <w:autoSpaceDN/>
        <w:bidi w:val="0"/>
        <w:adjustRightInd/>
        <w:snapToGrid/>
        <w:spacing w:line="1320" w:lineRule="auto"/>
        <w:ind w:left="0" w:leftChars="0" w:firstLine="336" w:firstLineChars="120"/>
        <w:jc w:val="both"/>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4B54C35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黑体" w:hAnsi="宋体" w:eastAsia="黑体"/>
          <w:color w:val="auto"/>
          <w:sz w:val="28"/>
          <w:szCs w:val="28"/>
          <w:highlight w:val="none"/>
        </w:rPr>
      </w:pPr>
    </w:p>
    <w:p w14:paraId="014ED63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黑体" w:hAnsi="宋体" w:eastAsia="黑体"/>
          <w:color w:val="auto"/>
          <w:sz w:val="28"/>
          <w:szCs w:val="28"/>
          <w:highlight w:val="none"/>
          <w:u w:val="single"/>
        </w:rPr>
      </w:pPr>
    </w:p>
    <w:p w14:paraId="389C296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黑体" w:hAnsi="宋体" w:eastAsia="黑体"/>
          <w:color w:val="auto"/>
          <w:sz w:val="28"/>
          <w:szCs w:val="28"/>
          <w:highlight w:val="none"/>
        </w:rPr>
      </w:pPr>
    </w:p>
    <w:p w14:paraId="303133E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黑体" w:hAnsi="宋体" w:eastAsia="黑体"/>
          <w:color w:val="auto"/>
          <w:sz w:val="28"/>
          <w:szCs w:val="28"/>
          <w:highlight w:val="none"/>
        </w:rPr>
      </w:pPr>
    </w:p>
    <w:p w14:paraId="7361F680">
      <w:pPr>
        <w:spacing w:line="440" w:lineRule="atLeast"/>
        <w:ind w:firstLine="1960" w:firstLineChars="700"/>
        <w:rPr>
          <w:rFonts w:ascii="宋体" w:cs="Times New Roman"/>
          <w:color w:val="auto"/>
          <w:sz w:val="28"/>
          <w:szCs w:val="28"/>
          <w:highlight w:val="none"/>
        </w:rPr>
      </w:pP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14:paraId="70329E74">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color w:val="auto"/>
          <w:sz w:val="28"/>
          <w:szCs w:val="28"/>
          <w:highlight w:val="none"/>
          <w:lang w:eastAsia="zh-CN"/>
        </w:rPr>
      </w:pPr>
    </w:p>
    <w:p w14:paraId="3C33019C">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pPr>
    </w:p>
    <w:p w14:paraId="3464CFBE">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pPr>
    </w:p>
    <w:p w14:paraId="1C304756">
      <w:pPr>
        <w:keepNext w:val="0"/>
        <w:keepLines w:val="0"/>
        <w:pageBreakBefore w:val="0"/>
        <w:widowControl w:val="0"/>
        <w:kinsoku/>
        <w:wordWrap/>
        <w:overflowPunct/>
        <w:topLinePunct w:val="0"/>
        <w:autoSpaceDE/>
        <w:autoSpaceDN/>
        <w:bidi w:val="0"/>
        <w:adjustRightInd/>
        <w:snapToGrid/>
        <w:spacing w:before="157" w:beforeLines="50" w:after="157" w:afterLines="50" w:line="440" w:lineRule="atLeast"/>
        <w:jc w:val="center"/>
        <w:textAlignment w:val="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技术商务文件目录</w:t>
      </w:r>
    </w:p>
    <w:p w14:paraId="0BC581B5">
      <w:pPr>
        <w:pStyle w:val="16"/>
        <w:keepNext w:val="0"/>
        <w:keepLines w:val="0"/>
        <w:pageBreakBefore w:val="0"/>
        <w:widowControl w:val="0"/>
        <w:tabs>
          <w:tab w:val="right" w:leader="dot" w:pos="9253"/>
        </w:tabs>
        <w:kinsoku/>
        <w:wordWrap/>
        <w:overflowPunct/>
        <w:topLinePunct w:val="0"/>
        <w:autoSpaceDE/>
        <w:autoSpaceDN/>
        <w:bidi w:val="0"/>
        <w:adjustRightInd/>
        <w:snapToGrid/>
        <w:spacing w:line="480" w:lineRule="auto"/>
        <w:ind w:left="0" w:leftChars="0" w:firstLine="420" w:firstLineChars="200"/>
        <w:jc w:val="both"/>
        <w:textAlignment w:val="auto"/>
        <w:outlineLvl w:val="9"/>
        <w:rPr>
          <w:rFonts w:hint="eastAsia" w:ascii="宋体" w:hAnsi="宋体" w:eastAsia="宋体" w:cs="Times New Roman"/>
          <w:color w:val="auto"/>
          <w:sz w:val="21"/>
          <w:szCs w:val="21"/>
          <w:highlight w:val="none"/>
          <w:lang w:val="en-US" w:eastAsia="zh-CN"/>
        </w:rPr>
      </w:pPr>
      <w:bookmarkStart w:id="201" w:name="_Toc1695"/>
      <w:bookmarkStart w:id="202" w:name="_Toc476229726"/>
      <w:bookmarkStart w:id="203" w:name="_Toc476230933"/>
      <w:bookmarkStart w:id="204" w:name="_Toc476230657"/>
      <w:bookmarkStart w:id="205" w:name="_Toc476230521"/>
      <w:bookmarkStart w:id="206" w:name="_Toc469475484"/>
      <w:bookmarkStart w:id="207" w:name="_Toc9688"/>
      <w:bookmarkStart w:id="208" w:name="_Toc471819805"/>
      <w:bookmarkStart w:id="209" w:name="_Toc471819745"/>
      <w:bookmarkStart w:id="210" w:name="_Toc470270015"/>
      <w:bookmarkStart w:id="211" w:name="_Toc495666251"/>
      <w:bookmarkStart w:id="212" w:name="_Toc470269899"/>
      <w:bookmarkStart w:id="213" w:name="_Toc18709"/>
      <w:bookmarkStart w:id="214" w:name="_Toc437331322"/>
      <w:bookmarkStart w:id="215" w:name="_Toc437509344"/>
      <w:bookmarkStart w:id="216" w:name="_Toc437331633"/>
      <w:bookmarkStart w:id="217" w:name="_Toc467572551"/>
      <w:bookmarkStart w:id="218" w:name="_Toc435706562"/>
      <w:bookmarkStart w:id="219" w:name="_Toc433882664"/>
      <w:bookmarkStart w:id="220" w:name="_Toc437504047"/>
      <w:bookmarkStart w:id="221" w:name="_Toc463851861"/>
      <w:bookmarkStart w:id="222" w:name="_Toc468954268"/>
      <w:bookmarkStart w:id="223" w:name="_Toc424199693"/>
      <w:bookmarkStart w:id="224" w:name="_Toc16200"/>
      <w:bookmarkStart w:id="225" w:name="_Toc392080805"/>
      <w:r>
        <w:rPr>
          <w:rFonts w:hint="eastAsia" w:ascii="宋体" w:hAnsi="宋体" w:eastAsia="宋体" w:cs="Times New Roman"/>
          <w:color w:val="auto"/>
          <w:sz w:val="21"/>
          <w:szCs w:val="21"/>
          <w:highlight w:val="none"/>
          <w:lang w:val="en-US" w:eastAsia="zh-CN"/>
        </w:rPr>
        <w:t>一、政府采购项目供应商技术商务评分索引表；</w:t>
      </w:r>
    </w:p>
    <w:p w14:paraId="58997AC6">
      <w:pPr>
        <w:pStyle w:val="16"/>
        <w:keepNext w:val="0"/>
        <w:keepLines w:val="0"/>
        <w:pageBreakBefore w:val="0"/>
        <w:widowControl w:val="0"/>
        <w:tabs>
          <w:tab w:val="right" w:leader="dot" w:pos="9253"/>
        </w:tabs>
        <w:kinsoku/>
        <w:wordWrap/>
        <w:overflowPunct/>
        <w:topLinePunct w:val="0"/>
        <w:autoSpaceDE/>
        <w:autoSpaceDN/>
        <w:bidi w:val="0"/>
        <w:adjustRightInd/>
        <w:snapToGrid/>
        <w:spacing w:line="480" w:lineRule="auto"/>
        <w:ind w:left="0" w:leftChars="0" w:firstLine="420" w:firstLineChars="200"/>
        <w:jc w:val="both"/>
        <w:textAlignment w:val="auto"/>
        <w:outlineLvl w:val="9"/>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二、技术参数偏离表；</w:t>
      </w:r>
    </w:p>
    <w:p w14:paraId="47B3D19D">
      <w:pPr>
        <w:pStyle w:val="16"/>
        <w:keepNext w:val="0"/>
        <w:keepLines w:val="0"/>
        <w:pageBreakBefore w:val="0"/>
        <w:widowControl w:val="0"/>
        <w:tabs>
          <w:tab w:val="right" w:leader="dot" w:pos="9253"/>
        </w:tabs>
        <w:kinsoku/>
        <w:wordWrap/>
        <w:overflowPunct/>
        <w:topLinePunct w:val="0"/>
        <w:autoSpaceDE/>
        <w:autoSpaceDN/>
        <w:bidi w:val="0"/>
        <w:adjustRightInd/>
        <w:snapToGrid/>
        <w:spacing w:line="480" w:lineRule="auto"/>
        <w:ind w:left="0" w:leftChars="0" w:firstLine="420" w:firstLineChars="200"/>
        <w:jc w:val="both"/>
        <w:textAlignment w:val="auto"/>
        <w:outlineLvl w:val="9"/>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三、项目业绩；</w:t>
      </w:r>
    </w:p>
    <w:p w14:paraId="7EF1536A">
      <w:pPr>
        <w:pStyle w:val="16"/>
        <w:keepNext w:val="0"/>
        <w:keepLines w:val="0"/>
        <w:pageBreakBefore w:val="0"/>
        <w:widowControl w:val="0"/>
        <w:tabs>
          <w:tab w:val="right" w:leader="dot" w:pos="9253"/>
        </w:tabs>
        <w:kinsoku/>
        <w:wordWrap/>
        <w:overflowPunct/>
        <w:topLinePunct w:val="0"/>
        <w:autoSpaceDE/>
        <w:autoSpaceDN/>
        <w:bidi w:val="0"/>
        <w:adjustRightInd/>
        <w:snapToGrid/>
        <w:spacing w:line="480" w:lineRule="auto"/>
        <w:ind w:left="0" w:leftChars="0" w:firstLine="420" w:firstLineChars="200"/>
        <w:jc w:val="both"/>
        <w:textAlignment w:val="auto"/>
        <w:outlineLvl w:val="9"/>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四、项目组成人员；</w:t>
      </w:r>
    </w:p>
    <w:p w14:paraId="75980A5A">
      <w:pPr>
        <w:pStyle w:val="16"/>
        <w:keepNext w:val="0"/>
        <w:keepLines w:val="0"/>
        <w:pageBreakBefore w:val="0"/>
        <w:widowControl w:val="0"/>
        <w:tabs>
          <w:tab w:val="right" w:leader="dot" w:pos="9253"/>
        </w:tabs>
        <w:kinsoku/>
        <w:wordWrap/>
        <w:overflowPunct/>
        <w:topLinePunct w:val="0"/>
        <w:autoSpaceDE/>
        <w:autoSpaceDN/>
        <w:bidi w:val="0"/>
        <w:adjustRightInd/>
        <w:snapToGrid/>
        <w:spacing w:line="480" w:lineRule="auto"/>
        <w:ind w:left="0" w:leftChars="0" w:firstLine="420" w:firstLineChars="200"/>
        <w:jc w:val="both"/>
        <w:textAlignment w:val="auto"/>
        <w:outlineLvl w:val="9"/>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五、特殊情况或紧急重大情况响应时间；</w:t>
      </w:r>
    </w:p>
    <w:p w14:paraId="34701050">
      <w:pPr>
        <w:pStyle w:val="16"/>
        <w:keepNext w:val="0"/>
        <w:keepLines w:val="0"/>
        <w:pageBreakBefore w:val="0"/>
        <w:widowControl w:val="0"/>
        <w:tabs>
          <w:tab w:val="right" w:leader="dot" w:pos="9253"/>
        </w:tabs>
        <w:kinsoku/>
        <w:wordWrap/>
        <w:overflowPunct/>
        <w:topLinePunct w:val="0"/>
        <w:autoSpaceDE/>
        <w:autoSpaceDN/>
        <w:bidi w:val="0"/>
        <w:adjustRightInd/>
        <w:snapToGrid/>
        <w:spacing w:line="480" w:lineRule="auto"/>
        <w:ind w:left="0" w:leftChars="0" w:firstLine="420" w:firstLineChars="200"/>
        <w:jc w:val="both"/>
        <w:textAlignment w:val="auto"/>
        <w:outlineLvl w:val="9"/>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六、项目实施方案；</w:t>
      </w:r>
    </w:p>
    <w:p w14:paraId="5585A07A">
      <w:pPr>
        <w:pStyle w:val="16"/>
        <w:keepNext w:val="0"/>
        <w:keepLines w:val="0"/>
        <w:pageBreakBefore w:val="0"/>
        <w:widowControl w:val="0"/>
        <w:tabs>
          <w:tab w:val="right" w:leader="dot" w:pos="9253"/>
        </w:tabs>
        <w:kinsoku/>
        <w:wordWrap/>
        <w:overflowPunct/>
        <w:topLinePunct w:val="0"/>
        <w:autoSpaceDE/>
        <w:autoSpaceDN/>
        <w:bidi w:val="0"/>
        <w:adjustRightInd/>
        <w:snapToGrid/>
        <w:spacing w:line="480" w:lineRule="auto"/>
        <w:ind w:left="0" w:leftChars="0" w:firstLine="420" w:firstLineChars="200"/>
        <w:jc w:val="both"/>
        <w:textAlignment w:val="auto"/>
        <w:outlineLvl w:val="9"/>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七、技术培训；</w:t>
      </w:r>
    </w:p>
    <w:p w14:paraId="6B5567F9">
      <w:pPr>
        <w:pStyle w:val="16"/>
        <w:keepNext w:val="0"/>
        <w:keepLines w:val="0"/>
        <w:pageBreakBefore w:val="0"/>
        <w:widowControl w:val="0"/>
        <w:tabs>
          <w:tab w:val="right" w:leader="dot" w:pos="9253"/>
        </w:tabs>
        <w:kinsoku/>
        <w:wordWrap/>
        <w:overflowPunct/>
        <w:topLinePunct w:val="0"/>
        <w:autoSpaceDE/>
        <w:autoSpaceDN/>
        <w:bidi w:val="0"/>
        <w:adjustRightInd/>
        <w:snapToGrid/>
        <w:spacing w:line="480" w:lineRule="auto"/>
        <w:ind w:left="0" w:leftChars="0" w:firstLine="420" w:firstLineChars="200"/>
        <w:jc w:val="both"/>
        <w:textAlignment w:val="auto"/>
        <w:outlineLvl w:val="9"/>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八、售后服务；</w:t>
      </w:r>
    </w:p>
    <w:p w14:paraId="36D2DA5B">
      <w:pPr>
        <w:pStyle w:val="16"/>
        <w:keepNext w:val="0"/>
        <w:keepLines w:val="0"/>
        <w:pageBreakBefore w:val="0"/>
        <w:widowControl w:val="0"/>
        <w:tabs>
          <w:tab w:val="right" w:leader="dot" w:pos="9253"/>
        </w:tabs>
        <w:kinsoku/>
        <w:wordWrap/>
        <w:overflowPunct/>
        <w:topLinePunct w:val="0"/>
        <w:autoSpaceDE/>
        <w:autoSpaceDN/>
        <w:bidi w:val="0"/>
        <w:adjustRightInd/>
        <w:snapToGrid/>
        <w:spacing w:line="480" w:lineRule="auto"/>
        <w:ind w:left="0" w:leftChars="0" w:firstLine="420" w:firstLineChars="200"/>
        <w:jc w:val="both"/>
        <w:textAlignment w:val="auto"/>
        <w:outlineLvl w:val="9"/>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九、投标人需要说明的其他文件和说明（格式自拟）</w:t>
      </w:r>
    </w:p>
    <w:p w14:paraId="5743BBFF">
      <w:pPr>
        <w:pStyle w:val="16"/>
        <w:keepNext w:val="0"/>
        <w:keepLines w:val="0"/>
        <w:pageBreakBefore w:val="0"/>
        <w:widowControl w:val="0"/>
        <w:tabs>
          <w:tab w:val="right" w:leader="dot" w:pos="9253"/>
        </w:tabs>
        <w:kinsoku/>
        <w:overflowPunct/>
        <w:topLinePunct w:val="0"/>
        <w:autoSpaceDE/>
        <w:autoSpaceDN/>
        <w:bidi w:val="0"/>
        <w:adjustRightInd/>
        <w:snapToGrid/>
        <w:spacing w:line="480" w:lineRule="auto"/>
        <w:ind w:left="0" w:leftChars="0" w:firstLine="420" w:firstLineChars="200"/>
        <w:jc w:val="both"/>
        <w:textAlignment w:val="auto"/>
        <w:outlineLvl w:val="9"/>
        <w:rPr>
          <w:rFonts w:hint="eastAsia" w:ascii="宋体" w:hAnsi="宋体" w:eastAsia="宋体" w:cs="宋体"/>
          <w:color w:val="FF0000"/>
          <w:sz w:val="21"/>
          <w:szCs w:val="21"/>
          <w:highlight w:val="none"/>
          <w:lang w:eastAsia="zh-CN"/>
        </w:rPr>
      </w:pPr>
    </w:p>
    <w:p w14:paraId="60F76C59">
      <w:pPr>
        <w:pStyle w:val="16"/>
        <w:keepNext w:val="0"/>
        <w:keepLines w:val="0"/>
        <w:pageBreakBefore w:val="0"/>
        <w:widowControl w:val="0"/>
        <w:tabs>
          <w:tab w:val="right" w:leader="dot" w:pos="9253"/>
        </w:tabs>
        <w:kinsoku/>
        <w:wordWrap/>
        <w:overflowPunct/>
        <w:topLinePunct w:val="0"/>
        <w:autoSpaceDE/>
        <w:autoSpaceDN/>
        <w:bidi w:val="0"/>
        <w:adjustRightInd/>
        <w:snapToGrid/>
        <w:spacing w:line="480" w:lineRule="auto"/>
        <w:ind w:left="0" w:leftChars="0" w:firstLine="422" w:firstLineChars="200"/>
        <w:jc w:val="both"/>
        <w:textAlignment w:val="auto"/>
        <w:outlineLvl w:val="9"/>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注：未提供格式的，格式自拟</w:t>
      </w:r>
    </w:p>
    <w:p w14:paraId="4C833BBA">
      <w:pPr>
        <w:pStyle w:val="16"/>
        <w:keepNext w:val="0"/>
        <w:keepLines w:val="0"/>
        <w:pageBreakBefore w:val="0"/>
        <w:widowControl w:val="0"/>
        <w:tabs>
          <w:tab w:val="right" w:leader="dot" w:pos="9253"/>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color w:val="auto"/>
          <w:sz w:val="21"/>
          <w:szCs w:val="21"/>
          <w:highlight w:val="none"/>
          <w:lang w:eastAsia="zh-CN"/>
        </w:rPr>
      </w:pPr>
    </w:p>
    <w:p w14:paraId="2760A04E">
      <w:pPr>
        <w:pStyle w:val="16"/>
        <w:keepNext w:val="0"/>
        <w:keepLines w:val="0"/>
        <w:pageBreakBefore w:val="0"/>
        <w:widowControl w:val="0"/>
        <w:tabs>
          <w:tab w:val="right" w:leader="dot" w:pos="9253"/>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color w:val="auto"/>
          <w:sz w:val="21"/>
          <w:szCs w:val="21"/>
          <w:highlight w:val="none"/>
          <w:lang w:eastAsia="zh-CN"/>
        </w:rPr>
      </w:pPr>
    </w:p>
    <w:p w14:paraId="332612ED">
      <w:pPr>
        <w:pStyle w:val="16"/>
        <w:keepNext w:val="0"/>
        <w:keepLines w:val="0"/>
        <w:pageBreakBefore w:val="0"/>
        <w:widowControl w:val="0"/>
        <w:tabs>
          <w:tab w:val="right" w:leader="dot" w:pos="9253"/>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eastAsia="zh-CN"/>
        </w:rPr>
      </w:pPr>
    </w:p>
    <w:p w14:paraId="07B0E4E5">
      <w:pPr>
        <w:pStyle w:val="16"/>
        <w:keepNext w:val="0"/>
        <w:keepLines w:val="0"/>
        <w:pageBreakBefore w:val="0"/>
        <w:widowControl w:val="0"/>
        <w:tabs>
          <w:tab w:val="right" w:leader="dot" w:pos="9253"/>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eastAsia="zh-CN"/>
        </w:rPr>
      </w:pPr>
    </w:p>
    <w:p w14:paraId="5EB184D7">
      <w:pPr>
        <w:pStyle w:val="16"/>
        <w:keepNext w:val="0"/>
        <w:keepLines w:val="0"/>
        <w:pageBreakBefore w:val="0"/>
        <w:widowControl w:val="0"/>
        <w:tabs>
          <w:tab w:val="right" w:leader="dot" w:pos="9253"/>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eastAsia="zh-CN"/>
        </w:rPr>
      </w:pPr>
    </w:p>
    <w:p w14:paraId="5CD71157">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Style w:val="38"/>
          <w:rFonts w:hint="eastAsia" w:ascii="宋体" w:hAnsi="宋体" w:eastAsia="宋体" w:cs="宋体"/>
          <w:color w:val="FF0000"/>
          <w:kern w:val="0"/>
          <w:sz w:val="21"/>
          <w:szCs w:val="21"/>
          <w:highlight w:val="none"/>
          <w:u w:val="none"/>
          <w:lang w:val="en-US" w:eastAsia="zh-CN"/>
        </w:rPr>
      </w:pPr>
      <w:r>
        <w:rPr>
          <w:rStyle w:val="38"/>
          <w:rFonts w:hint="eastAsia" w:ascii="宋体" w:hAnsi="宋体" w:eastAsia="宋体" w:cs="宋体"/>
          <w:color w:val="FF0000"/>
          <w:kern w:val="0"/>
          <w:sz w:val="21"/>
          <w:szCs w:val="21"/>
          <w:highlight w:val="none"/>
          <w:u w:val="none"/>
          <w:lang w:val="en-US" w:eastAsia="zh-CN"/>
        </w:rPr>
        <w:br w:type="page"/>
      </w:r>
    </w:p>
    <w:p w14:paraId="121373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一、政府采购项目供应商技术商务评分索引表</w:t>
      </w:r>
      <w:bookmarkEnd w:id="201"/>
      <w:bookmarkEnd w:id="202"/>
      <w:bookmarkEnd w:id="203"/>
      <w:bookmarkEnd w:id="204"/>
      <w:bookmarkEnd w:id="205"/>
      <w:bookmarkEnd w:id="206"/>
      <w:bookmarkEnd w:id="207"/>
      <w:bookmarkEnd w:id="208"/>
      <w:bookmarkEnd w:id="209"/>
      <w:bookmarkEnd w:id="210"/>
      <w:bookmarkEnd w:id="211"/>
      <w:bookmarkEnd w:id="212"/>
      <w:bookmarkEnd w:id="213"/>
    </w:p>
    <w:bookmarkEnd w:id="214"/>
    <w:bookmarkEnd w:id="215"/>
    <w:bookmarkEnd w:id="216"/>
    <w:bookmarkEnd w:id="217"/>
    <w:bookmarkEnd w:id="218"/>
    <w:bookmarkEnd w:id="219"/>
    <w:bookmarkEnd w:id="220"/>
    <w:bookmarkEnd w:id="221"/>
    <w:bookmarkEnd w:id="222"/>
    <w:bookmarkEnd w:id="223"/>
    <w:p w14:paraId="104FC40B">
      <w:pPr>
        <w:pageBreakBefore w:val="0"/>
        <w:kinsoku/>
        <w:overflowPunct/>
        <w:topLinePunct w:val="0"/>
        <w:bidi w:val="0"/>
        <w:adjustRightInd/>
        <w:spacing w:line="240" w:lineRule="auto"/>
        <w:ind w:firstLine="0" w:firstLineChars="0"/>
        <w:jc w:val="both"/>
        <w:outlineLvl w:val="9"/>
        <w:rPr>
          <w:rFonts w:hint="eastAsia" w:ascii="宋体" w:hAnsi="宋体" w:eastAsia="宋体" w:cs="宋体"/>
          <w:color w:val="auto"/>
          <w:sz w:val="22"/>
          <w:szCs w:val="22"/>
          <w:highlight w:val="none"/>
          <w:lang w:eastAsia="zh-CN"/>
        </w:rPr>
      </w:pPr>
      <w:bookmarkStart w:id="226" w:name="_Toc9789"/>
    </w:p>
    <w:p w14:paraId="23313945">
      <w:pPr>
        <w:pageBreakBefore w:val="0"/>
        <w:kinsoku/>
        <w:overflowPunct/>
        <w:topLinePunct w:val="0"/>
        <w:bidi w:val="0"/>
        <w:adjustRightInd/>
        <w:spacing w:line="240" w:lineRule="auto"/>
        <w:ind w:firstLine="0" w:firstLineChars="0"/>
        <w:jc w:val="both"/>
        <w:outlineLvl w:val="9"/>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响应</w:t>
      </w:r>
      <w:r>
        <w:rPr>
          <w:rFonts w:hint="eastAsia" w:ascii="宋体" w:hAnsi="宋体" w:eastAsia="宋体" w:cs="宋体"/>
          <w:color w:val="auto"/>
          <w:sz w:val="22"/>
          <w:szCs w:val="22"/>
          <w:highlight w:val="none"/>
          <w:lang w:eastAsia="zh-CN"/>
        </w:rPr>
        <w:t>人名称：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8"/>
        <w:gridCol w:w="1425"/>
        <w:gridCol w:w="1558"/>
        <w:gridCol w:w="2767"/>
      </w:tblGrid>
      <w:tr w14:paraId="43C4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760ED0">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评分项</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B8DB99">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分值</w:t>
            </w:r>
          </w:p>
        </w:tc>
        <w:tc>
          <w:tcPr>
            <w:tcW w:w="15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BD853B">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自评分</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B9D186">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响应</w:t>
            </w:r>
            <w:r>
              <w:rPr>
                <w:rFonts w:hint="eastAsia" w:ascii="宋体" w:hAnsi="宋体" w:eastAsia="宋体" w:cs="宋体"/>
                <w:color w:val="auto"/>
                <w:sz w:val="22"/>
                <w:szCs w:val="22"/>
                <w:highlight w:val="none"/>
                <w:lang w:eastAsia="zh-CN"/>
              </w:rPr>
              <w:t>文件响应页码</w:t>
            </w:r>
          </w:p>
        </w:tc>
      </w:tr>
      <w:tr w14:paraId="4515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2ABE1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技术参数</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16E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tc>
        <w:tc>
          <w:tcPr>
            <w:tcW w:w="15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35B73">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color w:val="auto"/>
                <w:sz w:val="22"/>
                <w:szCs w:val="22"/>
                <w:highlight w:val="none"/>
                <w:lang w:eastAsia="zh-CN"/>
              </w:rPr>
            </w:pP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14AA60">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color w:val="auto"/>
                <w:sz w:val="22"/>
                <w:szCs w:val="22"/>
                <w:highlight w:val="none"/>
              </w:rPr>
            </w:pPr>
          </w:p>
        </w:tc>
      </w:tr>
      <w:tr w14:paraId="6274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F125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项目业绩</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A4006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分</w:t>
            </w:r>
          </w:p>
        </w:tc>
        <w:tc>
          <w:tcPr>
            <w:tcW w:w="15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E3F265">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color w:val="auto"/>
                <w:sz w:val="22"/>
                <w:szCs w:val="22"/>
                <w:highlight w:val="none"/>
                <w:lang w:eastAsia="zh-CN"/>
              </w:rPr>
            </w:pP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ABEB5D">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color w:val="auto"/>
                <w:sz w:val="22"/>
                <w:szCs w:val="22"/>
                <w:highlight w:val="none"/>
              </w:rPr>
            </w:pPr>
          </w:p>
        </w:tc>
      </w:tr>
      <w:tr w14:paraId="7914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6728F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项目组成人员</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0E344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分</w:t>
            </w:r>
          </w:p>
        </w:tc>
        <w:tc>
          <w:tcPr>
            <w:tcW w:w="15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EE4D98">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color w:val="auto"/>
                <w:sz w:val="22"/>
                <w:szCs w:val="22"/>
                <w:highlight w:val="none"/>
                <w:lang w:eastAsia="zh-CN"/>
              </w:rPr>
            </w:pP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F358B">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color w:val="auto"/>
                <w:sz w:val="22"/>
                <w:szCs w:val="22"/>
                <w:highlight w:val="none"/>
              </w:rPr>
            </w:pPr>
          </w:p>
        </w:tc>
      </w:tr>
      <w:tr w14:paraId="2258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64D2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特殊情况或紧急重大情况响应时间</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721B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分</w:t>
            </w:r>
          </w:p>
        </w:tc>
        <w:tc>
          <w:tcPr>
            <w:tcW w:w="15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38C43F">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lang w:eastAsia="zh-CN"/>
              </w:rPr>
            </w:pP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8FA72C">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rPr>
            </w:pPr>
          </w:p>
        </w:tc>
      </w:tr>
      <w:tr w14:paraId="5F99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8" w:type="dxa"/>
            <w:noWrap w:val="0"/>
            <w:vAlign w:val="center"/>
          </w:tcPr>
          <w:p w14:paraId="5648110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项目实施方案</w:t>
            </w:r>
          </w:p>
        </w:tc>
        <w:tc>
          <w:tcPr>
            <w:tcW w:w="1425" w:type="dxa"/>
            <w:noWrap w:val="0"/>
            <w:vAlign w:val="center"/>
          </w:tcPr>
          <w:p w14:paraId="24ADACF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tc>
        <w:tc>
          <w:tcPr>
            <w:tcW w:w="1558" w:type="dxa"/>
            <w:noWrap w:val="0"/>
            <w:vAlign w:val="center"/>
          </w:tcPr>
          <w:p w14:paraId="37E6BC75">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2767" w:type="dxa"/>
            <w:noWrap w:val="0"/>
            <w:vAlign w:val="center"/>
          </w:tcPr>
          <w:p w14:paraId="288DEAC4">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rPr>
            </w:pPr>
          </w:p>
        </w:tc>
      </w:tr>
      <w:tr w14:paraId="6EF6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8" w:type="dxa"/>
            <w:noWrap w:val="0"/>
            <w:vAlign w:val="center"/>
          </w:tcPr>
          <w:p w14:paraId="4D33DB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功能演示</w:t>
            </w:r>
          </w:p>
        </w:tc>
        <w:tc>
          <w:tcPr>
            <w:tcW w:w="1425" w:type="dxa"/>
            <w:noWrap w:val="0"/>
            <w:vAlign w:val="center"/>
          </w:tcPr>
          <w:p w14:paraId="1ADF863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tc>
        <w:tc>
          <w:tcPr>
            <w:tcW w:w="1558" w:type="dxa"/>
            <w:noWrap w:val="0"/>
            <w:vAlign w:val="center"/>
          </w:tcPr>
          <w:p w14:paraId="221E742B">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w:t>
            </w:r>
          </w:p>
        </w:tc>
        <w:tc>
          <w:tcPr>
            <w:tcW w:w="2767" w:type="dxa"/>
            <w:noWrap w:val="0"/>
            <w:vAlign w:val="center"/>
          </w:tcPr>
          <w:p w14:paraId="069C2562">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rPr>
            </w:pPr>
          </w:p>
        </w:tc>
      </w:tr>
      <w:tr w14:paraId="70D6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8" w:type="dxa"/>
            <w:noWrap w:val="0"/>
            <w:vAlign w:val="center"/>
          </w:tcPr>
          <w:p w14:paraId="3E441EF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技术培训</w:t>
            </w:r>
          </w:p>
        </w:tc>
        <w:tc>
          <w:tcPr>
            <w:tcW w:w="1425" w:type="dxa"/>
            <w:noWrap w:val="0"/>
            <w:vAlign w:val="center"/>
          </w:tcPr>
          <w:p w14:paraId="5230D6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分</w:t>
            </w:r>
          </w:p>
        </w:tc>
        <w:tc>
          <w:tcPr>
            <w:tcW w:w="1558" w:type="dxa"/>
            <w:noWrap w:val="0"/>
            <w:vAlign w:val="center"/>
          </w:tcPr>
          <w:p w14:paraId="65A2A845">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2767" w:type="dxa"/>
            <w:noWrap w:val="0"/>
            <w:vAlign w:val="center"/>
          </w:tcPr>
          <w:p w14:paraId="10903864">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rPr>
            </w:pPr>
          </w:p>
        </w:tc>
      </w:tr>
      <w:tr w14:paraId="12D0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8" w:type="dxa"/>
            <w:noWrap w:val="0"/>
            <w:vAlign w:val="center"/>
          </w:tcPr>
          <w:p w14:paraId="326C6E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售后服务</w:t>
            </w:r>
          </w:p>
        </w:tc>
        <w:tc>
          <w:tcPr>
            <w:tcW w:w="1425" w:type="dxa"/>
            <w:noWrap w:val="0"/>
            <w:vAlign w:val="center"/>
          </w:tcPr>
          <w:p w14:paraId="090A3B8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分</w:t>
            </w:r>
          </w:p>
        </w:tc>
        <w:tc>
          <w:tcPr>
            <w:tcW w:w="1558" w:type="dxa"/>
            <w:noWrap w:val="0"/>
            <w:vAlign w:val="center"/>
          </w:tcPr>
          <w:p w14:paraId="0581D004">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w:t>
            </w:r>
          </w:p>
        </w:tc>
        <w:tc>
          <w:tcPr>
            <w:tcW w:w="2767" w:type="dxa"/>
            <w:noWrap w:val="0"/>
            <w:vAlign w:val="center"/>
          </w:tcPr>
          <w:p w14:paraId="7B1A2F66">
            <w:pPr>
              <w:keepNext w:val="0"/>
              <w:keepLines w:val="0"/>
              <w:pageBreakBefore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auto"/>
                <w:sz w:val="22"/>
                <w:szCs w:val="22"/>
                <w:highlight w:val="none"/>
              </w:rPr>
            </w:pPr>
          </w:p>
        </w:tc>
      </w:tr>
    </w:tbl>
    <w:p w14:paraId="25B13AC0">
      <w:pPr>
        <w:pStyle w:val="16"/>
        <w:keepNext w:val="0"/>
        <w:keepLines w:val="0"/>
        <w:pageBreakBefore w:val="0"/>
        <w:widowControl w:val="0"/>
        <w:numPr>
          <w:ilvl w:val="0"/>
          <w:numId w:val="0"/>
        </w:numPr>
        <w:tabs>
          <w:tab w:val="right" w:leader="dot" w:pos="9061"/>
        </w:tabs>
        <w:kinsoku/>
        <w:wordWrap/>
        <w:overflowPunct/>
        <w:topLinePunct w:val="0"/>
        <w:autoSpaceDE/>
        <w:autoSpaceDN/>
        <w:bidi w:val="0"/>
        <w:adjustRightInd/>
        <w:snapToGrid/>
        <w:spacing w:line="240" w:lineRule="auto"/>
        <w:ind w:leftChars="0" w:firstLine="0" w:firstLineChars="0"/>
        <w:jc w:val="both"/>
        <w:textAlignment w:val="auto"/>
        <w:outlineLvl w:val="9"/>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val="en-US" w:eastAsia="zh-CN"/>
        </w:rPr>
        <w:t>注：</w:t>
      </w:r>
      <w:r>
        <w:rPr>
          <w:rFonts w:hint="eastAsia" w:ascii="宋体" w:hAnsi="宋体" w:eastAsia="宋体" w:cs="宋体"/>
          <w:b w:val="0"/>
          <w:bCs/>
          <w:color w:val="auto"/>
          <w:kern w:val="0"/>
          <w:sz w:val="22"/>
          <w:szCs w:val="22"/>
          <w:highlight w:val="none"/>
          <w:lang w:eastAsia="zh-CN"/>
        </w:rPr>
        <w:t>由投标人根据“评分标准表”</w:t>
      </w:r>
      <w:r>
        <w:rPr>
          <w:rFonts w:hint="eastAsia" w:ascii="宋体" w:hAnsi="宋体" w:eastAsia="宋体" w:cs="宋体"/>
          <w:b w:val="0"/>
          <w:bCs/>
          <w:color w:val="auto"/>
          <w:kern w:val="0"/>
          <w:sz w:val="22"/>
          <w:szCs w:val="22"/>
          <w:highlight w:val="none"/>
          <w:lang w:val="en-US" w:eastAsia="zh-CN"/>
        </w:rPr>
        <w:t>中</w:t>
      </w:r>
      <w:r>
        <w:rPr>
          <w:rFonts w:hint="eastAsia" w:ascii="宋体" w:hAnsi="宋体" w:eastAsia="宋体" w:cs="宋体"/>
          <w:b w:val="0"/>
          <w:bCs/>
          <w:color w:val="auto"/>
          <w:kern w:val="0"/>
          <w:sz w:val="22"/>
          <w:szCs w:val="22"/>
          <w:highlight w:val="none"/>
          <w:lang w:eastAsia="zh-CN"/>
        </w:rPr>
        <w:t>内容自行填写。</w:t>
      </w:r>
    </w:p>
    <w:p w14:paraId="78AC3572">
      <w:pPr>
        <w:pStyle w:val="16"/>
        <w:keepNext w:val="0"/>
        <w:keepLines w:val="0"/>
        <w:pageBreakBefore w:val="0"/>
        <w:widowControl w:val="0"/>
        <w:numPr>
          <w:ilvl w:val="0"/>
          <w:numId w:val="0"/>
        </w:numPr>
        <w:tabs>
          <w:tab w:val="right" w:leader="dot" w:pos="9061"/>
        </w:tabs>
        <w:kinsoku/>
        <w:wordWrap/>
        <w:overflowPunct/>
        <w:topLinePunct w:val="0"/>
        <w:autoSpaceDE/>
        <w:autoSpaceDN/>
        <w:bidi w:val="0"/>
        <w:adjustRightInd/>
        <w:snapToGrid/>
        <w:spacing w:line="240" w:lineRule="auto"/>
        <w:ind w:leftChars="0" w:firstLine="0" w:firstLineChars="0"/>
        <w:jc w:val="both"/>
        <w:textAlignment w:val="auto"/>
        <w:outlineLvl w:val="9"/>
        <w:rPr>
          <w:rFonts w:hint="eastAsia" w:ascii="宋体" w:hAnsi="宋体" w:eastAsia="宋体" w:cs="宋体"/>
          <w:b w:val="0"/>
          <w:bCs/>
          <w:color w:val="auto"/>
          <w:kern w:val="0"/>
          <w:sz w:val="22"/>
          <w:szCs w:val="22"/>
          <w:highlight w:val="none"/>
          <w:lang w:eastAsia="zh-CN"/>
        </w:rPr>
      </w:pPr>
    </w:p>
    <w:p w14:paraId="646E5202">
      <w:pPr>
        <w:pStyle w:val="16"/>
        <w:keepNext w:val="0"/>
        <w:keepLines w:val="0"/>
        <w:pageBreakBefore w:val="0"/>
        <w:widowControl w:val="0"/>
        <w:numPr>
          <w:ilvl w:val="0"/>
          <w:numId w:val="0"/>
        </w:numPr>
        <w:tabs>
          <w:tab w:val="right" w:leader="dot" w:pos="9061"/>
        </w:tabs>
        <w:kinsoku/>
        <w:wordWrap/>
        <w:overflowPunct/>
        <w:topLinePunct w:val="0"/>
        <w:autoSpaceDE/>
        <w:autoSpaceDN/>
        <w:bidi w:val="0"/>
        <w:adjustRightInd/>
        <w:snapToGrid/>
        <w:spacing w:line="240" w:lineRule="auto"/>
        <w:ind w:leftChars="0" w:firstLine="0" w:firstLineChars="0"/>
        <w:jc w:val="both"/>
        <w:textAlignment w:val="auto"/>
        <w:outlineLvl w:val="9"/>
        <w:rPr>
          <w:rFonts w:hint="eastAsia" w:ascii="宋体" w:hAnsi="宋体" w:eastAsia="宋体" w:cs="宋体"/>
          <w:b w:val="0"/>
          <w:bCs/>
          <w:color w:val="auto"/>
          <w:kern w:val="0"/>
          <w:sz w:val="22"/>
          <w:szCs w:val="22"/>
          <w:highlight w:val="none"/>
          <w:lang w:eastAsia="zh-CN"/>
        </w:rPr>
      </w:pPr>
    </w:p>
    <w:p w14:paraId="041812AE">
      <w:pPr>
        <w:pStyle w:val="16"/>
        <w:keepNext w:val="0"/>
        <w:keepLines w:val="0"/>
        <w:pageBreakBefore w:val="0"/>
        <w:widowControl w:val="0"/>
        <w:numPr>
          <w:ilvl w:val="0"/>
          <w:numId w:val="0"/>
        </w:numPr>
        <w:tabs>
          <w:tab w:val="right" w:leader="dot" w:pos="9061"/>
        </w:tabs>
        <w:kinsoku/>
        <w:wordWrap/>
        <w:overflowPunct/>
        <w:topLinePunct w:val="0"/>
        <w:autoSpaceDE/>
        <w:autoSpaceDN/>
        <w:bidi w:val="0"/>
        <w:adjustRightInd/>
        <w:snapToGrid/>
        <w:spacing w:line="240" w:lineRule="auto"/>
        <w:ind w:leftChars="0" w:firstLine="0" w:firstLineChars="0"/>
        <w:jc w:val="both"/>
        <w:textAlignment w:val="auto"/>
        <w:outlineLvl w:val="9"/>
        <w:rPr>
          <w:rFonts w:hint="eastAsia" w:ascii="宋体" w:hAnsi="宋体" w:eastAsia="宋体" w:cs="宋体"/>
          <w:b w:val="0"/>
          <w:bCs/>
          <w:color w:val="auto"/>
          <w:kern w:val="0"/>
          <w:sz w:val="22"/>
          <w:szCs w:val="22"/>
          <w:highlight w:val="none"/>
          <w:lang w:eastAsia="zh-CN"/>
        </w:rPr>
      </w:pPr>
    </w:p>
    <w:p w14:paraId="0478A9D8">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val="0"/>
          <w:bCs/>
          <w:color w:val="auto"/>
          <w:kern w:val="0"/>
          <w:sz w:val="22"/>
          <w:szCs w:val="22"/>
          <w:highlight w:val="none"/>
          <w:lang w:val="en-US" w:eastAsia="zh-CN"/>
        </w:rPr>
        <w:br w:type="page"/>
      </w:r>
      <w:r>
        <w:rPr>
          <w:rFonts w:hint="eastAsia" w:ascii="宋体" w:hAnsi="宋体" w:eastAsia="宋体" w:cs="宋体"/>
          <w:b/>
          <w:color w:val="auto"/>
          <w:kern w:val="0"/>
          <w:sz w:val="30"/>
          <w:szCs w:val="30"/>
          <w:highlight w:val="none"/>
          <w:lang w:val="en-US" w:eastAsia="zh-CN" w:bidi="ar-SA"/>
        </w:rPr>
        <w:t>二、技术参数偏离表</w:t>
      </w:r>
    </w:p>
    <w:p w14:paraId="419F59F9">
      <w:pPr>
        <w:pageBreakBefore w:val="0"/>
        <w:widowControl/>
        <w:kinsoku/>
        <w:overflowPunct/>
        <w:topLinePunct w:val="0"/>
        <w:bidi w:val="0"/>
        <w:adjustRightInd/>
        <w:spacing w:line="240" w:lineRule="auto"/>
        <w:ind w:firstLine="0" w:firstLineChars="0"/>
        <w:jc w:val="both"/>
        <w:outlineLvl w:val="9"/>
        <w:rPr>
          <w:rFonts w:hint="eastAsia" w:ascii="宋体" w:hAnsi="宋体" w:eastAsia="宋体" w:cs="宋体"/>
          <w:color w:val="FF0000"/>
          <w:kern w:val="0"/>
          <w:sz w:val="22"/>
          <w:szCs w:val="22"/>
          <w:highlight w:val="none"/>
        </w:rPr>
      </w:pPr>
    </w:p>
    <w:p w14:paraId="004F8CD5">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项目名称：                              </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 xml:space="preserve">    项目编号：</w:t>
      </w:r>
      <w:r>
        <w:rPr>
          <w:rFonts w:hint="eastAsia" w:ascii="宋体" w:hAnsi="宋体" w:eastAsia="宋体" w:cs="宋体"/>
          <w:color w:val="auto"/>
          <w:sz w:val="22"/>
          <w:szCs w:val="22"/>
          <w:highlight w:val="none"/>
        </w:rPr>
        <w:t xml:space="preserve">  </w:t>
      </w:r>
    </w:p>
    <w:tbl>
      <w:tblPr>
        <w:tblStyle w:val="32"/>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8"/>
        <w:gridCol w:w="1025"/>
        <w:gridCol w:w="1334"/>
        <w:gridCol w:w="3797"/>
        <w:gridCol w:w="1568"/>
        <w:gridCol w:w="952"/>
      </w:tblGrid>
      <w:tr w14:paraId="0243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355948CB">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025" w:type="dxa"/>
            <w:tcBorders>
              <w:top w:val="single" w:color="000000" w:sz="4" w:space="0"/>
              <w:left w:val="single" w:color="auto" w:sz="4" w:space="0"/>
              <w:bottom w:val="single" w:color="000000" w:sz="4" w:space="0"/>
              <w:right w:val="single" w:color="000000" w:sz="4" w:space="0"/>
            </w:tcBorders>
            <w:noWrap w:val="0"/>
            <w:vAlign w:val="center"/>
          </w:tcPr>
          <w:p w14:paraId="6E3FF7C1">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w:t>
            </w:r>
          </w:p>
          <w:p w14:paraId="125E2A85">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27514875">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品牌</w:t>
            </w:r>
            <w:r>
              <w:rPr>
                <w:rFonts w:hint="eastAsia" w:ascii="宋体" w:hAnsi="宋体" w:eastAsia="宋体" w:cs="宋体"/>
                <w:color w:val="auto"/>
                <w:sz w:val="22"/>
                <w:szCs w:val="22"/>
                <w:highlight w:val="none"/>
              </w:rPr>
              <w:t>型号</w:t>
            </w:r>
          </w:p>
        </w:tc>
        <w:tc>
          <w:tcPr>
            <w:tcW w:w="3797" w:type="dxa"/>
            <w:tcBorders>
              <w:top w:val="single" w:color="000000" w:sz="4" w:space="0"/>
              <w:left w:val="single" w:color="auto" w:sz="4" w:space="0"/>
              <w:bottom w:val="single" w:color="000000" w:sz="4" w:space="0"/>
              <w:right w:val="single" w:color="000000" w:sz="4" w:space="0"/>
            </w:tcBorders>
            <w:noWrap w:val="0"/>
            <w:vAlign w:val="center"/>
          </w:tcPr>
          <w:p w14:paraId="162189F4">
            <w:pPr>
              <w:pageBreakBefore w:val="0"/>
              <w:kinsoku/>
              <w:overflowPunct/>
              <w:topLinePunct w:val="0"/>
              <w:bidi w:val="0"/>
              <w:adjustRightInd/>
              <w:snapToGrid w:val="0"/>
              <w:spacing w:line="240" w:lineRule="auto"/>
              <w:ind w:firstLine="0" w:firstLineChars="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采购需求中“</w:t>
            </w:r>
            <w:r>
              <w:rPr>
                <w:rFonts w:hint="eastAsia" w:ascii="宋体" w:hAnsi="宋体" w:eastAsia="宋体" w:cs="宋体"/>
                <w:color w:val="auto"/>
                <w:sz w:val="22"/>
                <w:szCs w:val="22"/>
                <w:highlight w:val="none"/>
                <w:lang w:val="en-US" w:eastAsia="zh-CN"/>
              </w:rPr>
              <w:t>数量、尺寸及参数要求</w:t>
            </w:r>
            <w:r>
              <w:rPr>
                <w:rFonts w:hint="eastAsia" w:ascii="宋体" w:hAnsi="宋体" w:eastAsia="宋体" w:cs="宋体"/>
                <w:color w:val="auto"/>
                <w:sz w:val="22"/>
                <w:szCs w:val="22"/>
                <w:highlight w:val="none"/>
                <w:lang w:eastAsia="zh-CN"/>
              </w:rPr>
              <w:t>”</w:t>
            </w:r>
          </w:p>
        </w:tc>
        <w:tc>
          <w:tcPr>
            <w:tcW w:w="1568" w:type="dxa"/>
            <w:tcBorders>
              <w:top w:val="single" w:color="000000" w:sz="4" w:space="0"/>
              <w:left w:val="single" w:color="auto" w:sz="4" w:space="0"/>
              <w:bottom w:val="single" w:color="000000" w:sz="4" w:space="0"/>
              <w:right w:val="single" w:color="000000" w:sz="4" w:space="0"/>
            </w:tcBorders>
            <w:noWrap w:val="0"/>
            <w:vAlign w:val="center"/>
          </w:tcPr>
          <w:p w14:paraId="0CF3CD68">
            <w:pPr>
              <w:pageBreakBefore w:val="0"/>
              <w:kinsoku/>
              <w:overflowPunct/>
              <w:topLinePunct w:val="0"/>
              <w:bidi w:val="0"/>
              <w:adjustRightInd/>
              <w:snapToGrid w:val="0"/>
              <w:spacing w:line="240" w:lineRule="auto"/>
              <w:ind w:firstLine="0" w:firstLineChars="0"/>
              <w:jc w:val="center"/>
              <w:outlineLvl w:val="9"/>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响应</w:t>
            </w:r>
            <w:r>
              <w:rPr>
                <w:rFonts w:hint="eastAsia" w:ascii="宋体" w:hAnsi="宋体" w:eastAsia="宋体" w:cs="宋体"/>
                <w:color w:val="auto"/>
                <w:sz w:val="22"/>
                <w:szCs w:val="22"/>
                <w:highlight w:val="none"/>
              </w:rPr>
              <w:t>文件响应内容</w:t>
            </w:r>
          </w:p>
        </w:tc>
        <w:tc>
          <w:tcPr>
            <w:tcW w:w="952" w:type="dxa"/>
            <w:tcBorders>
              <w:top w:val="single" w:color="000000" w:sz="4" w:space="0"/>
              <w:left w:val="single" w:color="auto" w:sz="4" w:space="0"/>
              <w:bottom w:val="single" w:color="000000" w:sz="4" w:space="0"/>
              <w:right w:val="single" w:color="000000" w:sz="4" w:space="0"/>
            </w:tcBorders>
            <w:noWrap w:val="0"/>
            <w:vAlign w:val="center"/>
          </w:tcPr>
          <w:p w14:paraId="7535B55F">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w:t>
            </w:r>
          </w:p>
          <w:p w14:paraId="35BFFC4B">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情况</w:t>
            </w:r>
          </w:p>
        </w:tc>
      </w:tr>
      <w:tr w14:paraId="72E7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28" w:type="dxa"/>
            <w:tcBorders>
              <w:top w:val="single" w:color="auto" w:sz="4" w:space="0"/>
              <w:left w:val="single" w:color="000000" w:sz="4" w:space="0"/>
              <w:bottom w:val="single" w:color="000000" w:sz="4" w:space="0"/>
              <w:right w:val="single" w:color="000000" w:sz="4" w:space="0"/>
            </w:tcBorders>
            <w:noWrap w:val="0"/>
            <w:vAlign w:val="center"/>
          </w:tcPr>
          <w:p w14:paraId="60843A51">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025" w:type="dxa"/>
            <w:tcBorders>
              <w:top w:val="single" w:color="auto" w:sz="4" w:space="0"/>
              <w:left w:val="single" w:color="auto" w:sz="4" w:space="0"/>
              <w:bottom w:val="single" w:color="000000" w:sz="4" w:space="0"/>
              <w:right w:val="single" w:color="000000" w:sz="4" w:space="0"/>
            </w:tcBorders>
            <w:noWrap w:val="0"/>
            <w:vAlign w:val="center"/>
          </w:tcPr>
          <w:p w14:paraId="0E499043">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000000" w:sz="4" w:space="0"/>
              <w:right w:val="single" w:color="000000" w:sz="4" w:space="0"/>
            </w:tcBorders>
            <w:noWrap w:val="0"/>
            <w:vAlign w:val="center"/>
          </w:tcPr>
          <w:p w14:paraId="6BADC3AF">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p>
        </w:tc>
        <w:tc>
          <w:tcPr>
            <w:tcW w:w="3797" w:type="dxa"/>
            <w:tcBorders>
              <w:top w:val="single" w:color="auto" w:sz="4" w:space="0"/>
              <w:left w:val="single" w:color="auto" w:sz="4" w:space="0"/>
              <w:bottom w:val="single" w:color="000000" w:sz="4" w:space="0"/>
              <w:right w:val="single" w:color="000000" w:sz="4" w:space="0"/>
            </w:tcBorders>
            <w:noWrap w:val="0"/>
            <w:vAlign w:val="center"/>
          </w:tcPr>
          <w:p w14:paraId="6F1AC0E9">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p>
        </w:tc>
        <w:tc>
          <w:tcPr>
            <w:tcW w:w="1568" w:type="dxa"/>
            <w:tcBorders>
              <w:top w:val="single" w:color="auto" w:sz="4" w:space="0"/>
              <w:left w:val="single" w:color="auto" w:sz="4" w:space="0"/>
              <w:bottom w:val="single" w:color="000000" w:sz="4" w:space="0"/>
              <w:right w:val="single" w:color="000000" w:sz="4" w:space="0"/>
            </w:tcBorders>
            <w:noWrap w:val="0"/>
            <w:vAlign w:val="center"/>
          </w:tcPr>
          <w:p w14:paraId="6BF190D8">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p>
        </w:tc>
        <w:tc>
          <w:tcPr>
            <w:tcW w:w="952" w:type="dxa"/>
            <w:tcBorders>
              <w:top w:val="single" w:color="auto" w:sz="4" w:space="0"/>
              <w:left w:val="single" w:color="auto" w:sz="4" w:space="0"/>
              <w:bottom w:val="single" w:color="000000" w:sz="4" w:space="0"/>
              <w:right w:val="single" w:color="000000" w:sz="4" w:space="0"/>
            </w:tcBorders>
            <w:noWrap w:val="0"/>
            <w:vAlign w:val="center"/>
          </w:tcPr>
          <w:p w14:paraId="123BC04D">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p>
        </w:tc>
      </w:tr>
      <w:tr w14:paraId="06D9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28" w:type="dxa"/>
            <w:tcBorders>
              <w:top w:val="single" w:color="auto" w:sz="4" w:space="0"/>
              <w:left w:val="single" w:color="000000" w:sz="4" w:space="0"/>
              <w:bottom w:val="single" w:color="000000" w:sz="4" w:space="0"/>
              <w:right w:val="single" w:color="000000" w:sz="4" w:space="0"/>
            </w:tcBorders>
            <w:noWrap w:val="0"/>
            <w:vAlign w:val="center"/>
          </w:tcPr>
          <w:p w14:paraId="6D8270E0">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025" w:type="dxa"/>
            <w:tcBorders>
              <w:top w:val="single" w:color="auto" w:sz="4" w:space="0"/>
              <w:left w:val="single" w:color="auto" w:sz="4" w:space="0"/>
              <w:bottom w:val="single" w:color="000000" w:sz="4" w:space="0"/>
              <w:right w:val="single" w:color="000000" w:sz="4" w:space="0"/>
            </w:tcBorders>
            <w:noWrap w:val="0"/>
            <w:vAlign w:val="center"/>
          </w:tcPr>
          <w:p w14:paraId="31283704">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p>
        </w:tc>
        <w:tc>
          <w:tcPr>
            <w:tcW w:w="1334" w:type="dxa"/>
            <w:tcBorders>
              <w:top w:val="single" w:color="auto" w:sz="4" w:space="0"/>
              <w:left w:val="single" w:color="auto" w:sz="4" w:space="0"/>
              <w:bottom w:val="single" w:color="000000" w:sz="4" w:space="0"/>
              <w:right w:val="single" w:color="000000" w:sz="4" w:space="0"/>
            </w:tcBorders>
            <w:noWrap w:val="0"/>
            <w:vAlign w:val="center"/>
          </w:tcPr>
          <w:p w14:paraId="3568A258">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p>
        </w:tc>
        <w:tc>
          <w:tcPr>
            <w:tcW w:w="3797" w:type="dxa"/>
            <w:tcBorders>
              <w:top w:val="single" w:color="auto" w:sz="4" w:space="0"/>
              <w:left w:val="single" w:color="auto" w:sz="4" w:space="0"/>
              <w:bottom w:val="single" w:color="000000" w:sz="4" w:space="0"/>
              <w:right w:val="single" w:color="000000" w:sz="4" w:space="0"/>
            </w:tcBorders>
            <w:noWrap w:val="0"/>
            <w:vAlign w:val="center"/>
          </w:tcPr>
          <w:p w14:paraId="50BAD2F4">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p>
        </w:tc>
        <w:tc>
          <w:tcPr>
            <w:tcW w:w="1568" w:type="dxa"/>
            <w:tcBorders>
              <w:top w:val="single" w:color="auto" w:sz="4" w:space="0"/>
              <w:left w:val="single" w:color="auto" w:sz="4" w:space="0"/>
              <w:bottom w:val="single" w:color="000000" w:sz="4" w:space="0"/>
              <w:right w:val="single" w:color="000000" w:sz="4" w:space="0"/>
            </w:tcBorders>
            <w:noWrap w:val="0"/>
            <w:vAlign w:val="center"/>
          </w:tcPr>
          <w:p w14:paraId="076D33C9">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p>
        </w:tc>
        <w:tc>
          <w:tcPr>
            <w:tcW w:w="952" w:type="dxa"/>
            <w:tcBorders>
              <w:top w:val="single" w:color="auto" w:sz="4" w:space="0"/>
              <w:left w:val="single" w:color="auto" w:sz="4" w:space="0"/>
              <w:bottom w:val="single" w:color="000000" w:sz="4" w:space="0"/>
              <w:right w:val="single" w:color="000000" w:sz="4" w:space="0"/>
            </w:tcBorders>
            <w:noWrap w:val="0"/>
            <w:vAlign w:val="center"/>
          </w:tcPr>
          <w:p w14:paraId="4E2040F9">
            <w:pPr>
              <w:pageBreakBefore w:val="0"/>
              <w:kinsoku/>
              <w:overflowPunct/>
              <w:topLinePunct w:val="0"/>
              <w:bidi w:val="0"/>
              <w:adjustRightInd/>
              <w:spacing w:line="240" w:lineRule="auto"/>
              <w:ind w:firstLine="0" w:firstLineChars="0"/>
              <w:jc w:val="center"/>
              <w:outlineLvl w:val="9"/>
              <w:rPr>
                <w:rFonts w:hint="eastAsia" w:ascii="宋体" w:hAnsi="宋体" w:eastAsia="宋体" w:cs="宋体"/>
                <w:color w:val="auto"/>
                <w:sz w:val="22"/>
                <w:szCs w:val="22"/>
                <w:highlight w:val="none"/>
              </w:rPr>
            </w:pPr>
          </w:p>
        </w:tc>
      </w:tr>
    </w:tbl>
    <w:p w14:paraId="01057B08">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both"/>
        <w:textAlignment w:val="auto"/>
        <w:outlineLvl w:val="9"/>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注：</w:t>
      </w:r>
      <w:r>
        <w:rPr>
          <w:rFonts w:hint="eastAsia" w:ascii="宋体" w:hAnsi="宋体" w:eastAsia="宋体" w:cs="宋体"/>
          <w:bCs/>
          <w:color w:val="auto"/>
          <w:sz w:val="22"/>
          <w:szCs w:val="22"/>
          <w:highlight w:val="none"/>
          <w:lang w:val="en-US" w:eastAsia="zh-CN"/>
        </w:rPr>
        <w:t>1、</w:t>
      </w:r>
      <w:r>
        <w:rPr>
          <w:rFonts w:hint="eastAsia" w:ascii="宋体" w:hAnsi="宋体" w:cs="宋体"/>
          <w:bCs/>
          <w:color w:val="auto"/>
          <w:sz w:val="22"/>
          <w:szCs w:val="22"/>
          <w:highlight w:val="none"/>
          <w:lang w:val="en-US" w:eastAsia="zh-CN"/>
        </w:rPr>
        <w:t>响应</w:t>
      </w:r>
      <w:r>
        <w:rPr>
          <w:rFonts w:hint="eastAsia" w:ascii="宋体" w:hAnsi="宋体" w:eastAsia="宋体" w:cs="宋体"/>
          <w:bCs/>
          <w:color w:val="auto"/>
          <w:sz w:val="22"/>
          <w:szCs w:val="22"/>
          <w:highlight w:val="none"/>
        </w:rPr>
        <w:t>人应根据投标</w:t>
      </w:r>
      <w:r>
        <w:rPr>
          <w:rFonts w:hint="eastAsia" w:ascii="宋体" w:hAnsi="宋体" w:eastAsia="宋体" w:cs="宋体"/>
          <w:bCs/>
          <w:color w:val="auto"/>
          <w:sz w:val="22"/>
          <w:szCs w:val="22"/>
          <w:highlight w:val="none"/>
          <w:lang w:val="en-US" w:eastAsia="zh-CN"/>
        </w:rPr>
        <w:t>产品</w:t>
      </w:r>
      <w:r>
        <w:rPr>
          <w:rFonts w:hint="eastAsia" w:ascii="宋体" w:hAnsi="宋体" w:eastAsia="宋体" w:cs="宋体"/>
          <w:bCs/>
          <w:color w:val="auto"/>
          <w:sz w:val="22"/>
          <w:szCs w:val="22"/>
          <w:highlight w:val="none"/>
        </w:rPr>
        <w:t>的性能指标、对照</w:t>
      </w:r>
      <w:r>
        <w:rPr>
          <w:rFonts w:hint="eastAsia" w:ascii="宋体" w:hAnsi="宋体" w:eastAsia="宋体" w:cs="宋体"/>
          <w:color w:val="auto"/>
          <w:sz w:val="22"/>
          <w:szCs w:val="22"/>
          <w:highlight w:val="none"/>
          <w:lang w:eastAsia="zh-CN"/>
        </w:rPr>
        <w:t>采购需求中“</w:t>
      </w:r>
      <w:r>
        <w:rPr>
          <w:rFonts w:hint="eastAsia" w:ascii="宋体" w:hAnsi="宋体" w:eastAsia="宋体" w:cs="宋体"/>
          <w:color w:val="auto"/>
          <w:sz w:val="22"/>
          <w:szCs w:val="22"/>
          <w:highlight w:val="none"/>
          <w:lang w:val="en-US" w:eastAsia="zh-CN"/>
        </w:rPr>
        <w:t>数量、尺寸及参数</w:t>
      </w:r>
      <w:r>
        <w:rPr>
          <w:rFonts w:hint="eastAsia" w:ascii="宋体" w:hAnsi="宋体" w:cs="宋体"/>
          <w:color w:val="auto"/>
          <w:sz w:val="22"/>
          <w:szCs w:val="22"/>
          <w:highlight w:val="none"/>
          <w:lang w:val="en-US" w:eastAsia="zh-CN"/>
        </w:rPr>
        <w:t>等</w:t>
      </w:r>
      <w:r>
        <w:rPr>
          <w:rFonts w:hint="eastAsia" w:ascii="宋体" w:hAnsi="宋体" w:eastAsia="宋体" w:cs="宋体"/>
          <w:color w:val="auto"/>
          <w:sz w:val="22"/>
          <w:szCs w:val="22"/>
          <w:highlight w:val="none"/>
          <w:lang w:val="en-US" w:eastAsia="zh-CN"/>
        </w:rPr>
        <w:t>要求</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在“偏离情况”栏注明“正偏离”、“负偏离”或“无偏离”</w:t>
      </w:r>
      <w:r>
        <w:rPr>
          <w:rFonts w:hint="eastAsia" w:ascii="宋体" w:hAnsi="宋体" w:eastAsia="宋体" w:cs="宋体"/>
          <w:bCs/>
          <w:color w:val="auto"/>
          <w:sz w:val="22"/>
          <w:szCs w:val="22"/>
          <w:highlight w:val="none"/>
          <w:lang w:eastAsia="zh-CN"/>
        </w:rPr>
        <w:t>。</w:t>
      </w:r>
    </w:p>
    <w:p w14:paraId="3B636D03">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both"/>
        <w:textAlignment w:val="auto"/>
        <w:outlineLvl w:val="9"/>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2、核心产品须在产品名称后注明品牌。</w:t>
      </w:r>
    </w:p>
    <w:p w14:paraId="6E3D67BA">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both"/>
        <w:textAlignment w:val="auto"/>
        <w:outlineLvl w:val="9"/>
        <w:rPr>
          <w:rFonts w:hint="eastAsia" w:ascii="宋体" w:hAnsi="宋体" w:eastAsia="宋体" w:cs="宋体"/>
          <w:bCs/>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rPr>
        <w:t>3、本表格</w:t>
      </w:r>
      <w:r>
        <w:rPr>
          <w:rFonts w:hint="eastAsia" w:ascii="宋体" w:hAnsi="宋体" w:eastAsia="宋体" w:cs="宋体"/>
          <w:bCs/>
          <w:color w:val="auto"/>
          <w:sz w:val="22"/>
          <w:szCs w:val="22"/>
          <w:highlight w:val="none"/>
          <w:lang w:val="en-US" w:eastAsia="zh-CN"/>
        </w:rPr>
        <w:t>可根据实际自行制作。</w:t>
      </w:r>
    </w:p>
    <w:p w14:paraId="5C7823D2">
      <w:pPr>
        <w:pageBreakBefore w:val="0"/>
        <w:kinsoku/>
        <w:overflowPunct/>
        <w:topLinePunct w:val="0"/>
        <w:bidi w:val="0"/>
        <w:adjustRightInd/>
        <w:spacing w:line="240" w:lineRule="auto"/>
        <w:ind w:firstLine="0" w:firstLineChars="0"/>
        <w:jc w:val="both"/>
        <w:outlineLvl w:val="9"/>
        <w:rPr>
          <w:rFonts w:hint="eastAsia" w:ascii="宋体" w:hAnsi="宋体" w:eastAsia="宋体" w:cs="宋体"/>
          <w:color w:val="FF0000"/>
          <w:kern w:val="0"/>
          <w:sz w:val="22"/>
          <w:szCs w:val="22"/>
          <w:highlight w:val="none"/>
          <w:lang w:val="en-US" w:eastAsia="zh-CN"/>
        </w:rPr>
      </w:pPr>
    </w:p>
    <w:p w14:paraId="28BC6664">
      <w:pPr>
        <w:pageBreakBefore w:val="0"/>
        <w:widowControl/>
        <w:kinsoku/>
        <w:overflowPunct/>
        <w:topLinePunct w:val="0"/>
        <w:bidi w:val="0"/>
        <w:adjustRightInd/>
        <w:spacing w:line="240" w:lineRule="auto"/>
        <w:ind w:firstLine="0" w:firstLineChars="0"/>
        <w:jc w:val="both"/>
        <w:outlineLvl w:val="9"/>
        <w:rPr>
          <w:rFonts w:hint="eastAsia" w:ascii="宋体" w:hAnsi="宋体" w:eastAsia="宋体" w:cs="宋体"/>
          <w:color w:val="FF0000"/>
          <w:kern w:val="0"/>
          <w:sz w:val="22"/>
          <w:szCs w:val="22"/>
          <w:highlight w:val="none"/>
        </w:rPr>
      </w:pPr>
    </w:p>
    <w:p w14:paraId="6B8985E0">
      <w:pPr>
        <w:pageBreakBefore w:val="0"/>
        <w:kinsoku/>
        <w:overflowPunct/>
        <w:topLinePunct w:val="0"/>
        <w:bidi w:val="0"/>
        <w:adjustRightInd/>
        <w:spacing w:line="240" w:lineRule="auto"/>
        <w:ind w:firstLine="0" w:firstLineChars="0"/>
        <w:jc w:val="both"/>
        <w:outlineLvl w:val="9"/>
        <w:rPr>
          <w:rFonts w:hint="eastAsia" w:ascii="宋体" w:hAnsi="宋体" w:eastAsia="宋体" w:cs="宋体"/>
          <w:color w:val="FF0000"/>
          <w:kern w:val="0"/>
          <w:sz w:val="22"/>
          <w:szCs w:val="22"/>
          <w:highlight w:val="none"/>
        </w:rPr>
      </w:pPr>
    </w:p>
    <w:p w14:paraId="76939D81">
      <w:pPr>
        <w:pageBreakBefore w:val="0"/>
        <w:kinsoku/>
        <w:overflowPunct/>
        <w:topLinePunct w:val="0"/>
        <w:bidi w:val="0"/>
        <w:adjustRightInd/>
        <w:spacing w:line="240" w:lineRule="auto"/>
        <w:ind w:firstLine="0" w:firstLineChars="0"/>
        <w:jc w:val="both"/>
        <w:outlineLvl w:val="9"/>
        <w:rPr>
          <w:rFonts w:hint="eastAsia" w:ascii="宋体" w:hAnsi="宋体" w:eastAsia="宋体" w:cs="宋体"/>
          <w:color w:val="FF0000"/>
          <w:kern w:val="0"/>
          <w:sz w:val="22"/>
          <w:szCs w:val="22"/>
          <w:highlight w:val="none"/>
        </w:rPr>
      </w:pPr>
    </w:p>
    <w:p w14:paraId="78329370">
      <w:pPr>
        <w:pageBreakBefore w:val="0"/>
        <w:kinsoku/>
        <w:overflowPunct/>
        <w:topLinePunct w:val="0"/>
        <w:bidi w:val="0"/>
        <w:adjustRightInd/>
        <w:spacing w:line="240" w:lineRule="auto"/>
        <w:ind w:firstLine="0" w:firstLineChars="0"/>
        <w:jc w:val="both"/>
        <w:outlineLvl w:val="9"/>
        <w:rPr>
          <w:rFonts w:hint="eastAsia" w:ascii="宋体" w:hAnsi="宋体" w:eastAsia="宋体" w:cs="宋体"/>
          <w:color w:val="FF0000"/>
          <w:sz w:val="22"/>
          <w:szCs w:val="22"/>
          <w:highlight w:val="none"/>
        </w:rPr>
      </w:pPr>
    </w:p>
    <w:p w14:paraId="43AA4BEF">
      <w:pPr>
        <w:pageBreakBefore w:val="0"/>
        <w:kinsoku/>
        <w:overflowPunct/>
        <w:topLinePunct w:val="0"/>
        <w:bidi w:val="0"/>
        <w:adjustRightInd/>
        <w:spacing w:line="240" w:lineRule="auto"/>
        <w:ind w:firstLine="0" w:firstLineChars="0"/>
        <w:jc w:val="both"/>
        <w:outlineLvl w:val="9"/>
        <w:rPr>
          <w:rFonts w:hint="eastAsia" w:ascii="宋体" w:hAnsi="宋体" w:eastAsia="宋体" w:cs="宋体"/>
          <w:color w:val="FF0000"/>
          <w:sz w:val="22"/>
          <w:szCs w:val="22"/>
          <w:highlight w:val="none"/>
        </w:rPr>
      </w:pPr>
    </w:p>
    <w:p w14:paraId="765245D1">
      <w:pPr>
        <w:pageBreakBefore w:val="0"/>
        <w:kinsoku/>
        <w:overflowPunct/>
        <w:topLinePunct w:val="0"/>
        <w:bidi w:val="0"/>
        <w:adjustRightInd/>
        <w:spacing w:line="240" w:lineRule="auto"/>
        <w:ind w:firstLine="0" w:firstLineChars="0"/>
        <w:jc w:val="both"/>
        <w:outlineLvl w:val="9"/>
        <w:rPr>
          <w:rFonts w:hint="eastAsia" w:ascii="宋体" w:hAnsi="宋体" w:eastAsia="宋体" w:cs="宋体"/>
          <w:color w:val="FF0000"/>
          <w:sz w:val="22"/>
          <w:szCs w:val="22"/>
          <w:highlight w:val="none"/>
        </w:rPr>
      </w:pPr>
    </w:p>
    <w:p w14:paraId="74BEA1AD">
      <w:pPr>
        <w:pageBreakBefore w:val="0"/>
        <w:kinsoku/>
        <w:overflowPunct/>
        <w:topLinePunct w:val="0"/>
        <w:bidi w:val="0"/>
        <w:adjustRightInd/>
        <w:spacing w:line="240" w:lineRule="auto"/>
        <w:ind w:firstLine="0" w:firstLineChars="0"/>
        <w:jc w:val="both"/>
        <w:outlineLvl w:val="9"/>
        <w:rPr>
          <w:rFonts w:hint="eastAsia" w:ascii="宋体" w:hAnsi="宋体" w:eastAsia="宋体" w:cs="宋体"/>
          <w:color w:val="FF0000"/>
          <w:sz w:val="22"/>
          <w:szCs w:val="22"/>
          <w:highlight w:val="none"/>
        </w:rPr>
      </w:pPr>
    </w:p>
    <w:p w14:paraId="0214611E">
      <w:pPr>
        <w:keepNext w:val="0"/>
        <w:keepLines w:val="0"/>
        <w:pageBreakBefore w:val="0"/>
        <w:kinsoku/>
        <w:wordWrap/>
        <w:overflowPunct/>
        <w:topLinePunct w:val="0"/>
        <w:autoSpaceDE/>
        <w:autoSpaceDN/>
        <w:bidi w:val="0"/>
        <w:adjustRightInd/>
        <w:spacing w:line="560" w:lineRule="exact"/>
        <w:ind w:firstLine="4840" w:firstLineChars="2200"/>
        <w:jc w:val="both"/>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投标人全称（电子签章）：</w:t>
      </w:r>
      <w:r>
        <w:rPr>
          <w:rFonts w:hint="eastAsia" w:ascii="宋体" w:hAnsi="宋体" w:eastAsia="宋体" w:cs="宋体"/>
          <w:color w:val="auto"/>
          <w:sz w:val="22"/>
          <w:szCs w:val="22"/>
          <w:highlight w:val="none"/>
          <w:u w:val="single"/>
        </w:rPr>
        <w:t xml:space="preserve">               </w:t>
      </w:r>
    </w:p>
    <w:p w14:paraId="46284512">
      <w:pPr>
        <w:keepNext w:val="0"/>
        <w:keepLines w:val="0"/>
        <w:pageBreakBefore w:val="0"/>
        <w:widowControl/>
        <w:kinsoku/>
        <w:wordWrap/>
        <w:overflowPunct/>
        <w:topLinePunct w:val="0"/>
        <w:autoSpaceDE/>
        <w:autoSpaceDN/>
        <w:bidi w:val="0"/>
        <w:adjustRightInd/>
        <w:snapToGrid w:val="0"/>
        <w:spacing w:line="560" w:lineRule="exact"/>
        <w:ind w:firstLine="4840" w:firstLineChars="2200"/>
        <w:jc w:val="both"/>
        <w:textAlignment w:val="baseline"/>
        <w:outlineLvl w:val="9"/>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472DB1D8">
      <w:pPr>
        <w:pageBreakBefore w:val="0"/>
        <w:kinsoku/>
        <w:overflowPunct/>
        <w:topLinePunct w:val="0"/>
        <w:bidi w:val="0"/>
        <w:adjustRightInd/>
        <w:snapToGrid w:val="0"/>
        <w:spacing w:line="240" w:lineRule="auto"/>
        <w:ind w:firstLine="0" w:firstLineChars="0"/>
        <w:jc w:val="both"/>
        <w:outlineLvl w:val="9"/>
        <w:rPr>
          <w:rFonts w:hint="eastAsia" w:ascii="宋体" w:hAnsi="宋体" w:eastAsia="宋体" w:cs="宋体"/>
          <w:b/>
          <w:strike/>
          <w:color w:val="FF0000"/>
          <w:kern w:val="0"/>
          <w:sz w:val="22"/>
          <w:szCs w:val="22"/>
          <w:highlight w:val="none"/>
        </w:rPr>
      </w:pPr>
    </w:p>
    <w:p w14:paraId="4CED5BB2">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color w:val="FF0000"/>
          <w:kern w:val="0"/>
          <w:sz w:val="22"/>
          <w:szCs w:val="22"/>
          <w:highlight w:val="none"/>
          <w:lang w:val="en-US" w:eastAsia="zh-CN"/>
        </w:rPr>
        <w:br w:type="page"/>
      </w:r>
      <w:r>
        <w:rPr>
          <w:rFonts w:hint="eastAsia" w:ascii="宋体" w:hAnsi="宋体" w:eastAsia="宋体" w:cs="宋体"/>
          <w:b/>
          <w:color w:val="auto"/>
          <w:kern w:val="0"/>
          <w:sz w:val="30"/>
          <w:szCs w:val="30"/>
          <w:highlight w:val="none"/>
          <w:lang w:val="en-US" w:eastAsia="zh-CN" w:bidi="ar-SA"/>
        </w:rPr>
        <w:t>三、项目业绩</w:t>
      </w:r>
    </w:p>
    <w:p w14:paraId="1515949F">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6CEE901D">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77D47C1C">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6B4CCCDF">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7C297E6A">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1294A882">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4CF155DE">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6B59F9EB">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5BFD47AD">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1ED89796">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2258B69D">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3D833F70">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7D05EAEC">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5BC1938B">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5C3C10C9">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4277A108">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color w:val="auto"/>
          <w:kern w:val="0"/>
          <w:sz w:val="22"/>
          <w:szCs w:val="22"/>
          <w:highlight w:val="none"/>
          <w:lang w:val="en-US" w:eastAsia="zh-CN"/>
        </w:rPr>
      </w:pPr>
    </w:p>
    <w:p w14:paraId="5D3E0F7A">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FF0000"/>
          <w:kern w:val="0"/>
          <w:sz w:val="22"/>
          <w:szCs w:val="22"/>
          <w:highlight w:val="none"/>
          <w:lang w:val="en-US" w:eastAsia="zh-CN"/>
        </w:rPr>
        <w:br w:type="page"/>
      </w:r>
      <w:r>
        <w:rPr>
          <w:rFonts w:hint="eastAsia" w:ascii="宋体" w:hAnsi="宋体" w:eastAsia="宋体" w:cs="宋体"/>
          <w:b/>
          <w:color w:val="auto"/>
          <w:kern w:val="0"/>
          <w:sz w:val="30"/>
          <w:szCs w:val="30"/>
          <w:highlight w:val="none"/>
          <w:lang w:val="en-US" w:eastAsia="zh-CN" w:bidi="ar-SA"/>
        </w:rPr>
        <w:t>四、项目组成人员</w:t>
      </w:r>
    </w:p>
    <w:p w14:paraId="296E2C31">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3A67B52D">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2E53E1C6">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7FCCF585">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5FFCACAC">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442DD845">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434FAEA3">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1882F980">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FF0000"/>
          <w:kern w:val="0"/>
          <w:sz w:val="22"/>
          <w:szCs w:val="22"/>
          <w:highlight w:val="none"/>
          <w:lang w:val="en-US" w:eastAsia="zh-CN"/>
        </w:rPr>
        <w:br w:type="page"/>
      </w:r>
      <w:r>
        <w:rPr>
          <w:rFonts w:hint="eastAsia" w:ascii="宋体" w:hAnsi="宋体" w:eastAsia="宋体" w:cs="宋体"/>
          <w:b/>
          <w:color w:val="auto"/>
          <w:kern w:val="0"/>
          <w:sz w:val="30"/>
          <w:szCs w:val="30"/>
          <w:highlight w:val="none"/>
          <w:lang w:val="en-US" w:eastAsia="zh-CN" w:bidi="ar-SA"/>
        </w:rPr>
        <w:t>五、特殊情况或紧急重大情况响应时间</w:t>
      </w:r>
    </w:p>
    <w:p w14:paraId="3AB23B96">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07068E1D">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4EC8793F">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10AB805C">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76426FFB">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22C109B8">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7245F97B">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FF0000"/>
          <w:kern w:val="0"/>
          <w:sz w:val="22"/>
          <w:szCs w:val="22"/>
          <w:highlight w:val="none"/>
          <w:lang w:val="en-US" w:eastAsia="zh-CN"/>
        </w:rPr>
        <w:br w:type="page"/>
      </w:r>
      <w:r>
        <w:rPr>
          <w:rFonts w:hint="eastAsia" w:ascii="宋体" w:hAnsi="宋体" w:eastAsia="宋体" w:cs="宋体"/>
          <w:b/>
          <w:color w:val="auto"/>
          <w:kern w:val="0"/>
          <w:sz w:val="30"/>
          <w:szCs w:val="30"/>
          <w:highlight w:val="none"/>
          <w:lang w:val="en-US" w:eastAsia="zh-CN" w:bidi="ar-SA"/>
        </w:rPr>
        <w:t>六、项目实施方案</w:t>
      </w:r>
    </w:p>
    <w:p w14:paraId="7CE24405">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30DEDEAD">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32B03811">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0654C525">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39B95821">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78A61BBB">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1D59A90B">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FF0000"/>
          <w:kern w:val="0"/>
          <w:sz w:val="22"/>
          <w:szCs w:val="22"/>
          <w:highlight w:val="none"/>
          <w:lang w:val="en-US" w:eastAsia="zh-CN"/>
        </w:rPr>
        <w:br w:type="page"/>
      </w:r>
      <w:r>
        <w:rPr>
          <w:rFonts w:hint="eastAsia" w:ascii="宋体" w:hAnsi="宋体" w:eastAsia="宋体" w:cs="宋体"/>
          <w:b/>
          <w:color w:val="auto"/>
          <w:kern w:val="0"/>
          <w:sz w:val="30"/>
          <w:szCs w:val="30"/>
          <w:highlight w:val="none"/>
          <w:lang w:val="en-US" w:eastAsia="zh-CN" w:bidi="ar-SA"/>
        </w:rPr>
        <w:t>七、技术培训</w:t>
      </w:r>
    </w:p>
    <w:p w14:paraId="196AAF4A">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7F24EA76">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7AE9F855">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51231329">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1B675C73">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071A8C2E">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4CA1D918">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01782240">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6CFE86E4">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70335F20">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67082D62">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292E9F7C">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104793ED">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FF0000"/>
          <w:kern w:val="0"/>
          <w:sz w:val="22"/>
          <w:szCs w:val="22"/>
          <w:highlight w:val="none"/>
          <w:lang w:val="en-US" w:eastAsia="zh-CN"/>
        </w:rPr>
        <w:br w:type="page"/>
      </w:r>
      <w:r>
        <w:rPr>
          <w:rFonts w:hint="eastAsia" w:ascii="宋体" w:hAnsi="宋体" w:eastAsia="宋体" w:cs="宋体"/>
          <w:b/>
          <w:color w:val="auto"/>
          <w:kern w:val="0"/>
          <w:sz w:val="30"/>
          <w:szCs w:val="30"/>
          <w:highlight w:val="none"/>
          <w:lang w:val="en-US" w:eastAsia="zh-CN" w:bidi="ar-SA"/>
        </w:rPr>
        <w:t>八、售后服务</w:t>
      </w:r>
    </w:p>
    <w:p w14:paraId="7CC4C23D">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558467C7">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1F555970">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5D820204">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0F7BB7AF">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7FDDEC5B">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4536B118">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1A562DC9">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0E52ACB5">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2A6C999A">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26207DF9">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36B78AAE">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376774FB">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FF0000"/>
          <w:kern w:val="0"/>
          <w:sz w:val="22"/>
          <w:szCs w:val="22"/>
          <w:highlight w:val="none"/>
          <w:lang w:val="en-US" w:eastAsia="zh-CN"/>
        </w:rPr>
        <w:br w:type="page"/>
      </w:r>
      <w:r>
        <w:rPr>
          <w:rFonts w:hint="eastAsia" w:ascii="宋体" w:hAnsi="宋体" w:eastAsia="宋体" w:cs="宋体"/>
          <w:b/>
          <w:color w:val="auto"/>
          <w:kern w:val="0"/>
          <w:sz w:val="30"/>
          <w:szCs w:val="30"/>
          <w:highlight w:val="none"/>
          <w:lang w:val="en-US" w:eastAsia="zh-CN" w:bidi="ar-SA"/>
        </w:rPr>
        <w:t>九、投标人需要说明的其他文件和说明（格式自拟）</w:t>
      </w:r>
    </w:p>
    <w:p w14:paraId="7A247E46">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（采购需求中打“▲”的要求可在此响应或承诺）</w:t>
      </w:r>
    </w:p>
    <w:p w14:paraId="1F593AD0">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6E0098B7">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631BF182">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418A2CB9">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21355BA5">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2D728B73">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567E52FC">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5CE97B43">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71D59ED5">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556F26CC">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2116F52A">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719D483D">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4C78505E">
      <w:pPr>
        <w:pStyle w:val="16"/>
        <w:keepNext w:val="0"/>
        <w:keepLines w:val="0"/>
        <w:pageBreakBefore w:val="0"/>
        <w:widowControl w:val="0"/>
        <w:numPr>
          <w:ilvl w:val="0"/>
          <w:numId w:val="0"/>
        </w:numPr>
        <w:tabs>
          <w:tab w:val="right" w:leader="dot" w:pos="9061"/>
        </w:tabs>
        <w:kinsoku/>
        <w:wordWrap w:val="0"/>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color w:val="auto"/>
          <w:kern w:val="0"/>
          <w:sz w:val="22"/>
          <w:szCs w:val="22"/>
          <w:highlight w:val="none"/>
          <w:lang w:val="en-US" w:eastAsia="zh-CN"/>
        </w:rPr>
      </w:pPr>
    </w:p>
    <w:p w14:paraId="45796779">
      <w:pPr>
        <w:keepNext w:val="0"/>
        <w:keepLines w:val="0"/>
        <w:pageBreakBefore w:val="0"/>
        <w:widowControl/>
        <w:kinsoku/>
        <w:wordWrap/>
        <w:overflowPunct/>
        <w:topLinePunct w:val="0"/>
        <w:autoSpaceDE/>
        <w:autoSpaceDN/>
        <w:bidi w:val="0"/>
        <w:adjustRightInd/>
        <w:snapToGrid/>
        <w:spacing w:line="240" w:lineRule="auto"/>
        <w:ind w:left="0" w:right="0" w:firstLine="0"/>
        <w:jc w:val="both"/>
        <w:textAlignment w:val="auto"/>
        <w:rPr>
          <w:rFonts w:hint="eastAsia" w:ascii="黑体" w:hAnsi="黑体" w:eastAsia="黑体" w:cs="黑体"/>
          <w:b/>
          <w:bCs/>
          <w:color w:val="auto"/>
          <w:kern w:val="0"/>
          <w:sz w:val="28"/>
          <w:szCs w:val="28"/>
          <w:highlight w:val="none"/>
        </w:rPr>
      </w:pPr>
      <w:r>
        <w:rPr>
          <w:rFonts w:hint="eastAsia" w:ascii="宋体" w:hAnsi="宋体" w:eastAsia="宋体" w:cs="宋体"/>
          <w:b/>
          <w:color w:val="FF0000"/>
          <w:kern w:val="0"/>
          <w:sz w:val="22"/>
          <w:szCs w:val="22"/>
          <w:highlight w:val="none"/>
          <w:lang w:val="en-US" w:eastAsia="zh-CN"/>
        </w:rPr>
        <w:br w:type="page"/>
      </w:r>
      <w:bookmarkEnd w:id="226"/>
    </w:p>
    <w:p w14:paraId="025A8E3F">
      <w:pPr>
        <w:keepNext w:val="0"/>
        <w:keepLines w:val="0"/>
        <w:pageBreakBefore w:val="0"/>
        <w:widowControl/>
        <w:kinsoku/>
        <w:wordWrap/>
        <w:overflowPunct/>
        <w:topLinePunct w:val="0"/>
        <w:autoSpaceDE/>
        <w:autoSpaceDN/>
        <w:bidi w:val="0"/>
        <w:adjustRightInd/>
        <w:snapToGrid/>
        <w:spacing w:line="240" w:lineRule="auto"/>
        <w:ind w:left="0" w:right="0" w:firstLine="0"/>
        <w:jc w:val="both"/>
        <w:textAlignment w:val="auto"/>
        <w:rPr>
          <w:rFonts w:hint="eastAsia" w:ascii="黑体" w:hAnsi="黑体" w:eastAsia="黑体" w:cs="黑体"/>
          <w:b/>
          <w:bCs/>
          <w:color w:val="auto"/>
          <w:kern w:val="0"/>
          <w:sz w:val="28"/>
          <w:szCs w:val="28"/>
          <w:highlight w:val="none"/>
        </w:rPr>
      </w:pPr>
    </w:p>
    <w:p w14:paraId="51FC3EB5">
      <w:pPr>
        <w:keepNext w:val="0"/>
        <w:keepLines w:val="0"/>
        <w:pageBreakBefore w:val="0"/>
        <w:widowControl/>
        <w:kinsoku/>
        <w:wordWrap/>
        <w:overflowPunct/>
        <w:topLinePunct w:val="0"/>
        <w:autoSpaceDE/>
        <w:autoSpaceDN/>
        <w:bidi w:val="0"/>
        <w:adjustRightInd/>
        <w:snapToGrid/>
        <w:spacing w:line="240" w:lineRule="auto"/>
        <w:ind w:left="0" w:right="0" w:firstLine="0"/>
        <w:jc w:val="both"/>
        <w:textAlignment w:val="auto"/>
        <w:rPr>
          <w:rFonts w:hint="eastAsia" w:ascii="黑体" w:hAnsi="黑体" w:eastAsia="黑体" w:cs="黑体"/>
          <w:b/>
          <w:bCs/>
          <w:color w:val="auto"/>
          <w:kern w:val="0"/>
          <w:sz w:val="28"/>
          <w:szCs w:val="28"/>
          <w:highlight w:val="none"/>
        </w:rPr>
      </w:pPr>
    </w:p>
    <w:bookmarkEnd w:id="180"/>
    <w:bookmarkEnd w:id="181"/>
    <w:bookmarkEnd w:id="182"/>
    <w:bookmarkEnd w:id="224"/>
    <w:bookmarkEnd w:id="225"/>
    <w:p w14:paraId="005F688F">
      <w:pPr>
        <w:pStyle w:val="16"/>
        <w:tabs>
          <w:tab w:val="right" w:leader="dot" w:pos="9061"/>
        </w:tabs>
        <w:spacing w:line="360" w:lineRule="auto"/>
        <w:ind w:left="0" w:leftChars="0"/>
        <w:jc w:val="center"/>
        <w:rPr>
          <w:rFonts w:ascii="黑体" w:hAnsi="黑体" w:eastAsia="黑体" w:cs="黑体"/>
          <w:color w:val="auto"/>
          <w:sz w:val="44"/>
          <w:szCs w:val="44"/>
          <w:highlight w:val="none"/>
        </w:rPr>
      </w:pPr>
      <w:bookmarkStart w:id="227" w:name="_Toc392080815"/>
      <w:bookmarkStart w:id="228" w:name="_Toc393201763"/>
      <w:bookmarkStart w:id="229" w:name="_Toc387831536"/>
      <w:bookmarkStart w:id="230" w:name="_Toc16936"/>
      <w:bookmarkStart w:id="231" w:name="_Toc336331393"/>
      <w:r>
        <w:rPr>
          <w:rFonts w:hint="eastAsia" w:ascii="黑体" w:hAnsi="黑体" w:eastAsia="黑体" w:cs="黑体"/>
          <w:color w:val="auto"/>
          <w:sz w:val="44"/>
          <w:szCs w:val="44"/>
          <w:highlight w:val="none"/>
        </w:rPr>
        <w:t>报价文件</w:t>
      </w:r>
      <w:bookmarkEnd w:id="227"/>
      <w:bookmarkEnd w:id="228"/>
      <w:bookmarkEnd w:id="229"/>
      <w:bookmarkEnd w:id="230"/>
      <w:bookmarkEnd w:id="231"/>
    </w:p>
    <w:p w14:paraId="1670D9B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黑体" w:hAnsi="宋体" w:eastAsia="黑体"/>
          <w:color w:val="auto"/>
          <w:sz w:val="28"/>
          <w:szCs w:val="28"/>
          <w:highlight w:val="none"/>
        </w:rPr>
      </w:pPr>
    </w:p>
    <w:p w14:paraId="5BB84E6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黑体" w:hAnsi="宋体" w:eastAsia="黑体"/>
          <w:color w:val="auto"/>
          <w:sz w:val="28"/>
          <w:szCs w:val="28"/>
          <w:highlight w:val="none"/>
        </w:rPr>
      </w:pPr>
    </w:p>
    <w:p w14:paraId="63FEA5C3">
      <w:pPr>
        <w:keepNext w:val="0"/>
        <w:keepLines w:val="0"/>
        <w:pageBreakBefore w:val="0"/>
        <w:widowControl w:val="0"/>
        <w:kinsoku/>
        <w:wordWrap/>
        <w:overflowPunct/>
        <w:topLinePunct w:val="0"/>
        <w:autoSpaceDE/>
        <w:autoSpaceDN/>
        <w:bidi w:val="0"/>
        <w:adjustRightInd/>
        <w:snapToGrid/>
        <w:spacing w:line="1320" w:lineRule="auto"/>
        <w:ind w:left="0" w:leftChars="0" w:firstLine="336" w:firstLineChars="120"/>
        <w:jc w:val="both"/>
        <w:textAlignment w:val="auto"/>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千人报告厅维修改造工程—舞台音响设备及座椅采购项目</w:t>
      </w:r>
      <w:r>
        <w:rPr>
          <w:rFonts w:hint="eastAsia" w:ascii="黑体" w:hAnsi="宋体" w:eastAsia="黑体"/>
          <w:color w:val="auto"/>
          <w:sz w:val="28"/>
          <w:szCs w:val="28"/>
          <w:highlight w:val="none"/>
          <w:u w:val="single"/>
          <w:lang w:val="en-US" w:eastAsia="zh-CN"/>
        </w:rPr>
        <w:t xml:space="preserve"> </w:t>
      </w:r>
    </w:p>
    <w:p w14:paraId="32AF5A80">
      <w:pPr>
        <w:keepNext w:val="0"/>
        <w:keepLines w:val="0"/>
        <w:pageBreakBefore w:val="0"/>
        <w:widowControl w:val="0"/>
        <w:kinsoku/>
        <w:wordWrap/>
        <w:overflowPunct/>
        <w:topLinePunct w:val="0"/>
        <w:autoSpaceDE/>
        <w:autoSpaceDN/>
        <w:bidi w:val="0"/>
        <w:adjustRightInd/>
        <w:snapToGrid/>
        <w:spacing w:line="1320" w:lineRule="auto"/>
        <w:ind w:left="0" w:leftChars="0" w:firstLine="336" w:firstLineChars="120"/>
        <w:jc w:val="both"/>
        <w:textAlignment w:val="auto"/>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ZJDF2024-003（Ⅱ）</w:t>
      </w:r>
      <w:r>
        <w:rPr>
          <w:rFonts w:hint="eastAsia" w:ascii="黑体" w:hAnsi="宋体" w:eastAsia="黑体"/>
          <w:color w:val="auto"/>
          <w:sz w:val="28"/>
          <w:szCs w:val="28"/>
          <w:highlight w:val="none"/>
          <w:u w:val="single"/>
          <w:lang w:val="en-US" w:eastAsia="zh-CN"/>
        </w:rPr>
        <w:t xml:space="preserve">               </w:t>
      </w:r>
    </w:p>
    <w:p w14:paraId="7872A936">
      <w:pPr>
        <w:keepNext w:val="0"/>
        <w:keepLines w:val="0"/>
        <w:pageBreakBefore w:val="0"/>
        <w:widowControl w:val="0"/>
        <w:kinsoku/>
        <w:wordWrap/>
        <w:overflowPunct/>
        <w:topLinePunct w:val="0"/>
        <w:autoSpaceDE/>
        <w:autoSpaceDN/>
        <w:bidi w:val="0"/>
        <w:adjustRightInd/>
        <w:snapToGrid/>
        <w:spacing w:line="1320" w:lineRule="auto"/>
        <w:ind w:left="0" w:leftChars="0" w:firstLine="336" w:firstLineChars="120"/>
        <w:jc w:val="both"/>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7BD1225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黑体" w:hAnsi="宋体" w:eastAsia="黑体"/>
          <w:color w:val="auto"/>
          <w:sz w:val="28"/>
          <w:szCs w:val="28"/>
          <w:highlight w:val="none"/>
        </w:rPr>
      </w:pPr>
    </w:p>
    <w:p w14:paraId="7CDBB66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黑体" w:hAnsi="宋体" w:eastAsia="黑体"/>
          <w:color w:val="auto"/>
          <w:sz w:val="28"/>
          <w:szCs w:val="28"/>
          <w:highlight w:val="none"/>
          <w:u w:val="single"/>
        </w:rPr>
      </w:pPr>
    </w:p>
    <w:p w14:paraId="74848A4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黑体" w:hAnsi="宋体" w:eastAsia="黑体"/>
          <w:color w:val="auto"/>
          <w:sz w:val="28"/>
          <w:szCs w:val="28"/>
          <w:highlight w:val="none"/>
        </w:rPr>
      </w:pPr>
    </w:p>
    <w:p w14:paraId="65A8D81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黑体" w:hAnsi="宋体" w:eastAsia="黑体"/>
          <w:color w:val="auto"/>
          <w:sz w:val="28"/>
          <w:szCs w:val="28"/>
          <w:highlight w:val="none"/>
        </w:rPr>
      </w:pPr>
    </w:p>
    <w:p w14:paraId="4582C3ED">
      <w:pPr>
        <w:spacing w:line="440" w:lineRule="atLeast"/>
        <w:ind w:firstLine="1960" w:firstLineChars="700"/>
        <w:rPr>
          <w:rFonts w:ascii="宋体" w:cs="Times New Roman"/>
          <w:color w:val="auto"/>
          <w:sz w:val="28"/>
          <w:szCs w:val="28"/>
          <w:highlight w:val="none"/>
        </w:rPr>
      </w:pP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14:paraId="0D80DC23">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color w:val="auto"/>
          <w:sz w:val="28"/>
          <w:szCs w:val="28"/>
          <w:highlight w:val="none"/>
          <w:lang w:eastAsia="zh-CN"/>
        </w:rPr>
      </w:pPr>
    </w:p>
    <w:p w14:paraId="7E9175C7">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pPr>
    </w:p>
    <w:p w14:paraId="08CCBA74">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pPr>
    </w:p>
    <w:p w14:paraId="4C1E8286">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sz w:val="28"/>
          <w:szCs w:val="28"/>
          <w:highlight w:val="none"/>
          <w:lang w:eastAsia="zh-CN"/>
        </w:rPr>
      </w:pPr>
    </w:p>
    <w:p w14:paraId="594BA5C8">
      <w:pPr>
        <w:keepNext w:val="0"/>
        <w:keepLines w:val="0"/>
        <w:pageBreakBefore w:val="0"/>
        <w:widowControl w:val="0"/>
        <w:kinsoku/>
        <w:wordWrap/>
        <w:overflowPunct/>
        <w:topLinePunct w:val="0"/>
        <w:autoSpaceDE/>
        <w:autoSpaceDN/>
        <w:bidi w:val="0"/>
        <w:adjustRightInd/>
        <w:snapToGrid/>
        <w:spacing w:before="157" w:beforeLines="50" w:after="157" w:afterLines="50" w:line="440" w:lineRule="atLeast"/>
        <w:jc w:val="center"/>
        <w:textAlignment w:val="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报价文件目录</w:t>
      </w:r>
    </w:p>
    <w:p w14:paraId="594EFC2E">
      <w:pPr>
        <w:pStyle w:val="26"/>
        <w:keepNext w:val="0"/>
        <w:keepLines w:val="0"/>
        <w:pageBreakBefore w:val="0"/>
        <w:tabs>
          <w:tab w:val="right" w:leader="dot" w:pos="9061"/>
        </w:tabs>
        <w:kinsoku/>
        <w:wordWrap/>
        <w:overflowPunct/>
        <w:topLinePunct w:val="0"/>
        <w:autoSpaceDE/>
        <w:autoSpaceDN/>
        <w:bidi w:val="0"/>
        <w:adjustRightInd/>
        <w:snapToGrid/>
        <w:spacing w:line="480" w:lineRule="auto"/>
        <w:ind w:left="0" w:leftChars="0" w:firstLine="420" w:firstLineChars="200"/>
        <w:jc w:val="both"/>
        <w:textAlignment w:val="auto"/>
        <w:outlineLvl w:val="9"/>
        <w:rPr>
          <w:rStyle w:val="38"/>
          <w:rFonts w:hint="eastAsia" w:ascii="宋体" w:hAnsi="宋体" w:cs="宋体"/>
          <w:color w:val="auto"/>
          <w:kern w:val="0"/>
          <w:szCs w:val="22"/>
          <w:highlight w:val="none"/>
          <w:u w:val="none"/>
          <w:lang w:val="zh-CN"/>
        </w:rPr>
      </w:pPr>
      <w:r>
        <w:rPr>
          <w:rStyle w:val="38"/>
          <w:rFonts w:hint="eastAsia" w:ascii="宋体" w:hAnsi="宋体" w:cs="宋体"/>
          <w:color w:val="auto"/>
          <w:kern w:val="0"/>
          <w:szCs w:val="22"/>
          <w:highlight w:val="none"/>
          <w:u w:val="none"/>
          <w:lang w:val="zh-CN"/>
        </w:rPr>
        <w:t>一、响应函（格式附后）</w:t>
      </w:r>
    </w:p>
    <w:p w14:paraId="63675D38">
      <w:pPr>
        <w:pStyle w:val="26"/>
        <w:keepNext w:val="0"/>
        <w:keepLines w:val="0"/>
        <w:pageBreakBefore w:val="0"/>
        <w:tabs>
          <w:tab w:val="right" w:leader="dot" w:pos="9061"/>
        </w:tabs>
        <w:kinsoku/>
        <w:wordWrap/>
        <w:overflowPunct/>
        <w:topLinePunct w:val="0"/>
        <w:autoSpaceDE/>
        <w:autoSpaceDN/>
        <w:bidi w:val="0"/>
        <w:adjustRightInd/>
        <w:snapToGrid/>
        <w:spacing w:line="480" w:lineRule="auto"/>
        <w:ind w:left="0" w:leftChars="0" w:firstLine="420" w:firstLineChars="200"/>
        <w:jc w:val="both"/>
        <w:textAlignment w:val="auto"/>
        <w:outlineLvl w:val="9"/>
        <w:rPr>
          <w:rStyle w:val="38"/>
          <w:rFonts w:hint="eastAsia" w:ascii="宋体" w:hAnsi="宋体" w:cs="宋体"/>
          <w:color w:val="auto"/>
          <w:kern w:val="0"/>
          <w:szCs w:val="22"/>
          <w:highlight w:val="none"/>
          <w:u w:val="none"/>
          <w:lang w:val="zh-CN"/>
        </w:rPr>
      </w:pPr>
      <w:r>
        <w:rPr>
          <w:rStyle w:val="38"/>
          <w:rFonts w:hint="eastAsia" w:ascii="宋体" w:hAnsi="宋体" w:cs="宋体"/>
          <w:color w:val="auto"/>
          <w:kern w:val="0"/>
          <w:szCs w:val="22"/>
          <w:highlight w:val="none"/>
          <w:u w:val="none"/>
          <w:lang w:val="zh-CN"/>
        </w:rPr>
        <w:t>二、响应一览表（格式附后）</w:t>
      </w:r>
    </w:p>
    <w:p w14:paraId="1D1757E3">
      <w:pPr>
        <w:pStyle w:val="16"/>
        <w:keepNext w:val="0"/>
        <w:keepLines w:val="0"/>
        <w:pageBreakBefore w:val="0"/>
        <w:widowControl w:val="0"/>
        <w:tabs>
          <w:tab w:val="right" w:leader="dot" w:pos="8730"/>
        </w:tabs>
        <w:kinsoku/>
        <w:wordWrap/>
        <w:overflowPunct/>
        <w:topLinePunct w:val="0"/>
        <w:autoSpaceDE/>
        <w:autoSpaceDN/>
        <w:bidi w:val="0"/>
        <w:adjustRightInd/>
        <w:snapToGrid/>
        <w:spacing w:line="48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bookmarkStart w:id="232" w:name="_Toc437331648"/>
      <w:bookmarkStart w:id="233" w:name="_Toc437504070"/>
      <w:bookmarkStart w:id="234" w:name="_Toc393201765"/>
      <w:bookmarkStart w:id="235" w:name="_Toc433882683"/>
      <w:bookmarkStart w:id="236" w:name="_Toc340736225"/>
      <w:bookmarkStart w:id="237" w:name="_Toc392080817"/>
      <w:bookmarkStart w:id="238" w:name="_Toc424199705"/>
      <w:bookmarkStart w:id="239" w:name="_Toc437509367"/>
      <w:bookmarkStart w:id="240" w:name="_Toc435706615"/>
      <w:bookmarkStart w:id="241" w:name="_Toc387831538"/>
      <w:bookmarkStart w:id="242" w:name="_Toc437331337"/>
      <w:bookmarkStart w:id="243" w:name="_Toc335297854"/>
      <w:bookmarkStart w:id="244" w:name="_Toc336671806"/>
      <w:bookmarkStart w:id="245" w:name="_Toc335298322"/>
      <w:bookmarkStart w:id="246" w:name="_Toc335295012"/>
      <w:bookmarkStart w:id="247" w:name="_Toc335294212"/>
      <w:r>
        <w:rPr>
          <w:rStyle w:val="38"/>
          <w:rFonts w:hint="eastAsia" w:ascii="宋体" w:hAnsi="宋体" w:cs="宋体"/>
          <w:color w:val="auto"/>
          <w:kern w:val="0"/>
          <w:szCs w:val="22"/>
          <w:highlight w:val="none"/>
          <w:u w:val="none"/>
          <w:lang w:val="zh-CN"/>
        </w:rPr>
        <w:t>三、</w:t>
      </w:r>
      <w:r>
        <w:rPr>
          <w:rFonts w:hint="eastAsia" w:ascii="宋体" w:hAnsi="宋体" w:eastAsia="宋体" w:cs="宋体"/>
          <w:color w:val="auto"/>
          <w:sz w:val="21"/>
          <w:szCs w:val="21"/>
          <w:highlight w:val="none"/>
          <w:lang w:eastAsia="zh-CN"/>
        </w:rPr>
        <w:t>投标报价明细表</w:t>
      </w:r>
    </w:p>
    <w:p w14:paraId="6DCEDB89">
      <w:pPr>
        <w:pStyle w:val="26"/>
        <w:keepNext w:val="0"/>
        <w:keepLines w:val="0"/>
        <w:pageBreakBefore w:val="0"/>
        <w:tabs>
          <w:tab w:val="right" w:leader="dot" w:pos="9061"/>
        </w:tabs>
        <w:kinsoku/>
        <w:wordWrap/>
        <w:overflowPunct/>
        <w:topLinePunct w:val="0"/>
        <w:autoSpaceDE/>
        <w:autoSpaceDN/>
        <w:bidi w:val="0"/>
        <w:adjustRightInd/>
        <w:snapToGrid/>
        <w:spacing w:line="480" w:lineRule="auto"/>
        <w:ind w:left="0" w:leftChars="0" w:firstLine="420" w:firstLineChars="200"/>
        <w:jc w:val="both"/>
        <w:textAlignment w:val="auto"/>
        <w:outlineLvl w:val="9"/>
        <w:rPr>
          <w:rStyle w:val="38"/>
          <w:rFonts w:hint="eastAsia" w:ascii="宋体" w:hAnsi="宋体" w:cs="宋体"/>
          <w:color w:val="auto"/>
          <w:kern w:val="0"/>
          <w:szCs w:val="22"/>
          <w:highlight w:val="none"/>
          <w:u w:val="none"/>
          <w:lang w:val="zh-CN"/>
        </w:rPr>
      </w:pPr>
      <w:r>
        <w:rPr>
          <w:rStyle w:val="38"/>
          <w:rFonts w:hint="eastAsia" w:ascii="宋体" w:hAnsi="宋体" w:cs="宋体"/>
          <w:color w:val="auto"/>
          <w:kern w:val="0"/>
          <w:szCs w:val="22"/>
          <w:highlight w:val="none"/>
          <w:u w:val="none"/>
          <w:lang w:val="en-US" w:eastAsia="zh-CN"/>
        </w:rPr>
        <w:t>四、</w:t>
      </w:r>
      <w:r>
        <w:rPr>
          <w:rStyle w:val="38"/>
          <w:rFonts w:hint="eastAsia" w:ascii="宋体" w:hAnsi="宋体" w:cs="宋体"/>
          <w:color w:val="auto"/>
          <w:kern w:val="0"/>
          <w:szCs w:val="22"/>
          <w:highlight w:val="none"/>
          <w:u w:val="none"/>
          <w:lang w:val="zh-CN"/>
        </w:rPr>
        <w:t>响应人需要说明的其他文件和说明</w:t>
      </w:r>
    </w:p>
    <w:p w14:paraId="481A08C3">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Style w:val="38"/>
          <w:rFonts w:hint="eastAsia" w:ascii="宋体" w:hAnsi="宋体" w:cs="宋体"/>
          <w:color w:val="auto"/>
          <w:kern w:val="0"/>
          <w:szCs w:val="22"/>
          <w:highlight w:val="none"/>
          <w:u w:val="none"/>
          <w:lang w:eastAsia="zh-CN"/>
        </w:rPr>
      </w:pPr>
    </w:p>
    <w:p w14:paraId="12105772">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Style w:val="38"/>
          <w:rFonts w:hint="eastAsia" w:ascii="宋体" w:hAnsi="宋体" w:cs="宋体"/>
          <w:color w:val="auto"/>
          <w:kern w:val="0"/>
          <w:szCs w:val="22"/>
          <w:highlight w:val="none"/>
          <w:u w:val="none"/>
          <w:lang w:eastAsia="zh-CN"/>
        </w:rPr>
      </w:pPr>
    </w:p>
    <w:p w14:paraId="0035EBA5">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Style w:val="38"/>
          <w:rFonts w:hint="eastAsia" w:ascii="宋体" w:hAnsi="宋体" w:cs="宋体"/>
          <w:color w:val="auto"/>
          <w:kern w:val="0"/>
          <w:szCs w:val="22"/>
          <w:highlight w:val="none"/>
          <w:u w:val="none"/>
          <w:lang w:eastAsia="zh-CN"/>
        </w:rPr>
      </w:pPr>
    </w:p>
    <w:p w14:paraId="40D3D6F8">
      <w:pPr>
        <w:keepNext w:val="0"/>
        <w:keepLines w:val="0"/>
        <w:pageBreakBefore w:val="0"/>
        <w:widowControl/>
        <w:kinsoku/>
        <w:wordWrap/>
        <w:overflowPunct/>
        <w:topLinePunct w:val="0"/>
        <w:autoSpaceDE/>
        <w:autoSpaceDN/>
        <w:bidi w:val="0"/>
        <w:adjustRightInd/>
        <w:snapToGrid/>
        <w:spacing w:line="480" w:lineRule="auto"/>
        <w:ind w:firstLine="420" w:firstLineChars="200"/>
        <w:jc w:val="both"/>
        <w:textAlignment w:val="auto"/>
        <w:outlineLvl w:val="9"/>
        <w:rPr>
          <w:rStyle w:val="38"/>
          <w:rFonts w:hint="eastAsia" w:ascii="宋体" w:hAnsi="宋体" w:cs="宋体"/>
          <w:color w:val="auto"/>
          <w:kern w:val="0"/>
          <w:szCs w:val="22"/>
          <w:highlight w:val="none"/>
          <w:u w:val="none"/>
          <w:lang w:eastAsia="zh-CN"/>
        </w:rPr>
      </w:pPr>
    </w:p>
    <w:p w14:paraId="3E31500A">
      <w:pPr>
        <w:keepNext w:val="0"/>
        <w:keepLines w:val="0"/>
        <w:pageBreakBefore w:val="0"/>
        <w:widowControl/>
        <w:kinsoku/>
        <w:wordWrap/>
        <w:overflowPunct/>
        <w:topLinePunct w:val="0"/>
        <w:autoSpaceDE/>
        <w:autoSpaceDN/>
        <w:bidi w:val="0"/>
        <w:adjustRightInd/>
        <w:snapToGrid/>
        <w:spacing w:line="480" w:lineRule="auto"/>
        <w:ind w:firstLine="420" w:firstLineChars="200"/>
        <w:jc w:val="both"/>
        <w:textAlignment w:val="auto"/>
        <w:outlineLvl w:val="9"/>
        <w:rPr>
          <w:rStyle w:val="38"/>
          <w:rFonts w:hint="eastAsia" w:ascii="宋体" w:hAnsi="宋体" w:cs="宋体"/>
          <w:color w:val="auto"/>
          <w:kern w:val="0"/>
          <w:szCs w:val="22"/>
          <w:highlight w:val="none"/>
          <w:u w:val="none"/>
          <w:lang w:eastAsia="zh-CN"/>
        </w:rPr>
      </w:pPr>
    </w:p>
    <w:p w14:paraId="4042A95D">
      <w:pPr>
        <w:keepNext w:val="0"/>
        <w:keepLines w:val="0"/>
        <w:pageBreakBefore w:val="0"/>
        <w:widowControl/>
        <w:kinsoku/>
        <w:wordWrap/>
        <w:overflowPunct/>
        <w:topLinePunct w:val="0"/>
        <w:autoSpaceDE/>
        <w:autoSpaceDN/>
        <w:bidi w:val="0"/>
        <w:adjustRightInd/>
        <w:snapToGrid/>
        <w:spacing w:line="480" w:lineRule="auto"/>
        <w:ind w:firstLine="420" w:firstLineChars="200"/>
        <w:jc w:val="both"/>
        <w:textAlignment w:val="auto"/>
        <w:outlineLvl w:val="9"/>
        <w:rPr>
          <w:rStyle w:val="38"/>
          <w:rFonts w:hint="eastAsia" w:ascii="宋体" w:hAnsi="宋体" w:cs="宋体"/>
          <w:color w:val="auto"/>
          <w:kern w:val="0"/>
          <w:szCs w:val="22"/>
          <w:highlight w:val="none"/>
          <w:u w:val="none"/>
          <w:lang w:eastAsia="zh-CN"/>
        </w:rPr>
        <w:sectPr>
          <w:pgSz w:w="11906" w:h="16838"/>
          <w:pgMar w:top="1304" w:right="1304" w:bottom="1361" w:left="1304" w:header="680" w:footer="794" w:gutter="0"/>
          <w:lnNumType w:countBy="0" w:distance="360"/>
          <w:pgNumType w:fmt="decimal"/>
          <w:cols w:space="720" w:num="1"/>
          <w:rtlGutter w:val="1"/>
          <w:docGrid w:type="lines" w:linePitch="312" w:charSpace="0"/>
        </w:sectPr>
      </w:pPr>
    </w:p>
    <w:p w14:paraId="22885E0C">
      <w:pPr>
        <w:widowControl/>
        <w:spacing w:line="380" w:lineRule="exact"/>
        <w:jc w:val="center"/>
        <w:outlineLvl w:val="2"/>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一、响应函</w:t>
      </w:r>
    </w:p>
    <w:p w14:paraId="163B0D1E">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color w:val="auto"/>
          <w:kern w:val="0"/>
          <w:sz w:val="21"/>
          <w:szCs w:val="21"/>
          <w:highlight w:val="none"/>
        </w:rPr>
      </w:pPr>
    </w:p>
    <w:p w14:paraId="24D67011">
      <w:pPr>
        <w:keepNext w:val="0"/>
        <w:keepLines w:val="0"/>
        <w:pageBreakBefore w:val="0"/>
        <w:widowControl/>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p>
    <w:p w14:paraId="45555A42">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根据贵方</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项目的磋商文件（项目编号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），正式授权下述签字人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姓名</w:t>
      </w:r>
      <w:r>
        <w:rPr>
          <w:rFonts w:hint="eastAsia" w:ascii="宋体" w:hAnsi="宋体" w:eastAsia="宋体" w:cs="宋体"/>
          <w:color w:val="auto"/>
          <w:kern w:val="0"/>
          <w:sz w:val="21"/>
          <w:szCs w:val="21"/>
          <w:highlight w:val="none"/>
        </w:rPr>
        <w:t>和</w:t>
      </w:r>
      <w:r>
        <w:rPr>
          <w:rFonts w:hint="eastAsia" w:ascii="宋体" w:hAnsi="宋体" w:eastAsia="宋体" w:cs="宋体"/>
          <w:color w:val="auto"/>
          <w:kern w:val="0"/>
          <w:sz w:val="21"/>
          <w:szCs w:val="21"/>
          <w:highlight w:val="none"/>
          <w:u w:val="single"/>
        </w:rPr>
        <w:t>职务</w:t>
      </w:r>
      <w:r>
        <w:rPr>
          <w:rFonts w:hint="eastAsia" w:ascii="宋体" w:hAnsi="宋体" w:eastAsia="宋体" w:cs="宋体"/>
          <w:color w:val="auto"/>
          <w:kern w:val="0"/>
          <w:sz w:val="21"/>
          <w:szCs w:val="21"/>
          <w:highlight w:val="none"/>
        </w:rPr>
        <w:t>）代表</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（响应方的名称），提交电子响应文件。</w:t>
      </w:r>
    </w:p>
    <w:p w14:paraId="36BDE833">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（1）资格证明文件；</w:t>
      </w:r>
    </w:p>
    <w:p w14:paraId="22FE697A">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（2）技术商务文件；</w:t>
      </w:r>
    </w:p>
    <w:p w14:paraId="1EC0A6E1">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（3）报价文件；</w:t>
      </w:r>
    </w:p>
    <w:p w14:paraId="151072A8">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据此函，签字人兹宣布同意如下：</w:t>
      </w:r>
    </w:p>
    <w:p w14:paraId="60FDBA3A">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1、我方向贵方提交的所有响应文件、资料都是准确的和真实的。</w:t>
      </w:r>
    </w:p>
    <w:p w14:paraId="08879694">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2、我们承担根据磋商文件的规定，完成合同的责任和义务。</w:t>
      </w:r>
    </w:p>
    <w:p w14:paraId="59F3E6E9">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3、我们已详细阅读全部磋商文件，参考资料及有关附件，我们完全理解并同意放弃对这方面有不明或误解的权利。</w:t>
      </w:r>
    </w:p>
    <w:p w14:paraId="5C4AEE6F">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4、我们同意在磋商须知规定的截止日期起遵循本响应文件，并在磋商须知规定的有效期满之前均具有约束力，并有可能成交。</w:t>
      </w:r>
    </w:p>
    <w:p w14:paraId="4B3245A8">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5、同意向贵方提供贵方可能要求的与本响应有关的任何数据或资料。</w:t>
      </w:r>
    </w:p>
    <w:bookmarkEnd w:id="232"/>
    <w:bookmarkEnd w:id="233"/>
    <w:bookmarkEnd w:id="234"/>
    <w:bookmarkEnd w:id="235"/>
    <w:bookmarkEnd w:id="236"/>
    <w:bookmarkEnd w:id="237"/>
    <w:bookmarkEnd w:id="238"/>
    <w:bookmarkEnd w:id="239"/>
    <w:bookmarkEnd w:id="240"/>
    <w:bookmarkEnd w:id="241"/>
    <w:bookmarkEnd w:id="242"/>
    <w:p w14:paraId="16B926BB">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与本次响应有关的正式通讯地址为：</w:t>
      </w:r>
    </w:p>
    <w:p w14:paraId="48065A1F">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w:t>
      </w:r>
    </w:p>
    <w:p w14:paraId="3FC864C1">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邮编：</w:t>
      </w:r>
      <w:r>
        <w:rPr>
          <w:rFonts w:hint="eastAsia" w:ascii="宋体" w:hAnsi="宋体" w:eastAsia="宋体" w:cs="宋体"/>
          <w:color w:val="auto"/>
          <w:kern w:val="0"/>
          <w:sz w:val="21"/>
          <w:szCs w:val="21"/>
          <w:highlight w:val="none"/>
          <w:u w:val="single"/>
        </w:rPr>
        <w:t xml:space="preserve">                  </w:t>
      </w:r>
    </w:p>
    <w:p w14:paraId="7E55DB52">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电话、传真：</w:t>
      </w:r>
      <w:r>
        <w:rPr>
          <w:rFonts w:hint="eastAsia" w:ascii="宋体" w:hAnsi="宋体" w:eastAsia="宋体" w:cs="宋体"/>
          <w:color w:val="auto"/>
          <w:kern w:val="0"/>
          <w:sz w:val="21"/>
          <w:szCs w:val="21"/>
          <w:highlight w:val="none"/>
          <w:u w:val="single"/>
        </w:rPr>
        <w:t xml:space="preserve">          </w:t>
      </w:r>
    </w:p>
    <w:p w14:paraId="3E777BE2">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p>
    <w:p w14:paraId="5DFAFC86">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银行账号：</w:t>
      </w:r>
      <w:r>
        <w:rPr>
          <w:rFonts w:hint="eastAsia" w:ascii="宋体" w:hAnsi="宋体" w:eastAsia="宋体" w:cs="宋体"/>
          <w:color w:val="auto"/>
          <w:kern w:val="0"/>
          <w:sz w:val="21"/>
          <w:szCs w:val="21"/>
          <w:highlight w:val="none"/>
          <w:u w:val="single"/>
        </w:rPr>
        <w:t xml:space="preserve">        </w:t>
      </w:r>
    </w:p>
    <w:p w14:paraId="7641CE55">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响应方名称（电子签章）：</w:t>
      </w:r>
      <w:r>
        <w:rPr>
          <w:rFonts w:hint="eastAsia" w:ascii="宋体" w:hAnsi="宋体" w:eastAsia="宋体" w:cs="宋体"/>
          <w:color w:val="auto"/>
          <w:kern w:val="0"/>
          <w:sz w:val="21"/>
          <w:szCs w:val="21"/>
          <w:highlight w:val="none"/>
          <w:u w:val="single"/>
        </w:rPr>
        <w:t>         </w:t>
      </w:r>
    </w:p>
    <w:p w14:paraId="334AA1C6">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法定代表人或授权委托人（签字）：</w:t>
      </w:r>
      <w:r>
        <w:rPr>
          <w:rFonts w:hint="eastAsia" w:ascii="宋体" w:hAnsi="宋体" w:eastAsia="宋体" w:cs="宋体"/>
          <w:color w:val="auto"/>
          <w:kern w:val="0"/>
          <w:sz w:val="21"/>
          <w:szCs w:val="21"/>
          <w:highlight w:val="none"/>
          <w:u w:val="single"/>
        </w:rPr>
        <w:t xml:space="preserve">           </w:t>
      </w:r>
    </w:p>
    <w:p w14:paraId="2687620F">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7B58D53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outlineLvl w:val="9"/>
        <w:rPr>
          <w:rFonts w:hint="eastAsia" w:ascii="宋体" w:hAnsi="宋体" w:eastAsia="宋体" w:cs="宋体"/>
          <w:b w:val="0"/>
          <w:bCs/>
          <w:color w:val="auto"/>
          <w:kern w:val="0"/>
          <w:sz w:val="21"/>
          <w:szCs w:val="21"/>
          <w:highlight w:val="none"/>
          <w:lang w:eastAsia="zh-CN"/>
        </w:rPr>
      </w:pPr>
    </w:p>
    <w:p w14:paraId="3536D3A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outlineLvl w:val="9"/>
        <w:rPr>
          <w:rFonts w:hint="eastAsia" w:ascii="宋体" w:hAnsi="宋体" w:eastAsia="宋体" w:cs="宋体"/>
          <w:b w:val="0"/>
          <w:bCs/>
          <w:color w:val="auto"/>
          <w:kern w:val="0"/>
          <w:sz w:val="21"/>
          <w:szCs w:val="21"/>
          <w:highlight w:val="none"/>
          <w:lang w:eastAsia="zh-CN"/>
        </w:rPr>
      </w:pPr>
    </w:p>
    <w:p w14:paraId="3F5010C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outlineLvl w:val="9"/>
        <w:rPr>
          <w:rFonts w:hint="eastAsia" w:ascii="宋体" w:hAnsi="宋体" w:eastAsia="宋体" w:cs="宋体"/>
          <w:b w:val="0"/>
          <w:bCs/>
          <w:color w:val="auto"/>
          <w:kern w:val="0"/>
          <w:sz w:val="21"/>
          <w:szCs w:val="21"/>
          <w:highlight w:val="none"/>
          <w:lang w:eastAsia="zh-CN"/>
        </w:rPr>
      </w:pPr>
    </w:p>
    <w:p w14:paraId="2C3BF3C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b w:val="0"/>
          <w:bCs/>
          <w:color w:val="auto"/>
          <w:kern w:val="0"/>
          <w:sz w:val="21"/>
          <w:szCs w:val="21"/>
          <w:highlight w:val="none"/>
          <w:lang w:eastAsia="zh-CN"/>
        </w:rPr>
        <w:sectPr>
          <w:pgSz w:w="11906" w:h="16838"/>
          <w:pgMar w:top="1304" w:right="1304" w:bottom="1361" w:left="1304" w:header="680" w:footer="794" w:gutter="0"/>
          <w:lnNumType w:countBy="0" w:distance="360"/>
          <w:pgNumType w:fmt="decimal"/>
          <w:cols w:space="720" w:num="1"/>
          <w:rtlGutter w:val="1"/>
          <w:docGrid w:type="lines" w:linePitch="312" w:charSpace="0"/>
        </w:sectPr>
      </w:pPr>
    </w:p>
    <w:bookmarkEnd w:id="243"/>
    <w:bookmarkEnd w:id="244"/>
    <w:bookmarkEnd w:id="245"/>
    <w:bookmarkEnd w:id="246"/>
    <w:bookmarkEnd w:id="247"/>
    <w:p w14:paraId="2FB12285">
      <w:pPr>
        <w:widowControl/>
        <w:spacing w:line="380" w:lineRule="exact"/>
        <w:jc w:val="center"/>
        <w:outlineLvl w:val="2"/>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二、响应一览表</w:t>
      </w:r>
    </w:p>
    <w:p w14:paraId="40F6C38B">
      <w:pPr>
        <w:keepNext/>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p w14:paraId="36479E4A">
      <w:pPr>
        <w:keepLines w:val="0"/>
        <w:pageBreakBefore w:val="0"/>
        <w:widowControl w:val="0"/>
        <w:kinsoku/>
        <w:topLinePunct w:val="0"/>
        <w:bidi w:val="0"/>
        <w:snapToGrid w:val="0"/>
        <w:spacing w:beforeLines="0" w:afterLines="0" w:line="5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项目编号：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2"/>
          <w:szCs w:val="22"/>
          <w:highlight w:val="none"/>
        </w:rPr>
        <w:t>金额单位：元</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bl>
      <w:tblPr>
        <w:tblStyle w:val="32"/>
        <w:tblW w:w="95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763"/>
      </w:tblGrid>
      <w:tr w14:paraId="424E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E8EB51">
            <w:pPr>
              <w:keepLines w:val="0"/>
              <w:pageBreakBefore w:val="0"/>
              <w:widowControl w:val="0"/>
              <w:kinsoku/>
              <w:topLinePunct w:val="0"/>
              <w:bidi w:val="0"/>
              <w:snapToGrid w:val="0"/>
              <w:spacing w:beforeLines="0" w:afterLines="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E126F">
            <w:pPr>
              <w:keepLines w:val="0"/>
              <w:pageBreakBefore w:val="0"/>
              <w:widowControl w:val="0"/>
              <w:kinsoku/>
              <w:topLinePunct w:val="0"/>
              <w:bidi w:val="0"/>
              <w:snapToGrid w:val="0"/>
              <w:spacing w:beforeLines="0" w:afterLines="0" w:line="360" w:lineRule="exact"/>
              <w:jc w:val="center"/>
              <w:rPr>
                <w:rFonts w:hint="eastAsia" w:ascii="宋体" w:hAnsi="宋体" w:eastAsia="宋体" w:cs="宋体"/>
                <w:color w:val="auto"/>
                <w:sz w:val="21"/>
                <w:szCs w:val="21"/>
                <w:highlight w:val="none"/>
              </w:rPr>
            </w:pPr>
          </w:p>
        </w:tc>
      </w:tr>
      <w:tr w14:paraId="4435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E02791">
            <w:pPr>
              <w:snapToGrid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投标总报价</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A474F">
            <w:pPr>
              <w:wordWrap w:val="0"/>
              <w:overflowPunct w:val="0"/>
              <w:autoSpaceDE w:val="0"/>
              <w:autoSpaceDN w:val="0"/>
              <w:snapToGrid w:val="0"/>
              <w:spacing w:line="360" w:lineRule="exact"/>
              <w:jc w:val="both"/>
              <w:rPr>
                <w:rFonts w:hint="eastAsia" w:ascii="宋体" w:hAnsi="宋体" w:eastAsia="宋体" w:cs="宋体"/>
                <w:color w:val="auto"/>
                <w:sz w:val="21"/>
                <w:szCs w:val="21"/>
                <w:highlight w:val="none"/>
              </w:rPr>
            </w:pPr>
            <w:r>
              <w:rPr>
                <w:rFonts w:hint="eastAsia" w:ascii="宋体" w:hAnsi="宋体" w:cs="宋体"/>
                <w:color w:val="auto"/>
                <w:szCs w:val="21"/>
                <w:highlight w:val="none"/>
              </w:rPr>
              <w:t xml:space="preserve">大写：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bl>
    <w:p w14:paraId="61B5D01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14:paraId="10A474F8">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报价一经涂改，应在涂改处加盖单位公章或者由法定代表人或授权委托人签字或盖章，否则其</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作无效标处理。</w:t>
      </w:r>
    </w:p>
    <w:p w14:paraId="0AECDCCD">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2.以上报价应与“投标报价明细表”中的“投标总价”相一致</w:t>
      </w:r>
      <w:r>
        <w:rPr>
          <w:rFonts w:hint="eastAsia" w:ascii="宋体" w:hAnsi="宋体" w:cs="宋体"/>
          <w:color w:val="auto"/>
          <w:sz w:val="21"/>
          <w:szCs w:val="21"/>
          <w:highlight w:val="none"/>
        </w:rPr>
        <w:t>。</w:t>
      </w:r>
    </w:p>
    <w:p w14:paraId="07C6464D">
      <w:pPr>
        <w:pStyle w:val="31"/>
        <w:keepNext w:val="0"/>
        <w:keepLines w:val="0"/>
        <w:pageBreakBefore w:val="0"/>
        <w:widowControl w:val="0"/>
        <w:kinsoku/>
        <w:overflowPunct/>
        <w:topLinePunct w:val="0"/>
        <w:autoSpaceDE/>
        <w:autoSpaceDN/>
        <w:bidi w:val="0"/>
        <w:adjustRightInd/>
        <w:spacing w:after="0" w:line="240" w:lineRule="auto"/>
        <w:ind w:left="0" w:leftChars="0" w:right="0" w:rightChars="0" w:firstLine="0" w:firstLineChars="0"/>
        <w:jc w:val="both"/>
        <w:textAlignment w:val="auto"/>
        <w:rPr>
          <w:rFonts w:hint="eastAsia" w:ascii="宋体" w:hAnsi="宋体"/>
          <w:color w:val="auto"/>
          <w:sz w:val="21"/>
          <w:szCs w:val="21"/>
          <w:highlight w:val="none"/>
        </w:rPr>
      </w:pPr>
    </w:p>
    <w:p w14:paraId="56486789">
      <w:pPr>
        <w:pStyle w:val="31"/>
        <w:keepNext w:val="0"/>
        <w:keepLines w:val="0"/>
        <w:pageBreakBefore w:val="0"/>
        <w:widowControl w:val="0"/>
        <w:kinsoku/>
        <w:overflowPunct/>
        <w:topLinePunct w:val="0"/>
        <w:autoSpaceDE/>
        <w:autoSpaceDN/>
        <w:bidi w:val="0"/>
        <w:adjustRightInd/>
        <w:spacing w:after="0" w:line="240" w:lineRule="auto"/>
        <w:ind w:left="0" w:leftChars="0" w:right="0" w:rightChars="0" w:firstLine="0" w:firstLineChars="0"/>
        <w:jc w:val="both"/>
        <w:textAlignment w:val="auto"/>
        <w:rPr>
          <w:rFonts w:hint="eastAsia" w:ascii="宋体" w:hAnsi="宋体"/>
          <w:color w:val="auto"/>
          <w:sz w:val="21"/>
          <w:szCs w:val="21"/>
          <w:highlight w:val="none"/>
        </w:rPr>
      </w:pPr>
    </w:p>
    <w:p w14:paraId="7021E4E3">
      <w:pPr>
        <w:pStyle w:val="31"/>
        <w:keepNext w:val="0"/>
        <w:keepLines w:val="0"/>
        <w:pageBreakBefore w:val="0"/>
        <w:widowControl w:val="0"/>
        <w:kinsoku/>
        <w:overflowPunct/>
        <w:topLinePunct w:val="0"/>
        <w:autoSpaceDE/>
        <w:autoSpaceDN/>
        <w:bidi w:val="0"/>
        <w:adjustRightInd/>
        <w:spacing w:after="0" w:line="240" w:lineRule="auto"/>
        <w:ind w:left="0" w:leftChars="0" w:right="0" w:rightChars="0" w:firstLine="0" w:firstLineChars="0"/>
        <w:jc w:val="both"/>
        <w:textAlignment w:val="auto"/>
        <w:rPr>
          <w:rFonts w:hint="eastAsia" w:ascii="宋体" w:hAnsi="宋体"/>
          <w:color w:val="auto"/>
          <w:sz w:val="21"/>
          <w:szCs w:val="21"/>
          <w:highlight w:val="none"/>
        </w:rPr>
      </w:pPr>
    </w:p>
    <w:p w14:paraId="3C8105ED">
      <w:pPr>
        <w:pStyle w:val="31"/>
        <w:keepNext w:val="0"/>
        <w:keepLines w:val="0"/>
        <w:pageBreakBefore w:val="0"/>
        <w:widowControl w:val="0"/>
        <w:kinsoku/>
        <w:overflowPunct/>
        <w:topLinePunct w:val="0"/>
        <w:autoSpaceDE/>
        <w:autoSpaceDN/>
        <w:bidi w:val="0"/>
        <w:adjustRightInd/>
        <w:spacing w:after="0" w:line="240" w:lineRule="auto"/>
        <w:ind w:left="0" w:leftChars="0" w:right="0" w:rightChars="0" w:firstLine="0" w:firstLineChars="0"/>
        <w:jc w:val="both"/>
        <w:textAlignment w:val="auto"/>
        <w:rPr>
          <w:rFonts w:hint="eastAsia" w:ascii="宋体" w:hAnsi="宋体"/>
          <w:color w:val="auto"/>
          <w:sz w:val="21"/>
          <w:szCs w:val="21"/>
          <w:highlight w:val="none"/>
          <w:lang w:eastAsia="zh-CN"/>
        </w:rPr>
      </w:pPr>
    </w:p>
    <w:p w14:paraId="7015F028">
      <w:pPr>
        <w:pStyle w:val="31"/>
        <w:keepNext w:val="0"/>
        <w:keepLines w:val="0"/>
        <w:pageBreakBefore w:val="0"/>
        <w:widowControl w:val="0"/>
        <w:kinsoku/>
        <w:overflowPunct/>
        <w:topLinePunct w:val="0"/>
        <w:autoSpaceDE/>
        <w:autoSpaceDN/>
        <w:bidi w:val="0"/>
        <w:adjustRightInd/>
        <w:spacing w:after="0" w:line="240" w:lineRule="auto"/>
        <w:ind w:left="0" w:leftChars="0" w:right="0" w:rightChars="0" w:firstLine="0" w:firstLineChars="0"/>
        <w:jc w:val="both"/>
        <w:textAlignment w:val="auto"/>
        <w:rPr>
          <w:rFonts w:hint="eastAsia" w:ascii="宋体" w:hAnsi="宋体"/>
          <w:color w:val="auto"/>
          <w:sz w:val="21"/>
          <w:szCs w:val="21"/>
          <w:highlight w:val="none"/>
          <w:lang w:eastAsia="zh-CN"/>
        </w:rPr>
      </w:pPr>
    </w:p>
    <w:p w14:paraId="26721B2D">
      <w:pPr>
        <w:pStyle w:val="31"/>
        <w:keepNext w:val="0"/>
        <w:keepLines w:val="0"/>
        <w:pageBreakBefore w:val="0"/>
        <w:widowControl w:val="0"/>
        <w:kinsoku/>
        <w:overflowPunct/>
        <w:topLinePunct w:val="0"/>
        <w:autoSpaceDE/>
        <w:autoSpaceDN/>
        <w:bidi w:val="0"/>
        <w:adjustRightInd/>
        <w:spacing w:after="0" w:line="240" w:lineRule="auto"/>
        <w:ind w:left="0" w:leftChars="0" w:right="0" w:rightChars="0" w:firstLine="0" w:firstLineChars="0"/>
        <w:jc w:val="both"/>
        <w:textAlignment w:val="auto"/>
        <w:rPr>
          <w:rFonts w:hint="eastAsia" w:ascii="宋体" w:hAnsi="宋体"/>
          <w:color w:val="auto"/>
          <w:sz w:val="21"/>
          <w:szCs w:val="21"/>
          <w:highlight w:val="none"/>
          <w:lang w:eastAsia="zh-CN"/>
        </w:rPr>
      </w:pPr>
    </w:p>
    <w:p w14:paraId="062E1F6A">
      <w:pPr>
        <w:pStyle w:val="31"/>
        <w:keepNext w:val="0"/>
        <w:keepLines w:val="0"/>
        <w:pageBreakBefore w:val="0"/>
        <w:widowControl w:val="0"/>
        <w:kinsoku/>
        <w:overflowPunct/>
        <w:topLinePunct w:val="0"/>
        <w:autoSpaceDE/>
        <w:autoSpaceDN/>
        <w:bidi w:val="0"/>
        <w:adjustRightInd/>
        <w:spacing w:after="0" w:line="240" w:lineRule="auto"/>
        <w:ind w:left="0" w:leftChars="0" w:right="0" w:rightChars="0" w:firstLine="0" w:firstLineChars="0"/>
        <w:jc w:val="both"/>
        <w:textAlignment w:val="auto"/>
        <w:rPr>
          <w:rFonts w:hint="eastAsia" w:ascii="宋体" w:hAnsi="宋体" w:eastAsia="宋体"/>
          <w:color w:val="auto"/>
          <w:sz w:val="21"/>
          <w:szCs w:val="21"/>
          <w:highlight w:val="none"/>
          <w:lang w:eastAsia="zh-CN"/>
        </w:rPr>
      </w:pPr>
    </w:p>
    <w:p w14:paraId="6CBBFE91">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200" w:firstLineChars="2000"/>
        <w:jc w:val="both"/>
        <w:textAlignment w:val="auto"/>
        <w:rPr>
          <w:rFonts w:hint="eastAsia" w:ascii="宋体" w:hAnsi="宋体" w:eastAsia="宋体" w:cs="宋体"/>
          <w:strike w:val="0"/>
          <w:dstrike w:val="0"/>
          <w:color w:val="auto"/>
          <w:sz w:val="21"/>
          <w:szCs w:val="21"/>
          <w:highlight w:val="none"/>
        </w:rPr>
      </w:pPr>
      <w:r>
        <w:rPr>
          <w:rFonts w:hint="eastAsia" w:ascii="宋体" w:hAnsi="宋体" w:cs="宋体"/>
          <w:strike w:val="0"/>
          <w:dstrike w:val="0"/>
          <w:color w:val="auto"/>
          <w:sz w:val="21"/>
          <w:szCs w:val="21"/>
          <w:highlight w:val="none"/>
          <w:lang w:eastAsia="zh-CN"/>
        </w:rPr>
        <w:t>响应</w:t>
      </w:r>
      <w:r>
        <w:rPr>
          <w:rFonts w:hint="eastAsia" w:ascii="宋体" w:hAnsi="宋体" w:eastAsia="宋体" w:cs="宋体"/>
          <w:strike w:val="0"/>
          <w:dstrike w:val="0"/>
          <w:color w:val="auto"/>
          <w:sz w:val="21"/>
          <w:szCs w:val="21"/>
          <w:highlight w:val="none"/>
          <w:lang w:eastAsia="zh-CN"/>
        </w:rPr>
        <w:t>人全称（电子签章）</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u w:val="single"/>
        </w:rPr>
        <w:t xml:space="preserve">                    </w:t>
      </w:r>
      <w:r>
        <w:rPr>
          <w:rFonts w:hint="eastAsia" w:ascii="宋体" w:hAnsi="宋体" w:eastAsia="宋体" w:cs="宋体"/>
          <w:strike w:val="0"/>
          <w:dstrike w:val="0"/>
          <w:color w:val="auto"/>
          <w:sz w:val="21"/>
          <w:szCs w:val="21"/>
          <w:highlight w:val="none"/>
        </w:rPr>
        <w:t xml:space="preserve"> </w:t>
      </w:r>
    </w:p>
    <w:p w14:paraId="7F1CEAF7">
      <w:pPr>
        <w:keepNext w:val="0"/>
        <w:keepLines w:val="0"/>
        <w:pageBreakBefore w:val="0"/>
        <w:widowControl w:val="0"/>
        <w:kinsoku/>
        <w:wordWrap w:val="0"/>
        <w:overflowPunct/>
        <w:topLinePunct w:val="0"/>
        <w:autoSpaceDE/>
        <w:autoSpaceDN/>
        <w:bidi w:val="0"/>
        <w:adjustRightInd/>
        <w:snapToGrid/>
        <w:spacing w:line="480" w:lineRule="auto"/>
        <w:ind w:left="0" w:leftChars="0" w:right="0" w:rightChars="0" w:firstLine="4200" w:firstLineChars="20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strike w:val="0"/>
          <w:dstrike w:val="0"/>
          <w:color w:val="auto"/>
          <w:sz w:val="21"/>
          <w:szCs w:val="21"/>
          <w:highlight w:val="none"/>
        </w:rPr>
        <w:t>日 期：</w:t>
      </w:r>
      <w:r>
        <w:rPr>
          <w:rFonts w:hint="eastAsia" w:ascii="宋体" w:hAnsi="宋体" w:eastAsia="宋体" w:cs="宋体"/>
          <w:strike w:val="0"/>
          <w:dstrike w:val="0"/>
          <w:color w:val="auto"/>
          <w:sz w:val="21"/>
          <w:szCs w:val="21"/>
          <w:highlight w:val="none"/>
          <w:u w:val="single"/>
        </w:rPr>
        <w:t xml:space="preserve">                            </w:t>
      </w:r>
    </w:p>
    <w:p w14:paraId="58243A35">
      <w:pPr>
        <w:keepNext w:val="0"/>
        <w:keepLines w:val="0"/>
        <w:pageBreakBefore w:val="0"/>
        <w:widowControl w:val="0"/>
        <w:kinsoku/>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宋体" w:hAnsi="宋体" w:cs="宋体"/>
          <w:b/>
          <w:bCs/>
          <w:color w:val="auto"/>
          <w:kern w:val="0"/>
          <w:sz w:val="21"/>
          <w:szCs w:val="21"/>
          <w:highlight w:val="none"/>
          <w:lang w:eastAsia="zh-CN"/>
        </w:rPr>
      </w:pPr>
    </w:p>
    <w:p w14:paraId="65D57C8B">
      <w:pPr>
        <w:keepNext w:val="0"/>
        <w:keepLines w:val="0"/>
        <w:pageBreakBefore w:val="0"/>
        <w:widowControl w:val="0"/>
        <w:kinsoku/>
        <w:overflowPunct/>
        <w:topLinePunct w:val="0"/>
        <w:autoSpaceDE/>
        <w:autoSpaceDN/>
        <w:bidi w:val="0"/>
        <w:adjustRightInd/>
        <w:spacing w:line="240" w:lineRule="auto"/>
        <w:ind w:left="0" w:leftChars="0" w:right="0" w:rightChars="0" w:firstLine="0" w:firstLineChars="0"/>
        <w:jc w:val="both"/>
        <w:textAlignment w:val="auto"/>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br w:type="page"/>
      </w:r>
    </w:p>
    <w:p w14:paraId="7FE483F9">
      <w:pPr>
        <w:widowControl/>
        <w:spacing w:line="380" w:lineRule="exact"/>
        <w:jc w:val="center"/>
        <w:outlineLvl w:val="2"/>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三、投标报价明细表</w:t>
      </w:r>
    </w:p>
    <w:p w14:paraId="732B6DE7">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cs="宋体"/>
          <w:b w:val="0"/>
          <w:bCs/>
          <w:color w:val="auto"/>
          <w:kern w:val="0"/>
          <w:sz w:val="21"/>
          <w:szCs w:val="21"/>
          <w:highlight w:val="none"/>
        </w:rPr>
      </w:pPr>
    </w:p>
    <w:p w14:paraId="32E5C25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1"/>
          <w:szCs w:val="21"/>
          <w:highlight w:val="none"/>
        </w:rPr>
      </w:pPr>
      <w:r>
        <w:rPr>
          <w:rFonts w:ascii="宋体" w:hAnsi="宋体" w:cs="宋体"/>
          <w:color w:val="auto"/>
          <w:sz w:val="21"/>
          <w:szCs w:val="21"/>
          <w:highlight w:val="none"/>
        </w:rPr>
        <w:t xml:space="preserve">项目名称：                    项目编号：                        </w:t>
      </w:r>
    </w:p>
    <w:p w14:paraId="386ADD57">
      <w:pPr>
        <w:keepNext w:val="0"/>
        <w:keepLines w:val="0"/>
        <w:pageBreakBefore w:val="0"/>
        <w:widowControl w:val="0"/>
        <w:kinsoku/>
        <w:wordWrap/>
        <w:overflowPunct/>
        <w:topLinePunct w:val="0"/>
        <w:autoSpaceDE/>
        <w:autoSpaceDN/>
        <w:bidi w:val="0"/>
        <w:adjustRightInd w:val="0"/>
        <w:snapToGrid w:val="0"/>
        <w:spacing w:line="240" w:lineRule="auto"/>
        <w:ind w:firstLine="7560" w:firstLineChars="3600"/>
        <w:textAlignment w:val="auto"/>
        <w:rPr>
          <w:rFonts w:ascii="宋体" w:hAnsi="宋体" w:cs="宋体"/>
          <w:color w:val="auto"/>
          <w:sz w:val="21"/>
          <w:szCs w:val="21"/>
          <w:highlight w:val="none"/>
        </w:rPr>
      </w:pPr>
      <w:r>
        <w:rPr>
          <w:rFonts w:ascii="宋体" w:hAnsi="宋体" w:cs="宋体"/>
          <w:color w:val="auto"/>
          <w:sz w:val="21"/>
          <w:szCs w:val="21"/>
          <w:highlight w:val="none"/>
        </w:rPr>
        <w:t>金额单位：元</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7"/>
        <w:gridCol w:w="1616"/>
        <w:gridCol w:w="2360"/>
        <w:gridCol w:w="1722"/>
        <w:gridCol w:w="1148"/>
        <w:gridCol w:w="1183"/>
      </w:tblGrid>
      <w:tr w14:paraId="74E5F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57E0744C">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229B85B">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设备名称</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1C5FD08E">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品牌</w:t>
            </w:r>
            <w:r>
              <w:rPr>
                <w:rFonts w:hint="eastAsia" w:ascii="宋体" w:hAnsi="宋体" w:eastAsia="宋体" w:cs="宋体"/>
                <w:color w:val="auto"/>
                <w:kern w:val="0"/>
                <w:sz w:val="22"/>
                <w:szCs w:val="22"/>
                <w:highlight w:val="none"/>
              </w:rPr>
              <w:t>型号</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4ED5FF07">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单位及数量</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80AA788">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单价</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539A52B">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单项总价</w:t>
            </w:r>
          </w:p>
        </w:tc>
      </w:tr>
      <w:tr w14:paraId="04A30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3DBB258C">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72A1169D">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5B93F84F">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41500E67">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D3A7A3">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2C93D46">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r>
      <w:tr w14:paraId="16F68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2DE27124">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558A914">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3EEEDB0E">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71ACB139">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8AF98FA">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C020DB0">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r>
      <w:tr w14:paraId="68A9F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5B399AB3">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E5873D1">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2C372C13">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1525BA0C">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E0E0BC2">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94ACDA8">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r>
      <w:tr w14:paraId="78B38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507531D9">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E7B4D0F">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3049F688">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45DA2CB6">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57C842A">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2F864A0">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r>
      <w:tr w14:paraId="30AE3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7F27C614">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AB9B3F8">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660CB6EF">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15C38E89">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CDD422">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9DA4690">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r>
      <w:tr w14:paraId="540D4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0945F160">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13E74EF">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42EF30D5">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65DDFF3E">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DE82758">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9453375">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r>
      <w:tr w14:paraId="7778F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1A6F77EB">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1A439CCB">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5D1CF017">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579CC27B">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157592B">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0E5F41B">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r>
      <w:tr w14:paraId="37E69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3C7B4D01">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A40B2DA">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5AF6A300">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3930E553">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F1CC8A">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48A8B07">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r>
      <w:tr w14:paraId="71C4B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5C5D3BA8">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5D7552A">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6DFD70F6">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78074AD2">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AFE9230">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268D265">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r>
      <w:tr w14:paraId="45697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0BE9C35B">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62CB9EB">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12379A85">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17E8A710">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06B5263">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A7A8206">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r>
      <w:tr w14:paraId="22FD8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73704BA5">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DC313EE">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5CC5C0C1">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4DB84FA1">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47C83E2">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1CC4756">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r>
      <w:tr w14:paraId="10986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7162D249">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lang w:val="en-US" w:eastAsia="zh-CN"/>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CE07E52">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63BF9D60">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053FDBDD">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5848D75">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FCC4B31">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r>
      <w:tr w14:paraId="2AE38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8033" w:type="dxa"/>
            <w:gridSpan w:val="5"/>
            <w:tcBorders>
              <w:top w:val="single" w:color="auto" w:sz="4" w:space="0"/>
              <w:left w:val="single" w:color="auto" w:sz="4" w:space="0"/>
              <w:bottom w:val="single" w:color="auto" w:sz="4" w:space="0"/>
              <w:right w:val="single" w:color="auto" w:sz="4" w:space="0"/>
            </w:tcBorders>
            <w:noWrap w:val="0"/>
            <w:vAlign w:val="center"/>
          </w:tcPr>
          <w:p w14:paraId="78649F20">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  标  总  价</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6039AFA">
            <w:pPr>
              <w:keepNext w:val="0"/>
              <w:keepLines w:val="0"/>
              <w:pageBreakBefore w:val="0"/>
              <w:widowControl w:val="0"/>
              <w:tabs>
                <w:tab w:val="left" w:pos="1418"/>
              </w:tabs>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2"/>
                <w:szCs w:val="22"/>
                <w:highlight w:val="none"/>
              </w:rPr>
            </w:pPr>
          </w:p>
        </w:tc>
      </w:tr>
    </w:tbl>
    <w:p w14:paraId="36FEC06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注：1、数量按照招标文件提供的数量报价，不得增减。</w:t>
      </w:r>
    </w:p>
    <w:p w14:paraId="22C9B3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投标人报价超过采购预算及最高限价的为无效报价。</w:t>
      </w:r>
    </w:p>
    <w:p w14:paraId="318B81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rPr>
      </w:pPr>
    </w:p>
    <w:p w14:paraId="42047A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cs="宋体"/>
          <w:color w:val="auto"/>
          <w:sz w:val="21"/>
          <w:szCs w:val="21"/>
          <w:highlight w:val="none"/>
          <w:lang w:eastAsia="zh-CN"/>
        </w:rPr>
      </w:pPr>
    </w:p>
    <w:p w14:paraId="29D75F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cs="宋体"/>
          <w:color w:val="auto"/>
          <w:sz w:val="21"/>
          <w:szCs w:val="21"/>
          <w:highlight w:val="none"/>
          <w:lang w:eastAsia="zh-CN"/>
        </w:rPr>
      </w:pPr>
    </w:p>
    <w:p w14:paraId="72C72D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cs="宋体"/>
          <w:color w:val="auto"/>
          <w:sz w:val="21"/>
          <w:szCs w:val="21"/>
          <w:highlight w:val="none"/>
          <w:lang w:eastAsia="zh-CN"/>
        </w:rPr>
      </w:pPr>
    </w:p>
    <w:p w14:paraId="061B8C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lang w:eastAsia="zh-CN"/>
        </w:rPr>
      </w:pPr>
    </w:p>
    <w:p w14:paraId="6983E55D">
      <w:pPr>
        <w:keepNext w:val="0"/>
        <w:keepLines w:val="0"/>
        <w:pageBreakBefore w:val="0"/>
        <w:kinsoku/>
        <w:wordWrap/>
        <w:overflowPunct/>
        <w:topLinePunct w:val="0"/>
        <w:autoSpaceDE/>
        <w:autoSpaceDN/>
        <w:bidi w:val="0"/>
        <w:adjustRightInd/>
        <w:spacing w:line="480" w:lineRule="auto"/>
        <w:ind w:firstLine="2835" w:firstLineChars="13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B9D5F17">
      <w:pPr>
        <w:keepNext w:val="0"/>
        <w:keepLines w:val="0"/>
        <w:pageBreakBefore w:val="0"/>
        <w:kinsoku/>
        <w:wordWrap/>
        <w:overflowPunct/>
        <w:topLinePunct w:val="0"/>
        <w:autoSpaceDE/>
        <w:autoSpaceDN/>
        <w:bidi w:val="0"/>
        <w:adjustRightInd/>
        <w:spacing w:line="480" w:lineRule="auto"/>
        <w:ind w:firstLine="2835" w:firstLineChars="13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2B3399A">
      <w:pPr>
        <w:keepNext w:val="0"/>
        <w:keepLines w:val="0"/>
        <w:pageBreakBefore w:val="0"/>
        <w:widowControl/>
        <w:kinsoku/>
        <w:wordWrap/>
        <w:overflowPunct/>
        <w:topLinePunct w:val="0"/>
        <w:autoSpaceDE/>
        <w:autoSpaceDN/>
        <w:bidi w:val="0"/>
        <w:adjustRightInd/>
        <w:snapToGrid w:val="0"/>
        <w:spacing w:line="480" w:lineRule="auto"/>
        <w:ind w:firstLine="2835" w:firstLineChars="1350"/>
        <w:jc w:val="both"/>
        <w:textAlignment w:val="baseline"/>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1E84F5A">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baseline"/>
        <w:rPr>
          <w:rFonts w:hint="eastAsia" w:ascii="宋体" w:hAnsi="宋体" w:eastAsia="宋体" w:cs="宋体"/>
          <w:color w:val="auto"/>
          <w:sz w:val="21"/>
          <w:szCs w:val="21"/>
          <w:highlight w:val="none"/>
          <w:u w:val="none"/>
          <w:lang w:val="en-US" w:eastAsia="zh-CN"/>
        </w:rPr>
      </w:pPr>
    </w:p>
    <w:p w14:paraId="457D3CED">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baseline"/>
        <w:rPr>
          <w:rFonts w:hint="eastAsia" w:ascii="宋体" w:hAnsi="宋体" w:eastAsia="宋体" w:cs="宋体"/>
          <w:color w:val="auto"/>
          <w:sz w:val="21"/>
          <w:szCs w:val="21"/>
          <w:highlight w:val="none"/>
          <w:u w:val="none"/>
          <w:lang w:val="en-US" w:eastAsia="zh-CN"/>
        </w:rPr>
      </w:pPr>
    </w:p>
    <w:p w14:paraId="0ADB4BEF">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baseline"/>
        <w:rPr>
          <w:rFonts w:hint="eastAsia" w:ascii="宋体" w:hAnsi="宋体" w:eastAsia="宋体" w:cs="宋体"/>
          <w:color w:val="auto"/>
          <w:sz w:val="21"/>
          <w:szCs w:val="21"/>
          <w:highlight w:val="none"/>
          <w:u w:val="none"/>
          <w:lang w:val="en-US" w:eastAsia="zh-CN"/>
        </w:rPr>
        <w:sectPr>
          <w:pgSz w:w="11906" w:h="16839"/>
          <w:pgMar w:top="1361" w:right="1304" w:bottom="1191" w:left="1304" w:header="765" w:footer="994" w:gutter="0"/>
          <w:pgNumType w:fmt="decimal"/>
          <w:cols w:space="720" w:num="1"/>
          <w:rtlGutter w:val="0"/>
        </w:sectPr>
      </w:pPr>
    </w:p>
    <w:p w14:paraId="04E6DAB6">
      <w:pPr>
        <w:widowControl/>
        <w:spacing w:line="380" w:lineRule="exact"/>
        <w:jc w:val="center"/>
        <w:outlineLvl w:val="2"/>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四、响应人需要说明的其他文件和说明</w:t>
      </w:r>
    </w:p>
    <w:p w14:paraId="7DAD0373">
      <w:pPr>
        <w:jc w:val="center"/>
        <w:rPr>
          <w:rFonts w:ascii="黑体" w:hAnsi="宋体" w:eastAsia="黑体" w:cs="Times New Roman"/>
          <w:color w:val="auto"/>
          <w:sz w:val="32"/>
          <w:szCs w:val="32"/>
          <w:highlight w:val="none"/>
        </w:rPr>
      </w:pPr>
    </w:p>
    <w:sectPr>
      <w:pgSz w:w="11906" w:h="16838"/>
      <w:pgMar w:top="1304" w:right="1304" w:bottom="1191" w:left="1304" w:header="794" w:footer="850"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moder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7A"/>
    <w:family w:val="swiss"/>
    <w:pitch w:val="default"/>
    <w:sig w:usb0="80000287" w:usb1="2ACF0010" w:usb2="00000016" w:usb3="00000000" w:csb0="0004001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3236">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BD67DC">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ABD67DC">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849B">
    <w:pPr>
      <w:pStyle w:val="21"/>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2554EEE">
                          <w:pPr>
                            <w:pStyle w:val="21"/>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38</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crsyQ+cBAADH&#10;AwAADgAAAAAAAAABACAAAAAfAQAAZHJzL2Uyb0RvYy54bWxQSwUGAAAAAAYABgBZAQAAeAUAAAAA&#10;">
              <v:fill on="f" focussize="0,0"/>
              <v:stroke on="f" weight="0.5pt"/>
              <v:imagedata o:title=""/>
              <o:lock v:ext="edit" aspectratio="f"/>
              <v:textbox inset="0mm,0mm,0mm,0mm" style="mso-fit-shape-to-text:t;">
                <w:txbxContent>
                  <w:p w14:paraId="32554EEE">
                    <w:pPr>
                      <w:pStyle w:val="21"/>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38</w:t>
                    </w:r>
                    <w:r>
                      <w:rPr>
                        <w:rFonts w:hint="default"/>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872D8">
    <w:pPr>
      <w:pStyle w:val="22"/>
      <w:pBdr>
        <w:bottom w:val="single" w:color="auto" w:sz="4" w:space="1"/>
      </w:pBdr>
      <w:jc w:val="center"/>
      <w:rPr>
        <w:rFonts w:hint="eastAsia" w:ascii="宋体" w:hAnsi="宋体" w:eastAsia="宋体" w:cs="宋体"/>
        <w:sz w:val="21"/>
        <w:szCs w:val="21"/>
      </w:rPr>
    </w:pPr>
    <w:r>
      <w:rPr>
        <w:rFonts w:hint="eastAsia" w:ascii="宋体" w:hAnsi="宋体" w:eastAsia="宋体" w:cs="宋体"/>
        <w:sz w:val="21"/>
        <w:szCs w:val="21"/>
      </w:rPr>
      <w:t>千人报告厅维修改造工程—舞台音响设备及座椅采购项目竞争性磋商文件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0D0E3"/>
    <w:multiLevelType w:val="singleLevel"/>
    <w:tmpl w:val="BC20D0E3"/>
    <w:lvl w:ilvl="0" w:tentative="0">
      <w:start w:val="1"/>
      <w:numFmt w:val="decimal"/>
      <w:lvlText w:val="%1."/>
      <w:lvlJc w:val="left"/>
      <w:pPr>
        <w:tabs>
          <w:tab w:val="left" w:pos="312"/>
        </w:tabs>
      </w:pPr>
    </w:lvl>
  </w:abstractNum>
  <w:abstractNum w:abstractNumId="1">
    <w:nsid w:val="DDF6C386"/>
    <w:multiLevelType w:val="singleLevel"/>
    <w:tmpl w:val="DDF6C386"/>
    <w:lvl w:ilvl="0" w:tentative="0">
      <w:start w:val="1"/>
      <w:numFmt w:val="decimal"/>
      <w:lvlText w:val="%1."/>
      <w:lvlJc w:val="left"/>
      <w:pPr>
        <w:tabs>
          <w:tab w:val="left" w:pos="312"/>
        </w:tabs>
      </w:pPr>
    </w:lvl>
  </w:abstractNum>
  <w:abstractNum w:abstractNumId="2">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3"/>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zVhZjI0ZTcxNWZmNjhiYTI3ZTc2ZjIxZGFkNTUifQ=="/>
  </w:docVars>
  <w:rsids>
    <w:rsidRoot w:val="00172A27"/>
    <w:rsid w:val="00001E7E"/>
    <w:rsid w:val="0001668C"/>
    <w:rsid w:val="00016E1A"/>
    <w:rsid w:val="00027A4F"/>
    <w:rsid w:val="00037EE5"/>
    <w:rsid w:val="00086D3D"/>
    <w:rsid w:val="000C3AD8"/>
    <w:rsid w:val="00100327"/>
    <w:rsid w:val="00114464"/>
    <w:rsid w:val="001207EC"/>
    <w:rsid w:val="00136482"/>
    <w:rsid w:val="001422F3"/>
    <w:rsid w:val="00172A27"/>
    <w:rsid w:val="00172C38"/>
    <w:rsid w:val="001819F8"/>
    <w:rsid w:val="001D4B73"/>
    <w:rsid w:val="001D64B2"/>
    <w:rsid w:val="001D6D13"/>
    <w:rsid w:val="001F0413"/>
    <w:rsid w:val="001F3F06"/>
    <w:rsid w:val="001F58D0"/>
    <w:rsid w:val="001F682E"/>
    <w:rsid w:val="00211E07"/>
    <w:rsid w:val="0021442B"/>
    <w:rsid w:val="0023188C"/>
    <w:rsid w:val="0027536B"/>
    <w:rsid w:val="002770DF"/>
    <w:rsid w:val="002B0DC1"/>
    <w:rsid w:val="002C0517"/>
    <w:rsid w:val="002F131C"/>
    <w:rsid w:val="002F4D9C"/>
    <w:rsid w:val="003066F9"/>
    <w:rsid w:val="0032063E"/>
    <w:rsid w:val="003216B0"/>
    <w:rsid w:val="00347588"/>
    <w:rsid w:val="003528C6"/>
    <w:rsid w:val="00352C94"/>
    <w:rsid w:val="00361DE8"/>
    <w:rsid w:val="00370A83"/>
    <w:rsid w:val="00395517"/>
    <w:rsid w:val="00396070"/>
    <w:rsid w:val="00397184"/>
    <w:rsid w:val="003A3BC0"/>
    <w:rsid w:val="003A68F3"/>
    <w:rsid w:val="003A7001"/>
    <w:rsid w:val="003B29C5"/>
    <w:rsid w:val="003C55E9"/>
    <w:rsid w:val="003C61CC"/>
    <w:rsid w:val="003E4214"/>
    <w:rsid w:val="0041034F"/>
    <w:rsid w:val="00415205"/>
    <w:rsid w:val="0043515E"/>
    <w:rsid w:val="0044335C"/>
    <w:rsid w:val="00454096"/>
    <w:rsid w:val="00454176"/>
    <w:rsid w:val="00464B7D"/>
    <w:rsid w:val="00467D36"/>
    <w:rsid w:val="00486CC6"/>
    <w:rsid w:val="004B132E"/>
    <w:rsid w:val="004B1E90"/>
    <w:rsid w:val="004B2A95"/>
    <w:rsid w:val="004B554A"/>
    <w:rsid w:val="004B7F2B"/>
    <w:rsid w:val="00504C64"/>
    <w:rsid w:val="00513BC3"/>
    <w:rsid w:val="0051692E"/>
    <w:rsid w:val="0052789A"/>
    <w:rsid w:val="00527DB1"/>
    <w:rsid w:val="00534EA5"/>
    <w:rsid w:val="00551591"/>
    <w:rsid w:val="005710D7"/>
    <w:rsid w:val="005776D5"/>
    <w:rsid w:val="00585B55"/>
    <w:rsid w:val="00586971"/>
    <w:rsid w:val="005C3D03"/>
    <w:rsid w:val="005D1E9A"/>
    <w:rsid w:val="005E0616"/>
    <w:rsid w:val="005E6A1C"/>
    <w:rsid w:val="00607458"/>
    <w:rsid w:val="0061509E"/>
    <w:rsid w:val="006269ED"/>
    <w:rsid w:val="00632879"/>
    <w:rsid w:val="0067706D"/>
    <w:rsid w:val="00680A29"/>
    <w:rsid w:val="006B3463"/>
    <w:rsid w:val="006E68D9"/>
    <w:rsid w:val="006E78DE"/>
    <w:rsid w:val="006F1213"/>
    <w:rsid w:val="006F2A32"/>
    <w:rsid w:val="007104DF"/>
    <w:rsid w:val="00714686"/>
    <w:rsid w:val="00716B66"/>
    <w:rsid w:val="0073088C"/>
    <w:rsid w:val="007538EF"/>
    <w:rsid w:val="007D11D9"/>
    <w:rsid w:val="007E3FCA"/>
    <w:rsid w:val="007F7EBA"/>
    <w:rsid w:val="0080140A"/>
    <w:rsid w:val="00802182"/>
    <w:rsid w:val="0080231E"/>
    <w:rsid w:val="008551EE"/>
    <w:rsid w:val="008803B2"/>
    <w:rsid w:val="008843EC"/>
    <w:rsid w:val="00885B23"/>
    <w:rsid w:val="008C7676"/>
    <w:rsid w:val="008D6A3F"/>
    <w:rsid w:val="008E3C82"/>
    <w:rsid w:val="008E4D12"/>
    <w:rsid w:val="00912D03"/>
    <w:rsid w:val="00913F4B"/>
    <w:rsid w:val="00933AE7"/>
    <w:rsid w:val="00952EC7"/>
    <w:rsid w:val="009A0843"/>
    <w:rsid w:val="009A34D7"/>
    <w:rsid w:val="009B6625"/>
    <w:rsid w:val="009B7745"/>
    <w:rsid w:val="009D484B"/>
    <w:rsid w:val="009D71B8"/>
    <w:rsid w:val="009F27CC"/>
    <w:rsid w:val="00A03E2D"/>
    <w:rsid w:val="00A0516C"/>
    <w:rsid w:val="00A46412"/>
    <w:rsid w:val="00A6150C"/>
    <w:rsid w:val="00AA7A34"/>
    <w:rsid w:val="00AB1BA5"/>
    <w:rsid w:val="00AC5918"/>
    <w:rsid w:val="00AE656F"/>
    <w:rsid w:val="00AF23A0"/>
    <w:rsid w:val="00B13833"/>
    <w:rsid w:val="00B16502"/>
    <w:rsid w:val="00B217A9"/>
    <w:rsid w:val="00B441A2"/>
    <w:rsid w:val="00B76005"/>
    <w:rsid w:val="00B7737C"/>
    <w:rsid w:val="00B90A9D"/>
    <w:rsid w:val="00BD5C61"/>
    <w:rsid w:val="00C04527"/>
    <w:rsid w:val="00C112E1"/>
    <w:rsid w:val="00C13AA1"/>
    <w:rsid w:val="00C31D8C"/>
    <w:rsid w:val="00C3238E"/>
    <w:rsid w:val="00C36A14"/>
    <w:rsid w:val="00C42389"/>
    <w:rsid w:val="00C555F9"/>
    <w:rsid w:val="00C96031"/>
    <w:rsid w:val="00CC28BD"/>
    <w:rsid w:val="00CD21D2"/>
    <w:rsid w:val="00CD7457"/>
    <w:rsid w:val="00CF2085"/>
    <w:rsid w:val="00CF240A"/>
    <w:rsid w:val="00CF36E5"/>
    <w:rsid w:val="00D1213F"/>
    <w:rsid w:val="00D470E1"/>
    <w:rsid w:val="00D535FA"/>
    <w:rsid w:val="00D67BA6"/>
    <w:rsid w:val="00D73E66"/>
    <w:rsid w:val="00D80096"/>
    <w:rsid w:val="00D9081B"/>
    <w:rsid w:val="00D91EB8"/>
    <w:rsid w:val="00DA249B"/>
    <w:rsid w:val="00DA4DC0"/>
    <w:rsid w:val="00E42D08"/>
    <w:rsid w:val="00E4516A"/>
    <w:rsid w:val="00E7325D"/>
    <w:rsid w:val="00E860F1"/>
    <w:rsid w:val="00EA0D17"/>
    <w:rsid w:val="00EA553D"/>
    <w:rsid w:val="00EB7B19"/>
    <w:rsid w:val="00ED434E"/>
    <w:rsid w:val="00F0671C"/>
    <w:rsid w:val="00F1685B"/>
    <w:rsid w:val="00F17FCB"/>
    <w:rsid w:val="00F26D29"/>
    <w:rsid w:val="00F547DF"/>
    <w:rsid w:val="00F56665"/>
    <w:rsid w:val="00FA7EAE"/>
    <w:rsid w:val="00FB27D8"/>
    <w:rsid w:val="00FC6595"/>
    <w:rsid w:val="00FD4A02"/>
    <w:rsid w:val="00FE5678"/>
    <w:rsid w:val="00FF5833"/>
    <w:rsid w:val="01013D96"/>
    <w:rsid w:val="01055638"/>
    <w:rsid w:val="0106518A"/>
    <w:rsid w:val="01086D63"/>
    <w:rsid w:val="010C5C53"/>
    <w:rsid w:val="010F45B3"/>
    <w:rsid w:val="01100422"/>
    <w:rsid w:val="0123113C"/>
    <w:rsid w:val="012F41F1"/>
    <w:rsid w:val="01340268"/>
    <w:rsid w:val="0134380D"/>
    <w:rsid w:val="0134483A"/>
    <w:rsid w:val="01353A2C"/>
    <w:rsid w:val="01393A9C"/>
    <w:rsid w:val="013C2F18"/>
    <w:rsid w:val="01446447"/>
    <w:rsid w:val="01456EBC"/>
    <w:rsid w:val="014A59F1"/>
    <w:rsid w:val="014C23D2"/>
    <w:rsid w:val="014D4F78"/>
    <w:rsid w:val="014D635E"/>
    <w:rsid w:val="014F1ADA"/>
    <w:rsid w:val="01531816"/>
    <w:rsid w:val="01552E48"/>
    <w:rsid w:val="0155370A"/>
    <w:rsid w:val="015C2431"/>
    <w:rsid w:val="015D0D5E"/>
    <w:rsid w:val="0160322B"/>
    <w:rsid w:val="016B69D5"/>
    <w:rsid w:val="01733958"/>
    <w:rsid w:val="01746CC4"/>
    <w:rsid w:val="017813F1"/>
    <w:rsid w:val="017A79E1"/>
    <w:rsid w:val="0183010B"/>
    <w:rsid w:val="01852063"/>
    <w:rsid w:val="01854D01"/>
    <w:rsid w:val="018B0C9C"/>
    <w:rsid w:val="018C2B88"/>
    <w:rsid w:val="01901F57"/>
    <w:rsid w:val="0192235B"/>
    <w:rsid w:val="019416DC"/>
    <w:rsid w:val="019B4BD4"/>
    <w:rsid w:val="01A85634"/>
    <w:rsid w:val="01AE77ED"/>
    <w:rsid w:val="01B13F71"/>
    <w:rsid w:val="01B329B2"/>
    <w:rsid w:val="01B7661E"/>
    <w:rsid w:val="01B83D0B"/>
    <w:rsid w:val="01BA04B8"/>
    <w:rsid w:val="01C840FA"/>
    <w:rsid w:val="01C977F3"/>
    <w:rsid w:val="01CC20EA"/>
    <w:rsid w:val="01D02F86"/>
    <w:rsid w:val="01D47565"/>
    <w:rsid w:val="01DD77FC"/>
    <w:rsid w:val="01E103A1"/>
    <w:rsid w:val="01E32031"/>
    <w:rsid w:val="01E379BE"/>
    <w:rsid w:val="01E85576"/>
    <w:rsid w:val="01E927E7"/>
    <w:rsid w:val="01F03962"/>
    <w:rsid w:val="01F41B6A"/>
    <w:rsid w:val="01F524F1"/>
    <w:rsid w:val="01F813D7"/>
    <w:rsid w:val="01FB0DB9"/>
    <w:rsid w:val="01FB31A6"/>
    <w:rsid w:val="01FF3511"/>
    <w:rsid w:val="0200405B"/>
    <w:rsid w:val="020179D0"/>
    <w:rsid w:val="0205625E"/>
    <w:rsid w:val="02071510"/>
    <w:rsid w:val="02077E07"/>
    <w:rsid w:val="020A5CB9"/>
    <w:rsid w:val="020B2984"/>
    <w:rsid w:val="02115BF2"/>
    <w:rsid w:val="02151639"/>
    <w:rsid w:val="021E4AAE"/>
    <w:rsid w:val="02244075"/>
    <w:rsid w:val="022A4754"/>
    <w:rsid w:val="022A4BB8"/>
    <w:rsid w:val="022B3392"/>
    <w:rsid w:val="023D4BD4"/>
    <w:rsid w:val="02496D62"/>
    <w:rsid w:val="024A2B2C"/>
    <w:rsid w:val="024A367C"/>
    <w:rsid w:val="024B62EE"/>
    <w:rsid w:val="024C4F30"/>
    <w:rsid w:val="024F1F38"/>
    <w:rsid w:val="02536F61"/>
    <w:rsid w:val="02553AED"/>
    <w:rsid w:val="02583AB6"/>
    <w:rsid w:val="025A0925"/>
    <w:rsid w:val="025D3FAE"/>
    <w:rsid w:val="0265023E"/>
    <w:rsid w:val="02660B9B"/>
    <w:rsid w:val="02696FFA"/>
    <w:rsid w:val="027007C4"/>
    <w:rsid w:val="027431B7"/>
    <w:rsid w:val="027718CF"/>
    <w:rsid w:val="027C2F90"/>
    <w:rsid w:val="027C6388"/>
    <w:rsid w:val="027E7769"/>
    <w:rsid w:val="028346AF"/>
    <w:rsid w:val="0287523E"/>
    <w:rsid w:val="02884039"/>
    <w:rsid w:val="028D6CB3"/>
    <w:rsid w:val="02904255"/>
    <w:rsid w:val="02951E5D"/>
    <w:rsid w:val="0295315E"/>
    <w:rsid w:val="02993B86"/>
    <w:rsid w:val="029E5EA1"/>
    <w:rsid w:val="02A23F62"/>
    <w:rsid w:val="02A42BFC"/>
    <w:rsid w:val="02A466CA"/>
    <w:rsid w:val="02A4679B"/>
    <w:rsid w:val="02AF3E81"/>
    <w:rsid w:val="02B0187E"/>
    <w:rsid w:val="02B218EB"/>
    <w:rsid w:val="02B341EA"/>
    <w:rsid w:val="02B40FDB"/>
    <w:rsid w:val="02B844E4"/>
    <w:rsid w:val="02BA25B0"/>
    <w:rsid w:val="02BD7451"/>
    <w:rsid w:val="02C411A6"/>
    <w:rsid w:val="02C75025"/>
    <w:rsid w:val="02C90A88"/>
    <w:rsid w:val="02CA7252"/>
    <w:rsid w:val="02CE3306"/>
    <w:rsid w:val="02D03CA7"/>
    <w:rsid w:val="02D16383"/>
    <w:rsid w:val="02D756A2"/>
    <w:rsid w:val="02D90491"/>
    <w:rsid w:val="02DC79B2"/>
    <w:rsid w:val="02E17ABA"/>
    <w:rsid w:val="02EE1577"/>
    <w:rsid w:val="02EE3656"/>
    <w:rsid w:val="02EF4076"/>
    <w:rsid w:val="02EF6A9C"/>
    <w:rsid w:val="02F06D76"/>
    <w:rsid w:val="02F13C2F"/>
    <w:rsid w:val="02F16E93"/>
    <w:rsid w:val="02F17EED"/>
    <w:rsid w:val="02F870E8"/>
    <w:rsid w:val="02F97A4F"/>
    <w:rsid w:val="02FA67CC"/>
    <w:rsid w:val="02FE7D59"/>
    <w:rsid w:val="030628E9"/>
    <w:rsid w:val="030706D8"/>
    <w:rsid w:val="030D662D"/>
    <w:rsid w:val="03143FFF"/>
    <w:rsid w:val="0319647D"/>
    <w:rsid w:val="031A54C1"/>
    <w:rsid w:val="031F1055"/>
    <w:rsid w:val="031F3DF1"/>
    <w:rsid w:val="03213C2F"/>
    <w:rsid w:val="03374899"/>
    <w:rsid w:val="033802CE"/>
    <w:rsid w:val="033E00E0"/>
    <w:rsid w:val="033E1B13"/>
    <w:rsid w:val="03411FE4"/>
    <w:rsid w:val="034163BA"/>
    <w:rsid w:val="03416D7F"/>
    <w:rsid w:val="034C051E"/>
    <w:rsid w:val="034C46F7"/>
    <w:rsid w:val="034F57EF"/>
    <w:rsid w:val="035420AC"/>
    <w:rsid w:val="03543A5F"/>
    <w:rsid w:val="035559E2"/>
    <w:rsid w:val="03580FA1"/>
    <w:rsid w:val="03583BED"/>
    <w:rsid w:val="03584C4F"/>
    <w:rsid w:val="0359303C"/>
    <w:rsid w:val="036375FF"/>
    <w:rsid w:val="03741ECA"/>
    <w:rsid w:val="037945CE"/>
    <w:rsid w:val="037F6974"/>
    <w:rsid w:val="03806C21"/>
    <w:rsid w:val="038776C0"/>
    <w:rsid w:val="038C340C"/>
    <w:rsid w:val="039029E5"/>
    <w:rsid w:val="03925A05"/>
    <w:rsid w:val="03932BC7"/>
    <w:rsid w:val="03951E56"/>
    <w:rsid w:val="03981DFF"/>
    <w:rsid w:val="039832D1"/>
    <w:rsid w:val="03A11451"/>
    <w:rsid w:val="03A41F86"/>
    <w:rsid w:val="03A50E50"/>
    <w:rsid w:val="03A856A7"/>
    <w:rsid w:val="03AA6CD4"/>
    <w:rsid w:val="03AB0A8D"/>
    <w:rsid w:val="03AE3E41"/>
    <w:rsid w:val="03AF7B33"/>
    <w:rsid w:val="03B15391"/>
    <w:rsid w:val="03B20046"/>
    <w:rsid w:val="03B31BC3"/>
    <w:rsid w:val="03B90715"/>
    <w:rsid w:val="03BA191A"/>
    <w:rsid w:val="03BF7262"/>
    <w:rsid w:val="03C85A02"/>
    <w:rsid w:val="03C87F96"/>
    <w:rsid w:val="03D414B2"/>
    <w:rsid w:val="03D623F6"/>
    <w:rsid w:val="03D74DCF"/>
    <w:rsid w:val="03D8428A"/>
    <w:rsid w:val="03DB049D"/>
    <w:rsid w:val="03E10AFA"/>
    <w:rsid w:val="03E1408A"/>
    <w:rsid w:val="03E4032C"/>
    <w:rsid w:val="03E64947"/>
    <w:rsid w:val="03EA2148"/>
    <w:rsid w:val="03F12E00"/>
    <w:rsid w:val="03F61477"/>
    <w:rsid w:val="03F85280"/>
    <w:rsid w:val="03FA6994"/>
    <w:rsid w:val="03FC771D"/>
    <w:rsid w:val="03FF5472"/>
    <w:rsid w:val="040E30ED"/>
    <w:rsid w:val="040F0907"/>
    <w:rsid w:val="0412030F"/>
    <w:rsid w:val="0412293E"/>
    <w:rsid w:val="04143381"/>
    <w:rsid w:val="041D05B7"/>
    <w:rsid w:val="041F74F0"/>
    <w:rsid w:val="04214F2B"/>
    <w:rsid w:val="04233CA6"/>
    <w:rsid w:val="04261205"/>
    <w:rsid w:val="042856FD"/>
    <w:rsid w:val="04296FDF"/>
    <w:rsid w:val="04304184"/>
    <w:rsid w:val="043541A3"/>
    <w:rsid w:val="0435487F"/>
    <w:rsid w:val="043816E1"/>
    <w:rsid w:val="043A2978"/>
    <w:rsid w:val="04481D4C"/>
    <w:rsid w:val="04487A38"/>
    <w:rsid w:val="044B4F71"/>
    <w:rsid w:val="04510DC2"/>
    <w:rsid w:val="0453480E"/>
    <w:rsid w:val="045D24D1"/>
    <w:rsid w:val="04625BB3"/>
    <w:rsid w:val="04664CA2"/>
    <w:rsid w:val="0470003C"/>
    <w:rsid w:val="04713771"/>
    <w:rsid w:val="04784355"/>
    <w:rsid w:val="047B4F56"/>
    <w:rsid w:val="047C37A7"/>
    <w:rsid w:val="047D0653"/>
    <w:rsid w:val="048249DD"/>
    <w:rsid w:val="04860988"/>
    <w:rsid w:val="04860D21"/>
    <w:rsid w:val="048F5BED"/>
    <w:rsid w:val="04930DA5"/>
    <w:rsid w:val="049328C7"/>
    <w:rsid w:val="04966548"/>
    <w:rsid w:val="04970573"/>
    <w:rsid w:val="049C24E5"/>
    <w:rsid w:val="049D3D50"/>
    <w:rsid w:val="049E08D4"/>
    <w:rsid w:val="049E2D66"/>
    <w:rsid w:val="04A95D19"/>
    <w:rsid w:val="04AA09E5"/>
    <w:rsid w:val="04AB5CBC"/>
    <w:rsid w:val="04B02E6F"/>
    <w:rsid w:val="04B52E18"/>
    <w:rsid w:val="04BB5828"/>
    <w:rsid w:val="04BC7823"/>
    <w:rsid w:val="04BD3208"/>
    <w:rsid w:val="04BE24DC"/>
    <w:rsid w:val="04BF77B4"/>
    <w:rsid w:val="04C032A1"/>
    <w:rsid w:val="04C077CC"/>
    <w:rsid w:val="04C24495"/>
    <w:rsid w:val="04C64286"/>
    <w:rsid w:val="04C656F5"/>
    <w:rsid w:val="04CA7447"/>
    <w:rsid w:val="04CB2517"/>
    <w:rsid w:val="04CB5320"/>
    <w:rsid w:val="04D341E4"/>
    <w:rsid w:val="04D76D13"/>
    <w:rsid w:val="04D810D1"/>
    <w:rsid w:val="04DE4AA4"/>
    <w:rsid w:val="04DF5025"/>
    <w:rsid w:val="04DF5B05"/>
    <w:rsid w:val="04E253FB"/>
    <w:rsid w:val="04E62621"/>
    <w:rsid w:val="04E63CBE"/>
    <w:rsid w:val="04E866D9"/>
    <w:rsid w:val="04E90CDF"/>
    <w:rsid w:val="04EA696E"/>
    <w:rsid w:val="04F829D0"/>
    <w:rsid w:val="04FD412B"/>
    <w:rsid w:val="04FE4348"/>
    <w:rsid w:val="05031C1C"/>
    <w:rsid w:val="05073623"/>
    <w:rsid w:val="05080764"/>
    <w:rsid w:val="050E384C"/>
    <w:rsid w:val="05106D4F"/>
    <w:rsid w:val="05111757"/>
    <w:rsid w:val="05111A6E"/>
    <w:rsid w:val="05136EC7"/>
    <w:rsid w:val="051428BE"/>
    <w:rsid w:val="05167229"/>
    <w:rsid w:val="05194415"/>
    <w:rsid w:val="051F378B"/>
    <w:rsid w:val="052551D9"/>
    <w:rsid w:val="052560C4"/>
    <w:rsid w:val="052E79B3"/>
    <w:rsid w:val="052F04CB"/>
    <w:rsid w:val="0533094F"/>
    <w:rsid w:val="053D415C"/>
    <w:rsid w:val="053F2A8F"/>
    <w:rsid w:val="054B166E"/>
    <w:rsid w:val="054F1C83"/>
    <w:rsid w:val="055A6DCE"/>
    <w:rsid w:val="055E08C3"/>
    <w:rsid w:val="056C2501"/>
    <w:rsid w:val="056D43BB"/>
    <w:rsid w:val="056E092B"/>
    <w:rsid w:val="056F4E5E"/>
    <w:rsid w:val="0571293C"/>
    <w:rsid w:val="05714D5E"/>
    <w:rsid w:val="05730F87"/>
    <w:rsid w:val="05764D75"/>
    <w:rsid w:val="057B5815"/>
    <w:rsid w:val="057E7E6F"/>
    <w:rsid w:val="058310A7"/>
    <w:rsid w:val="05836653"/>
    <w:rsid w:val="058376DF"/>
    <w:rsid w:val="0585675B"/>
    <w:rsid w:val="058858FE"/>
    <w:rsid w:val="059418E1"/>
    <w:rsid w:val="05980071"/>
    <w:rsid w:val="059C71BC"/>
    <w:rsid w:val="059E5056"/>
    <w:rsid w:val="05A02951"/>
    <w:rsid w:val="05A05923"/>
    <w:rsid w:val="05A21430"/>
    <w:rsid w:val="05A25700"/>
    <w:rsid w:val="05A33F43"/>
    <w:rsid w:val="05B75CC7"/>
    <w:rsid w:val="05B826BA"/>
    <w:rsid w:val="05B9411C"/>
    <w:rsid w:val="05BF5B20"/>
    <w:rsid w:val="05C34CD8"/>
    <w:rsid w:val="05C457B1"/>
    <w:rsid w:val="05C978C9"/>
    <w:rsid w:val="05CC38AA"/>
    <w:rsid w:val="05CD334C"/>
    <w:rsid w:val="05CD6914"/>
    <w:rsid w:val="05D930F8"/>
    <w:rsid w:val="05DD1DAD"/>
    <w:rsid w:val="05DE52E4"/>
    <w:rsid w:val="05E97746"/>
    <w:rsid w:val="05F15BD3"/>
    <w:rsid w:val="05F82C71"/>
    <w:rsid w:val="05FA3EF3"/>
    <w:rsid w:val="05FA570A"/>
    <w:rsid w:val="05FD3C3A"/>
    <w:rsid w:val="06034C39"/>
    <w:rsid w:val="0605356A"/>
    <w:rsid w:val="0608609B"/>
    <w:rsid w:val="06090C19"/>
    <w:rsid w:val="06116DFF"/>
    <w:rsid w:val="06131297"/>
    <w:rsid w:val="06137915"/>
    <w:rsid w:val="06144324"/>
    <w:rsid w:val="06146D46"/>
    <w:rsid w:val="06156657"/>
    <w:rsid w:val="06195CF3"/>
    <w:rsid w:val="061E4453"/>
    <w:rsid w:val="061E7E81"/>
    <w:rsid w:val="06200158"/>
    <w:rsid w:val="06201D0F"/>
    <w:rsid w:val="06235124"/>
    <w:rsid w:val="062A3920"/>
    <w:rsid w:val="062B23B4"/>
    <w:rsid w:val="063236A4"/>
    <w:rsid w:val="06373ABD"/>
    <w:rsid w:val="063B324C"/>
    <w:rsid w:val="063F1E60"/>
    <w:rsid w:val="06461D1D"/>
    <w:rsid w:val="06481AD4"/>
    <w:rsid w:val="06497845"/>
    <w:rsid w:val="064C22CD"/>
    <w:rsid w:val="064E3A7C"/>
    <w:rsid w:val="065465CB"/>
    <w:rsid w:val="065E77B0"/>
    <w:rsid w:val="065F2FD1"/>
    <w:rsid w:val="06635F59"/>
    <w:rsid w:val="06661E56"/>
    <w:rsid w:val="066D4DBE"/>
    <w:rsid w:val="067902AF"/>
    <w:rsid w:val="06802468"/>
    <w:rsid w:val="06890860"/>
    <w:rsid w:val="068A0BD2"/>
    <w:rsid w:val="068A3061"/>
    <w:rsid w:val="068A7FFC"/>
    <w:rsid w:val="068B1EC9"/>
    <w:rsid w:val="06951A27"/>
    <w:rsid w:val="069529D6"/>
    <w:rsid w:val="06964DC9"/>
    <w:rsid w:val="06994D00"/>
    <w:rsid w:val="069A008B"/>
    <w:rsid w:val="069D5B61"/>
    <w:rsid w:val="06A24994"/>
    <w:rsid w:val="06A828A9"/>
    <w:rsid w:val="06AE17E8"/>
    <w:rsid w:val="06BD229F"/>
    <w:rsid w:val="06BD4A4F"/>
    <w:rsid w:val="06BE407C"/>
    <w:rsid w:val="06C621BD"/>
    <w:rsid w:val="06C70AA7"/>
    <w:rsid w:val="06C85FD7"/>
    <w:rsid w:val="06C904AE"/>
    <w:rsid w:val="06CB7493"/>
    <w:rsid w:val="06CD50E8"/>
    <w:rsid w:val="06D15E55"/>
    <w:rsid w:val="06DE7438"/>
    <w:rsid w:val="06E4767F"/>
    <w:rsid w:val="06E57FC4"/>
    <w:rsid w:val="06F51A39"/>
    <w:rsid w:val="06F95F03"/>
    <w:rsid w:val="0707261C"/>
    <w:rsid w:val="070843C2"/>
    <w:rsid w:val="070A4273"/>
    <w:rsid w:val="070D70FB"/>
    <w:rsid w:val="07107A01"/>
    <w:rsid w:val="07154905"/>
    <w:rsid w:val="07156BA6"/>
    <w:rsid w:val="07165499"/>
    <w:rsid w:val="071D3F0E"/>
    <w:rsid w:val="071E766C"/>
    <w:rsid w:val="07223E31"/>
    <w:rsid w:val="07277ABD"/>
    <w:rsid w:val="072826F2"/>
    <w:rsid w:val="072B02AD"/>
    <w:rsid w:val="0733037D"/>
    <w:rsid w:val="0737288D"/>
    <w:rsid w:val="07387849"/>
    <w:rsid w:val="073A0BEE"/>
    <w:rsid w:val="073B6D32"/>
    <w:rsid w:val="074117A5"/>
    <w:rsid w:val="074568CF"/>
    <w:rsid w:val="074870F5"/>
    <w:rsid w:val="074F758D"/>
    <w:rsid w:val="07546F1E"/>
    <w:rsid w:val="075F2816"/>
    <w:rsid w:val="076232D3"/>
    <w:rsid w:val="07660512"/>
    <w:rsid w:val="07666224"/>
    <w:rsid w:val="076B5C17"/>
    <w:rsid w:val="076C1FCA"/>
    <w:rsid w:val="076D4537"/>
    <w:rsid w:val="076D7142"/>
    <w:rsid w:val="07756BB0"/>
    <w:rsid w:val="078E56D7"/>
    <w:rsid w:val="078F3233"/>
    <w:rsid w:val="07923684"/>
    <w:rsid w:val="07973A24"/>
    <w:rsid w:val="07985315"/>
    <w:rsid w:val="079970F6"/>
    <w:rsid w:val="079F7DE8"/>
    <w:rsid w:val="07A60C9A"/>
    <w:rsid w:val="07A925C8"/>
    <w:rsid w:val="07AD37C0"/>
    <w:rsid w:val="07AE3C85"/>
    <w:rsid w:val="07B15D58"/>
    <w:rsid w:val="07B4433A"/>
    <w:rsid w:val="07B6518F"/>
    <w:rsid w:val="07BD1C65"/>
    <w:rsid w:val="07C31D9D"/>
    <w:rsid w:val="07CA6DC4"/>
    <w:rsid w:val="07DA5BA1"/>
    <w:rsid w:val="07DB1243"/>
    <w:rsid w:val="07E043B2"/>
    <w:rsid w:val="07F222E5"/>
    <w:rsid w:val="07F4468D"/>
    <w:rsid w:val="07FB4485"/>
    <w:rsid w:val="080975F8"/>
    <w:rsid w:val="080C562F"/>
    <w:rsid w:val="080D5A12"/>
    <w:rsid w:val="08185412"/>
    <w:rsid w:val="081C39CF"/>
    <w:rsid w:val="081D6610"/>
    <w:rsid w:val="082A095B"/>
    <w:rsid w:val="082A6628"/>
    <w:rsid w:val="082D6897"/>
    <w:rsid w:val="08307AAC"/>
    <w:rsid w:val="08314069"/>
    <w:rsid w:val="083261BC"/>
    <w:rsid w:val="083561C2"/>
    <w:rsid w:val="08361E36"/>
    <w:rsid w:val="083667B1"/>
    <w:rsid w:val="08377057"/>
    <w:rsid w:val="08384076"/>
    <w:rsid w:val="083939BF"/>
    <w:rsid w:val="083D7F0F"/>
    <w:rsid w:val="083E025F"/>
    <w:rsid w:val="0841131E"/>
    <w:rsid w:val="08432893"/>
    <w:rsid w:val="084655D1"/>
    <w:rsid w:val="08475DD1"/>
    <w:rsid w:val="084B7103"/>
    <w:rsid w:val="084C67F6"/>
    <w:rsid w:val="08516A2B"/>
    <w:rsid w:val="085312EA"/>
    <w:rsid w:val="08534670"/>
    <w:rsid w:val="08571C05"/>
    <w:rsid w:val="0857224C"/>
    <w:rsid w:val="085B4399"/>
    <w:rsid w:val="085C1AC0"/>
    <w:rsid w:val="08601B6C"/>
    <w:rsid w:val="08632999"/>
    <w:rsid w:val="08632C84"/>
    <w:rsid w:val="08697955"/>
    <w:rsid w:val="086B5F90"/>
    <w:rsid w:val="08717316"/>
    <w:rsid w:val="087272BE"/>
    <w:rsid w:val="087277C8"/>
    <w:rsid w:val="08741D48"/>
    <w:rsid w:val="08742CD0"/>
    <w:rsid w:val="08753E49"/>
    <w:rsid w:val="08785ADB"/>
    <w:rsid w:val="087E2F85"/>
    <w:rsid w:val="087F16BF"/>
    <w:rsid w:val="08877423"/>
    <w:rsid w:val="088B1BB5"/>
    <w:rsid w:val="088D48BE"/>
    <w:rsid w:val="08915BA7"/>
    <w:rsid w:val="08925DE9"/>
    <w:rsid w:val="08961119"/>
    <w:rsid w:val="089A766D"/>
    <w:rsid w:val="089D2839"/>
    <w:rsid w:val="08A03EE3"/>
    <w:rsid w:val="08A2571A"/>
    <w:rsid w:val="08A27699"/>
    <w:rsid w:val="08B140F2"/>
    <w:rsid w:val="08B625F4"/>
    <w:rsid w:val="08B63055"/>
    <w:rsid w:val="08BC1B04"/>
    <w:rsid w:val="08BE3AB9"/>
    <w:rsid w:val="08C355D8"/>
    <w:rsid w:val="08C40AD3"/>
    <w:rsid w:val="08C414F8"/>
    <w:rsid w:val="08C80452"/>
    <w:rsid w:val="08CA5204"/>
    <w:rsid w:val="08CB503E"/>
    <w:rsid w:val="08CE644D"/>
    <w:rsid w:val="08D129B1"/>
    <w:rsid w:val="08D17348"/>
    <w:rsid w:val="08D235B5"/>
    <w:rsid w:val="08D533EA"/>
    <w:rsid w:val="08D77F9A"/>
    <w:rsid w:val="08D86393"/>
    <w:rsid w:val="08D87DCF"/>
    <w:rsid w:val="08D91EF4"/>
    <w:rsid w:val="08DD5E34"/>
    <w:rsid w:val="08E03954"/>
    <w:rsid w:val="08E41C02"/>
    <w:rsid w:val="08E777F4"/>
    <w:rsid w:val="08EB2850"/>
    <w:rsid w:val="08ED5ED8"/>
    <w:rsid w:val="08F03598"/>
    <w:rsid w:val="08F12A95"/>
    <w:rsid w:val="08F57E22"/>
    <w:rsid w:val="08F7757E"/>
    <w:rsid w:val="08FD6053"/>
    <w:rsid w:val="090212B8"/>
    <w:rsid w:val="09045401"/>
    <w:rsid w:val="09082DE7"/>
    <w:rsid w:val="090F5AAF"/>
    <w:rsid w:val="09120704"/>
    <w:rsid w:val="09167695"/>
    <w:rsid w:val="091E2CFA"/>
    <w:rsid w:val="091F033F"/>
    <w:rsid w:val="09223893"/>
    <w:rsid w:val="092C1AFB"/>
    <w:rsid w:val="092D1D2C"/>
    <w:rsid w:val="093342EC"/>
    <w:rsid w:val="093F66E0"/>
    <w:rsid w:val="094324A0"/>
    <w:rsid w:val="09444DF1"/>
    <w:rsid w:val="094620D8"/>
    <w:rsid w:val="094662E8"/>
    <w:rsid w:val="094A010C"/>
    <w:rsid w:val="094A7213"/>
    <w:rsid w:val="094D1238"/>
    <w:rsid w:val="094E20EC"/>
    <w:rsid w:val="094F558A"/>
    <w:rsid w:val="09526A35"/>
    <w:rsid w:val="0953612D"/>
    <w:rsid w:val="09542D12"/>
    <w:rsid w:val="095672F6"/>
    <w:rsid w:val="09571FD1"/>
    <w:rsid w:val="09597231"/>
    <w:rsid w:val="095E4BA4"/>
    <w:rsid w:val="09625CE0"/>
    <w:rsid w:val="0968408F"/>
    <w:rsid w:val="096C1142"/>
    <w:rsid w:val="096F6E8A"/>
    <w:rsid w:val="097058D4"/>
    <w:rsid w:val="097C1A9F"/>
    <w:rsid w:val="09882830"/>
    <w:rsid w:val="09887009"/>
    <w:rsid w:val="098B17FF"/>
    <w:rsid w:val="098E0F4D"/>
    <w:rsid w:val="098E5D2F"/>
    <w:rsid w:val="098F0B0A"/>
    <w:rsid w:val="09903C29"/>
    <w:rsid w:val="09952449"/>
    <w:rsid w:val="09A85C9D"/>
    <w:rsid w:val="09AB3217"/>
    <w:rsid w:val="09AB5B05"/>
    <w:rsid w:val="09AD37EC"/>
    <w:rsid w:val="09AF2CBF"/>
    <w:rsid w:val="09B33FF7"/>
    <w:rsid w:val="09B47B30"/>
    <w:rsid w:val="09B51C40"/>
    <w:rsid w:val="09BB7F9F"/>
    <w:rsid w:val="09BE4A0A"/>
    <w:rsid w:val="09C121DE"/>
    <w:rsid w:val="09C44AA0"/>
    <w:rsid w:val="09C9433C"/>
    <w:rsid w:val="09C9451E"/>
    <w:rsid w:val="09CA1842"/>
    <w:rsid w:val="09CC2CA0"/>
    <w:rsid w:val="09CE0A2C"/>
    <w:rsid w:val="09CF6409"/>
    <w:rsid w:val="09D04E8A"/>
    <w:rsid w:val="09D0738B"/>
    <w:rsid w:val="09D15D3A"/>
    <w:rsid w:val="09D84B78"/>
    <w:rsid w:val="09DB259B"/>
    <w:rsid w:val="09DF1B25"/>
    <w:rsid w:val="09E137E9"/>
    <w:rsid w:val="09E7021F"/>
    <w:rsid w:val="09ED601F"/>
    <w:rsid w:val="09EF210D"/>
    <w:rsid w:val="09EF2434"/>
    <w:rsid w:val="09F218B8"/>
    <w:rsid w:val="09FB1F7E"/>
    <w:rsid w:val="0A076050"/>
    <w:rsid w:val="0A145072"/>
    <w:rsid w:val="0A1801D1"/>
    <w:rsid w:val="0A2355A7"/>
    <w:rsid w:val="0A27173A"/>
    <w:rsid w:val="0A273879"/>
    <w:rsid w:val="0A2768F6"/>
    <w:rsid w:val="0A2B66A8"/>
    <w:rsid w:val="0A2C0DEF"/>
    <w:rsid w:val="0A2C33BA"/>
    <w:rsid w:val="0A2D00E7"/>
    <w:rsid w:val="0A2F1479"/>
    <w:rsid w:val="0A357FDF"/>
    <w:rsid w:val="0A362BD8"/>
    <w:rsid w:val="0A385FAB"/>
    <w:rsid w:val="0A3F2343"/>
    <w:rsid w:val="0A401F1B"/>
    <w:rsid w:val="0A417A99"/>
    <w:rsid w:val="0A451CA6"/>
    <w:rsid w:val="0A454A11"/>
    <w:rsid w:val="0A46373E"/>
    <w:rsid w:val="0A483F12"/>
    <w:rsid w:val="0A4A66D2"/>
    <w:rsid w:val="0A522E6A"/>
    <w:rsid w:val="0A54734F"/>
    <w:rsid w:val="0A5F1330"/>
    <w:rsid w:val="0A63116D"/>
    <w:rsid w:val="0A656F63"/>
    <w:rsid w:val="0A686C92"/>
    <w:rsid w:val="0A6A6EAE"/>
    <w:rsid w:val="0A6E305C"/>
    <w:rsid w:val="0A6E67EF"/>
    <w:rsid w:val="0A717628"/>
    <w:rsid w:val="0A7D7A17"/>
    <w:rsid w:val="0A841375"/>
    <w:rsid w:val="0A85237E"/>
    <w:rsid w:val="0A871C99"/>
    <w:rsid w:val="0A890842"/>
    <w:rsid w:val="0A8E7480"/>
    <w:rsid w:val="0A8F5DDD"/>
    <w:rsid w:val="0A905DA4"/>
    <w:rsid w:val="0A986C7C"/>
    <w:rsid w:val="0AA35182"/>
    <w:rsid w:val="0AAA0739"/>
    <w:rsid w:val="0AAF5150"/>
    <w:rsid w:val="0AB67AB5"/>
    <w:rsid w:val="0ABD6210"/>
    <w:rsid w:val="0AC005F0"/>
    <w:rsid w:val="0AC517D3"/>
    <w:rsid w:val="0ACD53EF"/>
    <w:rsid w:val="0AD358F1"/>
    <w:rsid w:val="0AD56ECB"/>
    <w:rsid w:val="0AD727CA"/>
    <w:rsid w:val="0AD81C1D"/>
    <w:rsid w:val="0ADA0DA3"/>
    <w:rsid w:val="0ADC3261"/>
    <w:rsid w:val="0ADF2529"/>
    <w:rsid w:val="0AE2149C"/>
    <w:rsid w:val="0AE2165B"/>
    <w:rsid w:val="0AE35F05"/>
    <w:rsid w:val="0AE85214"/>
    <w:rsid w:val="0AEC6420"/>
    <w:rsid w:val="0AF852A4"/>
    <w:rsid w:val="0B004616"/>
    <w:rsid w:val="0B007216"/>
    <w:rsid w:val="0B025F80"/>
    <w:rsid w:val="0B053EF0"/>
    <w:rsid w:val="0B061658"/>
    <w:rsid w:val="0B074360"/>
    <w:rsid w:val="0B0822C7"/>
    <w:rsid w:val="0B0A145B"/>
    <w:rsid w:val="0B0C1EA2"/>
    <w:rsid w:val="0B0D32D6"/>
    <w:rsid w:val="0B0F1132"/>
    <w:rsid w:val="0B0F50F1"/>
    <w:rsid w:val="0B117C6B"/>
    <w:rsid w:val="0B122604"/>
    <w:rsid w:val="0B126846"/>
    <w:rsid w:val="0B2073C2"/>
    <w:rsid w:val="0B2146AC"/>
    <w:rsid w:val="0B232F7C"/>
    <w:rsid w:val="0B276D3F"/>
    <w:rsid w:val="0B290964"/>
    <w:rsid w:val="0B2B50BD"/>
    <w:rsid w:val="0B2B6778"/>
    <w:rsid w:val="0B35127E"/>
    <w:rsid w:val="0B36617C"/>
    <w:rsid w:val="0B373047"/>
    <w:rsid w:val="0B3B175C"/>
    <w:rsid w:val="0B3F631C"/>
    <w:rsid w:val="0B416695"/>
    <w:rsid w:val="0B441502"/>
    <w:rsid w:val="0B481665"/>
    <w:rsid w:val="0B485A1E"/>
    <w:rsid w:val="0B4D73CA"/>
    <w:rsid w:val="0B4E3E3C"/>
    <w:rsid w:val="0B4F3C62"/>
    <w:rsid w:val="0B4F45DD"/>
    <w:rsid w:val="0B520687"/>
    <w:rsid w:val="0B554E9E"/>
    <w:rsid w:val="0B57042F"/>
    <w:rsid w:val="0B5C6149"/>
    <w:rsid w:val="0B5F269F"/>
    <w:rsid w:val="0B611265"/>
    <w:rsid w:val="0B663828"/>
    <w:rsid w:val="0B6A777C"/>
    <w:rsid w:val="0B772020"/>
    <w:rsid w:val="0B821999"/>
    <w:rsid w:val="0B826006"/>
    <w:rsid w:val="0B8316D5"/>
    <w:rsid w:val="0B843998"/>
    <w:rsid w:val="0B844390"/>
    <w:rsid w:val="0B844ACA"/>
    <w:rsid w:val="0B865701"/>
    <w:rsid w:val="0B891894"/>
    <w:rsid w:val="0B897E6A"/>
    <w:rsid w:val="0B8A6552"/>
    <w:rsid w:val="0B93791B"/>
    <w:rsid w:val="0B9A2272"/>
    <w:rsid w:val="0B9E4275"/>
    <w:rsid w:val="0BA126D0"/>
    <w:rsid w:val="0BB4694C"/>
    <w:rsid w:val="0BB5515B"/>
    <w:rsid w:val="0BB77C32"/>
    <w:rsid w:val="0BBB2773"/>
    <w:rsid w:val="0BBC4014"/>
    <w:rsid w:val="0BD5345B"/>
    <w:rsid w:val="0BD657ED"/>
    <w:rsid w:val="0BDD7266"/>
    <w:rsid w:val="0BDE577E"/>
    <w:rsid w:val="0BE5722C"/>
    <w:rsid w:val="0BEA7FCB"/>
    <w:rsid w:val="0BEE4152"/>
    <w:rsid w:val="0BF56C48"/>
    <w:rsid w:val="0BF65842"/>
    <w:rsid w:val="0BF8253D"/>
    <w:rsid w:val="0BFD0C78"/>
    <w:rsid w:val="0C0F48DC"/>
    <w:rsid w:val="0C114528"/>
    <w:rsid w:val="0C127E0E"/>
    <w:rsid w:val="0C167C3E"/>
    <w:rsid w:val="0C1861E6"/>
    <w:rsid w:val="0C1A14A0"/>
    <w:rsid w:val="0C1F6159"/>
    <w:rsid w:val="0C22507E"/>
    <w:rsid w:val="0C2376B2"/>
    <w:rsid w:val="0C252C65"/>
    <w:rsid w:val="0C2C7CA8"/>
    <w:rsid w:val="0C325975"/>
    <w:rsid w:val="0C345395"/>
    <w:rsid w:val="0C3725CC"/>
    <w:rsid w:val="0C375DE1"/>
    <w:rsid w:val="0C387DD2"/>
    <w:rsid w:val="0C3E0C0C"/>
    <w:rsid w:val="0C47008D"/>
    <w:rsid w:val="0C497BBE"/>
    <w:rsid w:val="0C4A099B"/>
    <w:rsid w:val="0C4A5554"/>
    <w:rsid w:val="0C4C1E6C"/>
    <w:rsid w:val="0C4F174C"/>
    <w:rsid w:val="0C515D21"/>
    <w:rsid w:val="0C5441AC"/>
    <w:rsid w:val="0C550884"/>
    <w:rsid w:val="0C5B10E1"/>
    <w:rsid w:val="0C605BCC"/>
    <w:rsid w:val="0C657EF9"/>
    <w:rsid w:val="0C6947C6"/>
    <w:rsid w:val="0C6F5DE9"/>
    <w:rsid w:val="0C7002DE"/>
    <w:rsid w:val="0C7469CA"/>
    <w:rsid w:val="0C855378"/>
    <w:rsid w:val="0C880D3A"/>
    <w:rsid w:val="0C8E623E"/>
    <w:rsid w:val="0C94430C"/>
    <w:rsid w:val="0C945523"/>
    <w:rsid w:val="0C951634"/>
    <w:rsid w:val="0C962674"/>
    <w:rsid w:val="0C9C20B1"/>
    <w:rsid w:val="0CA07A77"/>
    <w:rsid w:val="0CA2708A"/>
    <w:rsid w:val="0CA8677F"/>
    <w:rsid w:val="0CAA598D"/>
    <w:rsid w:val="0CB15447"/>
    <w:rsid w:val="0CB23F50"/>
    <w:rsid w:val="0CB40392"/>
    <w:rsid w:val="0CB43667"/>
    <w:rsid w:val="0CB820FC"/>
    <w:rsid w:val="0CB90F9A"/>
    <w:rsid w:val="0CBB2DDD"/>
    <w:rsid w:val="0CC26D02"/>
    <w:rsid w:val="0CC32FAD"/>
    <w:rsid w:val="0CC779D3"/>
    <w:rsid w:val="0CC824A3"/>
    <w:rsid w:val="0CCF7D6F"/>
    <w:rsid w:val="0CD12757"/>
    <w:rsid w:val="0CD65C17"/>
    <w:rsid w:val="0CD65F7C"/>
    <w:rsid w:val="0CDC3B6F"/>
    <w:rsid w:val="0CE33A22"/>
    <w:rsid w:val="0CE70F2E"/>
    <w:rsid w:val="0CF91EA6"/>
    <w:rsid w:val="0D061389"/>
    <w:rsid w:val="0D062EE6"/>
    <w:rsid w:val="0D0B375D"/>
    <w:rsid w:val="0D0B74FE"/>
    <w:rsid w:val="0D0C0816"/>
    <w:rsid w:val="0D0F07D5"/>
    <w:rsid w:val="0D11404C"/>
    <w:rsid w:val="0D146169"/>
    <w:rsid w:val="0D180C27"/>
    <w:rsid w:val="0D1D522B"/>
    <w:rsid w:val="0D1E657D"/>
    <w:rsid w:val="0D20716B"/>
    <w:rsid w:val="0D243569"/>
    <w:rsid w:val="0D2B35C4"/>
    <w:rsid w:val="0D2C5C06"/>
    <w:rsid w:val="0D2D1403"/>
    <w:rsid w:val="0D3275B0"/>
    <w:rsid w:val="0D3468B7"/>
    <w:rsid w:val="0D350117"/>
    <w:rsid w:val="0D381DDE"/>
    <w:rsid w:val="0D405BBB"/>
    <w:rsid w:val="0D446941"/>
    <w:rsid w:val="0D46560F"/>
    <w:rsid w:val="0D4F0152"/>
    <w:rsid w:val="0D554A7D"/>
    <w:rsid w:val="0D5805AE"/>
    <w:rsid w:val="0D5863C8"/>
    <w:rsid w:val="0D5A54D3"/>
    <w:rsid w:val="0D5D0F56"/>
    <w:rsid w:val="0D621B0E"/>
    <w:rsid w:val="0D6478E2"/>
    <w:rsid w:val="0D6A139D"/>
    <w:rsid w:val="0D6B0E6B"/>
    <w:rsid w:val="0D6B1D99"/>
    <w:rsid w:val="0D6F59B4"/>
    <w:rsid w:val="0D6F6955"/>
    <w:rsid w:val="0D7C5FD9"/>
    <w:rsid w:val="0D837D9E"/>
    <w:rsid w:val="0D87687E"/>
    <w:rsid w:val="0D8F692A"/>
    <w:rsid w:val="0D995B81"/>
    <w:rsid w:val="0D99777F"/>
    <w:rsid w:val="0D9B26F6"/>
    <w:rsid w:val="0D9B5784"/>
    <w:rsid w:val="0DA05029"/>
    <w:rsid w:val="0DA249EA"/>
    <w:rsid w:val="0DA4470E"/>
    <w:rsid w:val="0DA51A13"/>
    <w:rsid w:val="0DA64E82"/>
    <w:rsid w:val="0DA9485D"/>
    <w:rsid w:val="0DAA4EE0"/>
    <w:rsid w:val="0DAF4486"/>
    <w:rsid w:val="0DAF44EA"/>
    <w:rsid w:val="0DB2199E"/>
    <w:rsid w:val="0DB601AA"/>
    <w:rsid w:val="0DB8556E"/>
    <w:rsid w:val="0DB86976"/>
    <w:rsid w:val="0DC36DA9"/>
    <w:rsid w:val="0DCF02DA"/>
    <w:rsid w:val="0DD07F66"/>
    <w:rsid w:val="0DDD28ED"/>
    <w:rsid w:val="0DE117B9"/>
    <w:rsid w:val="0DE2374D"/>
    <w:rsid w:val="0DF40903"/>
    <w:rsid w:val="0DF83CCE"/>
    <w:rsid w:val="0DF85879"/>
    <w:rsid w:val="0DF9736E"/>
    <w:rsid w:val="0E003E05"/>
    <w:rsid w:val="0E02647E"/>
    <w:rsid w:val="0E06691C"/>
    <w:rsid w:val="0E093412"/>
    <w:rsid w:val="0E0C7CE4"/>
    <w:rsid w:val="0E0E15AE"/>
    <w:rsid w:val="0E11014C"/>
    <w:rsid w:val="0E1340B8"/>
    <w:rsid w:val="0E151893"/>
    <w:rsid w:val="0E1B17A7"/>
    <w:rsid w:val="0E225824"/>
    <w:rsid w:val="0E24616F"/>
    <w:rsid w:val="0E254A2C"/>
    <w:rsid w:val="0E282970"/>
    <w:rsid w:val="0E2E49AF"/>
    <w:rsid w:val="0E317D16"/>
    <w:rsid w:val="0E372618"/>
    <w:rsid w:val="0E374AB8"/>
    <w:rsid w:val="0E381017"/>
    <w:rsid w:val="0E3B4F86"/>
    <w:rsid w:val="0E3C784D"/>
    <w:rsid w:val="0E3E359D"/>
    <w:rsid w:val="0E3F3014"/>
    <w:rsid w:val="0E3F39B1"/>
    <w:rsid w:val="0E3F7CED"/>
    <w:rsid w:val="0E446727"/>
    <w:rsid w:val="0E451D59"/>
    <w:rsid w:val="0E5218BF"/>
    <w:rsid w:val="0E553A5C"/>
    <w:rsid w:val="0E585BD4"/>
    <w:rsid w:val="0E590736"/>
    <w:rsid w:val="0E5A04DD"/>
    <w:rsid w:val="0E5A138F"/>
    <w:rsid w:val="0E5B19BC"/>
    <w:rsid w:val="0E5D39F0"/>
    <w:rsid w:val="0E5F131B"/>
    <w:rsid w:val="0E5F25B5"/>
    <w:rsid w:val="0E606D09"/>
    <w:rsid w:val="0E62706D"/>
    <w:rsid w:val="0E652426"/>
    <w:rsid w:val="0E6C4D5E"/>
    <w:rsid w:val="0E771CE2"/>
    <w:rsid w:val="0E775E48"/>
    <w:rsid w:val="0E79783E"/>
    <w:rsid w:val="0E7A0D06"/>
    <w:rsid w:val="0E7F33BA"/>
    <w:rsid w:val="0E844705"/>
    <w:rsid w:val="0E892932"/>
    <w:rsid w:val="0E8E1FFE"/>
    <w:rsid w:val="0E907BB0"/>
    <w:rsid w:val="0E9577D4"/>
    <w:rsid w:val="0E9950F6"/>
    <w:rsid w:val="0E9D4E90"/>
    <w:rsid w:val="0EBE58B4"/>
    <w:rsid w:val="0EBF6D3C"/>
    <w:rsid w:val="0EC33B90"/>
    <w:rsid w:val="0EC77204"/>
    <w:rsid w:val="0EC860FE"/>
    <w:rsid w:val="0ECD49F7"/>
    <w:rsid w:val="0ED61926"/>
    <w:rsid w:val="0ED71237"/>
    <w:rsid w:val="0ED73ADF"/>
    <w:rsid w:val="0EDE36EE"/>
    <w:rsid w:val="0EDF5A9E"/>
    <w:rsid w:val="0EE70A5E"/>
    <w:rsid w:val="0EE82504"/>
    <w:rsid w:val="0EF01055"/>
    <w:rsid w:val="0EFB062A"/>
    <w:rsid w:val="0EFE4021"/>
    <w:rsid w:val="0F0C259A"/>
    <w:rsid w:val="0F126880"/>
    <w:rsid w:val="0F156375"/>
    <w:rsid w:val="0F18392D"/>
    <w:rsid w:val="0F196EA1"/>
    <w:rsid w:val="0F1D62C7"/>
    <w:rsid w:val="0F250257"/>
    <w:rsid w:val="0F275BFB"/>
    <w:rsid w:val="0F283359"/>
    <w:rsid w:val="0F295574"/>
    <w:rsid w:val="0F2A530F"/>
    <w:rsid w:val="0F2B1032"/>
    <w:rsid w:val="0F2D6380"/>
    <w:rsid w:val="0F34165C"/>
    <w:rsid w:val="0F371C81"/>
    <w:rsid w:val="0F385CAD"/>
    <w:rsid w:val="0F3974D8"/>
    <w:rsid w:val="0F402637"/>
    <w:rsid w:val="0F4121AE"/>
    <w:rsid w:val="0F443BBD"/>
    <w:rsid w:val="0F540CDA"/>
    <w:rsid w:val="0F5567B6"/>
    <w:rsid w:val="0F5C088B"/>
    <w:rsid w:val="0F5D65E9"/>
    <w:rsid w:val="0F61182E"/>
    <w:rsid w:val="0F6317E7"/>
    <w:rsid w:val="0F635FCA"/>
    <w:rsid w:val="0F637900"/>
    <w:rsid w:val="0F67427F"/>
    <w:rsid w:val="0F685443"/>
    <w:rsid w:val="0F6876F9"/>
    <w:rsid w:val="0F6D2A1B"/>
    <w:rsid w:val="0F7049B3"/>
    <w:rsid w:val="0F706E27"/>
    <w:rsid w:val="0F757254"/>
    <w:rsid w:val="0F777306"/>
    <w:rsid w:val="0F7B5C08"/>
    <w:rsid w:val="0F8046C1"/>
    <w:rsid w:val="0F832574"/>
    <w:rsid w:val="0F897DAE"/>
    <w:rsid w:val="0FA40EC8"/>
    <w:rsid w:val="0FA50E60"/>
    <w:rsid w:val="0FA70C41"/>
    <w:rsid w:val="0FA7415B"/>
    <w:rsid w:val="0FB17563"/>
    <w:rsid w:val="0FB61C11"/>
    <w:rsid w:val="0FB80D78"/>
    <w:rsid w:val="0FB92FB9"/>
    <w:rsid w:val="0FB96235"/>
    <w:rsid w:val="0FC12B51"/>
    <w:rsid w:val="0FC3014C"/>
    <w:rsid w:val="0FC30F9D"/>
    <w:rsid w:val="0FC545BA"/>
    <w:rsid w:val="0FC62723"/>
    <w:rsid w:val="0FC728B6"/>
    <w:rsid w:val="0FD60402"/>
    <w:rsid w:val="0FD67D63"/>
    <w:rsid w:val="0FD76A98"/>
    <w:rsid w:val="0FE031EC"/>
    <w:rsid w:val="0FE43129"/>
    <w:rsid w:val="0FE563C4"/>
    <w:rsid w:val="0FE614FF"/>
    <w:rsid w:val="0FE955C5"/>
    <w:rsid w:val="0FEC4765"/>
    <w:rsid w:val="0FEE4BAF"/>
    <w:rsid w:val="0FF207E7"/>
    <w:rsid w:val="0FF663BD"/>
    <w:rsid w:val="0FF713B4"/>
    <w:rsid w:val="0FF83769"/>
    <w:rsid w:val="100037E3"/>
    <w:rsid w:val="100404ED"/>
    <w:rsid w:val="1019432E"/>
    <w:rsid w:val="10220A71"/>
    <w:rsid w:val="10275429"/>
    <w:rsid w:val="10305E0F"/>
    <w:rsid w:val="103134B1"/>
    <w:rsid w:val="10370503"/>
    <w:rsid w:val="103807AD"/>
    <w:rsid w:val="103B1CC5"/>
    <w:rsid w:val="103C597E"/>
    <w:rsid w:val="103D083E"/>
    <w:rsid w:val="103E6FA4"/>
    <w:rsid w:val="10493DFB"/>
    <w:rsid w:val="10495BE6"/>
    <w:rsid w:val="1051709A"/>
    <w:rsid w:val="10534DAD"/>
    <w:rsid w:val="105351C4"/>
    <w:rsid w:val="1059025E"/>
    <w:rsid w:val="105E73E1"/>
    <w:rsid w:val="105F579E"/>
    <w:rsid w:val="10610071"/>
    <w:rsid w:val="10747C7E"/>
    <w:rsid w:val="107759B7"/>
    <w:rsid w:val="10775FC0"/>
    <w:rsid w:val="107908EC"/>
    <w:rsid w:val="107C47B0"/>
    <w:rsid w:val="107E6810"/>
    <w:rsid w:val="10810930"/>
    <w:rsid w:val="1082361F"/>
    <w:rsid w:val="10831FBC"/>
    <w:rsid w:val="108A14BC"/>
    <w:rsid w:val="108E7317"/>
    <w:rsid w:val="10976C66"/>
    <w:rsid w:val="10985176"/>
    <w:rsid w:val="109D1C50"/>
    <w:rsid w:val="10A4406E"/>
    <w:rsid w:val="10A8389F"/>
    <w:rsid w:val="10AA3BE5"/>
    <w:rsid w:val="10AB0728"/>
    <w:rsid w:val="10AC4963"/>
    <w:rsid w:val="10B003BB"/>
    <w:rsid w:val="10B1689D"/>
    <w:rsid w:val="10B4474B"/>
    <w:rsid w:val="10B97E33"/>
    <w:rsid w:val="10C45F8D"/>
    <w:rsid w:val="10C61608"/>
    <w:rsid w:val="10CD7AD0"/>
    <w:rsid w:val="10CE0067"/>
    <w:rsid w:val="10D006B1"/>
    <w:rsid w:val="10D15F2F"/>
    <w:rsid w:val="10D77039"/>
    <w:rsid w:val="10DB37FC"/>
    <w:rsid w:val="10DC3590"/>
    <w:rsid w:val="10DE196E"/>
    <w:rsid w:val="10F11E0F"/>
    <w:rsid w:val="10F34F76"/>
    <w:rsid w:val="10F75548"/>
    <w:rsid w:val="10FB26A0"/>
    <w:rsid w:val="10FC7D0D"/>
    <w:rsid w:val="10FE0D1F"/>
    <w:rsid w:val="11003255"/>
    <w:rsid w:val="110200B0"/>
    <w:rsid w:val="110344BB"/>
    <w:rsid w:val="11154139"/>
    <w:rsid w:val="11170035"/>
    <w:rsid w:val="111A0468"/>
    <w:rsid w:val="1120350A"/>
    <w:rsid w:val="11206C21"/>
    <w:rsid w:val="11227714"/>
    <w:rsid w:val="11244DD7"/>
    <w:rsid w:val="11265F3A"/>
    <w:rsid w:val="11272BC2"/>
    <w:rsid w:val="11273C8A"/>
    <w:rsid w:val="112A6FA5"/>
    <w:rsid w:val="112B7D32"/>
    <w:rsid w:val="112F056D"/>
    <w:rsid w:val="11313E1F"/>
    <w:rsid w:val="11391A49"/>
    <w:rsid w:val="113E7701"/>
    <w:rsid w:val="11440549"/>
    <w:rsid w:val="1144353D"/>
    <w:rsid w:val="11467595"/>
    <w:rsid w:val="11480E15"/>
    <w:rsid w:val="11495F0D"/>
    <w:rsid w:val="114A715F"/>
    <w:rsid w:val="114A7673"/>
    <w:rsid w:val="114C4712"/>
    <w:rsid w:val="11530E21"/>
    <w:rsid w:val="115460D1"/>
    <w:rsid w:val="11631266"/>
    <w:rsid w:val="116B5445"/>
    <w:rsid w:val="116E1756"/>
    <w:rsid w:val="1170463E"/>
    <w:rsid w:val="11765797"/>
    <w:rsid w:val="117A0852"/>
    <w:rsid w:val="117D3A1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A111B2"/>
    <w:rsid w:val="11A63AF5"/>
    <w:rsid w:val="11A76A18"/>
    <w:rsid w:val="11AB56DB"/>
    <w:rsid w:val="11AC31FB"/>
    <w:rsid w:val="11AC6978"/>
    <w:rsid w:val="11AD5396"/>
    <w:rsid w:val="11AE5A53"/>
    <w:rsid w:val="11B571DC"/>
    <w:rsid w:val="11B835B5"/>
    <w:rsid w:val="11C106A0"/>
    <w:rsid w:val="11CB5BE9"/>
    <w:rsid w:val="11CC4A59"/>
    <w:rsid w:val="11DB31C3"/>
    <w:rsid w:val="11DC287F"/>
    <w:rsid w:val="11DC5EBC"/>
    <w:rsid w:val="11E3441D"/>
    <w:rsid w:val="11E41FAC"/>
    <w:rsid w:val="11E423C5"/>
    <w:rsid w:val="11E672BE"/>
    <w:rsid w:val="11E7010B"/>
    <w:rsid w:val="11E96D15"/>
    <w:rsid w:val="11EC1C13"/>
    <w:rsid w:val="11EC477B"/>
    <w:rsid w:val="11ED3526"/>
    <w:rsid w:val="11F570A5"/>
    <w:rsid w:val="11F65F1C"/>
    <w:rsid w:val="11F7204A"/>
    <w:rsid w:val="11FE3B95"/>
    <w:rsid w:val="12007BFB"/>
    <w:rsid w:val="12014EF3"/>
    <w:rsid w:val="12030E85"/>
    <w:rsid w:val="120668A8"/>
    <w:rsid w:val="12072F0B"/>
    <w:rsid w:val="12087AC5"/>
    <w:rsid w:val="12114487"/>
    <w:rsid w:val="121446C0"/>
    <w:rsid w:val="121D1C01"/>
    <w:rsid w:val="121D7FE1"/>
    <w:rsid w:val="1224414D"/>
    <w:rsid w:val="12254912"/>
    <w:rsid w:val="1226452F"/>
    <w:rsid w:val="12275886"/>
    <w:rsid w:val="12291DFF"/>
    <w:rsid w:val="12294ACE"/>
    <w:rsid w:val="1235564D"/>
    <w:rsid w:val="1236208E"/>
    <w:rsid w:val="123935EC"/>
    <w:rsid w:val="123B49D0"/>
    <w:rsid w:val="123E638A"/>
    <w:rsid w:val="12456CB2"/>
    <w:rsid w:val="124617FA"/>
    <w:rsid w:val="12475E81"/>
    <w:rsid w:val="124850B5"/>
    <w:rsid w:val="124A2E47"/>
    <w:rsid w:val="124B1035"/>
    <w:rsid w:val="124D282D"/>
    <w:rsid w:val="124E1805"/>
    <w:rsid w:val="124F226C"/>
    <w:rsid w:val="12526B8B"/>
    <w:rsid w:val="12541EB8"/>
    <w:rsid w:val="125C5EF7"/>
    <w:rsid w:val="12604406"/>
    <w:rsid w:val="12605308"/>
    <w:rsid w:val="1265073D"/>
    <w:rsid w:val="126629B1"/>
    <w:rsid w:val="12672B74"/>
    <w:rsid w:val="127067DA"/>
    <w:rsid w:val="127127AD"/>
    <w:rsid w:val="127251F9"/>
    <w:rsid w:val="12725F47"/>
    <w:rsid w:val="127C5442"/>
    <w:rsid w:val="127E640D"/>
    <w:rsid w:val="127F06D9"/>
    <w:rsid w:val="1281080D"/>
    <w:rsid w:val="12850115"/>
    <w:rsid w:val="12882803"/>
    <w:rsid w:val="128D2B7C"/>
    <w:rsid w:val="128F5FB8"/>
    <w:rsid w:val="12901438"/>
    <w:rsid w:val="12917E37"/>
    <w:rsid w:val="12973E03"/>
    <w:rsid w:val="12990DA4"/>
    <w:rsid w:val="129E41C8"/>
    <w:rsid w:val="12A03C83"/>
    <w:rsid w:val="12A22D09"/>
    <w:rsid w:val="12A53972"/>
    <w:rsid w:val="12B03441"/>
    <w:rsid w:val="12B127D2"/>
    <w:rsid w:val="12BF16B1"/>
    <w:rsid w:val="12BF58F3"/>
    <w:rsid w:val="12C0700A"/>
    <w:rsid w:val="12C1567D"/>
    <w:rsid w:val="12C56D60"/>
    <w:rsid w:val="12C91FE8"/>
    <w:rsid w:val="12CA49E4"/>
    <w:rsid w:val="12CC343E"/>
    <w:rsid w:val="12E423ED"/>
    <w:rsid w:val="12E621DF"/>
    <w:rsid w:val="12E64413"/>
    <w:rsid w:val="12E644D2"/>
    <w:rsid w:val="12E71080"/>
    <w:rsid w:val="12E716CD"/>
    <w:rsid w:val="12EE11B3"/>
    <w:rsid w:val="13001429"/>
    <w:rsid w:val="13021DA3"/>
    <w:rsid w:val="130A01BD"/>
    <w:rsid w:val="130A3A65"/>
    <w:rsid w:val="130B6BB6"/>
    <w:rsid w:val="130C40D8"/>
    <w:rsid w:val="131011DB"/>
    <w:rsid w:val="131229D0"/>
    <w:rsid w:val="131A188F"/>
    <w:rsid w:val="131B51E3"/>
    <w:rsid w:val="13201BEB"/>
    <w:rsid w:val="132164CD"/>
    <w:rsid w:val="13244D2F"/>
    <w:rsid w:val="132856F6"/>
    <w:rsid w:val="132D3BBF"/>
    <w:rsid w:val="132D66A4"/>
    <w:rsid w:val="132E0BFA"/>
    <w:rsid w:val="1330346E"/>
    <w:rsid w:val="133063A5"/>
    <w:rsid w:val="13341230"/>
    <w:rsid w:val="13383C95"/>
    <w:rsid w:val="13495734"/>
    <w:rsid w:val="134C2EDA"/>
    <w:rsid w:val="134C68B0"/>
    <w:rsid w:val="13552AF2"/>
    <w:rsid w:val="13591077"/>
    <w:rsid w:val="13610F9D"/>
    <w:rsid w:val="1367208C"/>
    <w:rsid w:val="13677935"/>
    <w:rsid w:val="136F29FC"/>
    <w:rsid w:val="13731882"/>
    <w:rsid w:val="137340AB"/>
    <w:rsid w:val="13735038"/>
    <w:rsid w:val="13773ECB"/>
    <w:rsid w:val="137B111C"/>
    <w:rsid w:val="137B129A"/>
    <w:rsid w:val="137C5830"/>
    <w:rsid w:val="13853E99"/>
    <w:rsid w:val="138A3A85"/>
    <w:rsid w:val="138E153B"/>
    <w:rsid w:val="138F7D25"/>
    <w:rsid w:val="13916645"/>
    <w:rsid w:val="139A25D7"/>
    <w:rsid w:val="139A2BE6"/>
    <w:rsid w:val="139E4FC6"/>
    <w:rsid w:val="13A02436"/>
    <w:rsid w:val="13A430B3"/>
    <w:rsid w:val="13A70841"/>
    <w:rsid w:val="13A8512E"/>
    <w:rsid w:val="13AB0089"/>
    <w:rsid w:val="13AD0B28"/>
    <w:rsid w:val="13AE4D87"/>
    <w:rsid w:val="13B50F03"/>
    <w:rsid w:val="13B7585D"/>
    <w:rsid w:val="13C54E2F"/>
    <w:rsid w:val="13C779F5"/>
    <w:rsid w:val="13CE15A5"/>
    <w:rsid w:val="13DC4DDB"/>
    <w:rsid w:val="13DE04EE"/>
    <w:rsid w:val="13E376EA"/>
    <w:rsid w:val="13E501B5"/>
    <w:rsid w:val="13F441C9"/>
    <w:rsid w:val="13F70B14"/>
    <w:rsid w:val="14003349"/>
    <w:rsid w:val="14063E54"/>
    <w:rsid w:val="1408033C"/>
    <w:rsid w:val="14086360"/>
    <w:rsid w:val="140A2286"/>
    <w:rsid w:val="14110CFE"/>
    <w:rsid w:val="14117175"/>
    <w:rsid w:val="14171794"/>
    <w:rsid w:val="14172FEE"/>
    <w:rsid w:val="141C7770"/>
    <w:rsid w:val="141F297C"/>
    <w:rsid w:val="14253A8D"/>
    <w:rsid w:val="14260A64"/>
    <w:rsid w:val="142E15F9"/>
    <w:rsid w:val="14316948"/>
    <w:rsid w:val="14341E00"/>
    <w:rsid w:val="14354106"/>
    <w:rsid w:val="143614F9"/>
    <w:rsid w:val="14383E62"/>
    <w:rsid w:val="143E0B55"/>
    <w:rsid w:val="1441624E"/>
    <w:rsid w:val="14442C66"/>
    <w:rsid w:val="1446439F"/>
    <w:rsid w:val="144907E4"/>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05607"/>
    <w:rsid w:val="148A5120"/>
    <w:rsid w:val="148F7946"/>
    <w:rsid w:val="14921A33"/>
    <w:rsid w:val="14987E62"/>
    <w:rsid w:val="14993625"/>
    <w:rsid w:val="1499696A"/>
    <w:rsid w:val="149B370D"/>
    <w:rsid w:val="14A378DD"/>
    <w:rsid w:val="14A45545"/>
    <w:rsid w:val="14B6023D"/>
    <w:rsid w:val="14BF6A8E"/>
    <w:rsid w:val="14C01B60"/>
    <w:rsid w:val="14C16B71"/>
    <w:rsid w:val="14CA04A9"/>
    <w:rsid w:val="14CA217F"/>
    <w:rsid w:val="14CD39B4"/>
    <w:rsid w:val="14D208C8"/>
    <w:rsid w:val="14D30E9E"/>
    <w:rsid w:val="14D43A20"/>
    <w:rsid w:val="14D52764"/>
    <w:rsid w:val="14DA06D8"/>
    <w:rsid w:val="14DD400C"/>
    <w:rsid w:val="14DE0A71"/>
    <w:rsid w:val="14DF0FC9"/>
    <w:rsid w:val="14E301D4"/>
    <w:rsid w:val="14EC48A6"/>
    <w:rsid w:val="14EE4756"/>
    <w:rsid w:val="1500003E"/>
    <w:rsid w:val="15001A74"/>
    <w:rsid w:val="150505EB"/>
    <w:rsid w:val="1509292F"/>
    <w:rsid w:val="150A1905"/>
    <w:rsid w:val="150A72D2"/>
    <w:rsid w:val="15127F15"/>
    <w:rsid w:val="151350D2"/>
    <w:rsid w:val="1514142F"/>
    <w:rsid w:val="15196833"/>
    <w:rsid w:val="15200E67"/>
    <w:rsid w:val="15210021"/>
    <w:rsid w:val="15284930"/>
    <w:rsid w:val="1529284D"/>
    <w:rsid w:val="15293E18"/>
    <w:rsid w:val="152A5CFC"/>
    <w:rsid w:val="152E6BE3"/>
    <w:rsid w:val="153B0D9F"/>
    <w:rsid w:val="153E3C2C"/>
    <w:rsid w:val="15473CF8"/>
    <w:rsid w:val="15631491"/>
    <w:rsid w:val="156C71E7"/>
    <w:rsid w:val="15700D4B"/>
    <w:rsid w:val="157B146E"/>
    <w:rsid w:val="157F746A"/>
    <w:rsid w:val="158644AD"/>
    <w:rsid w:val="15887527"/>
    <w:rsid w:val="158D0AA8"/>
    <w:rsid w:val="158E3702"/>
    <w:rsid w:val="15902B9F"/>
    <w:rsid w:val="15941CFE"/>
    <w:rsid w:val="159529BE"/>
    <w:rsid w:val="159B40EB"/>
    <w:rsid w:val="159E03A0"/>
    <w:rsid w:val="15AA2DD7"/>
    <w:rsid w:val="15AB025B"/>
    <w:rsid w:val="15AD14C5"/>
    <w:rsid w:val="15AF10D3"/>
    <w:rsid w:val="15AF7DF4"/>
    <w:rsid w:val="15B136D5"/>
    <w:rsid w:val="15B14CCF"/>
    <w:rsid w:val="15B567D6"/>
    <w:rsid w:val="15B56C17"/>
    <w:rsid w:val="15BF387A"/>
    <w:rsid w:val="15C62455"/>
    <w:rsid w:val="15CC5D00"/>
    <w:rsid w:val="15CF7614"/>
    <w:rsid w:val="15D230BC"/>
    <w:rsid w:val="15D90659"/>
    <w:rsid w:val="15D9555B"/>
    <w:rsid w:val="15DA229D"/>
    <w:rsid w:val="15DB4918"/>
    <w:rsid w:val="15DE0236"/>
    <w:rsid w:val="15DF5D80"/>
    <w:rsid w:val="15EB4A8E"/>
    <w:rsid w:val="15EB5706"/>
    <w:rsid w:val="15EB6D7E"/>
    <w:rsid w:val="15ED14D4"/>
    <w:rsid w:val="15F22E90"/>
    <w:rsid w:val="15F25BDE"/>
    <w:rsid w:val="15F30DD5"/>
    <w:rsid w:val="15F32B9F"/>
    <w:rsid w:val="15F42192"/>
    <w:rsid w:val="15FF062D"/>
    <w:rsid w:val="1603441E"/>
    <w:rsid w:val="160D1FA4"/>
    <w:rsid w:val="160D7132"/>
    <w:rsid w:val="161312BA"/>
    <w:rsid w:val="16136E02"/>
    <w:rsid w:val="16157F0B"/>
    <w:rsid w:val="16173D8D"/>
    <w:rsid w:val="161860A6"/>
    <w:rsid w:val="162A49AA"/>
    <w:rsid w:val="162B78B1"/>
    <w:rsid w:val="162D18DB"/>
    <w:rsid w:val="162D229D"/>
    <w:rsid w:val="16337890"/>
    <w:rsid w:val="1637639D"/>
    <w:rsid w:val="163911A2"/>
    <w:rsid w:val="163A405E"/>
    <w:rsid w:val="1640713D"/>
    <w:rsid w:val="1641605C"/>
    <w:rsid w:val="16421706"/>
    <w:rsid w:val="16431C65"/>
    <w:rsid w:val="1643354A"/>
    <w:rsid w:val="1644273D"/>
    <w:rsid w:val="16464694"/>
    <w:rsid w:val="16484E33"/>
    <w:rsid w:val="164F234B"/>
    <w:rsid w:val="1653504D"/>
    <w:rsid w:val="16546F1B"/>
    <w:rsid w:val="165D6CA0"/>
    <w:rsid w:val="16626F9D"/>
    <w:rsid w:val="166647A2"/>
    <w:rsid w:val="166710AD"/>
    <w:rsid w:val="166D3433"/>
    <w:rsid w:val="166E1525"/>
    <w:rsid w:val="166E3BFC"/>
    <w:rsid w:val="16701CCC"/>
    <w:rsid w:val="167105B7"/>
    <w:rsid w:val="1676759D"/>
    <w:rsid w:val="16772C02"/>
    <w:rsid w:val="16780CF9"/>
    <w:rsid w:val="16800029"/>
    <w:rsid w:val="16815E39"/>
    <w:rsid w:val="1683380E"/>
    <w:rsid w:val="168478EA"/>
    <w:rsid w:val="16871580"/>
    <w:rsid w:val="16893A21"/>
    <w:rsid w:val="168F19F2"/>
    <w:rsid w:val="168F4362"/>
    <w:rsid w:val="16923AAA"/>
    <w:rsid w:val="169829FE"/>
    <w:rsid w:val="16994FB2"/>
    <w:rsid w:val="16996F95"/>
    <w:rsid w:val="169A1E61"/>
    <w:rsid w:val="169E7B93"/>
    <w:rsid w:val="16A06A56"/>
    <w:rsid w:val="16A25A16"/>
    <w:rsid w:val="16A563C1"/>
    <w:rsid w:val="16A778F0"/>
    <w:rsid w:val="16AA7E82"/>
    <w:rsid w:val="16B0181E"/>
    <w:rsid w:val="16B071A1"/>
    <w:rsid w:val="16B1759D"/>
    <w:rsid w:val="16B2733D"/>
    <w:rsid w:val="16B439E3"/>
    <w:rsid w:val="16B6280A"/>
    <w:rsid w:val="16B929D0"/>
    <w:rsid w:val="16BD084D"/>
    <w:rsid w:val="16C537AD"/>
    <w:rsid w:val="16C77EC8"/>
    <w:rsid w:val="16C82772"/>
    <w:rsid w:val="16C91301"/>
    <w:rsid w:val="16CB7FE6"/>
    <w:rsid w:val="16D04910"/>
    <w:rsid w:val="16D35E19"/>
    <w:rsid w:val="16D36F75"/>
    <w:rsid w:val="16D3780F"/>
    <w:rsid w:val="16D656F7"/>
    <w:rsid w:val="16D87F1F"/>
    <w:rsid w:val="16EE5A1A"/>
    <w:rsid w:val="16F92C85"/>
    <w:rsid w:val="16F95D2E"/>
    <w:rsid w:val="16FB3F85"/>
    <w:rsid w:val="16FB79AB"/>
    <w:rsid w:val="16FD14F8"/>
    <w:rsid w:val="16FD6401"/>
    <w:rsid w:val="16FF3379"/>
    <w:rsid w:val="170B2B23"/>
    <w:rsid w:val="170C22B7"/>
    <w:rsid w:val="17145EB7"/>
    <w:rsid w:val="17184F06"/>
    <w:rsid w:val="171B1C36"/>
    <w:rsid w:val="172262C3"/>
    <w:rsid w:val="172E112F"/>
    <w:rsid w:val="173215F1"/>
    <w:rsid w:val="17384A4F"/>
    <w:rsid w:val="174112FE"/>
    <w:rsid w:val="1745310A"/>
    <w:rsid w:val="17496D4E"/>
    <w:rsid w:val="174B7132"/>
    <w:rsid w:val="174F5C81"/>
    <w:rsid w:val="17503053"/>
    <w:rsid w:val="17544646"/>
    <w:rsid w:val="175E0056"/>
    <w:rsid w:val="175F0A7F"/>
    <w:rsid w:val="17610BE2"/>
    <w:rsid w:val="17660349"/>
    <w:rsid w:val="1768062A"/>
    <w:rsid w:val="17682C99"/>
    <w:rsid w:val="17760616"/>
    <w:rsid w:val="177673D6"/>
    <w:rsid w:val="17794485"/>
    <w:rsid w:val="177A43D2"/>
    <w:rsid w:val="177B3BED"/>
    <w:rsid w:val="177B655C"/>
    <w:rsid w:val="177F77B4"/>
    <w:rsid w:val="17806960"/>
    <w:rsid w:val="17807D4D"/>
    <w:rsid w:val="17817F00"/>
    <w:rsid w:val="17834584"/>
    <w:rsid w:val="178C49EE"/>
    <w:rsid w:val="178F016F"/>
    <w:rsid w:val="17966422"/>
    <w:rsid w:val="1798047F"/>
    <w:rsid w:val="179F617E"/>
    <w:rsid w:val="17A1131E"/>
    <w:rsid w:val="17A72097"/>
    <w:rsid w:val="17AC1100"/>
    <w:rsid w:val="17AC2185"/>
    <w:rsid w:val="17AF16CA"/>
    <w:rsid w:val="17B00257"/>
    <w:rsid w:val="17B85A41"/>
    <w:rsid w:val="17BD7A49"/>
    <w:rsid w:val="17C244DB"/>
    <w:rsid w:val="17CB2352"/>
    <w:rsid w:val="17CB6F72"/>
    <w:rsid w:val="17CC2C29"/>
    <w:rsid w:val="17D10890"/>
    <w:rsid w:val="17D7731E"/>
    <w:rsid w:val="17DF3275"/>
    <w:rsid w:val="17DF709E"/>
    <w:rsid w:val="17E265A8"/>
    <w:rsid w:val="17E647D8"/>
    <w:rsid w:val="17E97B67"/>
    <w:rsid w:val="17EB1267"/>
    <w:rsid w:val="17EB3B87"/>
    <w:rsid w:val="17F07ACE"/>
    <w:rsid w:val="17F36208"/>
    <w:rsid w:val="17F749FE"/>
    <w:rsid w:val="17FA354C"/>
    <w:rsid w:val="17FD296C"/>
    <w:rsid w:val="18015744"/>
    <w:rsid w:val="18031773"/>
    <w:rsid w:val="18073D90"/>
    <w:rsid w:val="18075732"/>
    <w:rsid w:val="18077089"/>
    <w:rsid w:val="180837AE"/>
    <w:rsid w:val="180B33EE"/>
    <w:rsid w:val="180B4CD6"/>
    <w:rsid w:val="18110375"/>
    <w:rsid w:val="181A06A4"/>
    <w:rsid w:val="181B3026"/>
    <w:rsid w:val="181F53EE"/>
    <w:rsid w:val="181F63DE"/>
    <w:rsid w:val="18216406"/>
    <w:rsid w:val="182305BA"/>
    <w:rsid w:val="182851FE"/>
    <w:rsid w:val="182A48A9"/>
    <w:rsid w:val="182B3E13"/>
    <w:rsid w:val="182C0564"/>
    <w:rsid w:val="182C7E01"/>
    <w:rsid w:val="182E79AC"/>
    <w:rsid w:val="182F467F"/>
    <w:rsid w:val="183636EE"/>
    <w:rsid w:val="183937A6"/>
    <w:rsid w:val="183E2578"/>
    <w:rsid w:val="18411B45"/>
    <w:rsid w:val="184366DA"/>
    <w:rsid w:val="18443227"/>
    <w:rsid w:val="184766C9"/>
    <w:rsid w:val="1848063A"/>
    <w:rsid w:val="184C488D"/>
    <w:rsid w:val="18503F4C"/>
    <w:rsid w:val="185735C8"/>
    <w:rsid w:val="18584189"/>
    <w:rsid w:val="18597357"/>
    <w:rsid w:val="185A7002"/>
    <w:rsid w:val="185D55B4"/>
    <w:rsid w:val="185F045A"/>
    <w:rsid w:val="185F0BCD"/>
    <w:rsid w:val="18603584"/>
    <w:rsid w:val="18664452"/>
    <w:rsid w:val="186964F0"/>
    <w:rsid w:val="18746ECB"/>
    <w:rsid w:val="18784278"/>
    <w:rsid w:val="187C176A"/>
    <w:rsid w:val="187D12D7"/>
    <w:rsid w:val="18837CAD"/>
    <w:rsid w:val="1884459E"/>
    <w:rsid w:val="188B16C1"/>
    <w:rsid w:val="188E5DE1"/>
    <w:rsid w:val="18964AF9"/>
    <w:rsid w:val="189C59AC"/>
    <w:rsid w:val="189F0FC7"/>
    <w:rsid w:val="18A7447C"/>
    <w:rsid w:val="18AC5D64"/>
    <w:rsid w:val="18AD53AA"/>
    <w:rsid w:val="18AF1E13"/>
    <w:rsid w:val="18B76186"/>
    <w:rsid w:val="18B80869"/>
    <w:rsid w:val="18B91E29"/>
    <w:rsid w:val="18BA55C1"/>
    <w:rsid w:val="18BB55C0"/>
    <w:rsid w:val="18BD0028"/>
    <w:rsid w:val="18BF1309"/>
    <w:rsid w:val="18BF3F02"/>
    <w:rsid w:val="18C46F97"/>
    <w:rsid w:val="18C803DC"/>
    <w:rsid w:val="18C9640A"/>
    <w:rsid w:val="18CE3AFA"/>
    <w:rsid w:val="18CF7033"/>
    <w:rsid w:val="18D327F1"/>
    <w:rsid w:val="18D626E8"/>
    <w:rsid w:val="18DA4BAA"/>
    <w:rsid w:val="18DA5DA0"/>
    <w:rsid w:val="18DB0957"/>
    <w:rsid w:val="18DE2E75"/>
    <w:rsid w:val="18E42205"/>
    <w:rsid w:val="18E44FA5"/>
    <w:rsid w:val="18E64B9B"/>
    <w:rsid w:val="18E731E4"/>
    <w:rsid w:val="18EB2DBB"/>
    <w:rsid w:val="18EF2940"/>
    <w:rsid w:val="18F00E44"/>
    <w:rsid w:val="18F34737"/>
    <w:rsid w:val="18F4756E"/>
    <w:rsid w:val="18F57A22"/>
    <w:rsid w:val="18F74CA7"/>
    <w:rsid w:val="18F93BA3"/>
    <w:rsid w:val="18FA0F3C"/>
    <w:rsid w:val="18FB0C4C"/>
    <w:rsid w:val="18FE51A3"/>
    <w:rsid w:val="18FE7F41"/>
    <w:rsid w:val="19026156"/>
    <w:rsid w:val="19031D93"/>
    <w:rsid w:val="19033F6D"/>
    <w:rsid w:val="19047AC4"/>
    <w:rsid w:val="190D04FF"/>
    <w:rsid w:val="191127F1"/>
    <w:rsid w:val="19186CBC"/>
    <w:rsid w:val="19285866"/>
    <w:rsid w:val="192A518F"/>
    <w:rsid w:val="19311933"/>
    <w:rsid w:val="193B7D1A"/>
    <w:rsid w:val="193D1531"/>
    <w:rsid w:val="193E3890"/>
    <w:rsid w:val="19475063"/>
    <w:rsid w:val="194926ED"/>
    <w:rsid w:val="194C2202"/>
    <w:rsid w:val="194C31DB"/>
    <w:rsid w:val="195261ED"/>
    <w:rsid w:val="195929A8"/>
    <w:rsid w:val="195C2C22"/>
    <w:rsid w:val="195C6D75"/>
    <w:rsid w:val="195D20DB"/>
    <w:rsid w:val="195E1344"/>
    <w:rsid w:val="19606E11"/>
    <w:rsid w:val="19674D3A"/>
    <w:rsid w:val="196D7732"/>
    <w:rsid w:val="1973173A"/>
    <w:rsid w:val="19745C81"/>
    <w:rsid w:val="197536DC"/>
    <w:rsid w:val="1979675A"/>
    <w:rsid w:val="197A1F78"/>
    <w:rsid w:val="197B1B52"/>
    <w:rsid w:val="198A6605"/>
    <w:rsid w:val="198D4EA4"/>
    <w:rsid w:val="199B1FCC"/>
    <w:rsid w:val="199B7B3C"/>
    <w:rsid w:val="19AA6976"/>
    <w:rsid w:val="19AC7A7A"/>
    <w:rsid w:val="19AD4F18"/>
    <w:rsid w:val="19B15746"/>
    <w:rsid w:val="19B25769"/>
    <w:rsid w:val="19B32F1A"/>
    <w:rsid w:val="19B44EE1"/>
    <w:rsid w:val="19B64296"/>
    <w:rsid w:val="19BC611A"/>
    <w:rsid w:val="19BE4C75"/>
    <w:rsid w:val="19C457B5"/>
    <w:rsid w:val="19C51FB8"/>
    <w:rsid w:val="19C86081"/>
    <w:rsid w:val="19CB14DE"/>
    <w:rsid w:val="19D03761"/>
    <w:rsid w:val="19D160C2"/>
    <w:rsid w:val="19D30687"/>
    <w:rsid w:val="19D339A4"/>
    <w:rsid w:val="19D709F7"/>
    <w:rsid w:val="19DC7E5A"/>
    <w:rsid w:val="19E16D17"/>
    <w:rsid w:val="19E27746"/>
    <w:rsid w:val="19E4073A"/>
    <w:rsid w:val="19E57F4C"/>
    <w:rsid w:val="19E915E2"/>
    <w:rsid w:val="19F14188"/>
    <w:rsid w:val="19F3413D"/>
    <w:rsid w:val="19F35163"/>
    <w:rsid w:val="19F40AA7"/>
    <w:rsid w:val="19F80E4E"/>
    <w:rsid w:val="19F937F5"/>
    <w:rsid w:val="19FD659A"/>
    <w:rsid w:val="1A041C77"/>
    <w:rsid w:val="1A051304"/>
    <w:rsid w:val="1A096710"/>
    <w:rsid w:val="1A11143B"/>
    <w:rsid w:val="1A155A9E"/>
    <w:rsid w:val="1A1E54AC"/>
    <w:rsid w:val="1A1F4C54"/>
    <w:rsid w:val="1A223EE0"/>
    <w:rsid w:val="1A2F6BF4"/>
    <w:rsid w:val="1A30515D"/>
    <w:rsid w:val="1A310609"/>
    <w:rsid w:val="1A3741D1"/>
    <w:rsid w:val="1A3D55F7"/>
    <w:rsid w:val="1A413A8F"/>
    <w:rsid w:val="1A4A5EB7"/>
    <w:rsid w:val="1A500268"/>
    <w:rsid w:val="1A57481F"/>
    <w:rsid w:val="1A593DA1"/>
    <w:rsid w:val="1A5A1A76"/>
    <w:rsid w:val="1A5A64AE"/>
    <w:rsid w:val="1A622E38"/>
    <w:rsid w:val="1A6565C6"/>
    <w:rsid w:val="1A6D09EF"/>
    <w:rsid w:val="1A6D60DF"/>
    <w:rsid w:val="1A6E5932"/>
    <w:rsid w:val="1A7C6EB5"/>
    <w:rsid w:val="1A8238B0"/>
    <w:rsid w:val="1A82491A"/>
    <w:rsid w:val="1A8A7A46"/>
    <w:rsid w:val="1A8B1F9E"/>
    <w:rsid w:val="1A8B2BA4"/>
    <w:rsid w:val="1A923D6A"/>
    <w:rsid w:val="1A950150"/>
    <w:rsid w:val="1A964359"/>
    <w:rsid w:val="1A965E16"/>
    <w:rsid w:val="1A984F28"/>
    <w:rsid w:val="1A9F2436"/>
    <w:rsid w:val="1A9F4365"/>
    <w:rsid w:val="1AA07478"/>
    <w:rsid w:val="1AA3449A"/>
    <w:rsid w:val="1AA6221B"/>
    <w:rsid w:val="1AA75569"/>
    <w:rsid w:val="1AA911EF"/>
    <w:rsid w:val="1AAD09D0"/>
    <w:rsid w:val="1AAE2B30"/>
    <w:rsid w:val="1AB04AF5"/>
    <w:rsid w:val="1AB81044"/>
    <w:rsid w:val="1AB91C23"/>
    <w:rsid w:val="1AB94309"/>
    <w:rsid w:val="1AC24076"/>
    <w:rsid w:val="1AC61254"/>
    <w:rsid w:val="1AD631B1"/>
    <w:rsid w:val="1ADF238C"/>
    <w:rsid w:val="1AE11470"/>
    <w:rsid w:val="1AE532A9"/>
    <w:rsid w:val="1AE5371E"/>
    <w:rsid w:val="1AEE0062"/>
    <w:rsid w:val="1AEE1421"/>
    <w:rsid w:val="1AEF6950"/>
    <w:rsid w:val="1AF01E64"/>
    <w:rsid w:val="1AF1703F"/>
    <w:rsid w:val="1AF35FD4"/>
    <w:rsid w:val="1AF45ED7"/>
    <w:rsid w:val="1AF86177"/>
    <w:rsid w:val="1AFA2A0B"/>
    <w:rsid w:val="1AFE4CFE"/>
    <w:rsid w:val="1B065044"/>
    <w:rsid w:val="1B074FB4"/>
    <w:rsid w:val="1B091E7C"/>
    <w:rsid w:val="1B134821"/>
    <w:rsid w:val="1B166C96"/>
    <w:rsid w:val="1B183E03"/>
    <w:rsid w:val="1B1C19F8"/>
    <w:rsid w:val="1B1D2B47"/>
    <w:rsid w:val="1B323D9C"/>
    <w:rsid w:val="1B354054"/>
    <w:rsid w:val="1B394312"/>
    <w:rsid w:val="1B3E3930"/>
    <w:rsid w:val="1B4433F4"/>
    <w:rsid w:val="1B46185E"/>
    <w:rsid w:val="1B477401"/>
    <w:rsid w:val="1B4A3087"/>
    <w:rsid w:val="1B4C1637"/>
    <w:rsid w:val="1B4E7285"/>
    <w:rsid w:val="1B521FB5"/>
    <w:rsid w:val="1B5973EF"/>
    <w:rsid w:val="1B5F5B70"/>
    <w:rsid w:val="1B640F8E"/>
    <w:rsid w:val="1B652D20"/>
    <w:rsid w:val="1B68712F"/>
    <w:rsid w:val="1B6B08DE"/>
    <w:rsid w:val="1B6D1CF3"/>
    <w:rsid w:val="1B744774"/>
    <w:rsid w:val="1B745AE6"/>
    <w:rsid w:val="1B7661BC"/>
    <w:rsid w:val="1B797ECE"/>
    <w:rsid w:val="1B7E6195"/>
    <w:rsid w:val="1B8312FF"/>
    <w:rsid w:val="1B890779"/>
    <w:rsid w:val="1B923654"/>
    <w:rsid w:val="1B92609C"/>
    <w:rsid w:val="1B9522F9"/>
    <w:rsid w:val="1B956A5D"/>
    <w:rsid w:val="1BA23459"/>
    <w:rsid w:val="1BA55535"/>
    <w:rsid w:val="1BAF0D22"/>
    <w:rsid w:val="1BB27AA1"/>
    <w:rsid w:val="1BBB4A6C"/>
    <w:rsid w:val="1BBC107A"/>
    <w:rsid w:val="1BC02FC5"/>
    <w:rsid w:val="1BCB0C13"/>
    <w:rsid w:val="1BCB38F2"/>
    <w:rsid w:val="1BCC2D5D"/>
    <w:rsid w:val="1BCD6B37"/>
    <w:rsid w:val="1BD33A52"/>
    <w:rsid w:val="1BD60643"/>
    <w:rsid w:val="1BD96E06"/>
    <w:rsid w:val="1BDA33D2"/>
    <w:rsid w:val="1BDB3E50"/>
    <w:rsid w:val="1BDB7F54"/>
    <w:rsid w:val="1BDD4B1E"/>
    <w:rsid w:val="1BE43C93"/>
    <w:rsid w:val="1BE717AD"/>
    <w:rsid w:val="1BE8403B"/>
    <w:rsid w:val="1BE93967"/>
    <w:rsid w:val="1BEC123B"/>
    <w:rsid w:val="1BEF3274"/>
    <w:rsid w:val="1BF239D4"/>
    <w:rsid w:val="1BF55A3C"/>
    <w:rsid w:val="1BF7204E"/>
    <w:rsid w:val="1BFF7D69"/>
    <w:rsid w:val="1C032463"/>
    <w:rsid w:val="1C062E3D"/>
    <w:rsid w:val="1C0F104B"/>
    <w:rsid w:val="1C0F5DC5"/>
    <w:rsid w:val="1C110840"/>
    <w:rsid w:val="1C1462A3"/>
    <w:rsid w:val="1C146673"/>
    <w:rsid w:val="1C1C565B"/>
    <w:rsid w:val="1C21237B"/>
    <w:rsid w:val="1C237A5C"/>
    <w:rsid w:val="1C2854A8"/>
    <w:rsid w:val="1C293F4F"/>
    <w:rsid w:val="1C2E0CF6"/>
    <w:rsid w:val="1C312907"/>
    <w:rsid w:val="1C33094F"/>
    <w:rsid w:val="1C3619FB"/>
    <w:rsid w:val="1C377263"/>
    <w:rsid w:val="1C3C29CC"/>
    <w:rsid w:val="1C434BCB"/>
    <w:rsid w:val="1C470B3D"/>
    <w:rsid w:val="1C4A50F5"/>
    <w:rsid w:val="1C4B7C53"/>
    <w:rsid w:val="1C4C5B80"/>
    <w:rsid w:val="1C4E54BA"/>
    <w:rsid w:val="1C4E5A1B"/>
    <w:rsid w:val="1C5B27CF"/>
    <w:rsid w:val="1C5F14C4"/>
    <w:rsid w:val="1C65060B"/>
    <w:rsid w:val="1C657CFD"/>
    <w:rsid w:val="1C666C92"/>
    <w:rsid w:val="1C6A03CB"/>
    <w:rsid w:val="1C6B00E9"/>
    <w:rsid w:val="1C6D307E"/>
    <w:rsid w:val="1C6F23C4"/>
    <w:rsid w:val="1C7415F7"/>
    <w:rsid w:val="1C7A19F3"/>
    <w:rsid w:val="1C7D2439"/>
    <w:rsid w:val="1C7E4583"/>
    <w:rsid w:val="1C7F7D5C"/>
    <w:rsid w:val="1C81045D"/>
    <w:rsid w:val="1C835414"/>
    <w:rsid w:val="1C844F99"/>
    <w:rsid w:val="1C863AD4"/>
    <w:rsid w:val="1C867395"/>
    <w:rsid w:val="1C8B0159"/>
    <w:rsid w:val="1C8D7EAC"/>
    <w:rsid w:val="1C8F4ABB"/>
    <w:rsid w:val="1C912274"/>
    <w:rsid w:val="1C952AB3"/>
    <w:rsid w:val="1C956BC8"/>
    <w:rsid w:val="1C9C67A2"/>
    <w:rsid w:val="1CA803CB"/>
    <w:rsid w:val="1CAA4E7D"/>
    <w:rsid w:val="1CAA7D51"/>
    <w:rsid w:val="1CBA0DC9"/>
    <w:rsid w:val="1CBB4733"/>
    <w:rsid w:val="1CBD7190"/>
    <w:rsid w:val="1CC3340E"/>
    <w:rsid w:val="1CC3422F"/>
    <w:rsid w:val="1CC546AE"/>
    <w:rsid w:val="1CC92BB8"/>
    <w:rsid w:val="1CCC7603"/>
    <w:rsid w:val="1CCF02CC"/>
    <w:rsid w:val="1CD208EE"/>
    <w:rsid w:val="1CD421CB"/>
    <w:rsid w:val="1CE2035C"/>
    <w:rsid w:val="1CE668FF"/>
    <w:rsid w:val="1CEB0397"/>
    <w:rsid w:val="1CED7619"/>
    <w:rsid w:val="1CEE19CF"/>
    <w:rsid w:val="1CEE25FA"/>
    <w:rsid w:val="1CF14289"/>
    <w:rsid w:val="1CF410B2"/>
    <w:rsid w:val="1CF8358B"/>
    <w:rsid w:val="1CF856EE"/>
    <w:rsid w:val="1CF94C5D"/>
    <w:rsid w:val="1CFB5BE1"/>
    <w:rsid w:val="1CFF6454"/>
    <w:rsid w:val="1D155498"/>
    <w:rsid w:val="1D18670A"/>
    <w:rsid w:val="1D220C74"/>
    <w:rsid w:val="1D231209"/>
    <w:rsid w:val="1D265E6B"/>
    <w:rsid w:val="1D2904D9"/>
    <w:rsid w:val="1D2E200C"/>
    <w:rsid w:val="1D341946"/>
    <w:rsid w:val="1D362F5F"/>
    <w:rsid w:val="1D3A2841"/>
    <w:rsid w:val="1D3C508E"/>
    <w:rsid w:val="1D4208B6"/>
    <w:rsid w:val="1D450D78"/>
    <w:rsid w:val="1D4821D2"/>
    <w:rsid w:val="1D493682"/>
    <w:rsid w:val="1D493F50"/>
    <w:rsid w:val="1D4B6B76"/>
    <w:rsid w:val="1D4D24B3"/>
    <w:rsid w:val="1D5151A7"/>
    <w:rsid w:val="1D520AB1"/>
    <w:rsid w:val="1D5226FC"/>
    <w:rsid w:val="1D536EE9"/>
    <w:rsid w:val="1D5900A3"/>
    <w:rsid w:val="1D5C3400"/>
    <w:rsid w:val="1D6372A4"/>
    <w:rsid w:val="1D6D0F10"/>
    <w:rsid w:val="1D6E3A3E"/>
    <w:rsid w:val="1D716B84"/>
    <w:rsid w:val="1D722022"/>
    <w:rsid w:val="1D7E7249"/>
    <w:rsid w:val="1D8538DD"/>
    <w:rsid w:val="1D864B64"/>
    <w:rsid w:val="1D895C99"/>
    <w:rsid w:val="1D8B7974"/>
    <w:rsid w:val="1D901CCD"/>
    <w:rsid w:val="1D942025"/>
    <w:rsid w:val="1D945617"/>
    <w:rsid w:val="1D9D12D5"/>
    <w:rsid w:val="1D9E7A1E"/>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B0D8B"/>
    <w:rsid w:val="1DDB1CB0"/>
    <w:rsid w:val="1DDD36E9"/>
    <w:rsid w:val="1DE4706D"/>
    <w:rsid w:val="1DE85FC1"/>
    <w:rsid w:val="1DF157BB"/>
    <w:rsid w:val="1DFC1159"/>
    <w:rsid w:val="1DFD3206"/>
    <w:rsid w:val="1DFD5117"/>
    <w:rsid w:val="1DFE2117"/>
    <w:rsid w:val="1E04410B"/>
    <w:rsid w:val="1E057A04"/>
    <w:rsid w:val="1E076A66"/>
    <w:rsid w:val="1E086A22"/>
    <w:rsid w:val="1E087A39"/>
    <w:rsid w:val="1E095C8F"/>
    <w:rsid w:val="1E0F3384"/>
    <w:rsid w:val="1E0F3D4E"/>
    <w:rsid w:val="1E1032E7"/>
    <w:rsid w:val="1E1101C6"/>
    <w:rsid w:val="1E120081"/>
    <w:rsid w:val="1E152864"/>
    <w:rsid w:val="1E154A9C"/>
    <w:rsid w:val="1E214248"/>
    <w:rsid w:val="1E2405A0"/>
    <w:rsid w:val="1E2B7111"/>
    <w:rsid w:val="1E2F69E1"/>
    <w:rsid w:val="1E3235D1"/>
    <w:rsid w:val="1E333E27"/>
    <w:rsid w:val="1E3944D3"/>
    <w:rsid w:val="1E3C56C7"/>
    <w:rsid w:val="1E400281"/>
    <w:rsid w:val="1E4106C9"/>
    <w:rsid w:val="1E4247B5"/>
    <w:rsid w:val="1E4346AE"/>
    <w:rsid w:val="1E4449B6"/>
    <w:rsid w:val="1E480D17"/>
    <w:rsid w:val="1E492E65"/>
    <w:rsid w:val="1E4C2137"/>
    <w:rsid w:val="1E4D539F"/>
    <w:rsid w:val="1E4F49AE"/>
    <w:rsid w:val="1E527A80"/>
    <w:rsid w:val="1E541E5D"/>
    <w:rsid w:val="1E567B72"/>
    <w:rsid w:val="1E581A00"/>
    <w:rsid w:val="1E58486F"/>
    <w:rsid w:val="1E586961"/>
    <w:rsid w:val="1E5A2FB7"/>
    <w:rsid w:val="1E5C2EF2"/>
    <w:rsid w:val="1E5C384D"/>
    <w:rsid w:val="1E5C7688"/>
    <w:rsid w:val="1E623329"/>
    <w:rsid w:val="1E626576"/>
    <w:rsid w:val="1E6A6661"/>
    <w:rsid w:val="1E7B7095"/>
    <w:rsid w:val="1E7D440E"/>
    <w:rsid w:val="1E7F13C7"/>
    <w:rsid w:val="1E7F4130"/>
    <w:rsid w:val="1E805E80"/>
    <w:rsid w:val="1E827F37"/>
    <w:rsid w:val="1E852FB9"/>
    <w:rsid w:val="1E8D3A35"/>
    <w:rsid w:val="1E8F0D24"/>
    <w:rsid w:val="1E8F2D24"/>
    <w:rsid w:val="1E9271ED"/>
    <w:rsid w:val="1E960C24"/>
    <w:rsid w:val="1E9B5F97"/>
    <w:rsid w:val="1EA2147E"/>
    <w:rsid w:val="1EAD2567"/>
    <w:rsid w:val="1EB0620D"/>
    <w:rsid w:val="1EB46E6B"/>
    <w:rsid w:val="1EB61478"/>
    <w:rsid w:val="1EB718F8"/>
    <w:rsid w:val="1EB82C04"/>
    <w:rsid w:val="1EBD0D53"/>
    <w:rsid w:val="1EBD22AA"/>
    <w:rsid w:val="1EC42035"/>
    <w:rsid w:val="1EC803D7"/>
    <w:rsid w:val="1EC91DF0"/>
    <w:rsid w:val="1ECB1AAB"/>
    <w:rsid w:val="1ECC6010"/>
    <w:rsid w:val="1ED156AB"/>
    <w:rsid w:val="1ED839C8"/>
    <w:rsid w:val="1EDD0B31"/>
    <w:rsid w:val="1EE04E27"/>
    <w:rsid w:val="1EE5708E"/>
    <w:rsid w:val="1EE94750"/>
    <w:rsid w:val="1EF62798"/>
    <w:rsid w:val="1EF767A1"/>
    <w:rsid w:val="1EFB54AE"/>
    <w:rsid w:val="1EFC537F"/>
    <w:rsid w:val="1EFF4B2F"/>
    <w:rsid w:val="1EFF67AE"/>
    <w:rsid w:val="1F045698"/>
    <w:rsid w:val="1F047C64"/>
    <w:rsid w:val="1F08049D"/>
    <w:rsid w:val="1F0842A3"/>
    <w:rsid w:val="1F114FA5"/>
    <w:rsid w:val="1F143189"/>
    <w:rsid w:val="1F17234F"/>
    <w:rsid w:val="1F176598"/>
    <w:rsid w:val="1F1810F0"/>
    <w:rsid w:val="1F1F6421"/>
    <w:rsid w:val="1F22637C"/>
    <w:rsid w:val="1F24392E"/>
    <w:rsid w:val="1F255B7E"/>
    <w:rsid w:val="1F260325"/>
    <w:rsid w:val="1F295EF2"/>
    <w:rsid w:val="1F2B590C"/>
    <w:rsid w:val="1F2E774A"/>
    <w:rsid w:val="1F313039"/>
    <w:rsid w:val="1F327038"/>
    <w:rsid w:val="1F332ED6"/>
    <w:rsid w:val="1F344325"/>
    <w:rsid w:val="1F35369B"/>
    <w:rsid w:val="1F367904"/>
    <w:rsid w:val="1F3A4A8E"/>
    <w:rsid w:val="1F3A76A7"/>
    <w:rsid w:val="1F3B6024"/>
    <w:rsid w:val="1F3F63C8"/>
    <w:rsid w:val="1F417171"/>
    <w:rsid w:val="1F4D429C"/>
    <w:rsid w:val="1F4D5DEF"/>
    <w:rsid w:val="1F5131FD"/>
    <w:rsid w:val="1F5251C4"/>
    <w:rsid w:val="1F550A4E"/>
    <w:rsid w:val="1F575EBF"/>
    <w:rsid w:val="1F5B7F24"/>
    <w:rsid w:val="1F5C79D1"/>
    <w:rsid w:val="1F610E5D"/>
    <w:rsid w:val="1F625DB9"/>
    <w:rsid w:val="1F685B79"/>
    <w:rsid w:val="1F6A63F5"/>
    <w:rsid w:val="1F6C05BE"/>
    <w:rsid w:val="1F6C11FB"/>
    <w:rsid w:val="1F7034A2"/>
    <w:rsid w:val="1F70507D"/>
    <w:rsid w:val="1F730BB2"/>
    <w:rsid w:val="1F736C5F"/>
    <w:rsid w:val="1F743FB9"/>
    <w:rsid w:val="1F833472"/>
    <w:rsid w:val="1F8444D9"/>
    <w:rsid w:val="1F8A2191"/>
    <w:rsid w:val="1F8E3BC8"/>
    <w:rsid w:val="1F8E612F"/>
    <w:rsid w:val="1F903920"/>
    <w:rsid w:val="1F943E0D"/>
    <w:rsid w:val="1F981BEC"/>
    <w:rsid w:val="1F9839CA"/>
    <w:rsid w:val="1F9A406B"/>
    <w:rsid w:val="1F9D7E6D"/>
    <w:rsid w:val="1FA07CBB"/>
    <w:rsid w:val="1FA12C16"/>
    <w:rsid w:val="1FA629B9"/>
    <w:rsid w:val="1FAA324D"/>
    <w:rsid w:val="1FAA6D8A"/>
    <w:rsid w:val="1FAC0EDF"/>
    <w:rsid w:val="1FB13BD9"/>
    <w:rsid w:val="1FB738D7"/>
    <w:rsid w:val="1FB916FE"/>
    <w:rsid w:val="1FC165E2"/>
    <w:rsid w:val="1FC7380A"/>
    <w:rsid w:val="1FCF69B8"/>
    <w:rsid w:val="1FD10B20"/>
    <w:rsid w:val="1FD11643"/>
    <w:rsid w:val="1FD30E6D"/>
    <w:rsid w:val="1FD54CAB"/>
    <w:rsid w:val="1FD761C2"/>
    <w:rsid w:val="1FD9503B"/>
    <w:rsid w:val="1FDA09DC"/>
    <w:rsid w:val="1FDB15EE"/>
    <w:rsid w:val="1FDE3383"/>
    <w:rsid w:val="1FE62B24"/>
    <w:rsid w:val="1FE67C99"/>
    <w:rsid w:val="1FE850F1"/>
    <w:rsid w:val="1FEB6E1C"/>
    <w:rsid w:val="1FEB7530"/>
    <w:rsid w:val="1FEC6ABF"/>
    <w:rsid w:val="1FF33CFB"/>
    <w:rsid w:val="1FF539A0"/>
    <w:rsid w:val="1FF75ECC"/>
    <w:rsid w:val="1FFE2344"/>
    <w:rsid w:val="1FFF7FC2"/>
    <w:rsid w:val="20020140"/>
    <w:rsid w:val="200F0D3F"/>
    <w:rsid w:val="201345AA"/>
    <w:rsid w:val="20150AF2"/>
    <w:rsid w:val="201A47F7"/>
    <w:rsid w:val="201B7143"/>
    <w:rsid w:val="2022352E"/>
    <w:rsid w:val="20237EAB"/>
    <w:rsid w:val="20250841"/>
    <w:rsid w:val="20251086"/>
    <w:rsid w:val="202A3701"/>
    <w:rsid w:val="202E1F81"/>
    <w:rsid w:val="203310CD"/>
    <w:rsid w:val="203374E3"/>
    <w:rsid w:val="203504DB"/>
    <w:rsid w:val="20355E02"/>
    <w:rsid w:val="203C7D81"/>
    <w:rsid w:val="20414994"/>
    <w:rsid w:val="204A02A8"/>
    <w:rsid w:val="20545F0F"/>
    <w:rsid w:val="20575FC6"/>
    <w:rsid w:val="205943A5"/>
    <w:rsid w:val="205D2DBD"/>
    <w:rsid w:val="206421AD"/>
    <w:rsid w:val="20655E69"/>
    <w:rsid w:val="20671B32"/>
    <w:rsid w:val="206C658F"/>
    <w:rsid w:val="206E50DF"/>
    <w:rsid w:val="206E665F"/>
    <w:rsid w:val="20752004"/>
    <w:rsid w:val="207655DF"/>
    <w:rsid w:val="207A4CDF"/>
    <w:rsid w:val="20881B18"/>
    <w:rsid w:val="208B7C88"/>
    <w:rsid w:val="209269F6"/>
    <w:rsid w:val="20981239"/>
    <w:rsid w:val="209854B7"/>
    <w:rsid w:val="20A5316A"/>
    <w:rsid w:val="20A72647"/>
    <w:rsid w:val="20A87D18"/>
    <w:rsid w:val="20AE3884"/>
    <w:rsid w:val="20B860E0"/>
    <w:rsid w:val="20BC234F"/>
    <w:rsid w:val="20BE1468"/>
    <w:rsid w:val="20C1708B"/>
    <w:rsid w:val="20C715F6"/>
    <w:rsid w:val="20CA4E2E"/>
    <w:rsid w:val="20CB0051"/>
    <w:rsid w:val="20CF2B0F"/>
    <w:rsid w:val="20D03B58"/>
    <w:rsid w:val="20DC08B0"/>
    <w:rsid w:val="20E458D1"/>
    <w:rsid w:val="20E65D43"/>
    <w:rsid w:val="20E8056F"/>
    <w:rsid w:val="20ED7529"/>
    <w:rsid w:val="20EF3AFF"/>
    <w:rsid w:val="20F052B2"/>
    <w:rsid w:val="20F4161C"/>
    <w:rsid w:val="20F6154A"/>
    <w:rsid w:val="20F96260"/>
    <w:rsid w:val="20FB4A48"/>
    <w:rsid w:val="20FB4BF0"/>
    <w:rsid w:val="20FC3930"/>
    <w:rsid w:val="210051DA"/>
    <w:rsid w:val="21005B13"/>
    <w:rsid w:val="210117C5"/>
    <w:rsid w:val="21047605"/>
    <w:rsid w:val="21052421"/>
    <w:rsid w:val="21091262"/>
    <w:rsid w:val="21097C55"/>
    <w:rsid w:val="210B21EA"/>
    <w:rsid w:val="21107053"/>
    <w:rsid w:val="21132AEC"/>
    <w:rsid w:val="211526CF"/>
    <w:rsid w:val="21186874"/>
    <w:rsid w:val="2120692E"/>
    <w:rsid w:val="21296D97"/>
    <w:rsid w:val="21307A9E"/>
    <w:rsid w:val="21364314"/>
    <w:rsid w:val="21365594"/>
    <w:rsid w:val="213920FA"/>
    <w:rsid w:val="213A6E39"/>
    <w:rsid w:val="21404FC4"/>
    <w:rsid w:val="21462370"/>
    <w:rsid w:val="21486F07"/>
    <w:rsid w:val="2149452E"/>
    <w:rsid w:val="214C1D38"/>
    <w:rsid w:val="214E3DC8"/>
    <w:rsid w:val="214F0194"/>
    <w:rsid w:val="215522BF"/>
    <w:rsid w:val="21556E90"/>
    <w:rsid w:val="21585DB1"/>
    <w:rsid w:val="21595545"/>
    <w:rsid w:val="216033A3"/>
    <w:rsid w:val="216438B5"/>
    <w:rsid w:val="21650C91"/>
    <w:rsid w:val="216B33FD"/>
    <w:rsid w:val="216D46E2"/>
    <w:rsid w:val="216D615A"/>
    <w:rsid w:val="216F24AC"/>
    <w:rsid w:val="21701033"/>
    <w:rsid w:val="2172058A"/>
    <w:rsid w:val="21763952"/>
    <w:rsid w:val="217D7482"/>
    <w:rsid w:val="2182181A"/>
    <w:rsid w:val="21882443"/>
    <w:rsid w:val="218850A2"/>
    <w:rsid w:val="21885265"/>
    <w:rsid w:val="218B4AEC"/>
    <w:rsid w:val="21903F3D"/>
    <w:rsid w:val="219457CF"/>
    <w:rsid w:val="21983295"/>
    <w:rsid w:val="21A06B90"/>
    <w:rsid w:val="21A41206"/>
    <w:rsid w:val="21A432FF"/>
    <w:rsid w:val="21A949EC"/>
    <w:rsid w:val="21AE07C2"/>
    <w:rsid w:val="21AF239F"/>
    <w:rsid w:val="21B01193"/>
    <w:rsid w:val="21B11E0D"/>
    <w:rsid w:val="21B21012"/>
    <w:rsid w:val="21B22166"/>
    <w:rsid w:val="21B3789E"/>
    <w:rsid w:val="21B87609"/>
    <w:rsid w:val="21BB5804"/>
    <w:rsid w:val="21BC056E"/>
    <w:rsid w:val="21BE114B"/>
    <w:rsid w:val="21BF30F9"/>
    <w:rsid w:val="21C213B9"/>
    <w:rsid w:val="21C6018C"/>
    <w:rsid w:val="21C80CD9"/>
    <w:rsid w:val="21C80DC5"/>
    <w:rsid w:val="21C90A04"/>
    <w:rsid w:val="21C952B1"/>
    <w:rsid w:val="21C96D31"/>
    <w:rsid w:val="21CB34F6"/>
    <w:rsid w:val="21CD20EB"/>
    <w:rsid w:val="21D149BB"/>
    <w:rsid w:val="21D60D29"/>
    <w:rsid w:val="21DC5477"/>
    <w:rsid w:val="21DE4DAB"/>
    <w:rsid w:val="21DE555A"/>
    <w:rsid w:val="21E05C78"/>
    <w:rsid w:val="21E343E4"/>
    <w:rsid w:val="21E606FF"/>
    <w:rsid w:val="21E6397D"/>
    <w:rsid w:val="21EF22DB"/>
    <w:rsid w:val="21F46074"/>
    <w:rsid w:val="21F91A91"/>
    <w:rsid w:val="21FE5619"/>
    <w:rsid w:val="21FF455E"/>
    <w:rsid w:val="22012448"/>
    <w:rsid w:val="22056652"/>
    <w:rsid w:val="220E06F7"/>
    <w:rsid w:val="220E45FB"/>
    <w:rsid w:val="220E5299"/>
    <w:rsid w:val="22177E2C"/>
    <w:rsid w:val="22191C76"/>
    <w:rsid w:val="221A1ACB"/>
    <w:rsid w:val="221D1670"/>
    <w:rsid w:val="22200900"/>
    <w:rsid w:val="22291048"/>
    <w:rsid w:val="222B2274"/>
    <w:rsid w:val="222C6406"/>
    <w:rsid w:val="22336E24"/>
    <w:rsid w:val="22374156"/>
    <w:rsid w:val="223A2512"/>
    <w:rsid w:val="223B4EAA"/>
    <w:rsid w:val="223D537F"/>
    <w:rsid w:val="22414480"/>
    <w:rsid w:val="22446F79"/>
    <w:rsid w:val="224763E8"/>
    <w:rsid w:val="2249698C"/>
    <w:rsid w:val="224A27E1"/>
    <w:rsid w:val="225219C3"/>
    <w:rsid w:val="225464ED"/>
    <w:rsid w:val="22564176"/>
    <w:rsid w:val="22591886"/>
    <w:rsid w:val="225966ED"/>
    <w:rsid w:val="225F1AD2"/>
    <w:rsid w:val="2260796F"/>
    <w:rsid w:val="22656CA5"/>
    <w:rsid w:val="2266331C"/>
    <w:rsid w:val="226D4215"/>
    <w:rsid w:val="226F3B34"/>
    <w:rsid w:val="22702C66"/>
    <w:rsid w:val="22712661"/>
    <w:rsid w:val="227430DC"/>
    <w:rsid w:val="22757F9B"/>
    <w:rsid w:val="22793A51"/>
    <w:rsid w:val="227C098D"/>
    <w:rsid w:val="227E3B9C"/>
    <w:rsid w:val="22846069"/>
    <w:rsid w:val="228C2C10"/>
    <w:rsid w:val="22926000"/>
    <w:rsid w:val="22951EC0"/>
    <w:rsid w:val="229544FB"/>
    <w:rsid w:val="22983618"/>
    <w:rsid w:val="22985679"/>
    <w:rsid w:val="22987EE4"/>
    <w:rsid w:val="22993FC3"/>
    <w:rsid w:val="22A0105F"/>
    <w:rsid w:val="22A3021D"/>
    <w:rsid w:val="22AA10F7"/>
    <w:rsid w:val="22AF54FE"/>
    <w:rsid w:val="22B576AF"/>
    <w:rsid w:val="22B76D13"/>
    <w:rsid w:val="22B81148"/>
    <w:rsid w:val="22B93B33"/>
    <w:rsid w:val="22BB68F4"/>
    <w:rsid w:val="22BC161D"/>
    <w:rsid w:val="22C01653"/>
    <w:rsid w:val="22C57CC5"/>
    <w:rsid w:val="22C773F4"/>
    <w:rsid w:val="22C86246"/>
    <w:rsid w:val="22CF718A"/>
    <w:rsid w:val="22D23867"/>
    <w:rsid w:val="22D622C7"/>
    <w:rsid w:val="22D80D68"/>
    <w:rsid w:val="22D878EF"/>
    <w:rsid w:val="22EA427A"/>
    <w:rsid w:val="22EB187C"/>
    <w:rsid w:val="22ED0618"/>
    <w:rsid w:val="22F71B04"/>
    <w:rsid w:val="22F724B6"/>
    <w:rsid w:val="22F75A79"/>
    <w:rsid w:val="22F84E7E"/>
    <w:rsid w:val="22FD4589"/>
    <w:rsid w:val="22FE3762"/>
    <w:rsid w:val="23021CA1"/>
    <w:rsid w:val="23044E1C"/>
    <w:rsid w:val="23064C20"/>
    <w:rsid w:val="23092185"/>
    <w:rsid w:val="230E5F2A"/>
    <w:rsid w:val="231176F9"/>
    <w:rsid w:val="231254BA"/>
    <w:rsid w:val="231828DF"/>
    <w:rsid w:val="231A0CEA"/>
    <w:rsid w:val="231D6C02"/>
    <w:rsid w:val="232114B7"/>
    <w:rsid w:val="23240E7E"/>
    <w:rsid w:val="232606A5"/>
    <w:rsid w:val="2326726E"/>
    <w:rsid w:val="232834E9"/>
    <w:rsid w:val="232E3B37"/>
    <w:rsid w:val="23312C4D"/>
    <w:rsid w:val="233314DF"/>
    <w:rsid w:val="23332BA7"/>
    <w:rsid w:val="233609E3"/>
    <w:rsid w:val="233628D5"/>
    <w:rsid w:val="23363BEA"/>
    <w:rsid w:val="233C211C"/>
    <w:rsid w:val="234318A1"/>
    <w:rsid w:val="235177E9"/>
    <w:rsid w:val="23530438"/>
    <w:rsid w:val="23541E59"/>
    <w:rsid w:val="235833CF"/>
    <w:rsid w:val="235F3DD7"/>
    <w:rsid w:val="23630A5C"/>
    <w:rsid w:val="236479A1"/>
    <w:rsid w:val="236512A0"/>
    <w:rsid w:val="23694D6E"/>
    <w:rsid w:val="237271F0"/>
    <w:rsid w:val="23741900"/>
    <w:rsid w:val="237B3CC9"/>
    <w:rsid w:val="23835999"/>
    <w:rsid w:val="239763D6"/>
    <w:rsid w:val="23984DB1"/>
    <w:rsid w:val="23990CD5"/>
    <w:rsid w:val="23A06BEB"/>
    <w:rsid w:val="23A35012"/>
    <w:rsid w:val="23A71CE5"/>
    <w:rsid w:val="23A77DD4"/>
    <w:rsid w:val="23A91789"/>
    <w:rsid w:val="23A93537"/>
    <w:rsid w:val="23AD1F23"/>
    <w:rsid w:val="23B51317"/>
    <w:rsid w:val="23BA3E97"/>
    <w:rsid w:val="23C5556E"/>
    <w:rsid w:val="23CA1D46"/>
    <w:rsid w:val="23CC04E9"/>
    <w:rsid w:val="23CE387A"/>
    <w:rsid w:val="23D428D9"/>
    <w:rsid w:val="23D65777"/>
    <w:rsid w:val="23D745BA"/>
    <w:rsid w:val="23DA2B29"/>
    <w:rsid w:val="23DF6070"/>
    <w:rsid w:val="23E8772B"/>
    <w:rsid w:val="23EF43FF"/>
    <w:rsid w:val="23FA5246"/>
    <w:rsid w:val="23FC6B9B"/>
    <w:rsid w:val="23FE4EAD"/>
    <w:rsid w:val="24001599"/>
    <w:rsid w:val="24092C37"/>
    <w:rsid w:val="240B4874"/>
    <w:rsid w:val="240D070C"/>
    <w:rsid w:val="240D7437"/>
    <w:rsid w:val="24103FDC"/>
    <w:rsid w:val="24136912"/>
    <w:rsid w:val="241E7826"/>
    <w:rsid w:val="2423276B"/>
    <w:rsid w:val="24277076"/>
    <w:rsid w:val="24283AF2"/>
    <w:rsid w:val="24297CE0"/>
    <w:rsid w:val="242D1738"/>
    <w:rsid w:val="242D44A3"/>
    <w:rsid w:val="24307476"/>
    <w:rsid w:val="24371EF7"/>
    <w:rsid w:val="243F0C18"/>
    <w:rsid w:val="244346AA"/>
    <w:rsid w:val="244539B9"/>
    <w:rsid w:val="2448083E"/>
    <w:rsid w:val="244F27B6"/>
    <w:rsid w:val="24506E7F"/>
    <w:rsid w:val="24593EDB"/>
    <w:rsid w:val="245C2990"/>
    <w:rsid w:val="245F5422"/>
    <w:rsid w:val="246304AF"/>
    <w:rsid w:val="246311C6"/>
    <w:rsid w:val="24632E3A"/>
    <w:rsid w:val="24644286"/>
    <w:rsid w:val="24653F2A"/>
    <w:rsid w:val="24667FC6"/>
    <w:rsid w:val="24675172"/>
    <w:rsid w:val="246F4469"/>
    <w:rsid w:val="246F5C29"/>
    <w:rsid w:val="24741C5D"/>
    <w:rsid w:val="247843F2"/>
    <w:rsid w:val="247E7B6C"/>
    <w:rsid w:val="2481348E"/>
    <w:rsid w:val="24815ED3"/>
    <w:rsid w:val="24845687"/>
    <w:rsid w:val="24881BE5"/>
    <w:rsid w:val="2489369A"/>
    <w:rsid w:val="248A7E55"/>
    <w:rsid w:val="24903B53"/>
    <w:rsid w:val="24925CBD"/>
    <w:rsid w:val="24943E2E"/>
    <w:rsid w:val="2499620B"/>
    <w:rsid w:val="249A5E7A"/>
    <w:rsid w:val="249E73E3"/>
    <w:rsid w:val="249F5305"/>
    <w:rsid w:val="24A03D37"/>
    <w:rsid w:val="24AE46D7"/>
    <w:rsid w:val="24AF2F77"/>
    <w:rsid w:val="24B85FE4"/>
    <w:rsid w:val="24BF5149"/>
    <w:rsid w:val="24CF4092"/>
    <w:rsid w:val="24DE76F6"/>
    <w:rsid w:val="24E41333"/>
    <w:rsid w:val="24E4220A"/>
    <w:rsid w:val="24E7164C"/>
    <w:rsid w:val="24E82530"/>
    <w:rsid w:val="24EB6192"/>
    <w:rsid w:val="24F314FC"/>
    <w:rsid w:val="25027793"/>
    <w:rsid w:val="25042AE4"/>
    <w:rsid w:val="2508348D"/>
    <w:rsid w:val="250C3013"/>
    <w:rsid w:val="250D157E"/>
    <w:rsid w:val="251A2917"/>
    <w:rsid w:val="251A49CB"/>
    <w:rsid w:val="251B093B"/>
    <w:rsid w:val="2522702B"/>
    <w:rsid w:val="25253E6F"/>
    <w:rsid w:val="252829F4"/>
    <w:rsid w:val="25313AD0"/>
    <w:rsid w:val="25373F66"/>
    <w:rsid w:val="253D3903"/>
    <w:rsid w:val="253E414E"/>
    <w:rsid w:val="25404C87"/>
    <w:rsid w:val="25411151"/>
    <w:rsid w:val="25424820"/>
    <w:rsid w:val="254546C9"/>
    <w:rsid w:val="25490112"/>
    <w:rsid w:val="254E24A3"/>
    <w:rsid w:val="254F2273"/>
    <w:rsid w:val="25537EE8"/>
    <w:rsid w:val="25540ADB"/>
    <w:rsid w:val="255A66A3"/>
    <w:rsid w:val="255C237C"/>
    <w:rsid w:val="255E1CCC"/>
    <w:rsid w:val="255F0BA0"/>
    <w:rsid w:val="25632921"/>
    <w:rsid w:val="25680E21"/>
    <w:rsid w:val="256E7EBC"/>
    <w:rsid w:val="256F704A"/>
    <w:rsid w:val="257401F8"/>
    <w:rsid w:val="25780ECA"/>
    <w:rsid w:val="257C35DA"/>
    <w:rsid w:val="25823388"/>
    <w:rsid w:val="25850542"/>
    <w:rsid w:val="25902175"/>
    <w:rsid w:val="25913A1E"/>
    <w:rsid w:val="2592412B"/>
    <w:rsid w:val="25956267"/>
    <w:rsid w:val="2596525F"/>
    <w:rsid w:val="25965A14"/>
    <w:rsid w:val="259A1595"/>
    <w:rsid w:val="259C7AA7"/>
    <w:rsid w:val="259D70DF"/>
    <w:rsid w:val="259F2E44"/>
    <w:rsid w:val="25A3041D"/>
    <w:rsid w:val="25A50118"/>
    <w:rsid w:val="25A971F9"/>
    <w:rsid w:val="25B15811"/>
    <w:rsid w:val="25BD69B8"/>
    <w:rsid w:val="25C34F6D"/>
    <w:rsid w:val="25C43E6E"/>
    <w:rsid w:val="25C44FD8"/>
    <w:rsid w:val="25C86066"/>
    <w:rsid w:val="25CB59E7"/>
    <w:rsid w:val="25CD64EE"/>
    <w:rsid w:val="25CE63EE"/>
    <w:rsid w:val="25CF4680"/>
    <w:rsid w:val="25D26DA3"/>
    <w:rsid w:val="25D3542A"/>
    <w:rsid w:val="25D55DC4"/>
    <w:rsid w:val="25D63E91"/>
    <w:rsid w:val="25D8483A"/>
    <w:rsid w:val="25DA1D82"/>
    <w:rsid w:val="25DF1FF2"/>
    <w:rsid w:val="25E3015F"/>
    <w:rsid w:val="25E43FC0"/>
    <w:rsid w:val="25E5277F"/>
    <w:rsid w:val="25E77590"/>
    <w:rsid w:val="25EC23B0"/>
    <w:rsid w:val="25F3098F"/>
    <w:rsid w:val="25F77C55"/>
    <w:rsid w:val="25F800AB"/>
    <w:rsid w:val="25FB3052"/>
    <w:rsid w:val="25FC334E"/>
    <w:rsid w:val="25FE7724"/>
    <w:rsid w:val="25FF1008"/>
    <w:rsid w:val="25FF1488"/>
    <w:rsid w:val="2600164D"/>
    <w:rsid w:val="26006ABA"/>
    <w:rsid w:val="26020B84"/>
    <w:rsid w:val="260B24A0"/>
    <w:rsid w:val="26102BD1"/>
    <w:rsid w:val="261220B7"/>
    <w:rsid w:val="26125C55"/>
    <w:rsid w:val="261A25A4"/>
    <w:rsid w:val="26202902"/>
    <w:rsid w:val="26235B5A"/>
    <w:rsid w:val="2628254F"/>
    <w:rsid w:val="262B3423"/>
    <w:rsid w:val="262F4698"/>
    <w:rsid w:val="26335456"/>
    <w:rsid w:val="26347232"/>
    <w:rsid w:val="26362AF4"/>
    <w:rsid w:val="263C37A5"/>
    <w:rsid w:val="263C68E5"/>
    <w:rsid w:val="263D5601"/>
    <w:rsid w:val="264136B9"/>
    <w:rsid w:val="26414073"/>
    <w:rsid w:val="264145FC"/>
    <w:rsid w:val="264810DC"/>
    <w:rsid w:val="264B4835"/>
    <w:rsid w:val="264E1B7A"/>
    <w:rsid w:val="264F7977"/>
    <w:rsid w:val="26504CD9"/>
    <w:rsid w:val="26554A83"/>
    <w:rsid w:val="265866D3"/>
    <w:rsid w:val="26594A61"/>
    <w:rsid w:val="265C3B50"/>
    <w:rsid w:val="26604F36"/>
    <w:rsid w:val="2668652E"/>
    <w:rsid w:val="267467C5"/>
    <w:rsid w:val="267576E6"/>
    <w:rsid w:val="267A4CCD"/>
    <w:rsid w:val="267A753A"/>
    <w:rsid w:val="267D6D39"/>
    <w:rsid w:val="267E1F16"/>
    <w:rsid w:val="267E46DD"/>
    <w:rsid w:val="268129DB"/>
    <w:rsid w:val="268D3EBE"/>
    <w:rsid w:val="268F1B65"/>
    <w:rsid w:val="269A7E93"/>
    <w:rsid w:val="269D75EB"/>
    <w:rsid w:val="26A15154"/>
    <w:rsid w:val="26A368E2"/>
    <w:rsid w:val="26A717B5"/>
    <w:rsid w:val="26AC741C"/>
    <w:rsid w:val="26AF0BB6"/>
    <w:rsid w:val="26B056AF"/>
    <w:rsid w:val="26B21295"/>
    <w:rsid w:val="26B219AC"/>
    <w:rsid w:val="26B438BA"/>
    <w:rsid w:val="26B8346C"/>
    <w:rsid w:val="26C37F3B"/>
    <w:rsid w:val="26C9056E"/>
    <w:rsid w:val="26CC3ADC"/>
    <w:rsid w:val="26CC7E59"/>
    <w:rsid w:val="26CE4AB9"/>
    <w:rsid w:val="26CF28D9"/>
    <w:rsid w:val="26DA3CE7"/>
    <w:rsid w:val="26DB1F0C"/>
    <w:rsid w:val="26DB64CD"/>
    <w:rsid w:val="26E147BC"/>
    <w:rsid w:val="26E4122F"/>
    <w:rsid w:val="26E816D4"/>
    <w:rsid w:val="26E97A32"/>
    <w:rsid w:val="26EC1049"/>
    <w:rsid w:val="26F77938"/>
    <w:rsid w:val="2709382B"/>
    <w:rsid w:val="270E407A"/>
    <w:rsid w:val="2710459F"/>
    <w:rsid w:val="27142E29"/>
    <w:rsid w:val="27145C1A"/>
    <w:rsid w:val="27171536"/>
    <w:rsid w:val="27222C85"/>
    <w:rsid w:val="272C0782"/>
    <w:rsid w:val="27310749"/>
    <w:rsid w:val="27315613"/>
    <w:rsid w:val="27416156"/>
    <w:rsid w:val="27456E88"/>
    <w:rsid w:val="274F0811"/>
    <w:rsid w:val="274F53D7"/>
    <w:rsid w:val="27541040"/>
    <w:rsid w:val="275E7ECA"/>
    <w:rsid w:val="27605865"/>
    <w:rsid w:val="27613D33"/>
    <w:rsid w:val="27615587"/>
    <w:rsid w:val="276D1566"/>
    <w:rsid w:val="276D5C29"/>
    <w:rsid w:val="27725098"/>
    <w:rsid w:val="27731071"/>
    <w:rsid w:val="277F57FF"/>
    <w:rsid w:val="2793564B"/>
    <w:rsid w:val="279B21F2"/>
    <w:rsid w:val="279D0BD8"/>
    <w:rsid w:val="27A4391A"/>
    <w:rsid w:val="27A6071D"/>
    <w:rsid w:val="27A634EB"/>
    <w:rsid w:val="27A94AAD"/>
    <w:rsid w:val="27AD3DE5"/>
    <w:rsid w:val="27B02F09"/>
    <w:rsid w:val="27B05B28"/>
    <w:rsid w:val="27B1626C"/>
    <w:rsid w:val="27BA6A0B"/>
    <w:rsid w:val="27BF04DE"/>
    <w:rsid w:val="27C73007"/>
    <w:rsid w:val="27CA4A83"/>
    <w:rsid w:val="27D065A3"/>
    <w:rsid w:val="27D123D3"/>
    <w:rsid w:val="27D8088F"/>
    <w:rsid w:val="27D80C35"/>
    <w:rsid w:val="27DB6E02"/>
    <w:rsid w:val="27DD098B"/>
    <w:rsid w:val="27DE38C3"/>
    <w:rsid w:val="27E11CF3"/>
    <w:rsid w:val="27EA35C8"/>
    <w:rsid w:val="27F043F2"/>
    <w:rsid w:val="27F1767E"/>
    <w:rsid w:val="27F62DC9"/>
    <w:rsid w:val="27F80B6E"/>
    <w:rsid w:val="28044EC3"/>
    <w:rsid w:val="28100534"/>
    <w:rsid w:val="28113954"/>
    <w:rsid w:val="28163E36"/>
    <w:rsid w:val="281962F8"/>
    <w:rsid w:val="281B1346"/>
    <w:rsid w:val="281B5731"/>
    <w:rsid w:val="281D1994"/>
    <w:rsid w:val="281E039D"/>
    <w:rsid w:val="2821615A"/>
    <w:rsid w:val="28266AD2"/>
    <w:rsid w:val="282955D1"/>
    <w:rsid w:val="282C2D2F"/>
    <w:rsid w:val="282F5993"/>
    <w:rsid w:val="28313102"/>
    <w:rsid w:val="28325027"/>
    <w:rsid w:val="28366ACE"/>
    <w:rsid w:val="283709C0"/>
    <w:rsid w:val="28393D66"/>
    <w:rsid w:val="283F08BE"/>
    <w:rsid w:val="28415631"/>
    <w:rsid w:val="28506D76"/>
    <w:rsid w:val="28664B59"/>
    <w:rsid w:val="28736253"/>
    <w:rsid w:val="2876603E"/>
    <w:rsid w:val="287871DB"/>
    <w:rsid w:val="2879458D"/>
    <w:rsid w:val="287A694B"/>
    <w:rsid w:val="2885632F"/>
    <w:rsid w:val="288A7A0D"/>
    <w:rsid w:val="289054C8"/>
    <w:rsid w:val="28906184"/>
    <w:rsid w:val="28947465"/>
    <w:rsid w:val="28960944"/>
    <w:rsid w:val="289E43FD"/>
    <w:rsid w:val="28A67315"/>
    <w:rsid w:val="28AD3F31"/>
    <w:rsid w:val="28AE4A34"/>
    <w:rsid w:val="28AF5828"/>
    <w:rsid w:val="28AF7833"/>
    <w:rsid w:val="28B127F5"/>
    <w:rsid w:val="28BA4B87"/>
    <w:rsid w:val="28C650F9"/>
    <w:rsid w:val="28CD15CD"/>
    <w:rsid w:val="28CF6740"/>
    <w:rsid w:val="28D07B3C"/>
    <w:rsid w:val="28D41021"/>
    <w:rsid w:val="28D46747"/>
    <w:rsid w:val="28D55F25"/>
    <w:rsid w:val="28D7799E"/>
    <w:rsid w:val="28DB03C5"/>
    <w:rsid w:val="28DB18FD"/>
    <w:rsid w:val="28DD549E"/>
    <w:rsid w:val="28E25C14"/>
    <w:rsid w:val="28E32F5E"/>
    <w:rsid w:val="28E35745"/>
    <w:rsid w:val="28F02EFE"/>
    <w:rsid w:val="28F17E3E"/>
    <w:rsid w:val="28F506AE"/>
    <w:rsid w:val="28F831CE"/>
    <w:rsid w:val="28FC3C64"/>
    <w:rsid w:val="28FF4D61"/>
    <w:rsid w:val="29024819"/>
    <w:rsid w:val="2902671B"/>
    <w:rsid w:val="290F77CE"/>
    <w:rsid w:val="29103DA7"/>
    <w:rsid w:val="291277E2"/>
    <w:rsid w:val="29144590"/>
    <w:rsid w:val="291C2789"/>
    <w:rsid w:val="292116DA"/>
    <w:rsid w:val="29254D87"/>
    <w:rsid w:val="292B1120"/>
    <w:rsid w:val="292C2047"/>
    <w:rsid w:val="292D7719"/>
    <w:rsid w:val="29300096"/>
    <w:rsid w:val="29321722"/>
    <w:rsid w:val="29343E2A"/>
    <w:rsid w:val="2936586D"/>
    <w:rsid w:val="29376198"/>
    <w:rsid w:val="29416439"/>
    <w:rsid w:val="29422123"/>
    <w:rsid w:val="294321AF"/>
    <w:rsid w:val="29447BA6"/>
    <w:rsid w:val="2945103F"/>
    <w:rsid w:val="294C79F8"/>
    <w:rsid w:val="294D7F3B"/>
    <w:rsid w:val="29513AA3"/>
    <w:rsid w:val="29513E85"/>
    <w:rsid w:val="295238F6"/>
    <w:rsid w:val="295E26B3"/>
    <w:rsid w:val="29601ECA"/>
    <w:rsid w:val="29607648"/>
    <w:rsid w:val="29694B10"/>
    <w:rsid w:val="297168A5"/>
    <w:rsid w:val="29742A64"/>
    <w:rsid w:val="29797F24"/>
    <w:rsid w:val="297E3DA9"/>
    <w:rsid w:val="297F08D9"/>
    <w:rsid w:val="298D600B"/>
    <w:rsid w:val="29957813"/>
    <w:rsid w:val="299601E9"/>
    <w:rsid w:val="29A05404"/>
    <w:rsid w:val="29A1163A"/>
    <w:rsid w:val="29A206F3"/>
    <w:rsid w:val="29A74A82"/>
    <w:rsid w:val="29AB4127"/>
    <w:rsid w:val="29AF237A"/>
    <w:rsid w:val="29B11BC7"/>
    <w:rsid w:val="29B139F1"/>
    <w:rsid w:val="29B86A55"/>
    <w:rsid w:val="29BC227F"/>
    <w:rsid w:val="29BD73F6"/>
    <w:rsid w:val="29BE21E2"/>
    <w:rsid w:val="29D06360"/>
    <w:rsid w:val="29D41F11"/>
    <w:rsid w:val="29D435BA"/>
    <w:rsid w:val="29DA31CC"/>
    <w:rsid w:val="29DC2E0C"/>
    <w:rsid w:val="29DD515A"/>
    <w:rsid w:val="29E863A6"/>
    <w:rsid w:val="29EA1723"/>
    <w:rsid w:val="29EA41FF"/>
    <w:rsid w:val="29ED6C85"/>
    <w:rsid w:val="29F62C31"/>
    <w:rsid w:val="29F81ECC"/>
    <w:rsid w:val="29F83AE9"/>
    <w:rsid w:val="29F9212B"/>
    <w:rsid w:val="29FC05F8"/>
    <w:rsid w:val="29FC14DD"/>
    <w:rsid w:val="29FD3522"/>
    <w:rsid w:val="2A000BBA"/>
    <w:rsid w:val="2A00129D"/>
    <w:rsid w:val="2A0139A5"/>
    <w:rsid w:val="2A053CE2"/>
    <w:rsid w:val="2A0848FE"/>
    <w:rsid w:val="2A0A399E"/>
    <w:rsid w:val="2A0B6155"/>
    <w:rsid w:val="2A0B7941"/>
    <w:rsid w:val="2A0C1190"/>
    <w:rsid w:val="2A1A1130"/>
    <w:rsid w:val="2A1E208D"/>
    <w:rsid w:val="2A1F117C"/>
    <w:rsid w:val="2A200944"/>
    <w:rsid w:val="2A2E7B13"/>
    <w:rsid w:val="2A2E7D51"/>
    <w:rsid w:val="2A314A74"/>
    <w:rsid w:val="2A342BA9"/>
    <w:rsid w:val="2A344D6E"/>
    <w:rsid w:val="2A383F9D"/>
    <w:rsid w:val="2A395F26"/>
    <w:rsid w:val="2A3E4394"/>
    <w:rsid w:val="2A3F3D76"/>
    <w:rsid w:val="2A4071E1"/>
    <w:rsid w:val="2A42145E"/>
    <w:rsid w:val="2A4513FD"/>
    <w:rsid w:val="2A4C168E"/>
    <w:rsid w:val="2A54742F"/>
    <w:rsid w:val="2A590625"/>
    <w:rsid w:val="2A595771"/>
    <w:rsid w:val="2A5B0295"/>
    <w:rsid w:val="2A60103C"/>
    <w:rsid w:val="2A616605"/>
    <w:rsid w:val="2A616617"/>
    <w:rsid w:val="2A66736B"/>
    <w:rsid w:val="2A6724C6"/>
    <w:rsid w:val="2A6C79EA"/>
    <w:rsid w:val="2A7B2AC1"/>
    <w:rsid w:val="2A7D42CC"/>
    <w:rsid w:val="2A7F2BBD"/>
    <w:rsid w:val="2A7F3043"/>
    <w:rsid w:val="2A7F59C2"/>
    <w:rsid w:val="2A801A04"/>
    <w:rsid w:val="2A8720F2"/>
    <w:rsid w:val="2A8D590F"/>
    <w:rsid w:val="2A8E7599"/>
    <w:rsid w:val="2A904B8F"/>
    <w:rsid w:val="2A924A88"/>
    <w:rsid w:val="2A963131"/>
    <w:rsid w:val="2A9C4791"/>
    <w:rsid w:val="2A9C66FC"/>
    <w:rsid w:val="2A9C7AFE"/>
    <w:rsid w:val="2AA00FA5"/>
    <w:rsid w:val="2AAD4A3F"/>
    <w:rsid w:val="2AAF5AC1"/>
    <w:rsid w:val="2AB163FD"/>
    <w:rsid w:val="2AB313D1"/>
    <w:rsid w:val="2AB9422C"/>
    <w:rsid w:val="2ABF6BEC"/>
    <w:rsid w:val="2AC06829"/>
    <w:rsid w:val="2AC16FE3"/>
    <w:rsid w:val="2AC5580A"/>
    <w:rsid w:val="2AC8349C"/>
    <w:rsid w:val="2AC92F5B"/>
    <w:rsid w:val="2ACA029C"/>
    <w:rsid w:val="2ACB0889"/>
    <w:rsid w:val="2ACC5E85"/>
    <w:rsid w:val="2AD435BE"/>
    <w:rsid w:val="2AD5133C"/>
    <w:rsid w:val="2AD62FB2"/>
    <w:rsid w:val="2AD87B9C"/>
    <w:rsid w:val="2ADC347F"/>
    <w:rsid w:val="2ADD6438"/>
    <w:rsid w:val="2AE060A5"/>
    <w:rsid w:val="2AE0654B"/>
    <w:rsid w:val="2AE0693B"/>
    <w:rsid w:val="2AE30B82"/>
    <w:rsid w:val="2AEB0D01"/>
    <w:rsid w:val="2AF105D8"/>
    <w:rsid w:val="2AFB51DF"/>
    <w:rsid w:val="2AFE0F41"/>
    <w:rsid w:val="2B087775"/>
    <w:rsid w:val="2B0F09A8"/>
    <w:rsid w:val="2B104A8F"/>
    <w:rsid w:val="2B1234AC"/>
    <w:rsid w:val="2B13064B"/>
    <w:rsid w:val="2B134D23"/>
    <w:rsid w:val="2B137F31"/>
    <w:rsid w:val="2B1763E8"/>
    <w:rsid w:val="2B234F45"/>
    <w:rsid w:val="2B2838DB"/>
    <w:rsid w:val="2B2A061E"/>
    <w:rsid w:val="2B2C22CD"/>
    <w:rsid w:val="2B2D0EF2"/>
    <w:rsid w:val="2B2E3203"/>
    <w:rsid w:val="2B32167D"/>
    <w:rsid w:val="2B324997"/>
    <w:rsid w:val="2B355C71"/>
    <w:rsid w:val="2B375BD7"/>
    <w:rsid w:val="2B39163E"/>
    <w:rsid w:val="2B3C09AA"/>
    <w:rsid w:val="2B3D2848"/>
    <w:rsid w:val="2B3D6701"/>
    <w:rsid w:val="2B405D02"/>
    <w:rsid w:val="2B42022D"/>
    <w:rsid w:val="2B4C657B"/>
    <w:rsid w:val="2B4C772D"/>
    <w:rsid w:val="2B4D620C"/>
    <w:rsid w:val="2B4E3E1D"/>
    <w:rsid w:val="2B50527A"/>
    <w:rsid w:val="2B557467"/>
    <w:rsid w:val="2B586DE9"/>
    <w:rsid w:val="2B5F46CA"/>
    <w:rsid w:val="2B6D1CD4"/>
    <w:rsid w:val="2B743D1D"/>
    <w:rsid w:val="2B7644F6"/>
    <w:rsid w:val="2B784B3B"/>
    <w:rsid w:val="2B7B1CE8"/>
    <w:rsid w:val="2B7E44F9"/>
    <w:rsid w:val="2B805DE4"/>
    <w:rsid w:val="2B826277"/>
    <w:rsid w:val="2B8320A3"/>
    <w:rsid w:val="2B846CB6"/>
    <w:rsid w:val="2B8C61BB"/>
    <w:rsid w:val="2B8F2464"/>
    <w:rsid w:val="2B9165DE"/>
    <w:rsid w:val="2B922AF1"/>
    <w:rsid w:val="2B944ACD"/>
    <w:rsid w:val="2B9A1C37"/>
    <w:rsid w:val="2BA9042A"/>
    <w:rsid w:val="2BAE70BF"/>
    <w:rsid w:val="2BB403C9"/>
    <w:rsid w:val="2BB50451"/>
    <w:rsid w:val="2BB53C9D"/>
    <w:rsid w:val="2BB679E4"/>
    <w:rsid w:val="2BB767BB"/>
    <w:rsid w:val="2BB91BFB"/>
    <w:rsid w:val="2BBA6442"/>
    <w:rsid w:val="2BBF347F"/>
    <w:rsid w:val="2BC70BD5"/>
    <w:rsid w:val="2BC9499F"/>
    <w:rsid w:val="2BC96AFA"/>
    <w:rsid w:val="2BCA0D13"/>
    <w:rsid w:val="2BCF7208"/>
    <w:rsid w:val="2BD26A12"/>
    <w:rsid w:val="2BD57AD1"/>
    <w:rsid w:val="2BE07659"/>
    <w:rsid w:val="2BE4464D"/>
    <w:rsid w:val="2BE52092"/>
    <w:rsid w:val="2BE548C0"/>
    <w:rsid w:val="2BEC2431"/>
    <w:rsid w:val="2BEF7798"/>
    <w:rsid w:val="2BF5150A"/>
    <w:rsid w:val="2BF52582"/>
    <w:rsid w:val="2BF576C5"/>
    <w:rsid w:val="2BF83124"/>
    <w:rsid w:val="2BFC059D"/>
    <w:rsid w:val="2BFF1161"/>
    <w:rsid w:val="2C0004BF"/>
    <w:rsid w:val="2C01276B"/>
    <w:rsid w:val="2C025CB0"/>
    <w:rsid w:val="2C0410BD"/>
    <w:rsid w:val="2C061FF9"/>
    <w:rsid w:val="2C0C65BA"/>
    <w:rsid w:val="2C0D1D64"/>
    <w:rsid w:val="2C1A6D8C"/>
    <w:rsid w:val="2C1B4DF5"/>
    <w:rsid w:val="2C1F6DBF"/>
    <w:rsid w:val="2C206441"/>
    <w:rsid w:val="2C2C3F15"/>
    <w:rsid w:val="2C2C43DC"/>
    <w:rsid w:val="2C2E6CF3"/>
    <w:rsid w:val="2C306F8E"/>
    <w:rsid w:val="2C344030"/>
    <w:rsid w:val="2C3A71D3"/>
    <w:rsid w:val="2C3F5021"/>
    <w:rsid w:val="2C403EBF"/>
    <w:rsid w:val="2C48200F"/>
    <w:rsid w:val="2C4B5BE8"/>
    <w:rsid w:val="2C4C2B26"/>
    <w:rsid w:val="2C4D2AFE"/>
    <w:rsid w:val="2C4E1DF3"/>
    <w:rsid w:val="2C534988"/>
    <w:rsid w:val="2C550383"/>
    <w:rsid w:val="2C5C383D"/>
    <w:rsid w:val="2C5C3C34"/>
    <w:rsid w:val="2C646594"/>
    <w:rsid w:val="2C653DEC"/>
    <w:rsid w:val="2C66371A"/>
    <w:rsid w:val="2C6842E1"/>
    <w:rsid w:val="2C6927B8"/>
    <w:rsid w:val="2C6A5519"/>
    <w:rsid w:val="2C6C08EC"/>
    <w:rsid w:val="2C73390C"/>
    <w:rsid w:val="2C7605FC"/>
    <w:rsid w:val="2C783719"/>
    <w:rsid w:val="2C794EC8"/>
    <w:rsid w:val="2C854F81"/>
    <w:rsid w:val="2C85663E"/>
    <w:rsid w:val="2C866474"/>
    <w:rsid w:val="2C8803ED"/>
    <w:rsid w:val="2C8A1A4B"/>
    <w:rsid w:val="2C946286"/>
    <w:rsid w:val="2C960A6A"/>
    <w:rsid w:val="2C981A8D"/>
    <w:rsid w:val="2C9A1E09"/>
    <w:rsid w:val="2CAE1803"/>
    <w:rsid w:val="2CAF1059"/>
    <w:rsid w:val="2CB06C01"/>
    <w:rsid w:val="2CB62571"/>
    <w:rsid w:val="2CB97B16"/>
    <w:rsid w:val="2CBA763A"/>
    <w:rsid w:val="2CBB3CE3"/>
    <w:rsid w:val="2CBC1841"/>
    <w:rsid w:val="2CC27C9B"/>
    <w:rsid w:val="2CC45559"/>
    <w:rsid w:val="2CC55672"/>
    <w:rsid w:val="2CC63EFE"/>
    <w:rsid w:val="2CCA3998"/>
    <w:rsid w:val="2CD9461D"/>
    <w:rsid w:val="2CD97193"/>
    <w:rsid w:val="2CDD5941"/>
    <w:rsid w:val="2CE030F6"/>
    <w:rsid w:val="2CED47FF"/>
    <w:rsid w:val="2CEE7FE9"/>
    <w:rsid w:val="2CF22610"/>
    <w:rsid w:val="2CF32C53"/>
    <w:rsid w:val="2CF5299D"/>
    <w:rsid w:val="2CF701D7"/>
    <w:rsid w:val="2CFC24AE"/>
    <w:rsid w:val="2CFE15C3"/>
    <w:rsid w:val="2CFE5D29"/>
    <w:rsid w:val="2D006CED"/>
    <w:rsid w:val="2D0547E8"/>
    <w:rsid w:val="2D0A685E"/>
    <w:rsid w:val="2D0A7D39"/>
    <w:rsid w:val="2D0E13A3"/>
    <w:rsid w:val="2D124A45"/>
    <w:rsid w:val="2D12686A"/>
    <w:rsid w:val="2D130B1D"/>
    <w:rsid w:val="2D1B17F9"/>
    <w:rsid w:val="2D2107F6"/>
    <w:rsid w:val="2D2A03B0"/>
    <w:rsid w:val="2D2A56E9"/>
    <w:rsid w:val="2D2D2866"/>
    <w:rsid w:val="2D2D2F6A"/>
    <w:rsid w:val="2D3712FB"/>
    <w:rsid w:val="2D406FBC"/>
    <w:rsid w:val="2D427678"/>
    <w:rsid w:val="2D453E76"/>
    <w:rsid w:val="2D4705AB"/>
    <w:rsid w:val="2D5A1AE0"/>
    <w:rsid w:val="2D5B03F9"/>
    <w:rsid w:val="2D5E0C36"/>
    <w:rsid w:val="2D5E6E96"/>
    <w:rsid w:val="2D6244A4"/>
    <w:rsid w:val="2D681703"/>
    <w:rsid w:val="2D682D77"/>
    <w:rsid w:val="2D774DD8"/>
    <w:rsid w:val="2D7A32D3"/>
    <w:rsid w:val="2D804718"/>
    <w:rsid w:val="2D837727"/>
    <w:rsid w:val="2D9143B8"/>
    <w:rsid w:val="2D921205"/>
    <w:rsid w:val="2DA846A6"/>
    <w:rsid w:val="2DA848E3"/>
    <w:rsid w:val="2DB61CA3"/>
    <w:rsid w:val="2DBA19DD"/>
    <w:rsid w:val="2DBA5BB0"/>
    <w:rsid w:val="2DBB29BC"/>
    <w:rsid w:val="2DC12250"/>
    <w:rsid w:val="2DC129A8"/>
    <w:rsid w:val="2DC13BD5"/>
    <w:rsid w:val="2DC44491"/>
    <w:rsid w:val="2DC45811"/>
    <w:rsid w:val="2DC67A4A"/>
    <w:rsid w:val="2DCA2769"/>
    <w:rsid w:val="2DCA71A4"/>
    <w:rsid w:val="2DCB2EEB"/>
    <w:rsid w:val="2DCC2C44"/>
    <w:rsid w:val="2DCE59E2"/>
    <w:rsid w:val="2DD224CD"/>
    <w:rsid w:val="2DD5581D"/>
    <w:rsid w:val="2DE22CDE"/>
    <w:rsid w:val="2DE306E2"/>
    <w:rsid w:val="2DE7237C"/>
    <w:rsid w:val="2DEC7B25"/>
    <w:rsid w:val="2DED6635"/>
    <w:rsid w:val="2DEE4499"/>
    <w:rsid w:val="2DF3327C"/>
    <w:rsid w:val="2DF5796E"/>
    <w:rsid w:val="2DF618D9"/>
    <w:rsid w:val="2DFC0C9B"/>
    <w:rsid w:val="2E05557A"/>
    <w:rsid w:val="2E0A2BD1"/>
    <w:rsid w:val="2E0E33F9"/>
    <w:rsid w:val="2E121BEB"/>
    <w:rsid w:val="2E1906B9"/>
    <w:rsid w:val="2E1F2D74"/>
    <w:rsid w:val="2E1F62BE"/>
    <w:rsid w:val="2E202325"/>
    <w:rsid w:val="2E246ACB"/>
    <w:rsid w:val="2E2B2332"/>
    <w:rsid w:val="2E2B2415"/>
    <w:rsid w:val="2E2C45A1"/>
    <w:rsid w:val="2E2E4BCE"/>
    <w:rsid w:val="2E2F26EB"/>
    <w:rsid w:val="2E3C1730"/>
    <w:rsid w:val="2E3E0195"/>
    <w:rsid w:val="2E4272A0"/>
    <w:rsid w:val="2E4308E9"/>
    <w:rsid w:val="2E4C3696"/>
    <w:rsid w:val="2E4F72DE"/>
    <w:rsid w:val="2E554EA6"/>
    <w:rsid w:val="2E61525F"/>
    <w:rsid w:val="2E6A04FD"/>
    <w:rsid w:val="2E6C6A33"/>
    <w:rsid w:val="2E6D4110"/>
    <w:rsid w:val="2E7013E0"/>
    <w:rsid w:val="2E753222"/>
    <w:rsid w:val="2E7807D0"/>
    <w:rsid w:val="2E790D85"/>
    <w:rsid w:val="2E7A7CB1"/>
    <w:rsid w:val="2E7F5D86"/>
    <w:rsid w:val="2E834979"/>
    <w:rsid w:val="2E9066AF"/>
    <w:rsid w:val="2E931830"/>
    <w:rsid w:val="2E9D2CFF"/>
    <w:rsid w:val="2EA116DD"/>
    <w:rsid w:val="2EA37237"/>
    <w:rsid w:val="2EA579A7"/>
    <w:rsid w:val="2EA63E7E"/>
    <w:rsid w:val="2EA84BF2"/>
    <w:rsid w:val="2EAA1AD0"/>
    <w:rsid w:val="2EAC5C40"/>
    <w:rsid w:val="2EAD1DB6"/>
    <w:rsid w:val="2EAF11B1"/>
    <w:rsid w:val="2EB011EC"/>
    <w:rsid w:val="2EB05842"/>
    <w:rsid w:val="2EB06918"/>
    <w:rsid w:val="2EB66431"/>
    <w:rsid w:val="2EB735A9"/>
    <w:rsid w:val="2EBC01BA"/>
    <w:rsid w:val="2EC12C4A"/>
    <w:rsid w:val="2EC4573A"/>
    <w:rsid w:val="2ECC0F67"/>
    <w:rsid w:val="2ECC1DE7"/>
    <w:rsid w:val="2ECF195C"/>
    <w:rsid w:val="2ED44507"/>
    <w:rsid w:val="2ED52CD1"/>
    <w:rsid w:val="2ED71D78"/>
    <w:rsid w:val="2ED776D7"/>
    <w:rsid w:val="2EDA7062"/>
    <w:rsid w:val="2EDA7AB5"/>
    <w:rsid w:val="2EDC75F6"/>
    <w:rsid w:val="2EDD0C91"/>
    <w:rsid w:val="2EE34D2E"/>
    <w:rsid w:val="2EE736D3"/>
    <w:rsid w:val="2EE90820"/>
    <w:rsid w:val="2EF56E81"/>
    <w:rsid w:val="2F060F54"/>
    <w:rsid w:val="2F064CB7"/>
    <w:rsid w:val="2F0C774B"/>
    <w:rsid w:val="2F112DE3"/>
    <w:rsid w:val="2F19365C"/>
    <w:rsid w:val="2F1E002F"/>
    <w:rsid w:val="2F21419F"/>
    <w:rsid w:val="2F245E39"/>
    <w:rsid w:val="2F2D02A8"/>
    <w:rsid w:val="2F306727"/>
    <w:rsid w:val="2F3522EA"/>
    <w:rsid w:val="2F352B97"/>
    <w:rsid w:val="2F3553CF"/>
    <w:rsid w:val="2F357A11"/>
    <w:rsid w:val="2F3959CF"/>
    <w:rsid w:val="2F3A7384"/>
    <w:rsid w:val="2F474FAC"/>
    <w:rsid w:val="2F4C25F7"/>
    <w:rsid w:val="2F50322F"/>
    <w:rsid w:val="2F507D5A"/>
    <w:rsid w:val="2F530222"/>
    <w:rsid w:val="2F627C7A"/>
    <w:rsid w:val="2F653149"/>
    <w:rsid w:val="2F654138"/>
    <w:rsid w:val="2F663C5F"/>
    <w:rsid w:val="2F6960F9"/>
    <w:rsid w:val="2F6A4434"/>
    <w:rsid w:val="2F6C7AAB"/>
    <w:rsid w:val="2F6D5B97"/>
    <w:rsid w:val="2F7E2F02"/>
    <w:rsid w:val="2F7E41CB"/>
    <w:rsid w:val="2F7F3DCA"/>
    <w:rsid w:val="2F7F4647"/>
    <w:rsid w:val="2F8350AD"/>
    <w:rsid w:val="2F8D689B"/>
    <w:rsid w:val="2F912F27"/>
    <w:rsid w:val="2F945431"/>
    <w:rsid w:val="2F961524"/>
    <w:rsid w:val="2F9952B7"/>
    <w:rsid w:val="2F9C7047"/>
    <w:rsid w:val="2FA04A32"/>
    <w:rsid w:val="2FA0612E"/>
    <w:rsid w:val="2FA20284"/>
    <w:rsid w:val="2FA272F3"/>
    <w:rsid w:val="2FA64336"/>
    <w:rsid w:val="2FA7314F"/>
    <w:rsid w:val="2FA843B8"/>
    <w:rsid w:val="2FAF269D"/>
    <w:rsid w:val="2FB06DDD"/>
    <w:rsid w:val="2FB26711"/>
    <w:rsid w:val="2FB4369C"/>
    <w:rsid w:val="2FBD41EE"/>
    <w:rsid w:val="2FC155F6"/>
    <w:rsid w:val="2FC321C8"/>
    <w:rsid w:val="2FC551CE"/>
    <w:rsid w:val="2FC72737"/>
    <w:rsid w:val="2FCF1C1A"/>
    <w:rsid w:val="2FCF4E74"/>
    <w:rsid w:val="2FD40D92"/>
    <w:rsid w:val="2FD516FD"/>
    <w:rsid w:val="2FD7201C"/>
    <w:rsid w:val="2FD76D31"/>
    <w:rsid w:val="2FDF0D0E"/>
    <w:rsid w:val="2FEA0D17"/>
    <w:rsid w:val="2FEB1E9F"/>
    <w:rsid w:val="2FED16E7"/>
    <w:rsid w:val="2FFD5E22"/>
    <w:rsid w:val="30001D5C"/>
    <w:rsid w:val="30002C53"/>
    <w:rsid w:val="300A1030"/>
    <w:rsid w:val="300B2D4B"/>
    <w:rsid w:val="300F5D24"/>
    <w:rsid w:val="301272EB"/>
    <w:rsid w:val="30175BF1"/>
    <w:rsid w:val="301A3A70"/>
    <w:rsid w:val="301D5356"/>
    <w:rsid w:val="30215A7A"/>
    <w:rsid w:val="30216188"/>
    <w:rsid w:val="30284E78"/>
    <w:rsid w:val="302C657B"/>
    <w:rsid w:val="302F2063"/>
    <w:rsid w:val="30342B5B"/>
    <w:rsid w:val="30361585"/>
    <w:rsid w:val="303A3EBD"/>
    <w:rsid w:val="30416EF2"/>
    <w:rsid w:val="30455BCF"/>
    <w:rsid w:val="3046743E"/>
    <w:rsid w:val="3052332D"/>
    <w:rsid w:val="30556E1D"/>
    <w:rsid w:val="30571CBB"/>
    <w:rsid w:val="305A6FA0"/>
    <w:rsid w:val="305C310E"/>
    <w:rsid w:val="305D064C"/>
    <w:rsid w:val="305E1109"/>
    <w:rsid w:val="305F0FBB"/>
    <w:rsid w:val="30633349"/>
    <w:rsid w:val="306E570C"/>
    <w:rsid w:val="30766A39"/>
    <w:rsid w:val="30780926"/>
    <w:rsid w:val="30787681"/>
    <w:rsid w:val="307910F0"/>
    <w:rsid w:val="307D31D1"/>
    <w:rsid w:val="307E162C"/>
    <w:rsid w:val="30860ED9"/>
    <w:rsid w:val="308649BA"/>
    <w:rsid w:val="30872156"/>
    <w:rsid w:val="309107BD"/>
    <w:rsid w:val="30942A4F"/>
    <w:rsid w:val="309E1D99"/>
    <w:rsid w:val="30A315D0"/>
    <w:rsid w:val="30A561BB"/>
    <w:rsid w:val="30A65DBB"/>
    <w:rsid w:val="30A8761B"/>
    <w:rsid w:val="30B241F8"/>
    <w:rsid w:val="30B26121"/>
    <w:rsid w:val="30B90C14"/>
    <w:rsid w:val="30B945E2"/>
    <w:rsid w:val="30B95992"/>
    <w:rsid w:val="30C06B0F"/>
    <w:rsid w:val="30C36555"/>
    <w:rsid w:val="30CA44F3"/>
    <w:rsid w:val="30D243A9"/>
    <w:rsid w:val="30D2750F"/>
    <w:rsid w:val="30D86510"/>
    <w:rsid w:val="30DC6ACD"/>
    <w:rsid w:val="30EA3852"/>
    <w:rsid w:val="30F024AC"/>
    <w:rsid w:val="30F34B4A"/>
    <w:rsid w:val="310024F8"/>
    <w:rsid w:val="31010BE8"/>
    <w:rsid w:val="31012E47"/>
    <w:rsid w:val="31020853"/>
    <w:rsid w:val="31030908"/>
    <w:rsid w:val="31035BE8"/>
    <w:rsid w:val="310B6E84"/>
    <w:rsid w:val="310E6772"/>
    <w:rsid w:val="31121431"/>
    <w:rsid w:val="3113711D"/>
    <w:rsid w:val="311F5D56"/>
    <w:rsid w:val="31240BBF"/>
    <w:rsid w:val="312671FB"/>
    <w:rsid w:val="312B4316"/>
    <w:rsid w:val="312E5E5E"/>
    <w:rsid w:val="3132091B"/>
    <w:rsid w:val="31343A62"/>
    <w:rsid w:val="313D7139"/>
    <w:rsid w:val="31441466"/>
    <w:rsid w:val="31471E27"/>
    <w:rsid w:val="31474F7B"/>
    <w:rsid w:val="314C3890"/>
    <w:rsid w:val="314E34B0"/>
    <w:rsid w:val="31527C34"/>
    <w:rsid w:val="315531D8"/>
    <w:rsid w:val="315947EF"/>
    <w:rsid w:val="315C6FBD"/>
    <w:rsid w:val="31600F98"/>
    <w:rsid w:val="316437CC"/>
    <w:rsid w:val="31704E1E"/>
    <w:rsid w:val="31707887"/>
    <w:rsid w:val="31744352"/>
    <w:rsid w:val="31764937"/>
    <w:rsid w:val="317A128C"/>
    <w:rsid w:val="317B5D12"/>
    <w:rsid w:val="317D4431"/>
    <w:rsid w:val="317E521F"/>
    <w:rsid w:val="318219F4"/>
    <w:rsid w:val="31880E06"/>
    <w:rsid w:val="318A4076"/>
    <w:rsid w:val="318E29B1"/>
    <w:rsid w:val="319A6BE5"/>
    <w:rsid w:val="319C5890"/>
    <w:rsid w:val="31B26DE1"/>
    <w:rsid w:val="31B325FE"/>
    <w:rsid w:val="31BB5152"/>
    <w:rsid w:val="31D3034A"/>
    <w:rsid w:val="31D85C80"/>
    <w:rsid w:val="31DB1C29"/>
    <w:rsid w:val="31E05A94"/>
    <w:rsid w:val="31E33A48"/>
    <w:rsid w:val="31E36D07"/>
    <w:rsid w:val="31E3785F"/>
    <w:rsid w:val="31E60CFE"/>
    <w:rsid w:val="31E94013"/>
    <w:rsid w:val="31EC0213"/>
    <w:rsid w:val="31F26A84"/>
    <w:rsid w:val="31F40EBF"/>
    <w:rsid w:val="31FA7AE4"/>
    <w:rsid w:val="31FC2134"/>
    <w:rsid w:val="31FC3BA3"/>
    <w:rsid w:val="31FF6C94"/>
    <w:rsid w:val="32037175"/>
    <w:rsid w:val="32076F09"/>
    <w:rsid w:val="32121990"/>
    <w:rsid w:val="32147E64"/>
    <w:rsid w:val="321605D6"/>
    <w:rsid w:val="32183C32"/>
    <w:rsid w:val="321E1CCD"/>
    <w:rsid w:val="32202BAC"/>
    <w:rsid w:val="32204D8F"/>
    <w:rsid w:val="32225204"/>
    <w:rsid w:val="32285D0E"/>
    <w:rsid w:val="32295F0C"/>
    <w:rsid w:val="322F2FA1"/>
    <w:rsid w:val="32327C9B"/>
    <w:rsid w:val="32342664"/>
    <w:rsid w:val="323A11BD"/>
    <w:rsid w:val="324004E7"/>
    <w:rsid w:val="32400D63"/>
    <w:rsid w:val="32421A3F"/>
    <w:rsid w:val="324426FE"/>
    <w:rsid w:val="32466B7A"/>
    <w:rsid w:val="3248365E"/>
    <w:rsid w:val="3250495D"/>
    <w:rsid w:val="32533B90"/>
    <w:rsid w:val="3256794D"/>
    <w:rsid w:val="325B5F46"/>
    <w:rsid w:val="325C7836"/>
    <w:rsid w:val="325E3612"/>
    <w:rsid w:val="326304B4"/>
    <w:rsid w:val="32654C69"/>
    <w:rsid w:val="32655C58"/>
    <w:rsid w:val="326C5061"/>
    <w:rsid w:val="32716F47"/>
    <w:rsid w:val="32753EDC"/>
    <w:rsid w:val="32770832"/>
    <w:rsid w:val="3279604F"/>
    <w:rsid w:val="327A5AA2"/>
    <w:rsid w:val="327F7C3D"/>
    <w:rsid w:val="32800CF9"/>
    <w:rsid w:val="32815CDC"/>
    <w:rsid w:val="3282514D"/>
    <w:rsid w:val="32834A74"/>
    <w:rsid w:val="32855C56"/>
    <w:rsid w:val="32865F72"/>
    <w:rsid w:val="32887673"/>
    <w:rsid w:val="328C0346"/>
    <w:rsid w:val="32933F11"/>
    <w:rsid w:val="32956254"/>
    <w:rsid w:val="3299387F"/>
    <w:rsid w:val="32A010A6"/>
    <w:rsid w:val="32B10D88"/>
    <w:rsid w:val="32B36C43"/>
    <w:rsid w:val="32C64066"/>
    <w:rsid w:val="32C74D51"/>
    <w:rsid w:val="32CC32F2"/>
    <w:rsid w:val="32CF1F8C"/>
    <w:rsid w:val="32D27BEE"/>
    <w:rsid w:val="32D435DB"/>
    <w:rsid w:val="32D524DF"/>
    <w:rsid w:val="32DC5C2D"/>
    <w:rsid w:val="32DD4096"/>
    <w:rsid w:val="32DE0A7B"/>
    <w:rsid w:val="32E21F5C"/>
    <w:rsid w:val="32E359C5"/>
    <w:rsid w:val="32E74859"/>
    <w:rsid w:val="32EB719E"/>
    <w:rsid w:val="32EE2A7C"/>
    <w:rsid w:val="32F43194"/>
    <w:rsid w:val="32F5755F"/>
    <w:rsid w:val="32F77477"/>
    <w:rsid w:val="32FB60B0"/>
    <w:rsid w:val="33035BC0"/>
    <w:rsid w:val="33062612"/>
    <w:rsid w:val="330812C9"/>
    <w:rsid w:val="33094E95"/>
    <w:rsid w:val="331002B4"/>
    <w:rsid w:val="33111DAD"/>
    <w:rsid w:val="3312325A"/>
    <w:rsid w:val="33164CA2"/>
    <w:rsid w:val="33194BD6"/>
    <w:rsid w:val="33227F58"/>
    <w:rsid w:val="332D0955"/>
    <w:rsid w:val="332D4F12"/>
    <w:rsid w:val="332F4DDC"/>
    <w:rsid w:val="333301AB"/>
    <w:rsid w:val="333505FF"/>
    <w:rsid w:val="333726AC"/>
    <w:rsid w:val="333B1BA2"/>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779CA"/>
    <w:rsid w:val="33990027"/>
    <w:rsid w:val="339B3801"/>
    <w:rsid w:val="339B750D"/>
    <w:rsid w:val="33A053BF"/>
    <w:rsid w:val="33A97DE2"/>
    <w:rsid w:val="33B15681"/>
    <w:rsid w:val="33B35B4B"/>
    <w:rsid w:val="33BC3413"/>
    <w:rsid w:val="33BE2D7C"/>
    <w:rsid w:val="33BE52C1"/>
    <w:rsid w:val="33BF0645"/>
    <w:rsid w:val="33C87A3B"/>
    <w:rsid w:val="33CC425A"/>
    <w:rsid w:val="33CF6D87"/>
    <w:rsid w:val="33D1362B"/>
    <w:rsid w:val="33D254E6"/>
    <w:rsid w:val="33D8164E"/>
    <w:rsid w:val="33DC3DB3"/>
    <w:rsid w:val="33DE3DF9"/>
    <w:rsid w:val="33DF56D3"/>
    <w:rsid w:val="33E27654"/>
    <w:rsid w:val="33E349B8"/>
    <w:rsid w:val="33E669DE"/>
    <w:rsid w:val="33E72FCB"/>
    <w:rsid w:val="33ED187C"/>
    <w:rsid w:val="33EE7C53"/>
    <w:rsid w:val="33EF1DED"/>
    <w:rsid w:val="33F11657"/>
    <w:rsid w:val="33F21165"/>
    <w:rsid w:val="33F437B7"/>
    <w:rsid w:val="33F85FC9"/>
    <w:rsid w:val="33FF49A2"/>
    <w:rsid w:val="34014087"/>
    <w:rsid w:val="34032A4E"/>
    <w:rsid w:val="34084A2A"/>
    <w:rsid w:val="340C4AC9"/>
    <w:rsid w:val="341262AE"/>
    <w:rsid w:val="341F1A30"/>
    <w:rsid w:val="342000D8"/>
    <w:rsid w:val="3422506D"/>
    <w:rsid w:val="342303BC"/>
    <w:rsid w:val="34267AEA"/>
    <w:rsid w:val="342C2C63"/>
    <w:rsid w:val="342E6630"/>
    <w:rsid w:val="34300EB3"/>
    <w:rsid w:val="343334AC"/>
    <w:rsid w:val="343879D0"/>
    <w:rsid w:val="344100A2"/>
    <w:rsid w:val="344430B3"/>
    <w:rsid w:val="34530E14"/>
    <w:rsid w:val="34562C09"/>
    <w:rsid w:val="345A1477"/>
    <w:rsid w:val="345A6FE9"/>
    <w:rsid w:val="345D372E"/>
    <w:rsid w:val="345F47B3"/>
    <w:rsid w:val="34612406"/>
    <w:rsid w:val="346364AD"/>
    <w:rsid w:val="34696213"/>
    <w:rsid w:val="346E73FC"/>
    <w:rsid w:val="347316A2"/>
    <w:rsid w:val="347623B1"/>
    <w:rsid w:val="34795AAE"/>
    <w:rsid w:val="34797713"/>
    <w:rsid w:val="347D4E83"/>
    <w:rsid w:val="347E3A71"/>
    <w:rsid w:val="34802B3D"/>
    <w:rsid w:val="348034F9"/>
    <w:rsid w:val="34835152"/>
    <w:rsid w:val="3488764F"/>
    <w:rsid w:val="348D5D07"/>
    <w:rsid w:val="34953A04"/>
    <w:rsid w:val="3497180F"/>
    <w:rsid w:val="34982DFD"/>
    <w:rsid w:val="349F098E"/>
    <w:rsid w:val="34A0749C"/>
    <w:rsid w:val="34A15869"/>
    <w:rsid w:val="34A361A8"/>
    <w:rsid w:val="34A74BC5"/>
    <w:rsid w:val="34A92DFF"/>
    <w:rsid w:val="34AF3832"/>
    <w:rsid w:val="34B17CAA"/>
    <w:rsid w:val="34B302A6"/>
    <w:rsid w:val="34B42C11"/>
    <w:rsid w:val="34B53146"/>
    <w:rsid w:val="34B66B76"/>
    <w:rsid w:val="34BA6D44"/>
    <w:rsid w:val="34C6524B"/>
    <w:rsid w:val="34C83C8C"/>
    <w:rsid w:val="34CA51DA"/>
    <w:rsid w:val="34CC7195"/>
    <w:rsid w:val="34D10023"/>
    <w:rsid w:val="34D17786"/>
    <w:rsid w:val="34D47BD7"/>
    <w:rsid w:val="34DD7020"/>
    <w:rsid w:val="34DE5B29"/>
    <w:rsid w:val="34DE7331"/>
    <w:rsid w:val="34E048E7"/>
    <w:rsid w:val="34E24FDF"/>
    <w:rsid w:val="34E30CD9"/>
    <w:rsid w:val="34E31F70"/>
    <w:rsid w:val="34E33DD5"/>
    <w:rsid w:val="34E341B2"/>
    <w:rsid w:val="34E41735"/>
    <w:rsid w:val="34EC030B"/>
    <w:rsid w:val="34EE2084"/>
    <w:rsid w:val="34F91BB5"/>
    <w:rsid w:val="34F9347B"/>
    <w:rsid w:val="34FB1C67"/>
    <w:rsid w:val="34FD1993"/>
    <w:rsid w:val="35005E9A"/>
    <w:rsid w:val="35012268"/>
    <w:rsid w:val="35016DC1"/>
    <w:rsid w:val="3507729A"/>
    <w:rsid w:val="3509169E"/>
    <w:rsid w:val="350E6053"/>
    <w:rsid w:val="35157C46"/>
    <w:rsid w:val="35192B91"/>
    <w:rsid w:val="351A4295"/>
    <w:rsid w:val="351B287B"/>
    <w:rsid w:val="352425C2"/>
    <w:rsid w:val="3524430A"/>
    <w:rsid w:val="352B0014"/>
    <w:rsid w:val="352D2404"/>
    <w:rsid w:val="352F215C"/>
    <w:rsid w:val="352F2524"/>
    <w:rsid w:val="352F71D6"/>
    <w:rsid w:val="35341AA9"/>
    <w:rsid w:val="35370EC2"/>
    <w:rsid w:val="353A7A0E"/>
    <w:rsid w:val="353B0EF6"/>
    <w:rsid w:val="353F0A1C"/>
    <w:rsid w:val="355030F7"/>
    <w:rsid w:val="355E3681"/>
    <w:rsid w:val="35663900"/>
    <w:rsid w:val="35686634"/>
    <w:rsid w:val="35694C0F"/>
    <w:rsid w:val="356A237E"/>
    <w:rsid w:val="357030FD"/>
    <w:rsid w:val="35715820"/>
    <w:rsid w:val="357423CB"/>
    <w:rsid w:val="357F5C75"/>
    <w:rsid w:val="358022F1"/>
    <w:rsid w:val="35802679"/>
    <w:rsid w:val="358435B1"/>
    <w:rsid w:val="35885C28"/>
    <w:rsid w:val="358C4B06"/>
    <w:rsid w:val="358D2DD5"/>
    <w:rsid w:val="3591146B"/>
    <w:rsid w:val="35924104"/>
    <w:rsid w:val="35A52435"/>
    <w:rsid w:val="35A86C1B"/>
    <w:rsid w:val="35A953BD"/>
    <w:rsid w:val="35B1114E"/>
    <w:rsid w:val="35B9690A"/>
    <w:rsid w:val="35C16F5A"/>
    <w:rsid w:val="35C60063"/>
    <w:rsid w:val="35CE3891"/>
    <w:rsid w:val="35D06592"/>
    <w:rsid w:val="35D4059F"/>
    <w:rsid w:val="35D43053"/>
    <w:rsid w:val="35D65BFB"/>
    <w:rsid w:val="35D80A79"/>
    <w:rsid w:val="35DA5367"/>
    <w:rsid w:val="35DB0C4D"/>
    <w:rsid w:val="35DB3448"/>
    <w:rsid w:val="35EA3592"/>
    <w:rsid w:val="35EF1ACE"/>
    <w:rsid w:val="35FA67E7"/>
    <w:rsid w:val="35FB3C7A"/>
    <w:rsid w:val="35FC68AF"/>
    <w:rsid w:val="3603184A"/>
    <w:rsid w:val="360337E6"/>
    <w:rsid w:val="36035715"/>
    <w:rsid w:val="360B0C81"/>
    <w:rsid w:val="360C0353"/>
    <w:rsid w:val="360E0DAB"/>
    <w:rsid w:val="361071E4"/>
    <w:rsid w:val="36146F36"/>
    <w:rsid w:val="36176A1A"/>
    <w:rsid w:val="3619666E"/>
    <w:rsid w:val="361B0FFB"/>
    <w:rsid w:val="361D1595"/>
    <w:rsid w:val="361E3272"/>
    <w:rsid w:val="361F2D66"/>
    <w:rsid w:val="36276CA7"/>
    <w:rsid w:val="3628404A"/>
    <w:rsid w:val="36295C84"/>
    <w:rsid w:val="362A409A"/>
    <w:rsid w:val="362C4441"/>
    <w:rsid w:val="362E13CA"/>
    <w:rsid w:val="363449BC"/>
    <w:rsid w:val="36375CD5"/>
    <w:rsid w:val="36383DCF"/>
    <w:rsid w:val="36395F34"/>
    <w:rsid w:val="363C4EA0"/>
    <w:rsid w:val="363D6A73"/>
    <w:rsid w:val="36402D8B"/>
    <w:rsid w:val="3641368B"/>
    <w:rsid w:val="3642681F"/>
    <w:rsid w:val="3643134A"/>
    <w:rsid w:val="36461547"/>
    <w:rsid w:val="364843D5"/>
    <w:rsid w:val="3652617C"/>
    <w:rsid w:val="36541A28"/>
    <w:rsid w:val="36546567"/>
    <w:rsid w:val="36574AFE"/>
    <w:rsid w:val="36591ABD"/>
    <w:rsid w:val="365D0F1F"/>
    <w:rsid w:val="365D49F1"/>
    <w:rsid w:val="36641AD2"/>
    <w:rsid w:val="36646F76"/>
    <w:rsid w:val="366570F7"/>
    <w:rsid w:val="3666261F"/>
    <w:rsid w:val="366A0349"/>
    <w:rsid w:val="366E3295"/>
    <w:rsid w:val="3675224A"/>
    <w:rsid w:val="36756DF9"/>
    <w:rsid w:val="367A38B8"/>
    <w:rsid w:val="367B0FF4"/>
    <w:rsid w:val="368F62A8"/>
    <w:rsid w:val="36936857"/>
    <w:rsid w:val="36982A42"/>
    <w:rsid w:val="369A308D"/>
    <w:rsid w:val="369E5BD7"/>
    <w:rsid w:val="369F25E5"/>
    <w:rsid w:val="36A77E02"/>
    <w:rsid w:val="36AB024A"/>
    <w:rsid w:val="36AE40E6"/>
    <w:rsid w:val="36AF6A5A"/>
    <w:rsid w:val="36AF78C9"/>
    <w:rsid w:val="36B121AB"/>
    <w:rsid w:val="36B14D27"/>
    <w:rsid w:val="36B22808"/>
    <w:rsid w:val="36B31E3D"/>
    <w:rsid w:val="36B52D7C"/>
    <w:rsid w:val="36C53040"/>
    <w:rsid w:val="36C565F7"/>
    <w:rsid w:val="36CA0E23"/>
    <w:rsid w:val="36CF0743"/>
    <w:rsid w:val="36DC5C06"/>
    <w:rsid w:val="36E11F07"/>
    <w:rsid w:val="36E31C1E"/>
    <w:rsid w:val="36E46E85"/>
    <w:rsid w:val="36E85F1D"/>
    <w:rsid w:val="36F27CC4"/>
    <w:rsid w:val="36FA64BE"/>
    <w:rsid w:val="37045A7D"/>
    <w:rsid w:val="37096587"/>
    <w:rsid w:val="370A6345"/>
    <w:rsid w:val="370F6DFA"/>
    <w:rsid w:val="371042D3"/>
    <w:rsid w:val="37135516"/>
    <w:rsid w:val="3713567C"/>
    <w:rsid w:val="37190A9F"/>
    <w:rsid w:val="371C50BE"/>
    <w:rsid w:val="371C513B"/>
    <w:rsid w:val="371F6089"/>
    <w:rsid w:val="37240372"/>
    <w:rsid w:val="37290B8B"/>
    <w:rsid w:val="372E1FA7"/>
    <w:rsid w:val="37312C93"/>
    <w:rsid w:val="37340428"/>
    <w:rsid w:val="37372016"/>
    <w:rsid w:val="373A783C"/>
    <w:rsid w:val="373C5949"/>
    <w:rsid w:val="373D070E"/>
    <w:rsid w:val="37401CA1"/>
    <w:rsid w:val="37470BC4"/>
    <w:rsid w:val="37530E08"/>
    <w:rsid w:val="3754662E"/>
    <w:rsid w:val="375F55B3"/>
    <w:rsid w:val="376113B4"/>
    <w:rsid w:val="376161AB"/>
    <w:rsid w:val="376163AC"/>
    <w:rsid w:val="37620748"/>
    <w:rsid w:val="376904C3"/>
    <w:rsid w:val="37690531"/>
    <w:rsid w:val="376D2DD9"/>
    <w:rsid w:val="3773597D"/>
    <w:rsid w:val="3776166A"/>
    <w:rsid w:val="37766721"/>
    <w:rsid w:val="37772F2B"/>
    <w:rsid w:val="377A149C"/>
    <w:rsid w:val="377B30BA"/>
    <w:rsid w:val="377F0D0E"/>
    <w:rsid w:val="37817445"/>
    <w:rsid w:val="378833B5"/>
    <w:rsid w:val="378A672E"/>
    <w:rsid w:val="378F6C2A"/>
    <w:rsid w:val="3793472C"/>
    <w:rsid w:val="379D211A"/>
    <w:rsid w:val="379E09C2"/>
    <w:rsid w:val="379E10B9"/>
    <w:rsid w:val="379F0BBA"/>
    <w:rsid w:val="37A34B09"/>
    <w:rsid w:val="37A752F6"/>
    <w:rsid w:val="37AA27A7"/>
    <w:rsid w:val="37AB4059"/>
    <w:rsid w:val="37AC2532"/>
    <w:rsid w:val="37AE474D"/>
    <w:rsid w:val="37AE6E79"/>
    <w:rsid w:val="37B043DC"/>
    <w:rsid w:val="37B37ED1"/>
    <w:rsid w:val="37B55FE8"/>
    <w:rsid w:val="37B92013"/>
    <w:rsid w:val="37B93353"/>
    <w:rsid w:val="37C16BAC"/>
    <w:rsid w:val="37C66FC5"/>
    <w:rsid w:val="37CB5EA9"/>
    <w:rsid w:val="37CE60D7"/>
    <w:rsid w:val="37CF5A51"/>
    <w:rsid w:val="37E17697"/>
    <w:rsid w:val="37E909EA"/>
    <w:rsid w:val="37E961EE"/>
    <w:rsid w:val="37EA4668"/>
    <w:rsid w:val="37ED2203"/>
    <w:rsid w:val="37ED4DF0"/>
    <w:rsid w:val="37F25B05"/>
    <w:rsid w:val="37F61EA2"/>
    <w:rsid w:val="37FC2195"/>
    <w:rsid w:val="37FF30FF"/>
    <w:rsid w:val="38004958"/>
    <w:rsid w:val="3802105F"/>
    <w:rsid w:val="38066889"/>
    <w:rsid w:val="380E2BE8"/>
    <w:rsid w:val="38110CE3"/>
    <w:rsid w:val="38153EC9"/>
    <w:rsid w:val="381649B9"/>
    <w:rsid w:val="381B71A3"/>
    <w:rsid w:val="381F2660"/>
    <w:rsid w:val="38272CB3"/>
    <w:rsid w:val="382B3962"/>
    <w:rsid w:val="382F236C"/>
    <w:rsid w:val="382F7DD9"/>
    <w:rsid w:val="383502E2"/>
    <w:rsid w:val="38385C8E"/>
    <w:rsid w:val="383C0BE1"/>
    <w:rsid w:val="383D08F2"/>
    <w:rsid w:val="38457E07"/>
    <w:rsid w:val="38492A12"/>
    <w:rsid w:val="384D1D1B"/>
    <w:rsid w:val="38590130"/>
    <w:rsid w:val="38652F10"/>
    <w:rsid w:val="386E2A74"/>
    <w:rsid w:val="38710F80"/>
    <w:rsid w:val="38724B02"/>
    <w:rsid w:val="387A5BBF"/>
    <w:rsid w:val="38802A74"/>
    <w:rsid w:val="38854931"/>
    <w:rsid w:val="38876662"/>
    <w:rsid w:val="38885623"/>
    <w:rsid w:val="389350E9"/>
    <w:rsid w:val="389B53C4"/>
    <w:rsid w:val="389C7DAA"/>
    <w:rsid w:val="389E4CFE"/>
    <w:rsid w:val="38A06535"/>
    <w:rsid w:val="38A41AAD"/>
    <w:rsid w:val="38A856AE"/>
    <w:rsid w:val="38A913DF"/>
    <w:rsid w:val="38A95F29"/>
    <w:rsid w:val="38B61F16"/>
    <w:rsid w:val="38B83CC2"/>
    <w:rsid w:val="38BC1DE1"/>
    <w:rsid w:val="38C263D5"/>
    <w:rsid w:val="38C33D3C"/>
    <w:rsid w:val="38C4653E"/>
    <w:rsid w:val="38C762AF"/>
    <w:rsid w:val="38C86830"/>
    <w:rsid w:val="38C94A1D"/>
    <w:rsid w:val="38CF6F59"/>
    <w:rsid w:val="38D17722"/>
    <w:rsid w:val="38D40BFF"/>
    <w:rsid w:val="38DC462B"/>
    <w:rsid w:val="38DE606C"/>
    <w:rsid w:val="38E012A6"/>
    <w:rsid w:val="38E3534F"/>
    <w:rsid w:val="38E4364B"/>
    <w:rsid w:val="38EB3F39"/>
    <w:rsid w:val="38EB5B4E"/>
    <w:rsid w:val="38F10FEB"/>
    <w:rsid w:val="38F265C1"/>
    <w:rsid w:val="38F3141E"/>
    <w:rsid w:val="38F73064"/>
    <w:rsid w:val="38F7318E"/>
    <w:rsid w:val="38FC0896"/>
    <w:rsid w:val="39051112"/>
    <w:rsid w:val="390B0301"/>
    <w:rsid w:val="390B693E"/>
    <w:rsid w:val="390B6DE3"/>
    <w:rsid w:val="390E0D75"/>
    <w:rsid w:val="390E6F27"/>
    <w:rsid w:val="39137B43"/>
    <w:rsid w:val="39141293"/>
    <w:rsid w:val="39142B3D"/>
    <w:rsid w:val="39193EEF"/>
    <w:rsid w:val="39195E60"/>
    <w:rsid w:val="391D0413"/>
    <w:rsid w:val="39206236"/>
    <w:rsid w:val="39222C6C"/>
    <w:rsid w:val="392A3D35"/>
    <w:rsid w:val="392B4BCD"/>
    <w:rsid w:val="39303757"/>
    <w:rsid w:val="393079B7"/>
    <w:rsid w:val="39347D2C"/>
    <w:rsid w:val="393974FA"/>
    <w:rsid w:val="393C3933"/>
    <w:rsid w:val="393D3862"/>
    <w:rsid w:val="393E7AFF"/>
    <w:rsid w:val="3941584A"/>
    <w:rsid w:val="39454EB7"/>
    <w:rsid w:val="394A08DF"/>
    <w:rsid w:val="394E365F"/>
    <w:rsid w:val="39505EAC"/>
    <w:rsid w:val="39540564"/>
    <w:rsid w:val="395534D5"/>
    <w:rsid w:val="39564D73"/>
    <w:rsid w:val="395E3BA2"/>
    <w:rsid w:val="395E59EA"/>
    <w:rsid w:val="396025E2"/>
    <w:rsid w:val="39623F6A"/>
    <w:rsid w:val="39643E1A"/>
    <w:rsid w:val="39657013"/>
    <w:rsid w:val="396B3238"/>
    <w:rsid w:val="3975778F"/>
    <w:rsid w:val="3977143D"/>
    <w:rsid w:val="397B46A4"/>
    <w:rsid w:val="397B51C6"/>
    <w:rsid w:val="397F4FF3"/>
    <w:rsid w:val="39815A0D"/>
    <w:rsid w:val="39844B4C"/>
    <w:rsid w:val="39867D9B"/>
    <w:rsid w:val="398701BB"/>
    <w:rsid w:val="398E23FA"/>
    <w:rsid w:val="39905582"/>
    <w:rsid w:val="399166EB"/>
    <w:rsid w:val="39920034"/>
    <w:rsid w:val="39923F4F"/>
    <w:rsid w:val="39946C1A"/>
    <w:rsid w:val="3995183B"/>
    <w:rsid w:val="39965487"/>
    <w:rsid w:val="399834AF"/>
    <w:rsid w:val="399B6515"/>
    <w:rsid w:val="399C2E82"/>
    <w:rsid w:val="399C796E"/>
    <w:rsid w:val="399D3EA7"/>
    <w:rsid w:val="39A0054A"/>
    <w:rsid w:val="39AA17C3"/>
    <w:rsid w:val="39AE5AA9"/>
    <w:rsid w:val="39B56641"/>
    <w:rsid w:val="39B573C9"/>
    <w:rsid w:val="39BA76A0"/>
    <w:rsid w:val="39BB4354"/>
    <w:rsid w:val="39C2102B"/>
    <w:rsid w:val="39C87EF3"/>
    <w:rsid w:val="39CA411B"/>
    <w:rsid w:val="39D45A96"/>
    <w:rsid w:val="39DD1893"/>
    <w:rsid w:val="39DD4B5B"/>
    <w:rsid w:val="39DE2EDF"/>
    <w:rsid w:val="39E66B65"/>
    <w:rsid w:val="39E80AD3"/>
    <w:rsid w:val="39EA4643"/>
    <w:rsid w:val="39EE7E69"/>
    <w:rsid w:val="39F579C0"/>
    <w:rsid w:val="39FC048C"/>
    <w:rsid w:val="39FC1B8D"/>
    <w:rsid w:val="3A044468"/>
    <w:rsid w:val="3A066FC9"/>
    <w:rsid w:val="3A0E15DA"/>
    <w:rsid w:val="3A0F4B50"/>
    <w:rsid w:val="3A0F5361"/>
    <w:rsid w:val="3A16079B"/>
    <w:rsid w:val="3A1D3F5D"/>
    <w:rsid w:val="3A1D43CC"/>
    <w:rsid w:val="3A237F2E"/>
    <w:rsid w:val="3A2B28B1"/>
    <w:rsid w:val="3A2D354F"/>
    <w:rsid w:val="3A2D7FD2"/>
    <w:rsid w:val="3A4045BF"/>
    <w:rsid w:val="3A421264"/>
    <w:rsid w:val="3A4829FF"/>
    <w:rsid w:val="3A4D75BB"/>
    <w:rsid w:val="3A526E97"/>
    <w:rsid w:val="3A5D0978"/>
    <w:rsid w:val="3A5E1917"/>
    <w:rsid w:val="3A5E74E3"/>
    <w:rsid w:val="3A706C65"/>
    <w:rsid w:val="3A75224D"/>
    <w:rsid w:val="3A75427C"/>
    <w:rsid w:val="3A7A7125"/>
    <w:rsid w:val="3A8474CB"/>
    <w:rsid w:val="3A8B40B7"/>
    <w:rsid w:val="3A917BDF"/>
    <w:rsid w:val="3A943104"/>
    <w:rsid w:val="3A950106"/>
    <w:rsid w:val="3A972235"/>
    <w:rsid w:val="3A9951F7"/>
    <w:rsid w:val="3A9F0094"/>
    <w:rsid w:val="3A9F60B0"/>
    <w:rsid w:val="3AA36500"/>
    <w:rsid w:val="3AA627C4"/>
    <w:rsid w:val="3AA77216"/>
    <w:rsid w:val="3AA822BB"/>
    <w:rsid w:val="3AAB4A2F"/>
    <w:rsid w:val="3AAB4C7D"/>
    <w:rsid w:val="3AAD7FA8"/>
    <w:rsid w:val="3AAF1C6F"/>
    <w:rsid w:val="3AB25874"/>
    <w:rsid w:val="3AB30469"/>
    <w:rsid w:val="3AB574C9"/>
    <w:rsid w:val="3AB75A66"/>
    <w:rsid w:val="3AB76063"/>
    <w:rsid w:val="3ABA0476"/>
    <w:rsid w:val="3AC20023"/>
    <w:rsid w:val="3AC257F8"/>
    <w:rsid w:val="3AC60B38"/>
    <w:rsid w:val="3AC70D44"/>
    <w:rsid w:val="3ACE3DC8"/>
    <w:rsid w:val="3AD33E0E"/>
    <w:rsid w:val="3AD6560D"/>
    <w:rsid w:val="3AD71199"/>
    <w:rsid w:val="3ADD26B5"/>
    <w:rsid w:val="3ADD46E4"/>
    <w:rsid w:val="3ADF7E46"/>
    <w:rsid w:val="3AE634C2"/>
    <w:rsid w:val="3AE76D1F"/>
    <w:rsid w:val="3AEA26C9"/>
    <w:rsid w:val="3AEB5D6E"/>
    <w:rsid w:val="3AEB72D8"/>
    <w:rsid w:val="3AEE5E4E"/>
    <w:rsid w:val="3AF00550"/>
    <w:rsid w:val="3AF20562"/>
    <w:rsid w:val="3AF642A7"/>
    <w:rsid w:val="3AF77E9E"/>
    <w:rsid w:val="3AF86FA8"/>
    <w:rsid w:val="3AFB7C6B"/>
    <w:rsid w:val="3AFC6F15"/>
    <w:rsid w:val="3B003BC7"/>
    <w:rsid w:val="3B005D39"/>
    <w:rsid w:val="3B0277D2"/>
    <w:rsid w:val="3B027CA5"/>
    <w:rsid w:val="3B073E93"/>
    <w:rsid w:val="3B120994"/>
    <w:rsid w:val="3B120DF1"/>
    <w:rsid w:val="3B124F8D"/>
    <w:rsid w:val="3B141786"/>
    <w:rsid w:val="3B154660"/>
    <w:rsid w:val="3B1A12EE"/>
    <w:rsid w:val="3B1D3148"/>
    <w:rsid w:val="3B2468BE"/>
    <w:rsid w:val="3B264AAD"/>
    <w:rsid w:val="3B361F6E"/>
    <w:rsid w:val="3B385E12"/>
    <w:rsid w:val="3B3E2624"/>
    <w:rsid w:val="3B456F34"/>
    <w:rsid w:val="3B4B6F69"/>
    <w:rsid w:val="3B523060"/>
    <w:rsid w:val="3B524C85"/>
    <w:rsid w:val="3B5D50F9"/>
    <w:rsid w:val="3B5F0356"/>
    <w:rsid w:val="3B5F41EE"/>
    <w:rsid w:val="3B6257D1"/>
    <w:rsid w:val="3B672946"/>
    <w:rsid w:val="3B691D3C"/>
    <w:rsid w:val="3B6C320A"/>
    <w:rsid w:val="3B6C3950"/>
    <w:rsid w:val="3B6D625C"/>
    <w:rsid w:val="3B6E7199"/>
    <w:rsid w:val="3B712133"/>
    <w:rsid w:val="3B724620"/>
    <w:rsid w:val="3B755751"/>
    <w:rsid w:val="3B773C0E"/>
    <w:rsid w:val="3B8B6CAA"/>
    <w:rsid w:val="3B926520"/>
    <w:rsid w:val="3B97548F"/>
    <w:rsid w:val="3B975929"/>
    <w:rsid w:val="3B9A1857"/>
    <w:rsid w:val="3B9D7909"/>
    <w:rsid w:val="3BA343B0"/>
    <w:rsid w:val="3BA408C7"/>
    <w:rsid w:val="3BA75A56"/>
    <w:rsid w:val="3BA75BF3"/>
    <w:rsid w:val="3BAB6064"/>
    <w:rsid w:val="3BB3038C"/>
    <w:rsid w:val="3BB673E4"/>
    <w:rsid w:val="3BBA7FBF"/>
    <w:rsid w:val="3BBC1DF4"/>
    <w:rsid w:val="3BBF5C68"/>
    <w:rsid w:val="3BC06023"/>
    <w:rsid w:val="3BC369E8"/>
    <w:rsid w:val="3BC6077A"/>
    <w:rsid w:val="3BC70973"/>
    <w:rsid w:val="3BCC1641"/>
    <w:rsid w:val="3BCD2809"/>
    <w:rsid w:val="3BCF534D"/>
    <w:rsid w:val="3BD078F2"/>
    <w:rsid w:val="3BD559A6"/>
    <w:rsid w:val="3BD936AB"/>
    <w:rsid w:val="3BDA48BA"/>
    <w:rsid w:val="3BDF69B4"/>
    <w:rsid w:val="3BE7184E"/>
    <w:rsid w:val="3BE77B81"/>
    <w:rsid w:val="3BEC0515"/>
    <w:rsid w:val="3BF35840"/>
    <w:rsid w:val="3BF613A8"/>
    <w:rsid w:val="3BF73C78"/>
    <w:rsid w:val="3BF97D4E"/>
    <w:rsid w:val="3C032EFE"/>
    <w:rsid w:val="3C112141"/>
    <w:rsid w:val="3C115781"/>
    <w:rsid w:val="3C1367BD"/>
    <w:rsid w:val="3C17152E"/>
    <w:rsid w:val="3C183C90"/>
    <w:rsid w:val="3C1F6464"/>
    <w:rsid w:val="3C2239FF"/>
    <w:rsid w:val="3C283702"/>
    <w:rsid w:val="3C292F38"/>
    <w:rsid w:val="3C3C2358"/>
    <w:rsid w:val="3C3E46FA"/>
    <w:rsid w:val="3C40045A"/>
    <w:rsid w:val="3C410B1E"/>
    <w:rsid w:val="3C4661A3"/>
    <w:rsid w:val="3C4749EB"/>
    <w:rsid w:val="3C4D4C80"/>
    <w:rsid w:val="3C5535EC"/>
    <w:rsid w:val="3C56711C"/>
    <w:rsid w:val="3C603383"/>
    <w:rsid w:val="3C622A80"/>
    <w:rsid w:val="3C682163"/>
    <w:rsid w:val="3C6E0147"/>
    <w:rsid w:val="3C7522B5"/>
    <w:rsid w:val="3C80292A"/>
    <w:rsid w:val="3C803288"/>
    <w:rsid w:val="3C83168D"/>
    <w:rsid w:val="3C8750C1"/>
    <w:rsid w:val="3C884BA3"/>
    <w:rsid w:val="3C8A5FFE"/>
    <w:rsid w:val="3C8B7ABE"/>
    <w:rsid w:val="3C8E46A3"/>
    <w:rsid w:val="3C8E5535"/>
    <w:rsid w:val="3C91441F"/>
    <w:rsid w:val="3C914C27"/>
    <w:rsid w:val="3C936023"/>
    <w:rsid w:val="3C9420CA"/>
    <w:rsid w:val="3C96708B"/>
    <w:rsid w:val="3C993F9C"/>
    <w:rsid w:val="3CA42C7D"/>
    <w:rsid w:val="3CB509EF"/>
    <w:rsid w:val="3CB74EBB"/>
    <w:rsid w:val="3CBB5EAE"/>
    <w:rsid w:val="3CBC56FE"/>
    <w:rsid w:val="3CBF4A2B"/>
    <w:rsid w:val="3CC62F0A"/>
    <w:rsid w:val="3CC646B1"/>
    <w:rsid w:val="3CC746A3"/>
    <w:rsid w:val="3CCA6C4E"/>
    <w:rsid w:val="3CD7386F"/>
    <w:rsid w:val="3CD8611F"/>
    <w:rsid w:val="3CDB07AE"/>
    <w:rsid w:val="3CE176B1"/>
    <w:rsid w:val="3CE63CD8"/>
    <w:rsid w:val="3CF028E1"/>
    <w:rsid w:val="3CF04ECB"/>
    <w:rsid w:val="3CF136D6"/>
    <w:rsid w:val="3CF35BB1"/>
    <w:rsid w:val="3CF4787E"/>
    <w:rsid w:val="3CF47EA3"/>
    <w:rsid w:val="3CF5126B"/>
    <w:rsid w:val="3D040EBB"/>
    <w:rsid w:val="3D0916BD"/>
    <w:rsid w:val="3D0B6672"/>
    <w:rsid w:val="3D0E2B9E"/>
    <w:rsid w:val="3D0F0CA3"/>
    <w:rsid w:val="3D126922"/>
    <w:rsid w:val="3D1442E8"/>
    <w:rsid w:val="3D1C5F57"/>
    <w:rsid w:val="3D1D63F2"/>
    <w:rsid w:val="3D22507F"/>
    <w:rsid w:val="3D2A041E"/>
    <w:rsid w:val="3D2A28C8"/>
    <w:rsid w:val="3D2B7EBC"/>
    <w:rsid w:val="3D2E1F29"/>
    <w:rsid w:val="3D411577"/>
    <w:rsid w:val="3D4272C4"/>
    <w:rsid w:val="3D470C74"/>
    <w:rsid w:val="3D49282B"/>
    <w:rsid w:val="3D496987"/>
    <w:rsid w:val="3D4B7AF5"/>
    <w:rsid w:val="3D4C0A1A"/>
    <w:rsid w:val="3D4C39CC"/>
    <w:rsid w:val="3D551F3C"/>
    <w:rsid w:val="3D56594E"/>
    <w:rsid w:val="3D5B0C87"/>
    <w:rsid w:val="3D5C4BDC"/>
    <w:rsid w:val="3D61296D"/>
    <w:rsid w:val="3D61395B"/>
    <w:rsid w:val="3D6B65F6"/>
    <w:rsid w:val="3D6F475A"/>
    <w:rsid w:val="3D713608"/>
    <w:rsid w:val="3D72206F"/>
    <w:rsid w:val="3D760EEB"/>
    <w:rsid w:val="3D7701A0"/>
    <w:rsid w:val="3D797698"/>
    <w:rsid w:val="3D7B3CD0"/>
    <w:rsid w:val="3D850726"/>
    <w:rsid w:val="3D87083D"/>
    <w:rsid w:val="3D8A1955"/>
    <w:rsid w:val="3D8B6FE3"/>
    <w:rsid w:val="3D8E3A72"/>
    <w:rsid w:val="3D90677F"/>
    <w:rsid w:val="3D940238"/>
    <w:rsid w:val="3D981173"/>
    <w:rsid w:val="3D9833CE"/>
    <w:rsid w:val="3D9A7B4F"/>
    <w:rsid w:val="3D9A7F7C"/>
    <w:rsid w:val="3D9B5082"/>
    <w:rsid w:val="3D9E787A"/>
    <w:rsid w:val="3DA21C89"/>
    <w:rsid w:val="3DA94E14"/>
    <w:rsid w:val="3DAA4063"/>
    <w:rsid w:val="3DAB1975"/>
    <w:rsid w:val="3DAE294A"/>
    <w:rsid w:val="3DB374B6"/>
    <w:rsid w:val="3DB525A0"/>
    <w:rsid w:val="3DBF7329"/>
    <w:rsid w:val="3DC26AB2"/>
    <w:rsid w:val="3DCB6A74"/>
    <w:rsid w:val="3DCE05EE"/>
    <w:rsid w:val="3DCE2CAE"/>
    <w:rsid w:val="3DD024E6"/>
    <w:rsid w:val="3DD21338"/>
    <w:rsid w:val="3DD34DED"/>
    <w:rsid w:val="3DD3766A"/>
    <w:rsid w:val="3DD91A60"/>
    <w:rsid w:val="3DDA6A07"/>
    <w:rsid w:val="3DE2199A"/>
    <w:rsid w:val="3DE40378"/>
    <w:rsid w:val="3DEC0709"/>
    <w:rsid w:val="3DF54B6D"/>
    <w:rsid w:val="3DF64E66"/>
    <w:rsid w:val="3DF7034B"/>
    <w:rsid w:val="3DF71458"/>
    <w:rsid w:val="3DF75FD5"/>
    <w:rsid w:val="3DFB441D"/>
    <w:rsid w:val="3DFF1F7C"/>
    <w:rsid w:val="3E0360C6"/>
    <w:rsid w:val="3E0B5C5E"/>
    <w:rsid w:val="3E0F1D0B"/>
    <w:rsid w:val="3E187E24"/>
    <w:rsid w:val="3E1A2467"/>
    <w:rsid w:val="3E1B0C1A"/>
    <w:rsid w:val="3E205C21"/>
    <w:rsid w:val="3E2143F9"/>
    <w:rsid w:val="3E241A43"/>
    <w:rsid w:val="3E272866"/>
    <w:rsid w:val="3E2944B3"/>
    <w:rsid w:val="3E2D3CBB"/>
    <w:rsid w:val="3E31273D"/>
    <w:rsid w:val="3E3A1A77"/>
    <w:rsid w:val="3E3E2A82"/>
    <w:rsid w:val="3E412727"/>
    <w:rsid w:val="3E457049"/>
    <w:rsid w:val="3E471B21"/>
    <w:rsid w:val="3E492FED"/>
    <w:rsid w:val="3E4C363B"/>
    <w:rsid w:val="3E4C5E37"/>
    <w:rsid w:val="3E4F464F"/>
    <w:rsid w:val="3E536155"/>
    <w:rsid w:val="3E550B99"/>
    <w:rsid w:val="3E561EB2"/>
    <w:rsid w:val="3E576060"/>
    <w:rsid w:val="3E625D19"/>
    <w:rsid w:val="3E6601F2"/>
    <w:rsid w:val="3E67340B"/>
    <w:rsid w:val="3E681A67"/>
    <w:rsid w:val="3E710EC6"/>
    <w:rsid w:val="3E7C1773"/>
    <w:rsid w:val="3E7E69A2"/>
    <w:rsid w:val="3E806392"/>
    <w:rsid w:val="3E835DCC"/>
    <w:rsid w:val="3E84292B"/>
    <w:rsid w:val="3E845950"/>
    <w:rsid w:val="3E870CD8"/>
    <w:rsid w:val="3E9C3CA2"/>
    <w:rsid w:val="3E9E523D"/>
    <w:rsid w:val="3EA501C9"/>
    <w:rsid w:val="3EA572B9"/>
    <w:rsid w:val="3EAA7DAC"/>
    <w:rsid w:val="3EAE11B3"/>
    <w:rsid w:val="3EB03CA6"/>
    <w:rsid w:val="3EB14609"/>
    <w:rsid w:val="3EB239C1"/>
    <w:rsid w:val="3EB46AAA"/>
    <w:rsid w:val="3EB65C36"/>
    <w:rsid w:val="3EB72429"/>
    <w:rsid w:val="3EBD2A6C"/>
    <w:rsid w:val="3EBD2B0D"/>
    <w:rsid w:val="3EC27FA3"/>
    <w:rsid w:val="3EC638C8"/>
    <w:rsid w:val="3ED106C4"/>
    <w:rsid w:val="3ED474BB"/>
    <w:rsid w:val="3ED82E9F"/>
    <w:rsid w:val="3EDB00E4"/>
    <w:rsid w:val="3EDF2B9E"/>
    <w:rsid w:val="3EDF6DA9"/>
    <w:rsid w:val="3EE06BDE"/>
    <w:rsid w:val="3EE117FE"/>
    <w:rsid w:val="3EE11B18"/>
    <w:rsid w:val="3EE207AE"/>
    <w:rsid w:val="3EE416FC"/>
    <w:rsid w:val="3EE50194"/>
    <w:rsid w:val="3EE92838"/>
    <w:rsid w:val="3EEA117C"/>
    <w:rsid w:val="3EEB00AB"/>
    <w:rsid w:val="3EED2218"/>
    <w:rsid w:val="3EEE5A25"/>
    <w:rsid w:val="3EF353FF"/>
    <w:rsid w:val="3EF93EF2"/>
    <w:rsid w:val="3EFB09F5"/>
    <w:rsid w:val="3EFD0EAF"/>
    <w:rsid w:val="3EFE150C"/>
    <w:rsid w:val="3EFF15A9"/>
    <w:rsid w:val="3F0343A7"/>
    <w:rsid w:val="3F067ABF"/>
    <w:rsid w:val="3F0820B8"/>
    <w:rsid w:val="3F0B6FCF"/>
    <w:rsid w:val="3F105341"/>
    <w:rsid w:val="3F155627"/>
    <w:rsid w:val="3F1718FD"/>
    <w:rsid w:val="3F1C23EC"/>
    <w:rsid w:val="3F284738"/>
    <w:rsid w:val="3F2944CE"/>
    <w:rsid w:val="3F2E619B"/>
    <w:rsid w:val="3F30039C"/>
    <w:rsid w:val="3F3007E1"/>
    <w:rsid w:val="3F300CE5"/>
    <w:rsid w:val="3F350AFB"/>
    <w:rsid w:val="3F367683"/>
    <w:rsid w:val="3F38075E"/>
    <w:rsid w:val="3F3A4ADF"/>
    <w:rsid w:val="3F3F17C3"/>
    <w:rsid w:val="3F3F64F2"/>
    <w:rsid w:val="3F423A83"/>
    <w:rsid w:val="3F4440F1"/>
    <w:rsid w:val="3F4507E3"/>
    <w:rsid w:val="3F477D92"/>
    <w:rsid w:val="3F4E4CBD"/>
    <w:rsid w:val="3F4E59AB"/>
    <w:rsid w:val="3F5E01B9"/>
    <w:rsid w:val="3F5E16AD"/>
    <w:rsid w:val="3F613F1A"/>
    <w:rsid w:val="3F63067F"/>
    <w:rsid w:val="3F692368"/>
    <w:rsid w:val="3F6F6438"/>
    <w:rsid w:val="3F723239"/>
    <w:rsid w:val="3F757288"/>
    <w:rsid w:val="3F7647BE"/>
    <w:rsid w:val="3F820783"/>
    <w:rsid w:val="3F844911"/>
    <w:rsid w:val="3F867444"/>
    <w:rsid w:val="3F8921D3"/>
    <w:rsid w:val="3F8A770C"/>
    <w:rsid w:val="3F9361A0"/>
    <w:rsid w:val="3F9B4224"/>
    <w:rsid w:val="3F9C0DD8"/>
    <w:rsid w:val="3F9C7D87"/>
    <w:rsid w:val="3F9D1B79"/>
    <w:rsid w:val="3F9E0E59"/>
    <w:rsid w:val="3FA00646"/>
    <w:rsid w:val="3FA05B97"/>
    <w:rsid w:val="3FA501FC"/>
    <w:rsid w:val="3FA64A0D"/>
    <w:rsid w:val="3FAC32A0"/>
    <w:rsid w:val="3FB31BB8"/>
    <w:rsid w:val="3FB34CCA"/>
    <w:rsid w:val="3FB84B5C"/>
    <w:rsid w:val="3FB92CBB"/>
    <w:rsid w:val="3FCA764B"/>
    <w:rsid w:val="3FCC1562"/>
    <w:rsid w:val="3FCD674C"/>
    <w:rsid w:val="3FCE1219"/>
    <w:rsid w:val="3FD601AA"/>
    <w:rsid w:val="3FE130D8"/>
    <w:rsid w:val="3FE744EF"/>
    <w:rsid w:val="3FE97952"/>
    <w:rsid w:val="3FEE3737"/>
    <w:rsid w:val="3FEF3727"/>
    <w:rsid w:val="3FF21D03"/>
    <w:rsid w:val="3FF96283"/>
    <w:rsid w:val="3FFC656D"/>
    <w:rsid w:val="40035F32"/>
    <w:rsid w:val="40063829"/>
    <w:rsid w:val="400845A5"/>
    <w:rsid w:val="400A26F9"/>
    <w:rsid w:val="400A45DF"/>
    <w:rsid w:val="400D6250"/>
    <w:rsid w:val="400E78B7"/>
    <w:rsid w:val="400F0A36"/>
    <w:rsid w:val="40123638"/>
    <w:rsid w:val="40130BEB"/>
    <w:rsid w:val="40196777"/>
    <w:rsid w:val="401A609A"/>
    <w:rsid w:val="401F09B1"/>
    <w:rsid w:val="40281EEC"/>
    <w:rsid w:val="402A37CD"/>
    <w:rsid w:val="402A3AF4"/>
    <w:rsid w:val="402A77D0"/>
    <w:rsid w:val="40306CBF"/>
    <w:rsid w:val="403209AD"/>
    <w:rsid w:val="40361BF2"/>
    <w:rsid w:val="403C2E9F"/>
    <w:rsid w:val="403C6917"/>
    <w:rsid w:val="403F1053"/>
    <w:rsid w:val="40416887"/>
    <w:rsid w:val="404419A3"/>
    <w:rsid w:val="40455626"/>
    <w:rsid w:val="40472918"/>
    <w:rsid w:val="40474188"/>
    <w:rsid w:val="405511ED"/>
    <w:rsid w:val="40552A20"/>
    <w:rsid w:val="405755B1"/>
    <w:rsid w:val="405C72A2"/>
    <w:rsid w:val="406712EA"/>
    <w:rsid w:val="406D2109"/>
    <w:rsid w:val="40701D65"/>
    <w:rsid w:val="40747A76"/>
    <w:rsid w:val="407B584B"/>
    <w:rsid w:val="407D7C33"/>
    <w:rsid w:val="40800996"/>
    <w:rsid w:val="40881A2C"/>
    <w:rsid w:val="408B337A"/>
    <w:rsid w:val="408E7C87"/>
    <w:rsid w:val="40900E72"/>
    <w:rsid w:val="409023B1"/>
    <w:rsid w:val="40907EA2"/>
    <w:rsid w:val="40982598"/>
    <w:rsid w:val="40990ADF"/>
    <w:rsid w:val="409A21DB"/>
    <w:rsid w:val="40B84FEE"/>
    <w:rsid w:val="40B878A1"/>
    <w:rsid w:val="40BB779B"/>
    <w:rsid w:val="40C164DC"/>
    <w:rsid w:val="40C60168"/>
    <w:rsid w:val="40C67090"/>
    <w:rsid w:val="40C828F1"/>
    <w:rsid w:val="40C878F7"/>
    <w:rsid w:val="40CA4CBA"/>
    <w:rsid w:val="40D0556B"/>
    <w:rsid w:val="40D4181D"/>
    <w:rsid w:val="40D52441"/>
    <w:rsid w:val="40D83A48"/>
    <w:rsid w:val="40DA0DDE"/>
    <w:rsid w:val="40DB14BC"/>
    <w:rsid w:val="40DF2D26"/>
    <w:rsid w:val="40E01D49"/>
    <w:rsid w:val="40E36629"/>
    <w:rsid w:val="40E51BE3"/>
    <w:rsid w:val="40E60C95"/>
    <w:rsid w:val="40EA2436"/>
    <w:rsid w:val="40F064BA"/>
    <w:rsid w:val="40F34588"/>
    <w:rsid w:val="40F403F4"/>
    <w:rsid w:val="40F52350"/>
    <w:rsid w:val="40F7414D"/>
    <w:rsid w:val="40F80D1D"/>
    <w:rsid w:val="40FD0E7E"/>
    <w:rsid w:val="4105337E"/>
    <w:rsid w:val="410560D4"/>
    <w:rsid w:val="4106552E"/>
    <w:rsid w:val="410826DE"/>
    <w:rsid w:val="41087A8E"/>
    <w:rsid w:val="41096B14"/>
    <w:rsid w:val="410B2151"/>
    <w:rsid w:val="4110070A"/>
    <w:rsid w:val="41103B79"/>
    <w:rsid w:val="41104931"/>
    <w:rsid w:val="41121B7C"/>
    <w:rsid w:val="411237C8"/>
    <w:rsid w:val="41196FA3"/>
    <w:rsid w:val="412274DF"/>
    <w:rsid w:val="412B475F"/>
    <w:rsid w:val="41327BE5"/>
    <w:rsid w:val="413A0CD5"/>
    <w:rsid w:val="413A4147"/>
    <w:rsid w:val="413B46F3"/>
    <w:rsid w:val="414609CE"/>
    <w:rsid w:val="414B61A3"/>
    <w:rsid w:val="41547BF2"/>
    <w:rsid w:val="415A4E55"/>
    <w:rsid w:val="415D2357"/>
    <w:rsid w:val="415D36B4"/>
    <w:rsid w:val="415F79F5"/>
    <w:rsid w:val="416C04BF"/>
    <w:rsid w:val="41720245"/>
    <w:rsid w:val="41735C43"/>
    <w:rsid w:val="41744F72"/>
    <w:rsid w:val="417756CE"/>
    <w:rsid w:val="41782186"/>
    <w:rsid w:val="417B2017"/>
    <w:rsid w:val="41803A4E"/>
    <w:rsid w:val="41806E7D"/>
    <w:rsid w:val="418F3487"/>
    <w:rsid w:val="41900C6E"/>
    <w:rsid w:val="41923271"/>
    <w:rsid w:val="41980874"/>
    <w:rsid w:val="419B19EF"/>
    <w:rsid w:val="419C393A"/>
    <w:rsid w:val="419D7695"/>
    <w:rsid w:val="41A02493"/>
    <w:rsid w:val="41A22AC5"/>
    <w:rsid w:val="41A374ED"/>
    <w:rsid w:val="41AB76F5"/>
    <w:rsid w:val="41AD3C87"/>
    <w:rsid w:val="41B05696"/>
    <w:rsid w:val="41B25AE3"/>
    <w:rsid w:val="41B94333"/>
    <w:rsid w:val="41BA5403"/>
    <w:rsid w:val="41BE148F"/>
    <w:rsid w:val="41C21DA2"/>
    <w:rsid w:val="41C66E63"/>
    <w:rsid w:val="41CB713C"/>
    <w:rsid w:val="41CE1D93"/>
    <w:rsid w:val="41D2291E"/>
    <w:rsid w:val="41DA0B95"/>
    <w:rsid w:val="41DA625B"/>
    <w:rsid w:val="41DB5140"/>
    <w:rsid w:val="41DC5414"/>
    <w:rsid w:val="41E225DE"/>
    <w:rsid w:val="41E35895"/>
    <w:rsid w:val="41E86390"/>
    <w:rsid w:val="41EC6896"/>
    <w:rsid w:val="41F772E6"/>
    <w:rsid w:val="41FA32F9"/>
    <w:rsid w:val="41FD30E7"/>
    <w:rsid w:val="41FE2DB3"/>
    <w:rsid w:val="41FF49CB"/>
    <w:rsid w:val="42004812"/>
    <w:rsid w:val="420E09B3"/>
    <w:rsid w:val="420E7A3F"/>
    <w:rsid w:val="4211012B"/>
    <w:rsid w:val="42110E25"/>
    <w:rsid w:val="421C1EFB"/>
    <w:rsid w:val="421D4BA7"/>
    <w:rsid w:val="42204A94"/>
    <w:rsid w:val="422252D1"/>
    <w:rsid w:val="422B56DB"/>
    <w:rsid w:val="42344C92"/>
    <w:rsid w:val="423456A2"/>
    <w:rsid w:val="42352613"/>
    <w:rsid w:val="42370452"/>
    <w:rsid w:val="42371E7A"/>
    <w:rsid w:val="42384781"/>
    <w:rsid w:val="42385FB8"/>
    <w:rsid w:val="4239707A"/>
    <w:rsid w:val="423A63B1"/>
    <w:rsid w:val="42422FD2"/>
    <w:rsid w:val="4243199A"/>
    <w:rsid w:val="424550E3"/>
    <w:rsid w:val="424C1BF3"/>
    <w:rsid w:val="42507954"/>
    <w:rsid w:val="4254247B"/>
    <w:rsid w:val="4256426A"/>
    <w:rsid w:val="425A06E3"/>
    <w:rsid w:val="425D02CF"/>
    <w:rsid w:val="42605BEB"/>
    <w:rsid w:val="4262689E"/>
    <w:rsid w:val="426D0A83"/>
    <w:rsid w:val="426D4CD7"/>
    <w:rsid w:val="427208A6"/>
    <w:rsid w:val="42762602"/>
    <w:rsid w:val="427B3AAC"/>
    <w:rsid w:val="427F5004"/>
    <w:rsid w:val="4283384E"/>
    <w:rsid w:val="428760C2"/>
    <w:rsid w:val="42891B45"/>
    <w:rsid w:val="428C1396"/>
    <w:rsid w:val="428C6FED"/>
    <w:rsid w:val="428D0392"/>
    <w:rsid w:val="428D44BE"/>
    <w:rsid w:val="42992F79"/>
    <w:rsid w:val="42A00190"/>
    <w:rsid w:val="42A21B35"/>
    <w:rsid w:val="42A66DC4"/>
    <w:rsid w:val="42A961FC"/>
    <w:rsid w:val="42AB6C89"/>
    <w:rsid w:val="42B333EE"/>
    <w:rsid w:val="42B42907"/>
    <w:rsid w:val="42B6178A"/>
    <w:rsid w:val="42BD465F"/>
    <w:rsid w:val="42C20D43"/>
    <w:rsid w:val="42C61D58"/>
    <w:rsid w:val="42CA7430"/>
    <w:rsid w:val="42D11A85"/>
    <w:rsid w:val="42D642FC"/>
    <w:rsid w:val="42D91234"/>
    <w:rsid w:val="42DC6E02"/>
    <w:rsid w:val="42DE19B6"/>
    <w:rsid w:val="42DE2423"/>
    <w:rsid w:val="42DE33A8"/>
    <w:rsid w:val="42E000A1"/>
    <w:rsid w:val="42E02A3C"/>
    <w:rsid w:val="42E405F5"/>
    <w:rsid w:val="42E5446F"/>
    <w:rsid w:val="42E82B5A"/>
    <w:rsid w:val="42EE1830"/>
    <w:rsid w:val="42F425EC"/>
    <w:rsid w:val="42F629EA"/>
    <w:rsid w:val="42FA4A3A"/>
    <w:rsid w:val="42FF3B42"/>
    <w:rsid w:val="430200DB"/>
    <w:rsid w:val="43072DF0"/>
    <w:rsid w:val="43085749"/>
    <w:rsid w:val="431145D6"/>
    <w:rsid w:val="43144FCC"/>
    <w:rsid w:val="4318259D"/>
    <w:rsid w:val="43184C79"/>
    <w:rsid w:val="43186612"/>
    <w:rsid w:val="431D2EC5"/>
    <w:rsid w:val="431D5EA7"/>
    <w:rsid w:val="431E00EC"/>
    <w:rsid w:val="431F3F74"/>
    <w:rsid w:val="4320226C"/>
    <w:rsid w:val="43255FDF"/>
    <w:rsid w:val="43281EEE"/>
    <w:rsid w:val="432D2DA3"/>
    <w:rsid w:val="43316CEE"/>
    <w:rsid w:val="4335468F"/>
    <w:rsid w:val="43384DDA"/>
    <w:rsid w:val="43385011"/>
    <w:rsid w:val="434B3C25"/>
    <w:rsid w:val="434F4AE3"/>
    <w:rsid w:val="4350603F"/>
    <w:rsid w:val="43511AFE"/>
    <w:rsid w:val="435447AE"/>
    <w:rsid w:val="43560EB4"/>
    <w:rsid w:val="435A6ADD"/>
    <w:rsid w:val="435D3C4E"/>
    <w:rsid w:val="435F10F2"/>
    <w:rsid w:val="43623003"/>
    <w:rsid w:val="436461F8"/>
    <w:rsid w:val="43666411"/>
    <w:rsid w:val="436B1317"/>
    <w:rsid w:val="436C4B22"/>
    <w:rsid w:val="43723E05"/>
    <w:rsid w:val="43780E1A"/>
    <w:rsid w:val="4379098C"/>
    <w:rsid w:val="437C437F"/>
    <w:rsid w:val="437D55FB"/>
    <w:rsid w:val="437F3AC9"/>
    <w:rsid w:val="4381009D"/>
    <w:rsid w:val="43815F36"/>
    <w:rsid w:val="43827139"/>
    <w:rsid w:val="438304AE"/>
    <w:rsid w:val="438A774E"/>
    <w:rsid w:val="438B1A71"/>
    <w:rsid w:val="438D0C62"/>
    <w:rsid w:val="43904022"/>
    <w:rsid w:val="43975310"/>
    <w:rsid w:val="439874F7"/>
    <w:rsid w:val="43987F2D"/>
    <w:rsid w:val="439C769B"/>
    <w:rsid w:val="43A02015"/>
    <w:rsid w:val="43AA77B9"/>
    <w:rsid w:val="43AD0613"/>
    <w:rsid w:val="43B04AF5"/>
    <w:rsid w:val="43B20AE4"/>
    <w:rsid w:val="43B223CA"/>
    <w:rsid w:val="43B525EA"/>
    <w:rsid w:val="43B64809"/>
    <w:rsid w:val="43B86CB7"/>
    <w:rsid w:val="43BC6A95"/>
    <w:rsid w:val="43C1278A"/>
    <w:rsid w:val="43C13B2B"/>
    <w:rsid w:val="43C324FF"/>
    <w:rsid w:val="43C449B2"/>
    <w:rsid w:val="43D75FB5"/>
    <w:rsid w:val="43DD5DAC"/>
    <w:rsid w:val="43E134B5"/>
    <w:rsid w:val="43E43392"/>
    <w:rsid w:val="43E47D66"/>
    <w:rsid w:val="43E53AAA"/>
    <w:rsid w:val="43E60D92"/>
    <w:rsid w:val="43E94B92"/>
    <w:rsid w:val="43F251E0"/>
    <w:rsid w:val="44026BA6"/>
    <w:rsid w:val="440846D6"/>
    <w:rsid w:val="440A192C"/>
    <w:rsid w:val="440E749A"/>
    <w:rsid w:val="441537CD"/>
    <w:rsid w:val="44160FFE"/>
    <w:rsid w:val="44181023"/>
    <w:rsid w:val="4418375F"/>
    <w:rsid w:val="441E1BE8"/>
    <w:rsid w:val="442C6934"/>
    <w:rsid w:val="44347C9D"/>
    <w:rsid w:val="443679F9"/>
    <w:rsid w:val="444B2C7B"/>
    <w:rsid w:val="444D531B"/>
    <w:rsid w:val="44560FD6"/>
    <w:rsid w:val="445A5430"/>
    <w:rsid w:val="445C1054"/>
    <w:rsid w:val="44620F1D"/>
    <w:rsid w:val="446241F9"/>
    <w:rsid w:val="446F128F"/>
    <w:rsid w:val="447404D5"/>
    <w:rsid w:val="448036D3"/>
    <w:rsid w:val="44812D65"/>
    <w:rsid w:val="44812EE3"/>
    <w:rsid w:val="44823464"/>
    <w:rsid w:val="448575B5"/>
    <w:rsid w:val="448958F8"/>
    <w:rsid w:val="448F6DA0"/>
    <w:rsid w:val="44903EB4"/>
    <w:rsid w:val="44956D47"/>
    <w:rsid w:val="449E55C8"/>
    <w:rsid w:val="44A03AA5"/>
    <w:rsid w:val="44A257EC"/>
    <w:rsid w:val="44A53BA9"/>
    <w:rsid w:val="44A65B45"/>
    <w:rsid w:val="44AA5128"/>
    <w:rsid w:val="44AE73A3"/>
    <w:rsid w:val="44B13C5A"/>
    <w:rsid w:val="44B35056"/>
    <w:rsid w:val="44B71224"/>
    <w:rsid w:val="44B7469E"/>
    <w:rsid w:val="44C07196"/>
    <w:rsid w:val="44C33BDD"/>
    <w:rsid w:val="44C456B5"/>
    <w:rsid w:val="44CB29A6"/>
    <w:rsid w:val="44CC01A6"/>
    <w:rsid w:val="44CC68F8"/>
    <w:rsid w:val="44CE6A8C"/>
    <w:rsid w:val="44D23320"/>
    <w:rsid w:val="44D42D7D"/>
    <w:rsid w:val="44D56290"/>
    <w:rsid w:val="44D66B9B"/>
    <w:rsid w:val="44D824DB"/>
    <w:rsid w:val="44D86010"/>
    <w:rsid w:val="44D86FE0"/>
    <w:rsid w:val="44DC43F4"/>
    <w:rsid w:val="44E13A9C"/>
    <w:rsid w:val="44F1005C"/>
    <w:rsid w:val="44F2725A"/>
    <w:rsid w:val="44F27810"/>
    <w:rsid w:val="45010ABC"/>
    <w:rsid w:val="4502555A"/>
    <w:rsid w:val="450C6B01"/>
    <w:rsid w:val="450E44D2"/>
    <w:rsid w:val="45140AA8"/>
    <w:rsid w:val="45156316"/>
    <w:rsid w:val="45180059"/>
    <w:rsid w:val="451A56BA"/>
    <w:rsid w:val="451E3A99"/>
    <w:rsid w:val="452528DF"/>
    <w:rsid w:val="452A0DFC"/>
    <w:rsid w:val="452D239D"/>
    <w:rsid w:val="453341A8"/>
    <w:rsid w:val="453365AD"/>
    <w:rsid w:val="453E7ED9"/>
    <w:rsid w:val="453F74A9"/>
    <w:rsid w:val="45401216"/>
    <w:rsid w:val="45420BD1"/>
    <w:rsid w:val="454A4722"/>
    <w:rsid w:val="454E30FE"/>
    <w:rsid w:val="4550082B"/>
    <w:rsid w:val="45522BF3"/>
    <w:rsid w:val="455437AA"/>
    <w:rsid w:val="4555586D"/>
    <w:rsid w:val="45573124"/>
    <w:rsid w:val="456032D6"/>
    <w:rsid w:val="4564161B"/>
    <w:rsid w:val="45642E8F"/>
    <w:rsid w:val="4565647C"/>
    <w:rsid w:val="456A07D0"/>
    <w:rsid w:val="456D693A"/>
    <w:rsid w:val="45731B3A"/>
    <w:rsid w:val="4575649F"/>
    <w:rsid w:val="457629E4"/>
    <w:rsid w:val="45782A4A"/>
    <w:rsid w:val="45806691"/>
    <w:rsid w:val="45881F68"/>
    <w:rsid w:val="459513DA"/>
    <w:rsid w:val="45986889"/>
    <w:rsid w:val="45A4384A"/>
    <w:rsid w:val="45AA57DF"/>
    <w:rsid w:val="45AC6EE2"/>
    <w:rsid w:val="45AF7433"/>
    <w:rsid w:val="45B5254E"/>
    <w:rsid w:val="45C15285"/>
    <w:rsid w:val="45CE1920"/>
    <w:rsid w:val="45CE2F83"/>
    <w:rsid w:val="45CE7E35"/>
    <w:rsid w:val="45CF3918"/>
    <w:rsid w:val="45D00BC1"/>
    <w:rsid w:val="45D21D09"/>
    <w:rsid w:val="45D3371D"/>
    <w:rsid w:val="45D35D56"/>
    <w:rsid w:val="45D65CA7"/>
    <w:rsid w:val="45D97A24"/>
    <w:rsid w:val="45E24C2F"/>
    <w:rsid w:val="45E324F9"/>
    <w:rsid w:val="45E378DC"/>
    <w:rsid w:val="45E575B9"/>
    <w:rsid w:val="45E77C9B"/>
    <w:rsid w:val="45EA23DF"/>
    <w:rsid w:val="45EC15A7"/>
    <w:rsid w:val="45EC51C9"/>
    <w:rsid w:val="45EF1700"/>
    <w:rsid w:val="45EF52CA"/>
    <w:rsid w:val="45FC42FE"/>
    <w:rsid w:val="460352AC"/>
    <w:rsid w:val="46061795"/>
    <w:rsid w:val="46064297"/>
    <w:rsid w:val="46071697"/>
    <w:rsid w:val="46081CD2"/>
    <w:rsid w:val="46082CDF"/>
    <w:rsid w:val="460918A2"/>
    <w:rsid w:val="460E002F"/>
    <w:rsid w:val="460F40E6"/>
    <w:rsid w:val="460F7AEB"/>
    <w:rsid w:val="46125C41"/>
    <w:rsid w:val="46162F9D"/>
    <w:rsid w:val="46167D7A"/>
    <w:rsid w:val="4619461F"/>
    <w:rsid w:val="461A2AA6"/>
    <w:rsid w:val="461E02FB"/>
    <w:rsid w:val="46217BA7"/>
    <w:rsid w:val="46222206"/>
    <w:rsid w:val="46231422"/>
    <w:rsid w:val="462314CB"/>
    <w:rsid w:val="46255291"/>
    <w:rsid w:val="462D52A3"/>
    <w:rsid w:val="46305202"/>
    <w:rsid w:val="4632673F"/>
    <w:rsid w:val="46327CBF"/>
    <w:rsid w:val="46420F3F"/>
    <w:rsid w:val="46421EB0"/>
    <w:rsid w:val="4643528B"/>
    <w:rsid w:val="4647031D"/>
    <w:rsid w:val="464762DE"/>
    <w:rsid w:val="46481E89"/>
    <w:rsid w:val="464B39AA"/>
    <w:rsid w:val="464D64AC"/>
    <w:rsid w:val="464F65A7"/>
    <w:rsid w:val="4652557E"/>
    <w:rsid w:val="465D3332"/>
    <w:rsid w:val="466405CE"/>
    <w:rsid w:val="46645A59"/>
    <w:rsid w:val="46672A82"/>
    <w:rsid w:val="4667509D"/>
    <w:rsid w:val="466B2CE0"/>
    <w:rsid w:val="466D2E1C"/>
    <w:rsid w:val="466E309D"/>
    <w:rsid w:val="466F3D00"/>
    <w:rsid w:val="467658C4"/>
    <w:rsid w:val="467676D8"/>
    <w:rsid w:val="46790A77"/>
    <w:rsid w:val="467E6919"/>
    <w:rsid w:val="46884D3E"/>
    <w:rsid w:val="468A764A"/>
    <w:rsid w:val="468C2814"/>
    <w:rsid w:val="468E14E4"/>
    <w:rsid w:val="46956D61"/>
    <w:rsid w:val="4697357F"/>
    <w:rsid w:val="469B73CF"/>
    <w:rsid w:val="469C49C8"/>
    <w:rsid w:val="469E0BD5"/>
    <w:rsid w:val="469E5F49"/>
    <w:rsid w:val="46A80977"/>
    <w:rsid w:val="46A95479"/>
    <w:rsid w:val="46AC7AA3"/>
    <w:rsid w:val="46B47638"/>
    <w:rsid w:val="46B51967"/>
    <w:rsid w:val="46B532A5"/>
    <w:rsid w:val="46BA3535"/>
    <w:rsid w:val="46BD2BBD"/>
    <w:rsid w:val="46BD7E64"/>
    <w:rsid w:val="46C06900"/>
    <w:rsid w:val="46C31A9C"/>
    <w:rsid w:val="46D17F3A"/>
    <w:rsid w:val="46D462E6"/>
    <w:rsid w:val="46D858D5"/>
    <w:rsid w:val="46DF09EB"/>
    <w:rsid w:val="46E47C14"/>
    <w:rsid w:val="46E621D1"/>
    <w:rsid w:val="46E717E5"/>
    <w:rsid w:val="46ED62C8"/>
    <w:rsid w:val="46F03B4B"/>
    <w:rsid w:val="46F506BE"/>
    <w:rsid w:val="46F53F4E"/>
    <w:rsid w:val="46F7413C"/>
    <w:rsid w:val="46FA7237"/>
    <w:rsid w:val="46FA769C"/>
    <w:rsid w:val="46FD6D15"/>
    <w:rsid w:val="470319DD"/>
    <w:rsid w:val="47163FCD"/>
    <w:rsid w:val="47184150"/>
    <w:rsid w:val="471D1C3F"/>
    <w:rsid w:val="471E7A37"/>
    <w:rsid w:val="47205D8A"/>
    <w:rsid w:val="472114B4"/>
    <w:rsid w:val="47284BD9"/>
    <w:rsid w:val="47286124"/>
    <w:rsid w:val="4732340F"/>
    <w:rsid w:val="473C562E"/>
    <w:rsid w:val="47496F58"/>
    <w:rsid w:val="474C1F3C"/>
    <w:rsid w:val="47584802"/>
    <w:rsid w:val="475B2F34"/>
    <w:rsid w:val="476A1FFE"/>
    <w:rsid w:val="476C2769"/>
    <w:rsid w:val="476E3942"/>
    <w:rsid w:val="4771159A"/>
    <w:rsid w:val="4771514F"/>
    <w:rsid w:val="477D5103"/>
    <w:rsid w:val="477F3B60"/>
    <w:rsid w:val="47820ED4"/>
    <w:rsid w:val="478303D1"/>
    <w:rsid w:val="47842BBF"/>
    <w:rsid w:val="47863DE4"/>
    <w:rsid w:val="478657BA"/>
    <w:rsid w:val="478D7324"/>
    <w:rsid w:val="479025D8"/>
    <w:rsid w:val="47916749"/>
    <w:rsid w:val="47932368"/>
    <w:rsid w:val="47936EC8"/>
    <w:rsid w:val="47961EA1"/>
    <w:rsid w:val="479D0560"/>
    <w:rsid w:val="479D24B5"/>
    <w:rsid w:val="479F5F46"/>
    <w:rsid w:val="47A83D42"/>
    <w:rsid w:val="47A8668E"/>
    <w:rsid w:val="47AF0734"/>
    <w:rsid w:val="47AF2BD7"/>
    <w:rsid w:val="47B07C20"/>
    <w:rsid w:val="47B21171"/>
    <w:rsid w:val="47B50725"/>
    <w:rsid w:val="47B63C33"/>
    <w:rsid w:val="47BA49C9"/>
    <w:rsid w:val="47BD6727"/>
    <w:rsid w:val="47BE64E6"/>
    <w:rsid w:val="47BE73FC"/>
    <w:rsid w:val="47C214C5"/>
    <w:rsid w:val="47C32790"/>
    <w:rsid w:val="47CA5B7F"/>
    <w:rsid w:val="47CC533E"/>
    <w:rsid w:val="47CD2147"/>
    <w:rsid w:val="47D01AF4"/>
    <w:rsid w:val="47D13DD4"/>
    <w:rsid w:val="47D20394"/>
    <w:rsid w:val="47DB64C9"/>
    <w:rsid w:val="47DB6D82"/>
    <w:rsid w:val="47DC4010"/>
    <w:rsid w:val="47DE385A"/>
    <w:rsid w:val="47DF167E"/>
    <w:rsid w:val="47DF3068"/>
    <w:rsid w:val="47E23631"/>
    <w:rsid w:val="47E800AD"/>
    <w:rsid w:val="47F2797E"/>
    <w:rsid w:val="47FA66C6"/>
    <w:rsid w:val="48002406"/>
    <w:rsid w:val="480058EC"/>
    <w:rsid w:val="48031DB0"/>
    <w:rsid w:val="480C36CC"/>
    <w:rsid w:val="48104118"/>
    <w:rsid w:val="48134EDE"/>
    <w:rsid w:val="481761C7"/>
    <w:rsid w:val="481A533B"/>
    <w:rsid w:val="48243022"/>
    <w:rsid w:val="4826781B"/>
    <w:rsid w:val="482D6593"/>
    <w:rsid w:val="483004A8"/>
    <w:rsid w:val="483159DA"/>
    <w:rsid w:val="48326E14"/>
    <w:rsid w:val="483A1602"/>
    <w:rsid w:val="483C1845"/>
    <w:rsid w:val="483D6445"/>
    <w:rsid w:val="48443C90"/>
    <w:rsid w:val="484B1F99"/>
    <w:rsid w:val="484F2050"/>
    <w:rsid w:val="48511CF3"/>
    <w:rsid w:val="48550880"/>
    <w:rsid w:val="48551232"/>
    <w:rsid w:val="485536EB"/>
    <w:rsid w:val="485E7CC8"/>
    <w:rsid w:val="48651873"/>
    <w:rsid w:val="48663546"/>
    <w:rsid w:val="48667C77"/>
    <w:rsid w:val="48677343"/>
    <w:rsid w:val="487746A8"/>
    <w:rsid w:val="487F3AE5"/>
    <w:rsid w:val="487F52F6"/>
    <w:rsid w:val="4880042B"/>
    <w:rsid w:val="48826283"/>
    <w:rsid w:val="48827D98"/>
    <w:rsid w:val="4884220F"/>
    <w:rsid w:val="488469BC"/>
    <w:rsid w:val="48861061"/>
    <w:rsid w:val="48863795"/>
    <w:rsid w:val="488D5B65"/>
    <w:rsid w:val="488D737C"/>
    <w:rsid w:val="4896536B"/>
    <w:rsid w:val="489803FA"/>
    <w:rsid w:val="489E742C"/>
    <w:rsid w:val="489E7E2A"/>
    <w:rsid w:val="48A12C3C"/>
    <w:rsid w:val="48A347AA"/>
    <w:rsid w:val="48A67818"/>
    <w:rsid w:val="48A72F17"/>
    <w:rsid w:val="48A83600"/>
    <w:rsid w:val="48A87524"/>
    <w:rsid w:val="48AB2ECD"/>
    <w:rsid w:val="48AC2C1D"/>
    <w:rsid w:val="48AF53EA"/>
    <w:rsid w:val="48B27E40"/>
    <w:rsid w:val="48B365DE"/>
    <w:rsid w:val="48B76143"/>
    <w:rsid w:val="48B9796B"/>
    <w:rsid w:val="48BB2E72"/>
    <w:rsid w:val="48BE4C9B"/>
    <w:rsid w:val="48BF48E4"/>
    <w:rsid w:val="48CA1632"/>
    <w:rsid w:val="48D04500"/>
    <w:rsid w:val="48D43259"/>
    <w:rsid w:val="48D70C09"/>
    <w:rsid w:val="48D8767C"/>
    <w:rsid w:val="48E32F61"/>
    <w:rsid w:val="48ED63AC"/>
    <w:rsid w:val="48F12978"/>
    <w:rsid w:val="48F4747B"/>
    <w:rsid w:val="48F84495"/>
    <w:rsid w:val="4900260F"/>
    <w:rsid w:val="4904365A"/>
    <w:rsid w:val="490718DA"/>
    <w:rsid w:val="490B6CB3"/>
    <w:rsid w:val="490D0572"/>
    <w:rsid w:val="490E2821"/>
    <w:rsid w:val="492E6B80"/>
    <w:rsid w:val="49327452"/>
    <w:rsid w:val="493560AE"/>
    <w:rsid w:val="493B3F23"/>
    <w:rsid w:val="493D3DD1"/>
    <w:rsid w:val="493E7A90"/>
    <w:rsid w:val="494F782A"/>
    <w:rsid w:val="4950409D"/>
    <w:rsid w:val="4951013C"/>
    <w:rsid w:val="49512A57"/>
    <w:rsid w:val="49576645"/>
    <w:rsid w:val="495A79FE"/>
    <w:rsid w:val="495F224E"/>
    <w:rsid w:val="495F5834"/>
    <w:rsid w:val="496A6945"/>
    <w:rsid w:val="496F384F"/>
    <w:rsid w:val="497370EE"/>
    <w:rsid w:val="4976700B"/>
    <w:rsid w:val="497B7BE4"/>
    <w:rsid w:val="4982095B"/>
    <w:rsid w:val="498655B7"/>
    <w:rsid w:val="49936616"/>
    <w:rsid w:val="499552B5"/>
    <w:rsid w:val="49981344"/>
    <w:rsid w:val="499B2674"/>
    <w:rsid w:val="499E605A"/>
    <w:rsid w:val="49A0700B"/>
    <w:rsid w:val="49A10BAB"/>
    <w:rsid w:val="49A80C47"/>
    <w:rsid w:val="49AA45AB"/>
    <w:rsid w:val="49AB6732"/>
    <w:rsid w:val="49AC37BC"/>
    <w:rsid w:val="49AC68A8"/>
    <w:rsid w:val="49B07AE2"/>
    <w:rsid w:val="49B24105"/>
    <w:rsid w:val="49B874D7"/>
    <w:rsid w:val="49CB1FC2"/>
    <w:rsid w:val="49CC2754"/>
    <w:rsid w:val="49CD3DD2"/>
    <w:rsid w:val="49D11768"/>
    <w:rsid w:val="49D600D0"/>
    <w:rsid w:val="49D9191F"/>
    <w:rsid w:val="49DC6240"/>
    <w:rsid w:val="49E27E21"/>
    <w:rsid w:val="49E454FC"/>
    <w:rsid w:val="49E56E7D"/>
    <w:rsid w:val="49E86D0F"/>
    <w:rsid w:val="49EA625A"/>
    <w:rsid w:val="49EC05D7"/>
    <w:rsid w:val="49EF3714"/>
    <w:rsid w:val="49EF475C"/>
    <w:rsid w:val="49F021BB"/>
    <w:rsid w:val="49F214EF"/>
    <w:rsid w:val="49F86199"/>
    <w:rsid w:val="49F96E73"/>
    <w:rsid w:val="49FC4DB5"/>
    <w:rsid w:val="49FD6FDA"/>
    <w:rsid w:val="4A003A2C"/>
    <w:rsid w:val="4A0A7205"/>
    <w:rsid w:val="4A0B1E0E"/>
    <w:rsid w:val="4A0C0A03"/>
    <w:rsid w:val="4A163074"/>
    <w:rsid w:val="4A1D7219"/>
    <w:rsid w:val="4A207B43"/>
    <w:rsid w:val="4A213573"/>
    <w:rsid w:val="4A231B42"/>
    <w:rsid w:val="4A233F84"/>
    <w:rsid w:val="4A254BBF"/>
    <w:rsid w:val="4A266BE3"/>
    <w:rsid w:val="4A27538E"/>
    <w:rsid w:val="4A2A3B30"/>
    <w:rsid w:val="4A2B4339"/>
    <w:rsid w:val="4A321F9C"/>
    <w:rsid w:val="4A356245"/>
    <w:rsid w:val="4A362D1F"/>
    <w:rsid w:val="4A39282B"/>
    <w:rsid w:val="4A3B52D6"/>
    <w:rsid w:val="4A434479"/>
    <w:rsid w:val="4A4464A7"/>
    <w:rsid w:val="4A487012"/>
    <w:rsid w:val="4A4C4157"/>
    <w:rsid w:val="4A4C4895"/>
    <w:rsid w:val="4A4C5090"/>
    <w:rsid w:val="4A4D772B"/>
    <w:rsid w:val="4A5617F3"/>
    <w:rsid w:val="4A563EB9"/>
    <w:rsid w:val="4A5647ED"/>
    <w:rsid w:val="4A5676E6"/>
    <w:rsid w:val="4A5F3945"/>
    <w:rsid w:val="4A5F3FB0"/>
    <w:rsid w:val="4A6118E0"/>
    <w:rsid w:val="4A663BB1"/>
    <w:rsid w:val="4A665814"/>
    <w:rsid w:val="4A70359E"/>
    <w:rsid w:val="4A746EF5"/>
    <w:rsid w:val="4A764064"/>
    <w:rsid w:val="4A7A05AA"/>
    <w:rsid w:val="4A7B59C1"/>
    <w:rsid w:val="4A7E212F"/>
    <w:rsid w:val="4A837C67"/>
    <w:rsid w:val="4A85241B"/>
    <w:rsid w:val="4A8745B6"/>
    <w:rsid w:val="4A884777"/>
    <w:rsid w:val="4A8C02EE"/>
    <w:rsid w:val="4A8C59D7"/>
    <w:rsid w:val="4A8D2253"/>
    <w:rsid w:val="4A8D6D6D"/>
    <w:rsid w:val="4A941957"/>
    <w:rsid w:val="4A952869"/>
    <w:rsid w:val="4A9A6D41"/>
    <w:rsid w:val="4AA354D9"/>
    <w:rsid w:val="4AA643B3"/>
    <w:rsid w:val="4AA82E5E"/>
    <w:rsid w:val="4AB36039"/>
    <w:rsid w:val="4AB459E6"/>
    <w:rsid w:val="4AB53F04"/>
    <w:rsid w:val="4AB6371D"/>
    <w:rsid w:val="4AB92A9B"/>
    <w:rsid w:val="4AB95725"/>
    <w:rsid w:val="4ABB635B"/>
    <w:rsid w:val="4ABC6AA8"/>
    <w:rsid w:val="4ABE4A89"/>
    <w:rsid w:val="4AC40C07"/>
    <w:rsid w:val="4ACE7E35"/>
    <w:rsid w:val="4AD329F4"/>
    <w:rsid w:val="4AD80D38"/>
    <w:rsid w:val="4AD849E2"/>
    <w:rsid w:val="4AE65473"/>
    <w:rsid w:val="4AEA120B"/>
    <w:rsid w:val="4AF20042"/>
    <w:rsid w:val="4AF30E2E"/>
    <w:rsid w:val="4AF65031"/>
    <w:rsid w:val="4AF92D66"/>
    <w:rsid w:val="4AF96660"/>
    <w:rsid w:val="4AFC036F"/>
    <w:rsid w:val="4AFE3070"/>
    <w:rsid w:val="4B025433"/>
    <w:rsid w:val="4B097D3D"/>
    <w:rsid w:val="4B106D08"/>
    <w:rsid w:val="4B114BA4"/>
    <w:rsid w:val="4B1310E7"/>
    <w:rsid w:val="4B164FC0"/>
    <w:rsid w:val="4B1A2A77"/>
    <w:rsid w:val="4B256D82"/>
    <w:rsid w:val="4B27397E"/>
    <w:rsid w:val="4B277483"/>
    <w:rsid w:val="4B2A3C56"/>
    <w:rsid w:val="4B2B5C98"/>
    <w:rsid w:val="4B2C2AEC"/>
    <w:rsid w:val="4B2D3923"/>
    <w:rsid w:val="4B2E7DD4"/>
    <w:rsid w:val="4B3073D3"/>
    <w:rsid w:val="4B3139D1"/>
    <w:rsid w:val="4B3263A7"/>
    <w:rsid w:val="4B346A85"/>
    <w:rsid w:val="4B3479F6"/>
    <w:rsid w:val="4B35311E"/>
    <w:rsid w:val="4B36330F"/>
    <w:rsid w:val="4B384224"/>
    <w:rsid w:val="4B3847AB"/>
    <w:rsid w:val="4B3F5E3A"/>
    <w:rsid w:val="4B4E5EF2"/>
    <w:rsid w:val="4B56076F"/>
    <w:rsid w:val="4B5740D4"/>
    <w:rsid w:val="4B5769EE"/>
    <w:rsid w:val="4B5B4592"/>
    <w:rsid w:val="4B65608F"/>
    <w:rsid w:val="4B670767"/>
    <w:rsid w:val="4B6E66A7"/>
    <w:rsid w:val="4B730DEF"/>
    <w:rsid w:val="4B77256B"/>
    <w:rsid w:val="4B7C7897"/>
    <w:rsid w:val="4B7D5482"/>
    <w:rsid w:val="4B806CB3"/>
    <w:rsid w:val="4B8150DA"/>
    <w:rsid w:val="4B890A4E"/>
    <w:rsid w:val="4B8E761E"/>
    <w:rsid w:val="4B914058"/>
    <w:rsid w:val="4B914B84"/>
    <w:rsid w:val="4B926B22"/>
    <w:rsid w:val="4B983E5C"/>
    <w:rsid w:val="4B9B7530"/>
    <w:rsid w:val="4B9C5A1F"/>
    <w:rsid w:val="4BA10F7A"/>
    <w:rsid w:val="4BA47379"/>
    <w:rsid w:val="4BAE00DB"/>
    <w:rsid w:val="4BAF3394"/>
    <w:rsid w:val="4BB35B78"/>
    <w:rsid w:val="4BC0719D"/>
    <w:rsid w:val="4BC33DB7"/>
    <w:rsid w:val="4BC8031B"/>
    <w:rsid w:val="4BC80BED"/>
    <w:rsid w:val="4BCA16D2"/>
    <w:rsid w:val="4BCB2739"/>
    <w:rsid w:val="4BD16405"/>
    <w:rsid w:val="4BD3034D"/>
    <w:rsid w:val="4BD93248"/>
    <w:rsid w:val="4BD97E3F"/>
    <w:rsid w:val="4BDB3328"/>
    <w:rsid w:val="4BE30D0A"/>
    <w:rsid w:val="4BE31E95"/>
    <w:rsid w:val="4BE7762B"/>
    <w:rsid w:val="4BEC3F94"/>
    <w:rsid w:val="4BF21C49"/>
    <w:rsid w:val="4BF5487E"/>
    <w:rsid w:val="4BFB060E"/>
    <w:rsid w:val="4BFB38F0"/>
    <w:rsid w:val="4C0616B3"/>
    <w:rsid w:val="4C0851EF"/>
    <w:rsid w:val="4C0A301F"/>
    <w:rsid w:val="4C0A3EDE"/>
    <w:rsid w:val="4C0C03BB"/>
    <w:rsid w:val="4C126DD5"/>
    <w:rsid w:val="4C134867"/>
    <w:rsid w:val="4C135D38"/>
    <w:rsid w:val="4C161FE1"/>
    <w:rsid w:val="4C17694B"/>
    <w:rsid w:val="4C1A3299"/>
    <w:rsid w:val="4C205E8A"/>
    <w:rsid w:val="4C260855"/>
    <w:rsid w:val="4C2A4C80"/>
    <w:rsid w:val="4C2A5C2C"/>
    <w:rsid w:val="4C2E5368"/>
    <w:rsid w:val="4C39008A"/>
    <w:rsid w:val="4C3B54BE"/>
    <w:rsid w:val="4C460819"/>
    <w:rsid w:val="4C4A5F38"/>
    <w:rsid w:val="4C4D6DC9"/>
    <w:rsid w:val="4C5732DC"/>
    <w:rsid w:val="4C591820"/>
    <w:rsid w:val="4C5C10A5"/>
    <w:rsid w:val="4C5C34C7"/>
    <w:rsid w:val="4C5D690C"/>
    <w:rsid w:val="4C6112D4"/>
    <w:rsid w:val="4C654CF9"/>
    <w:rsid w:val="4C68738E"/>
    <w:rsid w:val="4C6D3645"/>
    <w:rsid w:val="4C720537"/>
    <w:rsid w:val="4C763A77"/>
    <w:rsid w:val="4C7661CD"/>
    <w:rsid w:val="4C7708B2"/>
    <w:rsid w:val="4C7824EC"/>
    <w:rsid w:val="4C7B06CE"/>
    <w:rsid w:val="4C8C4471"/>
    <w:rsid w:val="4C8F662F"/>
    <w:rsid w:val="4C900C37"/>
    <w:rsid w:val="4C911DC8"/>
    <w:rsid w:val="4C931DA8"/>
    <w:rsid w:val="4C9B6CA9"/>
    <w:rsid w:val="4CA56812"/>
    <w:rsid w:val="4CA7765E"/>
    <w:rsid w:val="4CAA4268"/>
    <w:rsid w:val="4CAB04DB"/>
    <w:rsid w:val="4CAB3EDA"/>
    <w:rsid w:val="4CAC2FF4"/>
    <w:rsid w:val="4CAD50B1"/>
    <w:rsid w:val="4CAD6DD3"/>
    <w:rsid w:val="4CB057BC"/>
    <w:rsid w:val="4CB61B37"/>
    <w:rsid w:val="4CB71DC1"/>
    <w:rsid w:val="4CB8338E"/>
    <w:rsid w:val="4CC15703"/>
    <w:rsid w:val="4CC42378"/>
    <w:rsid w:val="4CCB1D80"/>
    <w:rsid w:val="4CD40988"/>
    <w:rsid w:val="4CD54ADB"/>
    <w:rsid w:val="4CD77E1B"/>
    <w:rsid w:val="4CD8164E"/>
    <w:rsid w:val="4CDB3117"/>
    <w:rsid w:val="4CDC6B89"/>
    <w:rsid w:val="4CDE5575"/>
    <w:rsid w:val="4CE25249"/>
    <w:rsid w:val="4CE44759"/>
    <w:rsid w:val="4CE920AB"/>
    <w:rsid w:val="4CEA03D9"/>
    <w:rsid w:val="4D036FA2"/>
    <w:rsid w:val="4D0C2D28"/>
    <w:rsid w:val="4D1457CB"/>
    <w:rsid w:val="4D1E6698"/>
    <w:rsid w:val="4D1F4E7D"/>
    <w:rsid w:val="4D264B0B"/>
    <w:rsid w:val="4D270653"/>
    <w:rsid w:val="4D2A61D5"/>
    <w:rsid w:val="4D2E5D47"/>
    <w:rsid w:val="4D392848"/>
    <w:rsid w:val="4D441F63"/>
    <w:rsid w:val="4D483C7A"/>
    <w:rsid w:val="4D493B9D"/>
    <w:rsid w:val="4D4A62C6"/>
    <w:rsid w:val="4D5035B5"/>
    <w:rsid w:val="4D551C48"/>
    <w:rsid w:val="4D57147E"/>
    <w:rsid w:val="4D583426"/>
    <w:rsid w:val="4D5B63A5"/>
    <w:rsid w:val="4D5B6D3A"/>
    <w:rsid w:val="4D5C49A2"/>
    <w:rsid w:val="4D5E4210"/>
    <w:rsid w:val="4D645E65"/>
    <w:rsid w:val="4D6E2F0E"/>
    <w:rsid w:val="4D710638"/>
    <w:rsid w:val="4D765C85"/>
    <w:rsid w:val="4D7737C2"/>
    <w:rsid w:val="4D77400B"/>
    <w:rsid w:val="4D7E2A4E"/>
    <w:rsid w:val="4D8010DF"/>
    <w:rsid w:val="4D853345"/>
    <w:rsid w:val="4D8A7D8E"/>
    <w:rsid w:val="4D974618"/>
    <w:rsid w:val="4D9C320E"/>
    <w:rsid w:val="4D9D1DB3"/>
    <w:rsid w:val="4DA53D62"/>
    <w:rsid w:val="4DA5531C"/>
    <w:rsid w:val="4DA72BCE"/>
    <w:rsid w:val="4DA97E2A"/>
    <w:rsid w:val="4DAB1AD6"/>
    <w:rsid w:val="4DAC5535"/>
    <w:rsid w:val="4DAF0985"/>
    <w:rsid w:val="4DB05A80"/>
    <w:rsid w:val="4DB277A1"/>
    <w:rsid w:val="4DB67811"/>
    <w:rsid w:val="4DB70907"/>
    <w:rsid w:val="4DBA4141"/>
    <w:rsid w:val="4DBF14B8"/>
    <w:rsid w:val="4DC0296C"/>
    <w:rsid w:val="4DC02F32"/>
    <w:rsid w:val="4DC341CE"/>
    <w:rsid w:val="4DC56314"/>
    <w:rsid w:val="4DC92BCA"/>
    <w:rsid w:val="4DCE7CB9"/>
    <w:rsid w:val="4DD013CF"/>
    <w:rsid w:val="4DD359B4"/>
    <w:rsid w:val="4DD43C82"/>
    <w:rsid w:val="4DD5372C"/>
    <w:rsid w:val="4DD671B5"/>
    <w:rsid w:val="4DD83353"/>
    <w:rsid w:val="4DE7548D"/>
    <w:rsid w:val="4DF23BA9"/>
    <w:rsid w:val="4DF24CE9"/>
    <w:rsid w:val="4DF36940"/>
    <w:rsid w:val="4DF51172"/>
    <w:rsid w:val="4DFA7CC5"/>
    <w:rsid w:val="4DFB606F"/>
    <w:rsid w:val="4E05476B"/>
    <w:rsid w:val="4E0662D9"/>
    <w:rsid w:val="4E081D31"/>
    <w:rsid w:val="4E0C1E15"/>
    <w:rsid w:val="4E107799"/>
    <w:rsid w:val="4E143F87"/>
    <w:rsid w:val="4E1853A9"/>
    <w:rsid w:val="4E191B10"/>
    <w:rsid w:val="4E194A72"/>
    <w:rsid w:val="4E1C2C3B"/>
    <w:rsid w:val="4E205F3F"/>
    <w:rsid w:val="4E2271DA"/>
    <w:rsid w:val="4E2561EF"/>
    <w:rsid w:val="4E2745E7"/>
    <w:rsid w:val="4E284E1A"/>
    <w:rsid w:val="4E2C3DE8"/>
    <w:rsid w:val="4E464837"/>
    <w:rsid w:val="4E534135"/>
    <w:rsid w:val="4E535FEA"/>
    <w:rsid w:val="4E55208B"/>
    <w:rsid w:val="4E5A2ECF"/>
    <w:rsid w:val="4E5C6D04"/>
    <w:rsid w:val="4E612956"/>
    <w:rsid w:val="4E632D4E"/>
    <w:rsid w:val="4E650259"/>
    <w:rsid w:val="4E6E6066"/>
    <w:rsid w:val="4E74211C"/>
    <w:rsid w:val="4E790394"/>
    <w:rsid w:val="4E796118"/>
    <w:rsid w:val="4E7B506E"/>
    <w:rsid w:val="4E872543"/>
    <w:rsid w:val="4E9455A2"/>
    <w:rsid w:val="4E950B5B"/>
    <w:rsid w:val="4E9C5D6A"/>
    <w:rsid w:val="4E9D3659"/>
    <w:rsid w:val="4E9F3A03"/>
    <w:rsid w:val="4EA01D5C"/>
    <w:rsid w:val="4EA57DAA"/>
    <w:rsid w:val="4EA74130"/>
    <w:rsid w:val="4EAA7184"/>
    <w:rsid w:val="4EAE5AE6"/>
    <w:rsid w:val="4EAE608B"/>
    <w:rsid w:val="4EAF4555"/>
    <w:rsid w:val="4EB01133"/>
    <w:rsid w:val="4EB920E6"/>
    <w:rsid w:val="4EBF487C"/>
    <w:rsid w:val="4EC00C3F"/>
    <w:rsid w:val="4EC06424"/>
    <w:rsid w:val="4EC17DFA"/>
    <w:rsid w:val="4EC312E8"/>
    <w:rsid w:val="4EC3721A"/>
    <w:rsid w:val="4EC67FF3"/>
    <w:rsid w:val="4ECC43FA"/>
    <w:rsid w:val="4ECD13B2"/>
    <w:rsid w:val="4ECD1FB7"/>
    <w:rsid w:val="4ED013E4"/>
    <w:rsid w:val="4ED2024A"/>
    <w:rsid w:val="4EE3065B"/>
    <w:rsid w:val="4EE337C4"/>
    <w:rsid w:val="4EE67BCA"/>
    <w:rsid w:val="4EE97E2E"/>
    <w:rsid w:val="4EEA1F5E"/>
    <w:rsid w:val="4EEF6C93"/>
    <w:rsid w:val="4EF15EF3"/>
    <w:rsid w:val="4EF37BD9"/>
    <w:rsid w:val="4EF76852"/>
    <w:rsid w:val="4EFB08C7"/>
    <w:rsid w:val="4EFB49A8"/>
    <w:rsid w:val="4EFC68DD"/>
    <w:rsid w:val="4EFD2D29"/>
    <w:rsid w:val="4EFF4689"/>
    <w:rsid w:val="4EFF6855"/>
    <w:rsid w:val="4F024EC7"/>
    <w:rsid w:val="4F037D31"/>
    <w:rsid w:val="4F0B3174"/>
    <w:rsid w:val="4F0D10B9"/>
    <w:rsid w:val="4F0F66CF"/>
    <w:rsid w:val="4F16669D"/>
    <w:rsid w:val="4F263169"/>
    <w:rsid w:val="4F271309"/>
    <w:rsid w:val="4F2846D2"/>
    <w:rsid w:val="4F2E36DB"/>
    <w:rsid w:val="4F2E6D99"/>
    <w:rsid w:val="4F2F2D0D"/>
    <w:rsid w:val="4F2F7DC6"/>
    <w:rsid w:val="4F3113E5"/>
    <w:rsid w:val="4F333760"/>
    <w:rsid w:val="4F412DF9"/>
    <w:rsid w:val="4F420E00"/>
    <w:rsid w:val="4F487594"/>
    <w:rsid w:val="4F4D33E1"/>
    <w:rsid w:val="4F5D085A"/>
    <w:rsid w:val="4F5F10EB"/>
    <w:rsid w:val="4F614977"/>
    <w:rsid w:val="4F7A31C1"/>
    <w:rsid w:val="4F8353A9"/>
    <w:rsid w:val="4F863E49"/>
    <w:rsid w:val="4F864327"/>
    <w:rsid w:val="4F8664E6"/>
    <w:rsid w:val="4F8E0153"/>
    <w:rsid w:val="4F9123BA"/>
    <w:rsid w:val="4F926F84"/>
    <w:rsid w:val="4F946284"/>
    <w:rsid w:val="4F965C0B"/>
    <w:rsid w:val="4F9D32E4"/>
    <w:rsid w:val="4F9D4D9E"/>
    <w:rsid w:val="4F9E1B3A"/>
    <w:rsid w:val="4FA44B83"/>
    <w:rsid w:val="4FA47F62"/>
    <w:rsid w:val="4FA605A6"/>
    <w:rsid w:val="4FA64965"/>
    <w:rsid w:val="4FB00C62"/>
    <w:rsid w:val="4FB07878"/>
    <w:rsid w:val="4FB20FD2"/>
    <w:rsid w:val="4FB358C7"/>
    <w:rsid w:val="4FB4602D"/>
    <w:rsid w:val="4FB80DDD"/>
    <w:rsid w:val="4FBB165E"/>
    <w:rsid w:val="4FC06D9E"/>
    <w:rsid w:val="4FC142C8"/>
    <w:rsid w:val="4FC53C60"/>
    <w:rsid w:val="4FC83BF5"/>
    <w:rsid w:val="4FCE746C"/>
    <w:rsid w:val="4FD70FC8"/>
    <w:rsid w:val="4FD76FAF"/>
    <w:rsid w:val="4FDA1E85"/>
    <w:rsid w:val="4FDC1D0B"/>
    <w:rsid w:val="4FDE2207"/>
    <w:rsid w:val="4FE11858"/>
    <w:rsid w:val="4FE5221C"/>
    <w:rsid w:val="4FE9475B"/>
    <w:rsid w:val="4FEB52E2"/>
    <w:rsid w:val="4FF8171B"/>
    <w:rsid w:val="4FF879C7"/>
    <w:rsid w:val="4FFA4DD2"/>
    <w:rsid w:val="4FFF6D19"/>
    <w:rsid w:val="50026E65"/>
    <w:rsid w:val="500505D9"/>
    <w:rsid w:val="50054AEF"/>
    <w:rsid w:val="5006174B"/>
    <w:rsid w:val="50093F5E"/>
    <w:rsid w:val="500B3954"/>
    <w:rsid w:val="500E0157"/>
    <w:rsid w:val="500E5DA4"/>
    <w:rsid w:val="50141B34"/>
    <w:rsid w:val="50177902"/>
    <w:rsid w:val="50183CDA"/>
    <w:rsid w:val="501971E1"/>
    <w:rsid w:val="501D0515"/>
    <w:rsid w:val="50214F68"/>
    <w:rsid w:val="50247218"/>
    <w:rsid w:val="502F6CD4"/>
    <w:rsid w:val="50346604"/>
    <w:rsid w:val="50366467"/>
    <w:rsid w:val="503737A6"/>
    <w:rsid w:val="50375C48"/>
    <w:rsid w:val="503862C7"/>
    <w:rsid w:val="503C580B"/>
    <w:rsid w:val="503D7511"/>
    <w:rsid w:val="503E68CD"/>
    <w:rsid w:val="50446D1C"/>
    <w:rsid w:val="50453AE9"/>
    <w:rsid w:val="504607EA"/>
    <w:rsid w:val="504774E9"/>
    <w:rsid w:val="50482B34"/>
    <w:rsid w:val="504F621D"/>
    <w:rsid w:val="50563037"/>
    <w:rsid w:val="50684E13"/>
    <w:rsid w:val="506A205B"/>
    <w:rsid w:val="506F1C65"/>
    <w:rsid w:val="50721A76"/>
    <w:rsid w:val="50742D01"/>
    <w:rsid w:val="5074776F"/>
    <w:rsid w:val="50772144"/>
    <w:rsid w:val="507B7336"/>
    <w:rsid w:val="508236E6"/>
    <w:rsid w:val="50872332"/>
    <w:rsid w:val="508E01DC"/>
    <w:rsid w:val="508F44C3"/>
    <w:rsid w:val="50915827"/>
    <w:rsid w:val="50963581"/>
    <w:rsid w:val="509E2397"/>
    <w:rsid w:val="50A2665D"/>
    <w:rsid w:val="50B04EEC"/>
    <w:rsid w:val="50B45F87"/>
    <w:rsid w:val="50B762E2"/>
    <w:rsid w:val="50C3503D"/>
    <w:rsid w:val="50C633C0"/>
    <w:rsid w:val="50CA1E50"/>
    <w:rsid w:val="50CB69B0"/>
    <w:rsid w:val="50D53873"/>
    <w:rsid w:val="50DA0369"/>
    <w:rsid w:val="50DA6BB3"/>
    <w:rsid w:val="50DC2A29"/>
    <w:rsid w:val="50E67C23"/>
    <w:rsid w:val="50EA707B"/>
    <w:rsid w:val="50ED7ED5"/>
    <w:rsid w:val="50F00D64"/>
    <w:rsid w:val="50F4253E"/>
    <w:rsid w:val="50F46861"/>
    <w:rsid w:val="50F971EB"/>
    <w:rsid w:val="51025944"/>
    <w:rsid w:val="51025D03"/>
    <w:rsid w:val="51060F79"/>
    <w:rsid w:val="510942A9"/>
    <w:rsid w:val="510C43EE"/>
    <w:rsid w:val="51112274"/>
    <w:rsid w:val="511219B1"/>
    <w:rsid w:val="51157498"/>
    <w:rsid w:val="511931B2"/>
    <w:rsid w:val="51284D49"/>
    <w:rsid w:val="51295096"/>
    <w:rsid w:val="512B3500"/>
    <w:rsid w:val="513323C6"/>
    <w:rsid w:val="51365736"/>
    <w:rsid w:val="51365B56"/>
    <w:rsid w:val="513C591A"/>
    <w:rsid w:val="513C5B6A"/>
    <w:rsid w:val="513D4289"/>
    <w:rsid w:val="51422A0A"/>
    <w:rsid w:val="51425190"/>
    <w:rsid w:val="51465FA9"/>
    <w:rsid w:val="51482FEA"/>
    <w:rsid w:val="514968A4"/>
    <w:rsid w:val="514C1969"/>
    <w:rsid w:val="514C2EFA"/>
    <w:rsid w:val="515C4893"/>
    <w:rsid w:val="51650F4B"/>
    <w:rsid w:val="51653A6E"/>
    <w:rsid w:val="51653F57"/>
    <w:rsid w:val="516657FF"/>
    <w:rsid w:val="51697153"/>
    <w:rsid w:val="516B14C3"/>
    <w:rsid w:val="517372F5"/>
    <w:rsid w:val="517B6017"/>
    <w:rsid w:val="518076FC"/>
    <w:rsid w:val="51836CF5"/>
    <w:rsid w:val="518468BE"/>
    <w:rsid w:val="518877DB"/>
    <w:rsid w:val="518A0F75"/>
    <w:rsid w:val="5195636A"/>
    <w:rsid w:val="51960AD2"/>
    <w:rsid w:val="519712E0"/>
    <w:rsid w:val="519947F8"/>
    <w:rsid w:val="519A093C"/>
    <w:rsid w:val="51A24227"/>
    <w:rsid w:val="51A33CC1"/>
    <w:rsid w:val="51A55BB9"/>
    <w:rsid w:val="51A64CD2"/>
    <w:rsid w:val="51A6769A"/>
    <w:rsid w:val="51A83990"/>
    <w:rsid w:val="51AB0620"/>
    <w:rsid w:val="51AE448C"/>
    <w:rsid w:val="51B1567E"/>
    <w:rsid w:val="51B37A55"/>
    <w:rsid w:val="51C373D4"/>
    <w:rsid w:val="51C44F4A"/>
    <w:rsid w:val="51C62BC4"/>
    <w:rsid w:val="51CC41FA"/>
    <w:rsid w:val="51D04721"/>
    <w:rsid w:val="51D41FA9"/>
    <w:rsid w:val="51DA5491"/>
    <w:rsid w:val="51DC30EE"/>
    <w:rsid w:val="51E05D03"/>
    <w:rsid w:val="51E6359F"/>
    <w:rsid w:val="51EC7024"/>
    <w:rsid w:val="51F010AD"/>
    <w:rsid w:val="51FE7C18"/>
    <w:rsid w:val="52013495"/>
    <w:rsid w:val="52036D9A"/>
    <w:rsid w:val="52040016"/>
    <w:rsid w:val="52040DBD"/>
    <w:rsid w:val="52076E0E"/>
    <w:rsid w:val="520B03E6"/>
    <w:rsid w:val="520C05A8"/>
    <w:rsid w:val="52112935"/>
    <w:rsid w:val="52170FD9"/>
    <w:rsid w:val="521A0758"/>
    <w:rsid w:val="522039C6"/>
    <w:rsid w:val="52281FEE"/>
    <w:rsid w:val="522950FD"/>
    <w:rsid w:val="522A060B"/>
    <w:rsid w:val="522A7093"/>
    <w:rsid w:val="522D6E3D"/>
    <w:rsid w:val="522F1F0D"/>
    <w:rsid w:val="52336900"/>
    <w:rsid w:val="52352C34"/>
    <w:rsid w:val="52355AE4"/>
    <w:rsid w:val="5237121D"/>
    <w:rsid w:val="52394174"/>
    <w:rsid w:val="523B44C9"/>
    <w:rsid w:val="523B6476"/>
    <w:rsid w:val="523D1428"/>
    <w:rsid w:val="523E5BEE"/>
    <w:rsid w:val="52462715"/>
    <w:rsid w:val="52462C1E"/>
    <w:rsid w:val="524C6F47"/>
    <w:rsid w:val="5252515F"/>
    <w:rsid w:val="525376C5"/>
    <w:rsid w:val="52576514"/>
    <w:rsid w:val="52631B61"/>
    <w:rsid w:val="526536A7"/>
    <w:rsid w:val="526810FF"/>
    <w:rsid w:val="526B17A1"/>
    <w:rsid w:val="526E563E"/>
    <w:rsid w:val="526F516B"/>
    <w:rsid w:val="527205D0"/>
    <w:rsid w:val="52765094"/>
    <w:rsid w:val="527B57CD"/>
    <w:rsid w:val="5284617D"/>
    <w:rsid w:val="528A23EF"/>
    <w:rsid w:val="528D4FC8"/>
    <w:rsid w:val="52906522"/>
    <w:rsid w:val="5294622D"/>
    <w:rsid w:val="5297032F"/>
    <w:rsid w:val="529B0012"/>
    <w:rsid w:val="52A174E0"/>
    <w:rsid w:val="52A17705"/>
    <w:rsid w:val="52A67716"/>
    <w:rsid w:val="52A750D4"/>
    <w:rsid w:val="52A90CC3"/>
    <w:rsid w:val="52AB07CA"/>
    <w:rsid w:val="52B05170"/>
    <w:rsid w:val="52B055DB"/>
    <w:rsid w:val="52B236F1"/>
    <w:rsid w:val="52B337B8"/>
    <w:rsid w:val="52B81D51"/>
    <w:rsid w:val="52BB3775"/>
    <w:rsid w:val="52BD686A"/>
    <w:rsid w:val="52C57AEA"/>
    <w:rsid w:val="52D04A3C"/>
    <w:rsid w:val="52D05583"/>
    <w:rsid w:val="52D10EBE"/>
    <w:rsid w:val="52D206EE"/>
    <w:rsid w:val="52D6332C"/>
    <w:rsid w:val="52D72F1B"/>
    <w:rsid w:val="52E23482"/>
    <w:rsid w:val="52E5627B"/>
    <w:rsid w:val="52EB1A17"/>
    <w:rsid w:val="52F20018"/>
    <w:rsid w:val="52F25A5C"/>
    <w:rsid w:val="52FA3185"/>
    <w:rsid w:val="52FC2836"/>
    <w:rsid w:val="53055F02"/>
    <w:rsid w:val="530C5AA4"/>
    <w:rsid w:val="53111A06"/>
    <w:rsid w:val="53112A2C"/>
    <w:rsid w:val="531A0149"/>
    <w:rsid w:val="53205A4E"/>
    <w:rsid w:val="53222C5B"/>
    <w:rsid w:val="53280A97"/>
    <w:rsid w:val="53285514"/>
    <w:rsid w:val="53297DDD"/>
    <w:rsid w:val="532C1F06"/>
    <w:rsid w:val="53353630"/>
    <w:rsid w:val="533C3C0D"/>
    <w:rsid w:val="533D4D33"/>
    <w:rsid w:val="533E33EC"/>
    <w:rsid w:val="533F1619"/>
    <w:rsid w:val="53413EB4"/>
    <w:rsid w:val="534229D1"/>
    <w:rsid w:val="534643BE"/>
    <w:rsid w:val="534935B1"/>
    <w:rsid w:val="534A2ACE"/>
    <w:rsid w:val="534A56F5"/>
    <w:rsid w:val="534B2879"/>
    <w:rsid w:val="534C7991"/>
    <w:rsid w:val="534D4DA4"/>
    <w:rsid w:val="535013D8"/>
    <w:rsid w:val="53531940"/>
    <w:rsid w:val="5359377C"/>
    <w:rsid w:val="53595B25"/>
    <w:rsid w:val="535960C6"/>
    <w:rsid w:val="535B08E9"/>
    <w:rsid w:val="53612643"/>
    <w:rsid w:val="5362063F"/>
    <w:rsid w:val="53645772"/>
    <w:rsid w:val="53646CEF"/>
    <w:rsid w:val="536D4964"/>
    <w:rsid w:val="538143BC"/>
    <w:rsid w:val="5385768B"/>
    <w:rsid w:val="538663A6"/>
    <w:rsid w:val="538A60B0"/>
    <w:rsid w:val="538E2D38"/>
    <w:rsid w:val="538E470C"/>
    <w:rsid w:val="5390692A"/>
    <w:rsid w:val="53923E52"/>
    <w:rsid w:val="53924F88"/>
    <w:rsid w:val="539A77F4"/>
    <w:rsid w:val="539B1E39"/>
    <w:rsid w:val="539C3F11"/>
    <w:rsid w:val="539E4973"/>
    <w:rsid w:val="53A3498E"/>
    <w:rsid w:val="53A616BE"/>
    <w:rsid w:val="53AB24A6"/>
    <w:rsid w:val="53AB4604"/>
    <w:rsid w:val="53AC0356"/>
    <w:rsid w:val="53B359D6"/>
    <w:rsid w:val="53BF7315"/>
    <w:rsid w:val="53D00145"/>
    <w:rsid w:val="53D34EE3"/>
    <w:rsid w:val="53D708D1"/>
    <w:rsid w:val="53D801C1"/>
    <w:rsid w:val="53DD586D"/>
    <w:rsid w:val="53E35042"/>
    <w:rsid w:val="53E36B7F"/>
    <w:rsid w:val="53E44531"/>
    <w:rsid w:val="53E57664"/>
    <w:rsid w:val="53E602FA"/>
    <w:rsid w:val="53E65C2E"/>
    <w:rsid w:val="53E81EC2"/>
    <w:rsid w:val="53E94107"/>
    <w:rsid w:val="53EB0F4E"/>
    <w:rsid w:val="53EE1E04"/>
    <w:rsid w:val="53F34ADB"/>
    <w:rsid w:val="53F46F96"/>
    <w:rsid w:val="53FC2A7F"/>
    <w:rsid w:val="53FD1217"/>
    <w:rsid w:val="53FD6E7A"/>
    <w:rsid w:val="53FE2232"/>
    <w:rsid w:val="53FF79F7"/>
    <w:rsid w:val="5400062A"/>
    <w:rsid w:val="54056EA0"/>
    <w:rsid w:val="5408750A"/>
    <w:rsid w:val="54100030"/>
    <w:rsid w:val="54117CB7"/>
    <w:rsid w:val="541C0A0E"/>
    <w:rsid w:val="541C77DD"/>
    <w:rsid w:val="541D5137"/>
    <w:rsid w:val="5423549C"/>
    <w:rsid w:val="542412B2"/>
    <w:rsid w:val="54273C81"/>
    <w:rsid w:val="542D6969"/>
    <w:rsid w:val="54316C36"/>
    <w:rsid w:val="54380BCE"/>
    <w:rsid w:val="54380DD8"/>
    <w:rsid w:val="54390055"/>
    <w:rsid w:val="54390714"/>
    <w:rsid w:val="54397EAA"/>
    <w:rsid w:val="543E6F90"/>
    <w:rsid w:val="54427152"/>
    <w:rsid w:val="544A7658"/>
    <w:rsid w:val="545142A9"/>
    <w:rsid w:val="545A0949"/>
    <w:rsid w:val="545E0C73"/>
    <w:rsid w:val="54607BB9"/>
    <w:rsid w:val="5462371A"/>
    <w:rsid w:val="54626B53"/>
    <w:rsid w:val="54661B18"/>
    <w:rsid w:val="5467297F"/>
    <w:rsid w:val="546A5FFA"/>
    <w:rsid w:val="54743BB8"/>
    <w:rsid w:val="54755ADB"/>
    <w:rsid w:val="54782E02"/>
    <w:rsid w:val="54791FA9"/>
    <w:rsid w:val="547B00D9"/>
    <w:rsid w:val="54850626"/>
    <w:rsid w:val="548574CA"/>
    <w:rsid w:val="549065B1"/>
    <w:rsid w:val="54957FB7"/>
    <w:rsid w:val="54A808C7"/>
    <w:rsid w:val="54A9332B"/>
    <w:rsid w:val="54AA3F91"/>
    <w:rsid w:val="54AB7757"/>
    <w:rsid w:val="54B17A4E"/>
    <w:rsid w:val="54B417BF"/>
    <w:rsid w:val="54B57EBB"/>
    <w:rsid w:val="54B61F65"/>
    <w:rsid w:val="54B74A35"/>
    <w:rsid w:val="54B92B8C"/>
    <w:rsid w:val="54C117C9"/>
    <w:rsid w:val="54CC6056"/>
    <w:rsid w:val="54D026EB"/>
    <w:rsid w:val="54D10E69"/>
    <w:rsid w:val="54D76AC2"/>
    <w:rsid w:val="54D9065D"/>
    <w:rsid w:val="54E063D0"/>
    <w:rsid w:val="54E311F9"/>
    <w:rsid w:val="54E417E4"/>
    <w:rsid w:val="54E42C29"/>
    <w:rsid w:val="54E503CE"/>
    <w:rsid w:val="54E564A4"/>
    <w:rsid w:val="54E75AC3"/>
    <w:rsid w:val="54E85B62"/>
    <w:rsid w:val="54E91774"/>
    <w:rsid w:val="54ED0EDC"/>
    <w:rsid w:val="54EE236D"/>
    <w:rsid w:val="54EF59E7"/>
    <w:rsid w:val="54EF6BD6"/>
    <w:rsid w:val="54F5376B"/>
    <w:rsid w:val="54F72D64"/>
    <w:rsid w:val="550150BA"/>
    <w:rsid w:val="55036D3C"/>
    <w:rsid w:val="55062A5D"/>
    <w:rsid w:val="550E03D9"/>
    <w:rsid w:val="550E7DED"/>
    <w:rsid w:val="550F4910"/>
    <w:rsid w:val="55130773"/>
    <w:rsid w:val="55186324"/>
    <w:rsid w:val="55186D60"/>
    <w:rsid w:val="551878BB"/>
    <w:rsid w:val="55191695"/>
    <w:rsid w:val="55194A7E"/>
    <w:rsid w:val="551B057C"/>
    <w:rsid w:val="55216368"/>
    <w:rsid w:val="55252239"/>
    <w:rsid w:val="55292DFE"/>
    <w:rsid w:val="552A24A2"/>
    <w:rsid w:val="552D3A24"/>
    <w:rsid w:val="552F6782"/>
    <w:rsid w:val="55301478"/>
    <w:rsid w:val="553E775C"/>
    <w:rsid w:val="55427042"/>
    <w:rsid w:val="55445741"/>
    <w:rsid w:val="554556F6"/>
    <w:rsid w:val="554859C7"/>
    <w:rsid w:val="554B430F"/>
    <w:rsid w:val="555036FC"/>
    <w:rsid w:val="5551399D"/>
    <w:rsid w:val="5558020B"/>
    <w:rsid w:val="556102FB"/>
    <w:rsid w:val="55623EE0"/>
    <w:rsid w:val="55624575"/>
    <w:rsid w:val="55640D61"/>
    <w:rsid w:val="556751C7"/>
    <w:rsid w:val="556A2274"/>
    <w:rsid w:val="556A7249"/>
    <w:rsid w:val="556C6C12"/>
    <w:rsid w:val="556E5C27"/>
    <w:rsid w:val="557403E9"/>
    <w:rsid w:val="55751E27"/>
    <w:rsid w:val="557601B7"/>
    <w:rsid w:val="557960CD"/>
    <w:rsid w:val="557D68EC"/>
    <w:rsid w:val="558B57C9"/>
    <w:rsid w:val="55914DE4"/>
    <w:rsid w:val="55927D6E"/>
    <w:rsid w:val="559430BC"/>
    <w:rsid w:val="559751B6"/>
    <w:rsid w:val="559C62B2"/>
    <w:rsid w:val="559E4824"/>
    <w:rsid w:val="55A40BEA"/>
    <w:rsid w:val="55A4526F"/>
    <w:rsid w:val="55A51811"/>
    <w:rsid w:val="55AE09D0"/>
    <w:rsid w:val="55B17AD6"/>
    <w:rsid w:val="55B21F45"/>
    <w:rsid w:val="55B469BC"/>
    <w:rsid w:val="55BA0625"/>
    <w:rsid w:val="55BC45BC"/>
    <w:rsid w:val="55C363DC"/>
    <w:rsid w:val="55C51BA3"/>
    <w:rsid w:val="55C546B3"/>
    <w:rsid w:val="55C63F43"/>
    <w:rsid w:val="55C75DEB"/>
    <w:rsid w:val="55CC65DB"/>
    <w:rsid w:val="55CE0F95"/>
    <w:rsid w:val="55D00080"/>
    <w:rsid w:val="55D02BC6"/>
    <w:rsid w:val="55D65411"/>
    <w:rsid w:val="55DA0CF1"/>
    <w:rsid w:val="55DA4B2E"/>
    <w:rsid w:val="55DF35AE"/>
    <w:rsid w:val="55E16BFA"/>
    <w:rsid w:val="55E25BDB"/>
    <w:rsid w:val="55E7555D"/>
    <w:rsid w:val="55EB7334"/>
    <w:rsid w:val="55F54030"/>
    <w:rsid w:val="55F5670D"/>
    <w:rsid w:val="55F82729"/>
    <w:rsid w:val="55F93FF1"/>
    <w:rsid w:val="55FC0337"/>
    <w:rsid w:val="55FC6467"/>
    <w:rsid w:val="55FE7732"/>
    <w:rsid w:val="56017878"/>
    <w:rsid w:val="560259B1"/>
    <w:rsid w:val="560550E5"/>
    <w:rsid w:val="560869A4"/>
    <w:rsid w:val="560B0C55"/>
    <w:rsid w:val="560E37ED"/>
    <w:rsid w:val="560F44BC"/>
    <w:rsid w:val="561507EC"/>
    <w:rsid w:val="561B0789"/>
    <w:rsid w:val="561B281D"/>
    <w:rsid w:val="561D4EA4"/>
    <w:rsid w:val="561F5112"/>
    <w:rsid w:val="56214362"/>
    <w:rsid w:val="56224D2A"/>
    <w:rsid w:val="56234153"/>
    <w:rsid w:val="562456B8"/>
    <w:rsid w:val="56264A9B"/>
    <w:rsid w:val="5628702D"/>
    <w:rsid w:val="56304DFF"/>
    <w:rsid w:val="563574FA"/>
    <w:rsid w:val="563A01D2"/>
    <w:rsid w:val="563B4B4C"/>
    <w:rsid w:val="563B5638"/>
    <w:rsid w:val="563C7E28"/>
    <w:rsid w:val="563D6C70"/>
    <w:rsid w:val="56512623"/>
    <w:rsid w:val="56540681"/>
    <w:rsid w:val="565565DE"/>
    <w:rsid w:val="565777E2"/>
    <w:rsid w:val="565C76E0"/>
    <w:rsid w:val="56680EF3"/>
    <w:rsid w:val="5675471F"/>
    <w:rsid w:val="56773CBA"/>
    <w:rsid w:val="56780533"/>
    <w:rsid w:val="567A4C53"/>
    <w:rsid w:val="56831379"/>
    <w:rsid w:val="568752BD"/>
    <w:rsid w:val="56881A91"/>
    <w:rsid w:val="568A6695"/>
    <w:rsid w:val="56951949"/>
    <w:rsid w:val="56975A28"/>
    <w:rsid w:val="569B1245"/>
    <w:rsid w:val="569D2FD4"/>
    <w:rsid w:val="569D3FA5"/>
    <w:rsid w:val="569E1491"/>
    <w:rsid w:val="56A34905"/>
    <w:rsid w:val="56A442A3"/>
    <w:rsid w:val="56A45579"/>
    <w:rsid w:val="56A75B74"/>
    <w:rsid w:val="56B13B28"/>
    <w:rsid w:val="56C409AB"/>
    <w:rsid w:val="56C60A8B"/>
    <w:rsid w:val="56CC2488"/>
    <w:rsid w:val="56CC7053"/>
    <w:rsid w:val="56D41509"/>
    <w:rsid w:val="56D426E8"/>
    <w:rsid w:val="56DA2EDE"/>
    <w:rsid w:val="56DB5784"/>
    <w:rsid w:val="56DD3730"/>
    <w:rsid w:val="56E13DCC"/>
    <w:rsid w:val="56EA1E8C"/>
    <w:rsid w:val="56EF4D2A"/>
    <w:rsid w:val="56F32411"/>
    <w:rsid w:val="56F85E53"/>
    <w:rsid w:val="57007C61"/>
    <w:rsid w:val="57063394"/>
    <w:rsid w:val="570755F7"/>
    <w:rsid w:val="570856E4"/>
    <w:rsid w:val="570C2F2C"/>
    <w:rsid w:val="57120853"/>
    <w:rsid w:val="57124646"/>
    <w:rsid w:val="5713217D"/>
    <w:rsid w:val="57194202"/>
    <w:rsid w:val="571A5931"/>
    <w:rsid w:val="571D20C4"/>
    <w:rsid w:val="572C3395"/>
    <w:rsid w:val="572E1821"/>
    <w:rsid w:val="57304353"/>
    <w:rsid w:val="5734105A"/>
    <w:rsid w:val="57375C2D"/>
    <w:rsid w:val="573810A6"/>
    <w:rsid w:val="57392524"/>
    <w:rsid w:val="573F2D26"/>
    <w:rsid w:val="574039C8"/>
    <w:rsid w:val="57416390"/>
    <w:rsid w:val="574870CB"/>
    <w:rsid w:val="574E1592"/>
    <w:rsid w:val="575276D4"/>
    <w:rsid w:val="575410D3"/>
    <w:rsid w:val="57576567"/>
    <w:rsid w:val="5758191B"/>
    <w:rsid w:val="575A4DFF"/>
    <w:rsid w:val="575D0E75"/>
    <w:rsid w:val="575E73E6"/>
    <w:rsid w:val="575F025E"/>
    <w:rsid w:val="57615769"/>
    <w:rsid w:val="57635483"/>
    <w:rsid w:val="57640345"/>
    <w:rsid w:val="57663569"/>
    <w:rsid w:val="576D1E09"/>
    <w:rsid w:val="57700C92"/>
    <w:rsid w:val="57716A78"/>
    <w:rsid w:val="57756FA8"/>
    <w:rsid w:val="577723A0"/>
    <w:rsid w:val="57773DDA"/>
    <w:rsid w:val="577777C0"/>
    <w:rsid w:val="5779727E"/>
    <w:rsid w:val="578041B9"/>
    <w:rsid w:val="57837E18"/>
    <w:rsid w:val="57847D55"/>
    <w:rsid w:val="578702CE"/>
    <w:rsid w:val="578A30A4"/>
    <w:rsid w:val="57955D6C"/>
    <w:rsid w:val="579828A8"/>
    <w:rsid w:val="579B5D36"/>
    <w:rsid w:val="57A627EA"/>
    <w:rsid w:val="57A92E65"/>
    <w:rsid w:val="57AD2F37"/>
    <w:rsid w:val="57AE373A"/>
    <w:rsid w:val="57B773DB"/>
    <w:rsid w:val="57B9589A"/>
    <w:rsid w:val="57BD0F03"/>
    <w:rsid w:val="57BF5294"/>
    <w:rsid w:val="57C51433"/>
    <w:rsid w:val="57C5564D"/>
    <w:rsid w:val="57CA0E73"/>
    <w:rsid w:val="57CD7072"/>
    <w:rsid w:val="57D26A88"/>
    <w:rsid w:val="57D36F3D"/>
    <w:rsid w:val="57D430F1"/>
    <w:rsid w:val="57D44322"/>
    <w:rsid w:val="57D66329"/>
    <w:rsid w:val="57D9393C"/>
    <w:rsid w:val="57D949E3"/>
    <w:rsid w:val="57DC48C7"/>
    <w:rsid w:val="57E143E2"/>
    <w:rsid w:val="57E223AA"/>
    <w:rsid w:val="57E274F8"/>
    <w:rsid w:val="57E27DDF"/>
    <w:rsid w:val="57E40975"/>
    <w:rsid w:val="57E4206A"/>
    <w:rsid w:val="57ED5E1B"/>
    <w:rsid w:val="57F43379"/>
    <w:rsid w:val="57F46AB8"/>
    <w:rsid w:val="57F54E0D"/>
    <w:rsid w:val="57F6121B"/>
    <w:rsid w:val="57FC5BB2"/>
    <w:rsid w:val="57FC7163"/>
    <w:rsid w:val="5805272B"/>
    <w:rsid w:val="58093FC9"/>
    <w:rsid w:val="580D237A"/>
    <w:rsid w:val="580D644F"/>
    <w:rsid w:val="580E17ED"/>
    <w:rsid w:val="58123C31"/>
    <w:rsid w:val="581556CF"/>
    <w:rsid w:val="58170ECA"/>
    <w:rsid w:val="58197BC6"/>
    <w:rsid w:val="581C54E1"/>
    <w:rsid w:val="581D1DF2"/>
    <w:rsid w:val="58235FC6"/>
    <w:rsid w:val="58293053"/>
    <w:rsid w:val="582C45A9"/>
    <w:rsid w:val="58303B0C"/>
    <w:rsid w:val="583465A4"/>
    <w:rsid w:val="583758E5"/>
    <w:rsid w:val="58381084"/>
    <w:rsid w:val="583A111F"/>
    <w:rsid w:val="583B2D78"/>
    <w:rsid w:val="58425AB7"/>
    <w:rsid w:val="58466D8D"/>
    <w:rsid w:val="58480B4F"/>
    <w:rsid w:val="584928FB"/>
    <w:rsid w:val="58512FCE"/>
    <w:rsid w:val="585323A9"/>
    <w:rsid w:val="58554973"/>
    <w:rsid w:val="58626561"/>
    <w:rsid w:val="58634CA2"/>
    <w:rsid w:val="58690C12"/>
    <w:rsid w:val="586B3216"/>
    <w:rsid w:val="58707675"/>
    <w:rsid w:val="5874766E"/>
    <w:rsid w:val="58761FFA"/>
    <w:rsid w:val="58765037"/>
    <w:rsid w:val="587B3D18"/>
    <w:rsid w:val="588671B5"/>
    <w:rsid w:val="5888560B"/>
    <w:rsid w:val="58897AB4"/>
    <w:rsid w:val="588D15F3"/>
    <w:rsid w:val="588F48D9"/>
    <w:rsid w:val="58907A5F"/>
    <w:rsid w:val="589177CD"/>
    <w:rsid w:val="5892040D"/>
    <w:rsid w:val="58943390"/>
    <w:rsid w:val="58952BD0"/>
    <w:rsid w:val="589D18E5"/>
    <w:rsid w:val="589F4B3F"/>
    <w:rsid w:val="58A46D71"/>
    <w:rsid w:val="58A55793"/>
    <w:rsid w:val="58A84EC9"/>
    <w:rsid w:val="58AB7726"/>
    <w:rsid w:val="58AF33DA"/>
    <w:rsid w:val="58B024F3"/>
    <w:rsid w:val="58B04785"/>
    <w:rsid w:val="58B23280"/>
    <w:rsid w:val="58B628D8"/>
    <w:rsid w:val="58B96B16"/>
    <w:rsid w:val="58BE77A9"/>
    <w:rsid w:val="58C111D0"/>
    <w:rsid w:val="58C11564"/>
    <w:rsid w:val="58C15437"/>
    <w:rsid w:val="58C811DD"/>
    <w:rsid w:val="58CD3B8E"/>
    <w:rsid w:val="58CD4D9B"/>
    <w:rsid w:val="58CE10E9"/>
    <w:rsid w:val="58D2602D"/>
    <w:rsid w:val="58D662A5"/>
    <w:rsid w:val="58DB581A"/>
    <w:rsid w:val="58DF6F58"/>
    <w:rsid w:val="58E124D0"/>
    <w:rsid w:val="58E33156"/>
    <w:rsid w:val="58E36E57"/>
    <w:rsid w:val="58E44DC4"/>
    <w:rsid w:val="58E51792"/>
    <w:rsid w:val="58E751E5"/>
    <w:rsid w:val="58EA504A"/>
    <w:rsid w:val="58F108CA"/>
    <w:rsid w:val="58F550F6"/>
    <w:rsid w:val="58F84006"/>
    <w:rsid w:val="58F84EA5"/>
    <w:rsid w:val="58F95475"/>
    <w:rsid w:val="58F958E0"/>
    <w:rsid w:val="58FE4A98"/>
    <w:rsid w:val="59033EC8"/>
    <w:rsid w:val="59045D2F"/>
    <w:rsid w:val="590627FB"/>
    <w:rsid w:val="59086DF0"/>
    <w:rsid w:val="590F786B"/>
    <w:rsid w:val="591036CA"/>
    <w:rsid w:val="5912769E"/>
    <w:rsid w:val="591307AA"/>
    <w:rsid w:val="59185396"/>
    <w:rsid w:val="591874A8"/>
    <w:rsid w:val="591B7DD0"/>
    <w:rsid w:val="591D1D2D"/>
    <w:rsid w:val="591E72C7"/>
    <w:rsid w:val="59260BAB"/>
    <w:rsid w:val="592C071B"/>
    <w:rsid w:val="59371711"/>
    <w:rsid w:val="59374AE6"/>
    <w:rsid w:val="593A2474"/>
    <w:rsid w:val="593B07CA"/>
    <w:rsid w:val="593B5A63"/>
    <w:rsid w:val="593C1120"/>
    <w:rsid w:val="594B3B32"/>
    <w:rsid w:val="59507174"/>
    <w:rsid w:val="5951724C"/>
    <w:rsid w:val="59533511"/>
    <w:rsid w:val="595B07A7"/>
    <w:rsid w:val="595F349F"/>
    <w:rsid w:val="59604C2C"/>
    <w:rsid w:val="59616890"/>
    <w:rsid w:val="59637D65"/>
    <w:rsid w:val="596F3E59"/>
    <w:rsid w:val="596F64AC"/>
    <w:rsid w:val="597574D5"/>
    <w:rsid w:val="5976257A"/>
    <w:rsid w:val="597665A1"/>
    <w:rsid w:val="597D4F91"/>
    <w:rsid w:val="597F0F3B"/>
    <w:rsid w:val="598903A3"/>
    <w:rsid w:val="598B6D4D"/>
    <w:rsid w:val="5999720B"/>
    <w:rsid w:val="599E0798"/>
    <w:rsid w:val="59A114E3"/>
    <w:rsid w:val="59A33FA9"/>
    <w:rsid w:val="59AC0B68"/>
    <w:rsid w:val="59AC52AE"/>
    <w:rsid w:val="59B03A2E"/>
    <w:rsid w:val="59B24062"/>
    <w:rsid w:val="59B4496B"/>
    <w:rsid w:val="59B9382B"/>
    <w:rsid w:val="59BB5187"/>
    <w:rsid w:val="59BB59E8"/>
    <w:rsid w:val="59BC2C8E"/>
    <w:rsid w:val="59BC3B8A"/>
    <w:rsid w:val="59BF10C7"/>
    <w:rsid w:val="59C23630"/>
    <w:rsid w:val="59C27F55"/>
    <w:rsid w:val="59C56F3E"/>
    <w:rsid w:val="59C865CE"/>
    <w:rsid w:val="59CB7ACC"/>
    <w:rsid w:val="59D22A99"/>
    <w:rsid w:val="59D64991"/>
    <w:rsid w:val="59D64DBB"/>
    <w:rsid w:val="59D975DA"/>
    <w:rsid w:val="59DC3D37"/>
    <w:rsid w:val="59DD6C05"/>
    <w:rsid w:val="59DE785E"/>
    <w:rsid w:val="59E14693"/>
    <w:rsid w:val="59E25FB6"/>
    <w:rsid w:val="59E33926"/>
    <w:rsid w:val="59EE0A36"/>
    <w:rsid w:val="59F84C7A"/>
    <w:rsid w:val="59FA2867"/>
    <w:rsid w:val="5A0561AA"/>
    <w:rsid w:val="5A08681A"/>
    <w:rsid w:val="5A0A4AF0"/>
    <w:rsid w:val="5A0F5E48"/>
    <w:rsid w:val="5A1156A5"/>
    <w:rsid w:val="5A173CF1"/>
    <w:rsid w:val="5A19089F"/>
    <w:rsid w:val="5A261B1C"/>
    <w:rsid w:val="5A306E59"/>
    <w:rsid w:val="5A367300"/>
    <w:rsid w:val="5A38293D"/>
    <w:rsid w:val="5A3B7496"/>
    <w:rsid w:val="5A410DDC"/>
    <w:rsid w:val="5A41275F"/>
    <w:rsid w:val="5A444F80"/>
    <w:rsid w:val="5A472E42"/>
    <w:rsid w:val="5A482194"/>
    <w:rsid w:val="5A4A4E9E"/>
    <w:rsid w:val="5A4D27CD"/>
    <w:rsid w:val="5A506C31"/>
    <w:rsid w:val="5A524A17"/>
    <w:rsid w:val="5A5324A7"/>
    <w:rsid w:val="5A533C21"/>
    <w:rsid w:val="5A5411A9"/>
    <w:rsid w:val="5A544360"/>
    <w:rsid w:val="5A552CC2"/>
    <w:rsid w:val="5A556906"/>
    <w:rsid w:val="5A572304"/>
    <w:rsid w:val="5A582887"/>
    <w:rsid w:val="5A5E2DCD"/>
    <w:rsid w:val="5A605873"/>
    <w:rsid w:val="5A610C62"/>
    <w:rsid w:val="5A6A3109"/>
    <w:rsid w:val="5A6B0B79"/>
    <w:rsid w:val="5A6E3B40"/>
    <w:rsid w:val="5A702DFA"/>
    <w:rsid w:val="5A703197"/>
    <w:rsid w:val="5A711CFE"/>
    <w:rsid w:val="5A741A8B"/>
    <w:rsid w:val="5A7907C0"/>
    <w:rsid w:val="5A8650F4"/>
    <w:rsid w:val="5A884478"/>
    <w:rsid w:val="5A887161"/>
    <w:rsid w:val="5A8C3E9A"/>
    <w:rsid w:val="5A8C684C"/>
    <w:rsid w:val="5A8D3EC5"/>
    <w:rsid w:val="5A952EEF"/>
    <w:rsid w:val="5A9967BA"/>
    <w:rsid w:val="5A9A75B8"/>
    <w:rsid w:val="5AA36086"/>
    <w:rsid w:val="5AA94DDC"/>
    <w:rsid w:val="5AAE0C6C"/>
    <w:rsid w:val="5AB45B4F"/>
    <w:rsid w:val="5AB55BCF"/>
    <w:rsid w:val="5AB73286"/>
    <w:rsid w:val="5AB85626"/>
    <w:rsid w:val="5ABC5CAA"/>
    <w:rsid w:val="5AC75FFB"/>
    <w:rsid w:val="5ACC3441"/>
    <w:rsid w:val="5ACF2070"/>
    <w:rsid w:val="5AD30B30"/>
    <w:rsid w:val="5AD57ED4"/>
    <w:rsid w:val="5ADA226F"/>
    <w:rsid w:val="5ADA7AF1"/>
    <w:rsid w:val="5ADB310F"/>
    <w:rsid w:val="5ADF4B77"/>
    <w:rsid w:val="5ADF65D4"/>
    <w:rsid w:val="5AE05AAA"/>
    <w:rsid w:val="5AE31479"/>
    <w:rsid w:val="5AE52AEA"/>
    <w:rsid w:val="5AE738EC"/>
    <w:rsid w:val="5AEB5094"/>
    <w:rsid w:val="5AEC03FD"/>
    <w:rsid w:val="5AF14FC2"/>
    <w:rsid w:val="5AF43BAB"/>
    <w:rsid w:val="5AF5653B"/>
    <w:rsid w:val="5AFA22BB"/>
    <w:rsid w:val="5AFB6542"/>
    <w:rsid w:val="5B0263E2"/>
    <w:rsid w:val="5B0623FF"/>
    <w:rsid w:val="5B0639BD"/>
    <w:rsid w:val="5B0C43C2"/>
    <w:rsid w:val="5B0F7C02"/>
    <w:rsid w:val="5B195234"/>
    <w:rsid w:val="5B1B09B2"/>
    <w:rsid w:val="5B1C6E96"/>
    <w:rsid w:val="5B220E14"/>
    <w:rsid w:val="5B223B0B"/>
    <w:rsid w:val="5B270581"/>
    <w:rsid w:val="5B3248EF"/>
    <w:rsid w:val="5B331ABB"/>
    <w:rsid w:val="5B385E0C"/>
    <w:rsid w:val="5B443576"/>
    <w:rsid w:val="5B4609F2"/>
    <w:rsid w:val="5B4817C4"/>
    <w:rsid w:val="5B4B07A3"/>
    <w:rsid w:val="5B51339A"/>
    <w:rsid w:val="5B5251F1"/>
    <w:rsid w:val="5B53599B"/>
    <w:rsid w:val="5B546CF3"/>
    <w:rsid w:val="5B565AF4"/>
    <w:rsid w:val="5B576F21"/>
    <w:rsid w:val="5B5A6217"/>
    <w:rsid w:val="5B5B43B7"/>
    <w:rsid w:val="5B5C0BBA"/>
    <w:rsid w:val="5B624388"/>
    <w:rsid w:val="5B6369FB"/>
    <w:rsid w:val="5B6B0C30"/>
    <w:rsid w:val="5B7143E1"/>
    <w:rsid w:val="5B75296E"/>
    <w:rsid w:val="5B7768F3"/>
    <w:rsid w:val="5B7855A1"/>
    <w:rsid w:val="5B797FAA"/>
    <w:rsid w:val="5B7E127D"/>
    <w:rsid w:val="5B7F0855"/>
    <w:rsid w:val="5B800D2B"/>
    <w:rsid w:val="5B825EE7"/>
    <w:rsid w:val="5B845EE3"/>
    <w:rsid w:val="5B876165"/>
    <w:rsid w:val="5B8A59FD"/>
    <w:rsid w:val="5B8B3969"/>
    <w:rsid w:val="5B8C07DF"/>
    <w:rsid w:val="5B8E72CF"/>
    <w:rsid w:val="5B9E2A2A"/>
    <w:rsid w:val="5BAB01D9"/>
    <w:rsid w:val="5BAE1B49"/>
    <w:rsid w:val="5BB15CB4"/>
    <w:rsid w:val="5BB31F54"/>
    <w:rsid w:val="5BB9386C"/>
    <w:rsid w:val="5BBE6F32"/>
    <w:rsid w:val="5BC73B70"/>
    <w:rsid w:val="5BC7619B"/>
    <w:rsid w:val="5BC8399A"/>
    <w:rsid w:val="5BD13F86"/>
    <w:rsid w:val="5BD22018"/>
    <w:rsid w:val="5BD57239"/>
    <w:rsid w:val="5BD72CB1"/>
    <w:rsid w:val="5BD8613E"/>
    <w:rsid w:val="5BD9769A"/>
    <w:rsid w:val="5BE30034"/>
    <w:rsid w:val="5BE30D48"/>
    <w:rsid w:val="5BE71578"/>
    <w:rsid w:val="5BEB2715"/>
    <w:rsid w:val="5BEB4B29"/>
    <w:rsid w:val="5BF07771"/>
    <w:rsid w:val="5BF21AAF"/>
    <w:rsid w:val="5BFA7CF4"/>
    <w:rsid w:val="5BFF0F75"/>
    <w:rsid w:val="5BFF6DC4"/>
    <w:rsid w:val="5C091207"/>
    <w:rsid w:val="5C0B1133"/>
    <w:rsid w:val="5C0B621A"/>
    <w:rsid w:val="5C0F37F3"/>
    <w:rsid w:val="5C111AC3"/>
    <w:rsid w:val="5C13439A"/>
    <w:rsid w:val="5C136F43"/>
    <w:rsid w:val="5C155ABB"/>
    <w:rsid w:val="5C1A6E94"/>
    <w:rsid w:val="5C1E0FA1"/>
    <w:rsid w:val="5C281E61"/>
    <w:rsid w:val="5C2A3FFA"/>
    <w:rsid w:val="5C2C2E0F"/>
    <w:rsid w:val="5C2D3C7A"/>
    <w:rsid w:val="5C3300D7"/>
    <w:rsid w:val="5C344B3A"/>
    <w:rsid w:val="5C374FC1"/>
    <w:rsid w:val="5C381321"/>
    <w:rsid w:val="5C3D25AC"/>
    <w:rsid w:val="5C4176F0"/>
    <w:rsid w:val="5C437EE7"/>
    <w:rsid w:val="5C46721B"/>
    <w:rsid w:val="5C4B1C13"/>
    <w:rsid w:val="5C50549A"/>
    <w:rsid w:val="5C545A2F"/>
    <w:rsid w:val="5C556FC5"/>
    <w:rsid w:val="5C633E6D"/>
    <w:rsid w:val="5C6556BC"/>
    <w:rsid w:val="5C66292C"/>
    <w:rsid w:val="5C6C3967"/>
    <w:rsid w:val="5C7250C0"/>
    <w:rsid w:val="5C7849BF"/>
    <w:rsid w:val="5C7C0D7C"/>
    <w:rsid w:val="5C8A551D"/>
    <w:rsid w:val="5C8C78D9"/>
    <w:rsid w:val="5C941C55"/>
    <w:rsid w:val="5C98055C"/>
    <w:rsid w:val="5C995EAD"/>
    <w:rsid w:val="5C9B1663"/>
    <w:rsid w:val="5C9E5CA4"/>
    <w:rsid w:val="5C9E6E1E"/>
    <w:rsid w:val="5CA45F8F"/>
    <w:rsid w:val="5CB2181F"/>
    <w:rsid w:val="5CB24B00"/>
    <w:rsid w:val="5CB338FE"/>
    <w:rsid w:val="5CB82A97"/>
    <w:rsid w:val="5CBA6FBE"/>
    <w:rsid w:val="5CC10321"/>
    <w:rsid w:val="5CC201FD"/>
    <w:rsid w:val="5CC22E34"/>
    <w:rsid w:val="5CC34E04"/>
    <w:rsid w:val="5CCB639C"/>
    <w:rsid w:val="5CCD187E"/>
    <w:rsid w:val="5CD2031B"/>
    <w:rsid w:val="5CD27C39"/>
    <w:rsid w:val="5CD4387D"/>
    <w:rsid w:val="5CD45288"/>
    <w:rsid w:val="5CDC1DC4"/>
    <w:rsid w:val="5CDE3A50"/>
    <w:rsid w:val="5CE24AF6"/>
    <w:rsid w:val="5CE30F80"/>
    <w:rsid w:val="5CE5035E"/>
    <w:rsid w:val="5CE53322"/>
    <w:rsid w:val="5CEA12C4"/>
    <w:rsid w:val="5CEB7795"/>
    <w:rsid w:val="5CEB7E0F"/>
    <w:rsid w:val="5CEC3859"/>
    <w:rsid w:val="5CEE1E9C"/>
    <w:rsid w:val="5CEF1444"/>
    <w:rsid w:val="5CF304B8"/>
    <w:rsid w:val="5CF9377E"/>
    <w:rsid w:val="5CFB6AB9"/>
    <w:rsid w:val="5D017067"/>
    <w:rsid w:val="5D0552B3"/>
    <w:rsid w:val="5D0601FD"/>
    <w:rsid w:val="5D064F7B"/>
    <w:rsid w:val="5D075283"/>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665C0"/>
    <w:rsid w:val="5D4C012C"/>
    <w:rsid w:val="5D4E5FAB"/>
    <w:rsid w:val="5D4F66DE"/>
    <w:rsid w:val="5D5132DD"/>
    <w:rsid w:val="5D5C6D82"/>
    <w:rsid w:val="5D5D051A"/>
    <w:rsid w:val="5D626B16"/>
    <w:rsid w:val="5D670D8D"/>
    <w:rsid w:val="5D6A06FC"/>
    <w:rsid w:val="5D700B7E"/>
    <w:rsid w:val="5D720FAC"/>
    <w:rsid w:val="5D725F26"/>
    <w:rsid w:val="5D766B1C"/>
    <w:rsid w:val="5D792DFC"/>
    <w:rsid w:val="5D7B0EA3"/>
    <w:rsid w:val="5D7F4F88"/>
    <w:rsid w:val="5D8C0909"/>
    <w:rsid w:val="5D8E4DE4"/>
    <w:rsid w:val="5D975305"/>
    <w:rsid w:val="5D99194B"/>
    <w:rsid w:val="5D9A018C"/>
    <w:rsid w:val="5D9C44DF"/>
    <w:rsid w:val="5DA20216"/>
    <w:rsid w:val="5DA33BD7"/>
    <w:rsid w:val="5DA73BEC"/>
    <w:rsid w:val="5DAA4061"/>
    <w:rsid w:val="5DB2129E"/>
    <w:rsid w:val="5DB360E9"/>
    <w:rsid w:val="5DB42149"/>
    <w:rsid w:val="5DB949F9"/>
    <w:rsid w:val="5DBC7031"/>
    <w:rsid w:val="5DBE2B11"/>
    <w:rsid w:val="5DCB2C8A"/>
    <w:rsid w:val="5DCD15E2"/>
    <w:rsid w:val="5DD04C0F"/>
    <w:rsid w:val="5DD465F2"/>
    <w:rsid w:val="5DD93908"/>
    <w:rsid w:val="5DDA0004"/>
    <w:rsid w:val="5DE4577C"/>
    <w:rsid w:val="5DE63EEC"/>
    <w:rsid w:val="5DE65F6F"/>
    <w:rsid w:val="5DE96BD1"/>
    <w:rsid w:val="5DEA261B"/>
    <w:rsid w:val="5DEC7169"/>
    <w:rsid w:val="5DF2044D"/>
    <w:rsid w:val="5DF21C0F"/>
    <w:rsid w:val="5DF83C61"/>
    <w:rsid w:val="5E0308A3"/>
    <w:rsid w:val="5E035B38"/>
    <w:rsid w:val="5E095C70"/>
    <w:rsid w:val="5E0B173C"/>
    <w:rsid w:val="5E1018BE"/>
    <w:rsid w:val="5E106EDF"/>
    <w:rsid w:val="5E120630"/>
    <w:rsid w:val="5E1C02F4"/>
    <w:rsid w:val="5E1F4FFF"/>
    <w:rsid w:val="5E21071B"/>
    <w:rsid w:val="5E22421C"/>
    <w:rsid w:val="5E3D1E13"/>
    <w:rsid w:val="5E3E37C5"/>
    <w:rsid w:val="5E4625D0"/>
    <w:rsid w:val="5E4E0AE5"/>
    <w:rsid w:val="5E4F43B4"/>
    <w:rsid w:val="5E513323"/>
    <w:rsid w:val="5E580964"/>
    <w:rsid w:val="5E5B365C"/>
    <w:rsid w:val="5E6716D1"/>
    <w:rsid w:val="5E687F19"/>
    <w:rsid w:val="5E6C4293"/>
    <w:rsid w:val="5E7026A6"/>
    <w:rsid w:val="5E755A03"/>
    <w:rsid w:val="5E76672D"/>
    <w:rsid w:val="5E793BA4"/>
    <w:rsid w:val="5E7A3743"/>
    <w:rsid w:val="5E8268C7"/>
    <w:rsid w:val="5E846242"/>
    <w:rsid w:val="5E9627E8"/>
    <w:rsid w:val="5E9639C0"/>
    <w:rsid w:val="5E9A5E8F"/>
    <w:rsid w:val="5E9E366D"/>
    <w:rsid w:val="5EA40C13"/>
    <w:rsid w:val="5EA435B2"/>
    <w:rsid w:val="5EA54320"/>
    <w:rsid w:val="5EA64A8A"/>
    <w:rsid w:val="5EA703D6"/>
    <w:rsid w:val="5EAC600B"/>
    <w:rsid w:val="5EB079C5"/>
    <w:rsid w:val="5EB37E9B"/>
    <w:rsid w:val="5EB6477F"/>
    <w:rsid w:val="5EBB7732"/>
    <w:rsid w:val="5EBC09F6"/>
    <w:rsid w:val="5EBF5BD8"/>
    <w:rsid w:val="5EC15CF5"/>
    <w:rsid w:val="5EC61F2E"/>
    <w:rsid w:val="5ECD6EB5"/>
    <w:rsid w:val="5ECE0A65"/>
    <w:rsid w:val="5ECF3889"/>
    <w:rsid w:val="5ED01333"/>
    <w:rsid w:val="5ED147E8"/>
    <w:rsid w:val="5ED875CD"/>
    <w:rsid w:val="5ED964EF"/>
    <w:rsid w:val="5EDD2A7A"/>
    <w:rsid w:val="5EDE701F"/>
    <w:rsid w:val="5EE65B7B"/>
    <w:rsid w:val="5EE8399B"/>
    <w:rsid w:val="5EF317BF"/>
    <w:rsid w:val="5EF63549"/>
    <w:rsid w:val="5EF66B9F"/>
    <w:rsid w:val="5EF71B8D"/>
    <w:rsid w:val="5EF81EF0"/>
    <w:rsid w:val="5EFE679E"/>
    <w:rsid w:val="5F0426DA"/>
    <w:rsid w:val="5F0C6679"/>
    <w:rsid w:val="5F0D117F"/>
    <w:rsid w:val="5F172417"/>
    <w:rsid w:val="5F1A2748"/>
    <w:rsid w:val="5F1F4F79"/>
    <w:rsid w:val="5F2508B7"/>
    <w:rsid w:val="5F250C5E"/>
    <w:rsid w:val="5F2737C8"/>
    <w:rsid w:val="5F27732F"/>
    <w:rsid w:val="5F293E44"/>
    <w:rsid w:val="5F295F84"/>
    <w:rsid w:val="5F2E2567"/>
    <w:rsid w:val="5F310FA8"/>
    <w:rsid w:val="5F311CD4"/>
    <w:rsid w:val="5F313A6B"/>
    <w:rsid w:val="5F33795B"/>
    <w:rsid w:val="5F363DBA"/>
    <w:rsid w:val="5F364B70"/>
    <w:rsid w:val="5F41148B"/>
    <w:rsid w:val="5F502572"/>
    <w:rsid w:val="5F5242E9"/>
    <w:rsid w:val="5F585836"/>
    <w:rsid w:val="5F5A3D16"/>
    <w:rsid w:val="5F61334B"/>
    <w:rsid w:val="5F6B29A3"/>
    <w:rsid w:val="5F6F613D"/>
    <w:rsid w:val="5F6F65C8"/>
    <w:rsid w:val="5F7240C3"/>
    <w:rsid w:val="5F7C7231"/>
    <w:rsid w:val="5F830D18"/>
    <w:rsid w:val="5F89181E"/>
    <w:rsid w:val="5F9527D0"/>
    <w:rsid w:val="5F9740DE"/>
    <w:rsid w:val="5F9D4AAC"/>
    <w:rsid w:val="5F9E4921"/>
    <w:rsid w:val="5FA330A8"/>
    <w:rsid w:val="5FA9500B"/>
    <w:rsid w:val="5FAE79D0"/>
    <w:rsid w:val="5FB23009"/>
    <w:rsid w:val="5FB3695E"/>
    <w:rsid w:val="5FB938DE"/>
    <w:rsid w:val="5FB94DE5"/>
    <w:rsid w:val="5FBB641C"/>
    <w:rsid w:val="5FBC56B4"/>
    <w:rsid w:val="5FC02A4C"/>
    <w:rsid w:val="5FC57961"/>
    <w:rsid w:val="5FC726B7"/>
    <w:rsid w:val="5FCF2548"/>
    <w:rsid w:val="5FCF7EF7"/>
    <w:rsid w:val="5FD74287"/>
    <w:rsid w:val="5FE009E7"/>
    <w:rsid w:val="5FE509A2"/>
    <w:rsid w:val="5FE85BC1"/>
    <w:rsid w:val="5FEB63EE"/>
    <w:rsid w:val="5FEF74B9"/>
    <w:rsid w:val="5FF34631"/>
    <w:rsid w:val="5FF82275"/>
    <w:rsid w:val="5FFA758E"/>
    <w:rsid w:val="600855A2"/>
    <w:rsid w:val="600938F4"/>
    <w:rsid w:val="600E215C"/>
    <w:rsid w:val="60176FDA"/>
    <w:rsid w:val="601C6974"/>
    <w:rsid w:val="60245E59"/>
    <w:rsid w:val="603219A9"/>
    <w:rsid w:val="60326508"/>
    <w:rsid w:val="60340A3A"/>
    <w:rsid w:val="60363076"/>
    <w:rsid w:val="60364C76"/>
    <w:rsid w:val="6038354F"/>
    <w:rsid w:val="603938B9"/>
    <w:rsid w:val="603B0F23"/>
    <w:rsid w:val="603D2B23"/>
    <w:rsid w:val="603E7D42"/>
    <w:rsid w:val="60401644"/>
    <w:rsid w:val="60424915"/>
    <w:rsid w:val="60425591"/>
    <w:rsid w:val="60433E58"/>
    <w:rsid w:val="604438C5"/>
    <w:rsid w:val="6048534F"/>
    <w:rsid w:val="604C0AC7"/>
    <w:rsid w:val="604F09E7"/>
    <w:rsid w:val="605440A6"/>
    <w:rsid w:val="60584C02"/>
    <w:rsid w:val="60596FAD"/>
    <w:rsid w:val="605D6C12"/>
    <w:rsid w:val="605E5173"/>
    <w:rsid w:val="605F17A5"/>
    <w:rsid w:val="60612521"/>
    <w:rsid w:val="606422CF"/>
    <w:rsid w:val="606730FE"/>
    <w:rsid w:val="606C5C1A"/>
    <w:rsid w:val="606C6C69"/>
    <w:rsid w:val="60713104"/>
    <w:rsid w:val="6078173E"/>
    <w:rsid w:val="607A485A"/>
    <w:rsid w:val="607C484C"/>
    <w:rsid w:val="607F363B"/>
    <w:rsid w:val="608553B7"/>
    <w:rsid w:val="60862529"/>
    <w:rsid w:val="6089513D"/>
    <w:rsid w:val="608E7ECB"/>
    <w:rsid w:val="609358DB"/>
    <w:rsid w:val="60944E10"/>
    <w:rsid w:val="60981A6D"/>
    <w:rsid w:val="60981B55"/>
    <w:rsid w:val="609B5291"/>
    <w:rsid w:val="609D46B7"/>
    <w:rsid w:val="60A117CF"/>
    <w:rsid w:val="60A571D7"/>
    <w:rsid w:val="60AC0286"/>
    <w:rsid w:val="60B16A2C"/>
    <w:rsid w:val="60B46B0F"/>
    <w:rsid w:val="60B644FB"/>
    <w:rsid w:val="60BF2850"/>
    <w:rsid w:val="60BF78A3"/>
    <w:rsid w:val="60C508CD"/>
    <w:rsid w:val="60C741BE"/>
    <w:rsid w:val="60C77C6D"/>
    <w:rsid w:val="60CA12B5"/>
    <w:rsid w:val="60D46890"/>
    <w:rsid w:val="60D52BFC"/>
    <w:rsid w:val="60D65EBD"/>
    <w:rsid w:val="60DB447B"/>
    <w:rsid w:val="60DF0CAD"/>
    <w:rsid w:val="60E139B7"/>
    <w:rsid w:val="60E24BAB"/>
    <w:rsid w:val="60E25590"/>
    <w:rsid w:val="60E334EE"/>
    <w:rsid w:val="60E54774"/>
    <w:rsid w:val="60E81042"/>
    <w:rsid w:val="60EB1F76"/>
    <w:rsid w:val="60F17CF0"/>
    <w:rsid w:val="60F7165E"/>
    <w:rsid w:val="60F77E35"/>
    <w:rsid w:val="60F94719"/>
    <w:rsid w:val="60F97EF4"/>
    <w:rsid w:val="60FA2708"/>
    <w:rsid w:val="60FF4DB3"/>
    <w:rsid w:val="60FF62DF"/>
    <w:rsid w:val="61044130"/>
    <w:rsid w:val="6104493D"/>
    <w:rsid w:val="61050B1B"/>
    <w:rsid w:val="61074553"/>
    <w:rsid w:val="610B7CFD"/>
    <w:rsid w:val="610C15AD"/>
    <w:rsid w:val="6113643C"/>
    <w:rsid w:val="611603B4"/>
    <w:rsid w:val="611754E4"/>
    <w:rsid w:val="611E6F96"/>
    <w:rsid w:val="61205267"/>
    <w:rsid w:val="6129468F"/>
    <w:rsid w:val="612C3EDE"/>
    <w:rsid w:val="612F1D38"/>
    <w:rsid w:val="61317B79"/>
    <w:rsid w:val="61323B93"/>
    <w:rsid w:val="61344581"/>
    <w:rsid w:val="613711E6"/>
    <w:rsid w:val="613E6DFE"/>
    <w:rsid w:val="613F0F41"/>
    <w:rsid w:val="614D1E63"/>
    <w:rsid w:val="614D5CFE"/>
    <w:rsid w:val="61534C19"/>
    <w:rsid w:val="61547F19"/>
    <w:rsid w:val="61585F64"/>
    <w:rsid w:val="61591AE0"/>
    <w:rsid w:val="615A7844"/>
    <w:rsid w:val="61612DFE"/>
    <w:rsid w:val="61671EA0"/>
    <w:rsid w:val="6168047E"/>
    <w:rsid w:val="616B401E"/>
    <w:rsid w:val="616B7E1C"/>
    <w:rsid w:val="616F0FAB"/>
    <w:rsid w:val="6173794E"/>
    <w:rsid w:val="618027DB"/>
    <w:rsid w:val="618243C7"/>
    <w:rsid w:val="618B5A4F"/>
    <w:rsid w:val="618D696E"/>
    <w:rsid w:val="619102D6"/>
    <w:rsid w:val="619831A2"/>
    <w:rsid w:val="619C5630"/>
    <w:rsid w:val="619E0F16"/>
    <w:rsid w:val="61A25EAE"/>
    <w:rsid w:val="61AF1633"/>
    <w:rsid w:val="61AF4B8B"/>
    <w:rsid w:val="61B26AEA"/>
    <w:rsid w:val="61C00F28"/>
    <w:rsid w:val="61C4419A"/>
    <w:rsid w:val="61CB5FE9"/>
    <w:rsid w:val="61D0302D"/>
    <w:rsid w:val="61DC0F34"/>
    <w:rsid w:val="61DE10BB"/>
    <w:rsid w:val="61DE47FF"/>
    <w:rsid w:val="61DE7E9B"/>
    <w:rsid w:val="61DF7014"/>
    <w:rsid w:val="61EF70A5"/>
    <w:rsid w:val="61F907BD"/>
    <w:rsid w:val="61F936E4"/>
    <w:rsid w:val="61FB6E75"/>
    <w:rsid w:val="6200176E"/>
    <w:rsid w:val="62090BDF"/>
    <w:rsid w:val="620A779F"/>
    <w:rsid w:val="620C1A66"/>
    <w:rsid w:val="620C6E47"/>
    <w:rsid w:val="620E576B"/>
    <w:rsid w:val="621023E0"/>
    <w:rsid w:val="62107873"/>
    <w:rsid w:val="62112683"/>
    <w:rsid w:val="62124F1F"/>
    <w:rsid w:val="6214735B"/>
    <w:rsid w:val="621B3541"/>
    <w:rsid w:val="62274B4C"/>
    <w:rsid w:val="622854C3"/>
    <w:rsid w:val="622D7175"/>
    <w:rsid w:val="622F617E"/>
    <w:rsid w:val="623321C4"/>
    <w:rsid w:val="62357DDC"/>
    <w:rsid w:val="62371225"/>
    <w:rsid w:val="62390602"/>
    <w:rsid w:val="6239194F"/>
    <w:rsid w:val="623B09CF"/>
    <w:rsid w:val="623C0423"/>
    <w:rsid w:val="623F0083"/>
    <w:rsid w:val="62406400"/>
    <w:rsid w:val="62430DD8"/>
    <w:rsid w:val="62446E4A"/>
    <w:rsid w:val="624715D5"/>
    <w:rsid w:val="62485EE6"/>
    <w:rsid w:val="624D4449"/>
    <w:rsid w:val="62505606"/>
    <w:rsid w:val="62525E34"/>
    <w:rsid w:val="625708C7"/>
    <w:rsid w:val="62587FF8"/>
    <w:rsid w:val="62644EBA"/>
    <w:rsid w:val="6264598A"/>
    <w:rsid w:val="626517E1"/>
    <w:rsid w:val="62741D49"/>
    <w:rsid w:val="6274638B"/>
    <w:rsid w:val="62762EE2"/>
    <w:rsid w:val="627838A4"/>
    <w:rsid w:val="627D12EF"/>
    <w:rsid w:val="628029B5"/>
    <w:rsid w:val="628315AF"/>
    <w:rsid w:val="62837395"/>
    <w:rsid w:val="62854333"/>
    <w:rsid w:val="62880178"/>
    <w:rsid w:val="62892EFD"/>
    <w:rsid w:val="62897BFA"/>
    <w:rsid w:val="628B2A4E"/>
    <w:rsid w:val="62900461"/>
    <w:rsid w:val="62940069"/>
    <w:rsid w:val="62994A35"/>
    <w:rsid w:val="629A1437"/>
    <w:rsid w:val="629A1E94"/>
    <w:rsid w:val="629B2133"/>
    <w:rsid w:val="629B4179"/>
    <w:rsid w:val="629B4322"/>
    <w:rsid w:val="62A12D63"/>
    <w:rsid w:val="62A23976"/>
    <w:rsid w:val="62A34EF7"/>
    <w:rsid w:val="62A7616E"/>
    <w:rsid w:val="62A866AC"/>
    <w:rsid w:val="62AB2FD1"/>
    <w:rsid w:val="62AC4A3B"/>
    <w:rsid w:val="62AD5EF4"/>
    <w:rsid w:val="62AD6A8A"/>
    <w:rsid w:val="62AF14B7"/>
    <w:rsid w:val="62B0187B"/>
    <w:rsid w:val="62B8022E"/>
    <w:rsid w:val="62BA70CA"/>
    <w:rsid w:val="62BC64A3"/>
    <w:rsid w:val="62BD6D5E"/>
    <w:rsid w:val="62C92951"/>
    <w:rsid w:val="62CA186F"/>
    <w:rsid w:val="62D07FDA"/>
    <w:rsid w:val="62D63D2D"/>
    <w:rsid w:val="62ED46E5"/>
    <w:rsid w:val="62F13B41"/>
    <w:rsid w:val="62F70A87"/>
    <w:rsid w:val="62F94D5F"/>
    <w:rsid w:val="62FA1420"/>
    <w:rsid w:val="62FC195E"/>
    <w:rsid w:val="62FD779C"/>
    <w:rsid w:val="62FE62F7"/>
    <w:rsid w:val="62FF3463"/>
    <w:rsid w:val="62FF6F70"/>
    <w:rsid w:val="63067EB7"/>
    <w:rsid w:val="63084225"/>
    <w:rsid w:val="630A329E"/>
    <w:rsid w:val="630C20AE"/>
    <w:rsid w:val="630D7AC0"/>
    <w:rsid w:val="63141334"/>
    <w:rsid w:val="631A5549"/>
    <w:rsid w:val="631B059F"/>
    <w:rsid w:val="631D3DC1"/>
    <w:rsid w:val="631F2D59"/>
    <w:rsid w:val="63226E50"/>
    <w:rsid w:val="6323518A"/>
    <w:rsid w:val="63277247"/>
    <w:rsid w:val="633078DD"/>
    <w:rsid w:val="63316ACA"/>
    <w:rsid w:val="63322425"/>
    <w:rsid w:val="63376CA9"/>
    <w:rsid w:val="6339548B"/>
    <w:rsid w:val="6344244A"/>
    <w:rsid w:val="634519A5"/>
    <w:rsid w:val="63487602"/>
    <w:rsid w:val="634A686D"/>
    <w:rsid w:val="634B0110"/>
    <w:rsid w:val="634C1B8F"/>
    <w:rsid w:val="634D0EEA"/>
    <w:rsid w:val="63525E6A"/>
    <w:rsid w:val="63562961"/>
    <w:rsid w:val="6357746F"/>
    <w:rsid w:val="63577A9E"/>
    <w:rsid w:val="63610B07"/>
    <w:rsid w:val="63642F66"/>
    <w:rsid w:val="63657F78"/>
    <w:rsid w:val="63695DD3"/>
    <w:rsid w:val="636F68FD"/>
    <w:rsid w:val="63701607"/>
    <w:rsid w:val="6371448D"/>
    <w:rsid w:val="63733EF2"/>
    <w:rsid w:val="637C43AA"/>
    <w:rsid w:val="638C6941"/>
    <w:rsid w:val="63955807"/>
    <w:rsid w:val="639E10D6"/>
    <w:rsid w:val="63A368D2"/>
    <w:rsid w:val="63AF3EEA"/>
    <w:rsid w:val="63B9137B"/>
    <w:rsid w:val="63BA0447"/>
    <w:rsid w:val="63BB7FE6"/>
    <w:rsid w:val="63C048E6"/>
    <w:rsid w:val="63C26BD5"/>
    <w:rsid w:val="63C31AED"/>
    <w:rsid w:val="63C83F99"/>
    <w:rsid w:val="63D16D88"/>
    <w:rsid w:val="63D22F53"/>
    <w:rsid w:val="63D30159"/>
    <w:rsid w:val="63D41F56"/>
    <w:rsid w:val="63D9562D"/>
    <w:rsid w:val="63DB1215"/>
    <w:rsid w:val="63DB3676"/>
    <w:rsid w:val="63DC1753"/>
    <w:rsid w:val="63E00F81"/>
    <w:rsid w:val="63E04816"/>
    <w:rsid w:val="63E5397D"/>
    <w:rsid w:val="63E9154F"/>
    <w:rsid w:val="63EE6017"/>
    <w:rsid w:val="63F32FAC"/>
    <w:rsid w:val="63F356EB"/>
    <w:rsid w:val="63F74857"/>
    <w:rsid w:val="63FC5320"/>
    <w:rsid w:val="64033E00"/>
    <w:rsid w:val="64046DF1"/>
    <w:rsid w:val="64097560"/>
    <w:rsid w:val="640E7D56"/>
    <w:rsid w:val="640F1388"/>
    <w:rsid w:val="64184615"/>
    <w:rsid w:val="64223F84"/>
    <w:rsid w:val="642717CF"/>
    <w:rsid w:val="642848BF"/>
    <w:rsid w:val="64297274"/>
    <w:rsid w:val="642E6A3B"/>
    <w:rsid w:val="642F6944"/>
    <w:rsid w:val="6431678C"/>
    <w:rsid w:val="6435068A"/>
    <w:rsid w:val="64370D8C"/>
    <w:rsid w:val="643729EA"/>
    <w:rsid w:val="643B1954"/>
    <w:rsid w:val="643D34B0"/>
    <w:rsid w:val="64500359"/>
    <w:rsid w:val="645244F7"/>
    <w:rsid w:val="64552673"/>
    <w:rsid w:val="64584663"/>
    <w:rsid w:val="64595EAF"/>
    <w:rsid w:val="645A23C1"/>
    <w:rsid w:val="645C6510"/>
    <w:rsid w:val="645D35F7"/>
    <w:rsid w:val="64624FBE"/>
    <w:rsid w:val="64625D51"/>
    <w:rsid w:val="64634BE1"/>
    <w:rsid w:val="64680BE1"/>
    <w:rsid w:val="64681A40"/>
    <w:rsid w:val="646A637F"/>
    <w:rsid w:val="64767A12"/>
    <w:rsid w:val="64796AD4"/>
    <w:rsid w:val="647A7845"/>
    <w:rsid w:val="647E3B81"/>
    <w:rsid w:val="64811CF5"/>
    <w:rsid w:val="64826780"/>
    <w:rsid w:val="64843441"/>
    <w:rsid w:val="64875C3F"/>
    <w:rsid w:val="64901669"/>
    <w:rsid w:val="64932842"/>
    <w:rsid w:val="64977571"/>
    <w:rsid w:val="649E12F1"/>
    <w:rsid w:val="64A21612"/>
    <w:rsid w:val="64A31347"/>
    <w:rsid w:val="64A53187"/>
    <w:rsid w:val="64AA7B26"/>
    <w:rsid w:val="64AB4799"/>
    <w:rsid w:val="64AF1113"/>
    <w:rsid w:val="64AF49B9"/>
    <w:rsid w:val="64B41A24"/>
    <w:rsid w:val="64B53ED8"/>
    <w:rsid w:val="64BF764B"/>
    <w:rsid w:val="64C10F38"/>
    <w:rsid w:val="64C514E3"/>
    <w:rsid w:val="64C56939"/>
    <w:rsid w:val="64CA165B"/>
    <w:rsid w:val="64CB664D"/>
    <w:rsid w:val="64CF1B65"/>
    <w:rsid w:val="64D00416"/>
    <w:rsid w:val="64D53272"/>
    <w:rsid w:val="64DB3289"/>
    <w:rsid w:val="64E16F91"/>
    <w:rsid w:val="64EA7E11"/>
    <w:rsid w:val="64EF3596"/>
    <w:rsid w:val="64F35CD6"/>
    <w:rsid w:val="64F3622A"/>
    <w:rsid w:val="64F76B0F"/>
    <w:rsid w:val="65017878"/>
    <w:rsid w:val="650A21D6"/>
    <w:rsid w:val="650A586D"/>
    <w:rsid w:val="650C0512"/>
    <w:rsid w:val="65154EAF"/>
    <w:rsid w:val="651E0385"/>
    <w:rsid w:val="65265A34"/>
    <w:rsid w:val="652748AF"/>
    <w:rsid w:val="6527620B"/>
    <w:rsid w:val="6529608A"/>
    <w:rsid w:val="652B494A"/>
    <w:rsid w:val="65325436"/>
    <w:rsid w:val="65377E20"/>
    <w:rsid w:val="653A31B9"/>
    <w:rsid w:val="653D1649"/>
    <w:rsid w:val="65494F78"/>
    <w:rsid w:val="655518B2"/>
    <w:rsid w:val="655914AD"/>
    <w:rsid w:val="655E06E5"/>
    <w:rsid w:val="655E362A"/>
    <w:rsid w:val="65600B9B"/>
    <w:rsid w:val="6566705C"/>
    <w:rsid w:val="65753F97"/>
    <w:rsid w:val="657641AB"/>
    <w:rsid w:val="657F60D3"/>
    <w:rsid w:val="6583757C"/>
    <w:rsid w:val="658D1617"/>
    <w:rsid w:val="658D4B8A"/>
    <w:rsid w:val="658D745A"/>
    <w:rsid w:val="658E1300"/>
    <w:rsid w:val="65930D0A"/>
    <w:rsid w:val="65963D36"/>
    <w:rsid w:val="65977B66"/>
    <w:rsid w:val="65993537"/>
    <w:rsid w:val="659D3AA7"/>
    <w:rsid w:val="659E3A44"/>
    <w:rsid w:val="65A26AF1"/>
    <w:rsid w:val="65A60C9F"/>
    <w:rsid w:val="65A877E9"/>
    <w:rsid w:val="65AF0874"/>
    <w:rsid w:val="65C40A7E"/>
    <w:rsid w:val="65D17E60"/>
    <w:rsid w:val="65DC0F6F"/>
    <w:rsid w:val="65DD1C0A"/>
    <w:rsid w:val="65E31E6B"/>
    <w:rsid w:val="65E3522B"/>
    <w:rsid w:val="65E417EE"/>
    <w:rsid w:val="65EB6051"/>
    <w:rsid w:val="65EC7ED8"/>
    <w:rsid w:val="65EE2027"/>
    <w:rsid w:val="65F13CDE"/>
    <w:rsid w:val="65F220C5"/>
    <w:rsid w:val="65F73063"/>
    <w:rsid w:val="65F91C24"/>
    <w:rsid w:val="65F973DE"/>
    <w:rsid w:val="65FE7AEC"/>
    <w:rsid w:val="66004DBD"/>
    <w:rsid w:val="661309D2"/>
    <w:rsid w:val="661574C2"/>
    <w:rsid w:val="66197204"/>
    <w:rsid w:val="662206A3"/>
    <w:rsid w:val="66274C41"/>
    <w:rsid w:val="663B2E86"/>
    <w:rsid w:val="663B4862"/>
    <w:rsid w:val="66400855"/>
    <w:rsid w:val="66433581"/>
    <w:rsid w:val="6646614B"/>
    <w:rsid w:val="664764E3"/>
    <w:rsid w:val="664967B3"/>
    <w:rsid w:val="664B3762"/>
    <w:rsid w:val="664C70EB"/>
    <w:rsid w:val="664F5327"/>
    <w:rsid w:val="664F6AE8"/>
    <w:rsid w:val="66515E97"/>
    <w:rsid w:val="66545DCD"/>
    <w:rsid w:val="66562D85"/>
    <w:rsid w:val="66567ECF"/>
    <w:rsid w:val="665D16F5"/>
    <w:rsid w:val="665F1D7E"/>
    <w:rsid w:val="66620612"/>
    <w:rsid w:val="66623B5E"/>
    <w:rsid w:val="666727F5"/>
    <w:rsid w:val="666D1BC7"/>
    <w:rsid w:val="66742070"/>
    <w:rsid w:val="667B37CD"/>
    <w:rsid w:val="667C5800"/>
    <w:rsid w:val="667E4F50"/>
    <w:rsid w:val="66857CF8"/>
    <w:rsid w:val="668A36DC"/>
    <w:rsid w:val="668E4EE1"/>
    <w:rsid w:val="668F11BD"/>
    <w:rsid w:val="66902D20"/>
    <w:rsid w:val="66943BF5"/>
    <w:rsid w:val="669B028A"/>
    <w:rsid w:val="669C3554"/>
    <w:rsid w:val="669F308B"/>
    <w:rsid w:val="66A16489"/>
    <w:rsid w:val="66A16CA0"/>
    <w:rsid w:val="66A21884"/>
    <w:rsid w:val="66A477E6"/>
    <w:rsid w:val="66A64758"/>
    <w:rsid w:val="66A83916"/>
    <w:rsid w:val="66AE4601"/>
    <w:rsid w:val="66B00E47"/>
    <w:rsid w:val="66B26920"/>
    <w:rsid w:val="66B4012B"/>
    <w:rsid w:val="66B42825"/>
    <w:rsid w:val="66BB23F5"/>
    <w:rsid w:val="66BE211B"/>
    <w:rsid w:val="66CC436D"/>
    <w:rsid w:val="66D1438A"/>
    <w:rsid w:val="66E34605"/>
    <w:rsid w:val="66E852D4"/>
    <w:rsid w:val="66E957BD"/>
    <w:rsid w:val="66EA4073"/>
    <w:rsid w:val="66EA6899"/>
    <w:rsid w:val="66F04786"/>
    <w:rsid w:val="66F23C81"/>
    <w:rsid w:val="66F35AE8"/>
    <w:rsid w:val="66F43B8F"/>
    <w:rsid w:val="66F43CFB"/>
    <w:rsid w:val="66F934D1"/>
    <w:rsid w:val="66FB38E2"/>
    <w:rsid w:val="670157C0"/>
    <w:rsid w:val="67023E0D"/>
    <w:rsid w:val="67073CD6"/>
    <w:rsid w:val="67097921"/>
    <w:rsid w:val="670A0888"/>
    <w:rsid w:val="671129ED"/>
    <w:rsid w:val="67136A95"/>
    <w:rsid w:val="67136D57"/>
    <w:rsid w:val="67155478"/>
    <w:rsid w:val="67171305"/>
    <w:rsid w:val="67185FD7"/>
    <w:rsid w:val="671C39E6"/>
    <w:rsid w:val="671F34E5"/>
    <w:rsid w:val="672114BE"/>
    <w:rsid w:val="6722511E"/>
    <w:rsid w:val="67290773"/>
    <w:rsid w:val="672D634D"/>
    <w:rsid w:val="672F53C8"/>
    <w:rsid w:val="673A6B06"/>
    <w:rsid w:val="673C2AC8"/>
    <w:rsid w:val="673E123C"/>
    <w:rsid w:val="67420E26"/>
    <w:rsid w:val="67444BAD"/>
    <w:rsid w:val="67450B84"/>
    <w:rsid w:val="67454701"/>
    <w:rsid w:val="67481D9E"/>
    <w:rsid w:val="674E6F28"/>
    <w:rsid w:val="675B7B90"/>
    <w:rsid w:val="675C3AB9"/>
    <w:rsid w:val="67621B83"/>
    <w:rsid w:val="67622084"/>
    <w:rsid w:val="67664E48"/>
    <w:rsid w:val="676940E1"/>
    <w:rsid w:val="676E5F3A"/>
    <w:rsid w:val="676F079B"/>
    <w:rsid w:val="677707F2"/>
    <w:rsid w:val="67771DBD"/>
    <w:rsid w:val="677D0B2B"/>
    <w:rsid w:val="678324EC"/>
    <w:rsid w:val="67835C4F"/>
    <w:rsid w:val="67867F32"/>
    <w:rsid w:val="678B4F7C"/>
    <w:rsid w:val="678B5546"/>
    <w:rsid w:val="678F2304"/>
    <w:rsid w:val="6794593E"/>
    <w:rsid w:val="67962E34"/>
    <w:rsid w:val="679758D0"/>
    <w:rsid w:val="679B1B5B"/>
    <w:rsid w:val="67AB4FE2"/>
    <w:rsid w:val="67AF25FA"/>
    <w:rsid w:val="67B4159C"/>
    <w:rsid w:val="67B658B2"/>
    <w:rsid w:val="67B65F65"/>
    <w:rsid w:val="67B71CDF"/>
    <w:rsid w:val="67B735E3"/>
    <w:rsid w:val="67B74248"/>
    <w:rsid w:val="67BC7157"/>
    <w:rsid w:val="67C31B0B"/>
    <w:rsid w:val="67C909B6"/>
    <w:rsid w:val="67CB5401"/>
    <w:rsid w:val="67CC3E5B"/>
    <w:rsid w:val="67CD45A6"/>
    <w:rsid w:val="67D0369C"/>
    <w:rsid w:val="67D1173C"/>
    <w:rsid w:val="67DA435C"/>
    <w:rsid w:val="67DC1E11"/>
    <w:rsid w:val="67E05A2B"/>
    <w:rsid w:val="67E9707F"/>
    <w:rsid w:val="67F44371"/>
    <w:rsid w:val="68027EF8"/>
    <w:rsid w:val="68060499"/>
    <w:rsid w:val="6806607D"/>
    <w:rsid w:val="680A4FE7"/>
    <w:rsid w:val="680D211F"/>
    <w:rsid w:val="680E134C"/>
    <w:rsid w:val="680E6A60"/>
    <w:rsid w:val="6816074A"/>
    <w:rsid w:val="68161CFF"/>
    <w:rsid w:val="68167FCB"/>
    <w:rsid w:val="68254B93"/>
    <w:rsid w:val="68354938"/>
    <w:rsid w:val="683562A7"/>
    <w:rsid w:val="68361986"/>
    <w:rsid w:val="68380F25"/>
    <w:rsid w:val="683D2166"/>
    <w:rsid w:val="683E429F"/>
    <w:rsid w:val="68547ACF"/>
    <w:rsid w:val="6855790E"/>
    <w:rsid w:val="686302D9"/>
    <w:rsid w:val="68631288"/>
    <w:rsid w:val="6863636E"/>
    <w:rsid w:val="68696F3D"/>
    <w:rsid w:val="6873332F"/>
    <w:rsid w:val="687922D2"/>
    <w:rsid w:val="687A0CCB"/>
    <w:rsid w:val="687A2147"/>
    <w:rsid w:val="687E25CA"/>
    <w:rsid w:val="68816CB6"/>
    <w:rsid w:val="68880627"/>
    <w:rsid w:val="68917B47"/>
    <w:rsid w:val="68921846"/>
    <w:rsid w:val="6892797D"/>
    <w:rsid w:val="68935EBF"/>
    <w:rsid w:val="689A4ACE"/>
    <w:rsid w:val="689B2850"/>
    <w:rsid w:val="689E02C7"/>
    <w:rsid w:val="68A04E9E"/>
    <w:rsid w:val="68A26A71"/>
    <w:rsid w:val="68A51664"/>
    <w:rsid w:val="68A723B7"/>
    <w:rsid w:val="68AA489D"/>
    <w:rsid w:val="68B114F8"/>
    <w:rsid w:val="68B13FF1"/>
    <w:rsid w:val="68B3607B"/>
    <w:rsid w:val="68B82894"/>
    <w:rsid w:val="68BB4E61"/>
    <w:rsid w:val="68C81BE3"/>
    <w:rsid w:val="68C8445A"/>
    <w:rsid w:val="68CE71EA"/>
    <w:rsid w:val="68D21AAA"/>
    <w:rsid w:val="68D45E02"/>
    <w:rsid w:val="68D8502D"/>
    <w:rsid w:val="68E063FA"/>
    <w:rsid w:val="68E51779"/>
    <w:rsid w:val="68EB5BD8"/>
    <w:rsid w:val="68EB7817"/>
    <w:rsid w:val="68ED1A51"/>
    <w:rsid w:val="68ED4531"/>
    <w:rsid w:val="68ED6610"/>
    <w:rsid w:val="68F16A39"/>
    <w:rsid w:val="68F36E3A"/>
    <w:rsid w:val="68F71138"/>
    <w:rsid w:val="68F76AF3"/>
    <w:rsid w:val="68F93E38"/>
    <w:rsid w:val="68FC6CDB"/>
    <w:rsid w:val="690032A3"/>
    <w:rsid w:val="6904051A"/>
    <w:rsid w:val="690A0F6A"/>
    <w:rsid w:val="69112FFC"/>
    <w:rsid w:val="69147893"/>
    <w:rsid w:val="69151CD8"/>
    <w:rsid w:val="6916020B"/>
    <w:rsid w:val="691933B2"/>
    <w:rsid w:val="692704CA"/>
    <w:rsid w:val="6927349B"/>
    <w:rsid w:val="69297275"/>
    <w:rsid w:val="69347D64"/>
    <w:rsid w:val="693764E7"/>
    <w:rsid w:val="6940754C"/>
    <w:rsid w:val="694233C0"/>
    <w:rsid w:val="6942380E"/>
    <w:rsid w:val="694B18D0"/>
    <w:rsid w:val="694D707E"/>
    <w:rsid w:val="694F4C5B"/>
    <w:rsid w:val="6950161F"/>
    <w:rsid w:val="695867E4"/>
    <w:rsid w:val="695926AB"/>
    <w:rsid w:val="69595407"/>
    <w:rsid w:val="695F3908"/>
    <w:rsid w:val="6966188A"/>
    <w:rsid w:val="69696A47"/>
    <w:rsid w:val="696E160D"/>
    <w:rsid w:val="696F77A1"/>
    <w:rsid w:val="69711F80"/>
    <w:rsid w:val="69723BFB"/>
    <w:rsid w:val="69847BB1"/>
    <w:rsid w:val="698708F6"/>
    <w:rsid w:val="69873073"/>
    <w:rsid w:val="698F1806"/>
    <w:rsid w:val="698F3B91"/>
    <w:rsid w:val="69901906"/>
    <w:rsid w:val="699336EA"/>
    <w:rsid w:val="69941885"/>
    <w:rsid w:val="69947673"/>
    <w:rsid w:val="69950E6A"/>
    <w:rsid w:val="69956D29"/>
    <w:rsid w:val="699770FD"/>
    <w:rsid w:val="699935C1"/>
    <w:rsid w:val="699A7AE3"/>
    <w:rsid w:val="69A03DED"/>
    <w:rsid w:val="69B04A2F"/>
    <w:rsid w:val="69B343B3"/>
    <w:rsid w:val="69B639E4"/>
    <w:rsid w:val="69C067EB"/>
    <w:rsid w:val="69C12D7E"/>
    <w:rsid w:val="69C23C95"/>
    <w:rsid w:val="69C431DE"/>
    <w:rsid w:val="69C757DE"/>
    <w:rsid w:val="69C97ECF"/>
    <w:rsid w:val="69CD539C"/>
    <w:rsid w:val="69CE4284"/>
    <w:rsid w:val="69D66020"/>
    <w:rsid w:val="69D900F5"/>
    <w:rsid w:val="69DA3116"/>
    <w:rsid w:val="69E35B22"/>
    <w:rsid w:val="69E82EAD"/>
    <w:rsid w:val="69EF4D79"/>
    <w:rsid w:val="69F62943"/>
    <w:rsid w:val="69FA2524"/>
    <w:rsid w:val="69FF56FA"/>
    <w:rsid w:val="6A05604F"/>
    <w:rsid w:val="6A061CFA"/>
    <w:rsid w:val="6A07106A"/>
    <w:rsid w:val="6A0C3B26"/>
    <w:rsid w:val="6A11092D"/>
    <w:rsid w:val="6A1126B4"/>
    <w:rsid w:val="6A114391"/>
    <w:rsid w:val="6A1572D6"/>
    <w:rsid w:val="6A181CBB"/>
    <w:rsid w:val="6A1A161A"/>
    <w:rsid w:val="6A1B29D5"/>
    <w:rsid w:val="6A1C41E3"/>
    <w:rsid w:val="6A1D4754"/>
    <w:rsid w:val="6A1E6E36"/>
    <w:rsid w:val="6A20004D"/>
    <w:rsid w:val="6A213010"/>
    <w:rsid w:val="6A2662E2"/>
    <w:rsid w:val="6A2909D8"/>
    <w:rsid w:val="6A2F4CD8"/>
    <w:rsid w:val="6A3457F2"/>
    <w:rsid w:val="6A3568F0"/>
    <w:rsid w:val="6A36572E"/>
    <w:rsid w:val="6A386E24"/>
    <w:rsid w:val="6A3A650B"/>
    <w:rsid w:val="6A445B61"/>
    <w:rsid w:val="6A4E1ECE"/>
    <w:rsid w:val="6A500C51"/>
    <w:rsid w:val="6A542FE4"/>
    <w:rsid w:val="6A567CD9"/>
    <w:rsid w:val="6A581706"/>
    <w:rsid w:val="6A587827"/>
    <w:rsid w:val="6A5A69E9"/>
    <w:rsid w:val="6A5F31CD"/>
    <w:rsid w:val="6A632D31"/>
    <w:rsid w:val="6A654314"/>
    <w:rsid w:val="6A655321"/>
    <w:rsid w:val="6A660B6A"/>
    <w:rsid w:val="6A666190"/>
    <w:rsid w:val="6A674840"/>
    <w:rsid w:val="6A7961B9"/>
    <w:rsid w:val="6A7A6354"/>
    <w:rsid w:val="6A7B0761"/>
    <w:rsid w:val="6A8002D2"/>
    <w:rsid w:val="6A846CA1"/>
    <w:rsid w:val="6A854B18"/>
    <w:rsid w:val="6A8739E1"/>
    <w:rsid w:val="6A900ADE"/>
    <w:rsid w:val="6A917AEB"/>
    <w:rsid w:val="6A931DF0"/>
    <w:rsid w:val="6A975AF6"/>
    <w:rsid w:val="6A9825A6"/>
    <w:rsid w:val="6A9C4A86"/>
    <w:rsid w:val="6AA308A5"/>
    <w:rsid w:val="6AA311ED"/>
    <w:rsid w:val="6AA401E8"/>
    <w:rsid w:val="6AAA0808"/>
    <w:rsid w:val="6AAA3DE0"/>
    <w:rsid w:val="6AB525A4"/>
    <w:rsid w:val="6AB63D27"/>
    <w:rsid w:val="6AC469E4"/>
    <w:rsid w:val="6AC63468"/>
    <w:rsid w:val="6AC7759C"/>
    <w:rsid w:val="6ACB3FCE"/>
    <w:rsid w:val="6ACE46AC"/>
    <w:rsid w:val="6ACF79CC"/>
    <w:rsid w:val="6AD052BB"/>
    <w:rsid w:val="6AD4145D"/>
    <w:rsid w:val="6ADC68B7"/>
    <w:rsid w:val="6ADE1871"/>
    <w:rsid w:val="6AE625B7"/>
    <w:rsid w:val="6AEC0D78"/>
    <w:rsid w:val="6AF10CE3"/>
    <w:rsid w:val="6AF10D07"/>
    <w:rsid w:val="6AF4451C"/>
    <w:rsid w:val="6AF57F8A"/>
    <w:rsid w:val="6AFA7EC6"/>
    <w:rsid w:val="6AFE2190"/>
    <w:rsid w:val="6AFF4130"/>
    <w:rsid w:val="6B0024D3"/>
    <w:rsid w:val="6B03793C"/>
    <w:rsid w:val="6B064992"/>
    <w:rsid w:val="6B080915"/>
    <w:rsid w:val="6B0A5C12"/>
    <w:rsid w:val="6B100CDB"/>
    <w:rsid w:val="6B1128D6"/>
    <w:rsid w:val="6B122F73"/>
    <w:rsid w:val="6B1A62E8"/>
    <w:rsid w:val="6B1E4AB7"/>
    <w:rsid w:val="6B2278E3"/>
    <w:rsid w:val="6B236BF5"/>
    <w:rsid w:val="6B276653"/>
    <w:rsid w:val="6B2B2BDF"/>
    <w:rsid w:val="6B2D63A2"/>
    <w:rsid w:val="6B3028CD"/>
    <w:rsid w:val="6B347E52"/>
    <w:rsid w:val="6B3B1B60"/>
    <w:rsid w:val="6B43085E"/>
    <w:rsid w:val="6B4527A9"/>
    <w:rsid w:val="6B4679E5"/>
    <w:rsid w:val="6B48185B"/>
    <w:rsid w:val="6B4D42B9"/>
    <w:rsid w:val="6B4E6554"/>
    <w:rsid w:val="6B4F53CD"/>
    <w:rsid w:val="6B570452"/>
    <w:rsid w:val="6B5A5824"/>
    <w:rsid w:val="6B5B101F"/>
    <w:rsid w:val="6B6036C6"/>
    <w:rsid w:val="6B652F06"/>
    <w:rsid w:val="6B65402C"/>
    <w:rsid w:val="6B67298B"/>
    <w:rsid w:val="6B710A6F"/>
    <w:rsid w:val="6B713583"/>
    <w:rsid w:val="6B730C8B"/>
    <w:rsid w:val="6B7875C4"/>
    <w:rsid w:val="6B7D3DA1"/>
    <w:rsid w:val="6B812AD7"/>
    <w:rsid w:val="6B950835"/>
    <w:rsid w:val="6B966214"/>
    <w:rsid w:val="6B9C7EE2"/>
    <w:rsid w:val="6B9D1B4B"/>
    <w:rsid w:val="6B9F1B88"/>
    <w:rsid w:val="6BA22193"/>
    <w:rsid w:val="6BA36E19"/>
    <w:rsid w:val="6BA36FA1"/>
    <w:rsid w:val="6BA37CE4"/>
    <w:rsid w:val="6BA51E03"/>
    <w:rsid w:val="6BAF3F47"/>
    <w:rsid w:val="6BB003EC"/>
    <w:rsid w:val="6BB05654"/>
    <w:rsid w:val="6BB25CE9"/>
    <w:rsid w:val="6BB80517"/>
    <w:rsid w:val="6BBB2A7F"/>
    <w:rsid w:val="6BBD382E"/>
    <w:rsid w:val="6BBD7E4E"/>
    <w:rsid w:val="6BC12BC3"/>
    <w:rsid w:val="6BC255FB"/>
    <w:rsid w:val="6BC71A6B"/>
    <w:rsid w:val="6BCB759E"/>
    <w:rsid w:val="6BD6392E"/>
    <w:rsid w:val="6BD74A13"/>
    <w:rsid w:val="6BDA7198"/>
    <w:rsid w:val="6BDD32F6"/>
    <w:rsid w:val="6BDD611C"/>
    <w:rsid w:val="6BE0337B"/>
    <w:rsid w:val="6BE54DFB"/>
    <w:rsid w:val="6BEA2D0C"/>
    <w:rsid w:val="6BEB0FFD"/>
    <w:rsid w:val="6BEE1755"/>
    <w:rsid w:val="6BEE42AC"/>
    <w:rsid w:val="6BF6501D"/>
    <w:rsid w:val="6BFA5780"/>
    <w:rsid w:val="6BFF1FB4"/>
    <w:rsid w:val="6BFF7DA9"/>
    <w:rsid w:val="6C11340F"/>
    <w:rsid w:val="6C115C69"/>
    <w:rsid w:val="6C126732"/>
    <w:rsid w:val="6C182F5B"/>
    <w:rsid w:val="6C1B1C8D"/>
    <w:rsid w:val="6C1D7C66"/>
    <w:rsid w:val="6C210F99"/>
    <w:rsid w:val="6C2447D8"/>
    <w:rsid w:val="6C286F5B"/>
    <w:rsid w:val="6C293D29"/>
    <w:rsid w:val="6C2B0ACB"/>
    <w:rsid w:val="6C2D107A"/>
    <w:rsid w:val="6C2E4131"/>
    <w:rsid w:val="6C3070A1"/>
    <w:rsid w:val="6C3103E6"/>
    <w:rsid w:val="6C340AD6"/>
    <w:rsid w:val="6C365799"/>
    <w:rsid w:val="6C3D62E9"/>
    <w:rsid w:val="6C3D714D"/>
    <w:rsid w:val="6C3F5323"/>
    <w:rsid w:val="6C426D80"/>
    <w:rsid w:val="6C485A2A"/>
    <w:rsid w:val="6C5035B0"/>
    <w:rsid w:val="6C505805"/>
    <w:rsid w:val="6C515D11"/>
    <w:rsid w:val="6C592976"/>
    <w:rsid w:val="6C5B6323"/>
    <w:rsid w:val="6C6235A6"/>
    <w:rsid w:val="6C650B7C"/>
    <w:rsid w:val="6C676F99"/>
    <w:rsid w:val="6C691C4A"/>
    <w:rsid w:val="6C731F16"/>
    <w:rsid w:val="6C737494"/>
    <w:rsid w:val="6C75651B"/>
    <w:rsid w:val="6C761490"/>
    <w:rsid w:val="6C7803FA"/>
    <w:rsid w:val="6C814665"/>
    <w:rsid w:val="6C8423FE"/>
    <w:rsid w:val="6C8E200F"/>
    <w:rsid w:val="6C8F008A"/>
    <w:rsid w:val="6C9A5A5B"/>
    <w:rsid w:val="6C9D55CD"/>
    <w:rsid w:val="6CA064D6"/>
    <w:rsid w:val="6CA73430"/>
    <w:rsid w:val="6CA85655"/>
    <w:rsid w:val="6CB07024"/>
    <w:rsid w:val="6CB572D2"/>
    <w:rsid w:val="6CBA04EE"/>
    <w:rsid w:val="6CBB0582"/>
    <w:rsid w:val="6CBC1181"/>
    <w:rsid w:val="6CBE767C"/>
    <w:rsid w:val="6CC21048"/>
    <w:rsid w:val="6CCA40DC"/>
    <w:rsid w:val="6CCA64B6"/>
    <w:rsid w:val="6CCF39D0"/>
    <w:rsid w:val="6CCF6A0E"/>
    <w:rsid w:val="6CD1141C"/>
    <w:rsid w:val="6CD15DDA"/>
    <w:rsid w:val="6CD20E6D"/>
    <w:rsid w:val="6CD23CAF"/>
    <w:rsid w:val="6CD54B92"/>
    <w:rsid w:val="6CD5698D"/>
    <w:rsid w:val="6CD84D15"/>
    <w:rsid w:val="6CD94B7B"/>
    <w:rsid w:val="6CDA3BD8"/>
    <w:rsid w:val="6CE02D64"/>
    <w:rsid w:val="6CE83DFB"/>
    <w:rsid w:val="6CEA61E7"/>
    <w:rsid w:val="6CEC261D"/>
    <w:rsid w:val="6CEE2474"/>
    <w:rsid w:val="6CEE3AD6"/>
    <w:rsid w:val="6CFB2D66"/>
    <w:rsid w:val="6CFC1D76"/>
    <w:rsid w:val="6D074DAA"/>
    <w:rsid w:val="6D0C1551"/>
    <w:rsid w:val="6D0C2EF4"/>
    <w:rsid w:val="6D0C4181"/>
    <w:rsid w:val="6D206BB4"/>
    <w:rsid w:val="6D2225B6"/>
    <w:rsid w:val="6D226CC2"/>
    <w:rsid w:val="6D23797B"/>
    <w:rsid w:val="6D2E4E5F"/>
    <w:rsid w:val="6D3D5B10"/>
    <w:rsid w:val="6D453D9B"/>
    <w:rsid w:val="6D471C06"/>
    <w:rsid w:val="6D4A7A12"/>
    <w:rsid w:val="6D4D353A"/>
    <w:rsid w:val="6D4E5C0F"/>
    <w:rsid w:val="6D4F4082"/>
    <w:rsid w:val="6D4F7FD3"/>
    <w:rsid w:val="6D54097D"/>
    <w:rsid w:val="6D545DD4"/>
    <w:rsid w:val="6D573C38"/>
    <w:rsid w:val="6D594CC1"/>
    <w:rsid w:val="6D5A20D2"/>
    <w:rsid w:val="6D5E19DE"/>
    <w:rsid w:val="6D606FA7"/>
    <w:rsid w:val="6D6467DB"/>
    <w:rsid w:val="6D68758C"/>
    <w:rsid w:val="6D6F0FA8"/>
    <w:rsid w:val="6D7157F8"/>
    <w:rsid w:val="6D72206F"/>
    <w:rsid w:val="6D8076BB"/>
    <w:rsid w:val="6D821F2F"/>
    <w:rsid w:val="6D831AD6"/>
    <w:rsid w:val="6D83706B"/>
    <w:rsid w:val="6D884A4B"/>
    <w:rsid w:val="6D8D3C33"/>
    <w:rsid w:val="6D90329E"/>
    <w:rsid w:val="6D907D41"/>
    <w:rsid w:val="6D952E30"/>
    <w:rsid w:val="6D9E4BE6"/>
    <w:rsid w:val="6D9F3272"/>
    <w:rsid w:val="6DA27E97"/>
    <w:rsid w:val="6DA91751"/>
    <w:rsid w:val="6DA95718"/>
    <w:rsid w:val="6DAD1EC9"/>
    <w:rsid w:val="6DAD51F8"/>
    <w:rsid w:val="6DB84EE2"/>
    <w:rsid w:val="6DBE28C7"/>
    <w:rsid w:val="6DC128FE"/>
    <w:rsid w:val="6DC20F14"/>
    <w:rsid w:val="6DC44326"/>
    <w:rsid w:val="6DC47752"/>
    <w:rsid w:val="6DC512ED"/>
    <w:rsid w:val="6DCA4847"/>
    <w:rsid w:val="6DCD1409"/>
    <w:rsid w:val="6DCE1692"/>
    <w:rsid w:val="6DD32BF2"/>
    <w:rsid w:val="6DD63F1B"/>
    <w:rsid w:val="6DDA2D93"/>
    <w:rsid w:val="6DDD59CA"/>
    <w:rsid w:val="6DE86308"/>
    <w:rsid w:val="6DED296D"/>
    <w:rsid w:val="6DF939BC"/>
    <w:rsid w:val="6E01455F"/>
    <w:rsid w:val="6E042FA6"/>
    <w:rsid w:val="6E09018A"/>
    <w:rsid w:val="6E0A7F0E"/>
    <w:rsid w:val="6E0E2E01"/>
    <w:rsid w:val="6E1122E7"/>
    <w:rsid w:val="6E1244F2"/>
    <w:rsid w:val="6E15187E"/>
    <w:rsid w:val="6E1B0C61"/>
    <w:rsid w:val="6E1C2025"/>
    <w:rsid w:val="6E1E199B"/>
    <w:rsid w:val="6E202945"/>
    <w:rsid w:val="6E2E17AF"/>
    <w:rsid w:val="6E32768E"/>
    <w:rsid w:val="6E37072C"/>
    <w:rsid w:val="6E3C5DA9"/>
    <w:rsid w:val="6E3C7B9D"/>
    <w:rsid w:val="6E4D7C65"/>
    <w:rsid w:val="6E4F3A45"/>
    <w:rsid w:val="6E542B2E"/>
    <w:rsid w:val="6E5E7289"/>
    <w:rsid w:val="6E600037"/>
    <w:rsid w:val="6E643477"/>
    <w:rsid w:val="6E6E21D1"/>
    <w:rsid w:val="6E7377DF"/>
    <w:rsid w:val="6E766F97"/>
    <w:rsid w:val="6E7C49ED"/>
    <w:rsid w:val="6E7F06E9"/>
    <w:rsid w:val="6E7F40AB"/>
    <w:rsid w:val="6E81246E"/>
    <w:rsid w:val="6E8A201D"/>
    <w:rsid w:val="6E943CC4"/>
    <w:rsid w:val="6E964983"/>
    <w:rsid w:val="6E9754CB"/>
    <w:rsid w:val="6E9827DD"/>
    <w:rsid w:val="6E9A19C7"/>
    <w:rsid w:val="6EA3004B"/>
    <w:rsid w:val="6EA32F06"/>
    <w:rsid w:val="6EA92DBA"/>
    <w:rsid w:val="6EAD25F7"/>
    <w:rsid w:val="6EB16F7D"/>
    <w:rsid w:val="6EB60EEA"/>
    <w:rsid w:val="6EB645DF"/>
    <w:rsid w:val="6EBC7157"/>
    <w:rsid w:val="6EBF16A6"/>
    <w:rsid w:val="6EBF7CF3"/>
    <w:rsid w:val="6EC74271"/>
    <w:rsid w:val="6ECA1772"/>
    <w:rsid w:val="6ECE772E"/>
    <w:rsid w:val="6ED00F45"/>
    <w:rsid w:val="6ED644AD"/>
    <w:rsid w:val="6ED7075E"/>
    <w:rsid w:val="6EDD328C"/>
    <w:rsid w:val="6EE1570A"/>
    <w:rsid w:val="6EE2046E"/>
    <w:rsid w:val="6EE21664"/>
    <w:rsid w:val="6EE9736C"/>
    <w:rsid w:val="6EF3357D"/>
    <w:rsid w:val="6EF4457E"/>
    <w:rsid w:val="6EF61839"/>
    <w:rsid w:val="6EF867E4"/>
    <w:rsid w:val="6EFF10D8"/>
    <w:rsid w:val="6F003DFE"/>
    <w:rsid w:val="6F0A4E9C"/>
    <w:rsid w:val="6F0A77A0"/>
    <w:rsid w:val="6F165DD9"/>
    <w:rsid w:val="6F1C5F49"/>
    <w:rsid w:val="6F1D53CA"/>
    <w:rsid w:val="6F225336"/>
    <w:rsid w:val="6F26245B"/>
    <w:rsid w:val="6F2F0386"/>
    <w:rsid w:val="6F334171"/>
    <w:rsid w:val="6F351F13"/>
    <w:rsid w:val="6F3D2B42"/>
    <w:rsid w:val="6F3E4F0F"/>
    <w:rsid w:val="6F491166"/>
    <w:rsid w:val="6F4B6208"/>
    <w:rsid w:val="6F4F0380"/>
    <w:rsid w:val="6F526446"/>
    <w:rsid w:val="6F586AE4"/>
    <w:rsid w:val="6F5A4E62"/>
    <w:rsid w:val="6F5E07F5"/>
    <w:rsid w:val="6F5F67D2"/>
    <w:rsid w:val="6F62636B"/>
    <w:rsid w:val="6F664FA5"/>
    <w:rsid w:val="6F69542C"/>
    <w:rsid w:val="6F6D4C9F"/>
    <w:rsid w:val="6F707EBA"/>
    <w:rsid w:val="6F78029A"/>
    <w:rsid w:val="6F7851F4"/>
    <w:rsid w:val="6F785B4B"/>
    <w:rsid w:val="6F7B4E62"/>
    <w:rsid w:val="6F7C7947"/>
    <w:rsid w:val="6F832A27"/>
    <w:rsid w:val="6F83591F"/>
    <w:rsid w:val="6F8433A5"/>
    <w:rsid w:val="6F855DF6"/>
    <w:rsid w:val="6F8C1F6F"/>
    <w:rsid w:val="6F8C3DAA"/>
    <w:rsid w:val="6F8C74B5"/>
    <w:rsid w:val="6F8D0FF2"/>
    <w:rsid w:val="6F8F521E"/>
    <w:rsid w:val="6F9831D1"/>
    <w:rsid w:val="6F985883"/>
    <w:rsid w:val="6F9D4817"/>
    <w:rsid w:val="6FA227C1"/>
    <w:rsid w:val="6FA253B6"/>
    <w:rsid w:val="6FA837C8"/>
    <w:rsid w:val="6FAC6610"/>
    <w:rsid w:val="6FB847FE"/>
    <w:rsid w:val="6FBA7BD6"/>
    <w:rsid w:val="6FC67FBA"/>
    <w:rsid w:val="6FC77EB2"/>
    <w:rsid w:val="6FC81620"/>
    <w:rsid w:val="6FC81BBE"/>
    <w:rsid w:val="6FC9683F"/>
    <w:rsid w:val="6FCF3587"/>
    <w:rsid w:val="6FD15D45"/>
    <w:rsid w:val="6FD30250"/>
    <w:rsid w:val="6FD52703"/>
    <w:rsid w:val="6FDD42E6"/>
    <w:rsid w:val="6FE36B28"/>
    <w:rsid w:val="6FE54F33"/>
    <w:rsid w:val="6FEA4E0D"/>
    <w:rsid w:val="6FF4510E"/>
    <w:rsid w:val="6FF653F0"/>
    <w:rsid w:val="6FF6793D"/>
    <w:rsid w:val="6FF77C92"/>
    <w:rsid w:val="6FF86D8B"/>
    <w:rsid w:val="6FFA71B2"/>
    <w:rsid w:val="6FFD3078"/>
    <w:rsid w:val="700D145E"/>
    <w:rsid w:val="700D32F2"/>
    <w:rsid w:val="700F4C47"/>
    <w:rsid w:val="70134CF8"/>
    <w:rsid w:val="701A40A3"/>
    <w:rsid w:val="701D6176"/>
    <w:rsid w:val="701E45B5"/>
    <w:rsid w:val="70247140"/>
    <w:rsid w:val="702A654D"/>
    <w:rsid w:val="702E7F70"/>
    <w:rsid w:val="703411AB"/>
    <w:rsid w:val="703546B9"/>
    <w:rsid w:val="70410790"/>
    <w:rsid w:val="704149D2"/>
    <w:rsid w:val="704C5088"/>
    <w:rsid w:val="704F62B7"/>
    <w:rsid w:val="705C2C33"/>
    <w:rsid w:val="705C3DF0"/>
    <w:rsid w:val="7061760C"/>
    <w:rsid w:val="70633012"/>
    <w:rsid w:val="706568E3"/>
    <w:rsid w:val="70657406"/>
    <w:rsid w:val="706A6FEB"/>
    <w:rsid w:val="70705517"/>
    <w:rsid w:val="70746C4D"/>
    <w:rsid w:val="70797D1F"/>
    <w:rsid w:val="707E5068"/>
    <w:rsid w:val="707F5CB2"/>
    <w:rsid w:val="70800FE3"/>
    <w:rsid w:val="70813500"/>
    <w:rsid w:val="70893AA1"/>
    <w:rsid w:val="708B0A13"/>
    <w:rsid w:val="708E3F12"/>
    <w:rsid w:val="70997E9D"/>
    <w:rsid w:val="709A1488"/>
    <w:rsid w:val="709B191B"/>
    <w:rsid w:val="709B28EA"/>
    <w:rsid w:val="709E767D"/>
    <w:rsid w:val="70A12499"/>
    <w:rsid w:val="70A539A4"/>
    <w:rsid w:val="70A56F39"/>
    <w:rsid w:val="70AB29FC"/>
    <w:rsid w:val="70B9039B"/>
    <w:rsid w:val="70C82EEC"/>
    <w:rsid w:val="70C834EE"/>
    <w:rsid w:val="70C848D6"/>
    <w:rsid w:val="70DA3F6C"/>
    <w:rsid w:val="70DD4950"/>
    <w:rsid w:val="70EB6B17"/>
    <w:rsid w:val="70F42453"/>
    <w:rsid w:val="70F6447A"/>
    <w:rsid w:val="70F67C4E"/>
    <w:rsid w:val="70FB7D38"/>
    <w:rsid w:val="70FC78C9"/>
    <w:rsid w:val="710359F9"/>
    <w:rsid w:val="71050C06"/>
    <w:rsid w:val="710F0A79"/>
    <w:rsid w:val="71126824"/>
    <w:rsid w:val="711464E6"/>
    <w:rsid w:val="71153511"/>
    <w:rsid w:val="712054A9"/>
    <w:rsid w:val="7123133D"/>
    <w:rsid w:val="71262A07"/>
    <w:rsid w:val="71334A7F"/>
    <w:rsid w:val="713D01E3"/>
    <w:rsid w:val="713D2C19"/>
    <w:rsid w:val="71405F56"/>
    <w:rsid w:val="71546E15"/>
    <w:rsid w:val="71567D42"/>
    <w:rsid w:val="715857A3"/>
    <w:rsid w:val="7159115F"/>
    <w:rsid w:val="715A71EC"/>
    <w:rsid w:val="715E1524"/>
    <w:rsid w:val="715E3592"/>
    <w:rsid w:val="71600D1C"/>
    <w:rsid w:val="71684285"/>
    <w:rsid w:val="7169183D"/>
    <w:rsid w:val="716F7956"/>
    <w:rsid w:val="716F7D84"/>
    <w:rsid w:val="7172292F"/>
    <w:rsid w:val="71725FF4"/>
    <w:rsid w:val="71763D1A"/>
    <w:rsid w:val="717B5A74"/>
    <w:rsid w:val="717C2D80"/>
    <w:rsid w:val="717E37B5"/>
    <w:rsid w:val="717E5BA3"/>
    <w:rsid w:val="717F4EF4"/>
    <w:rsid w:val="71806C15"/>
    <w:rsid w:val="718161BD"/>
    <w:rsid w:val="71897764"/>
    <w:rsid w:val="718D654C"/>
    <w:rsid w:val="71907619"/>
    <w:rsid w:val="719146C4"/>
    <w:rsid w:val="71922E29"/>
    <w:rsid w:val="71931A05"/>
    <w:rsid w:val="71936A07"/>
    <w:rsid w:val="719851E0"/>
    <w:rsid w:val="719A1DAE"/>
    <w:rsid w:val="719F121A"/>
    <w:rsid w:val="71A4116F"/>
    <w:rsid w:val="71A650E9"/>
    <w:rsid w:val="71A97795"/>
    <w:rsid w:val="71AA1DD6"/>
    <w:rsid w:val="71AB0BB4"/>
    <w:rsid w:val="71AD4842"/>
    <w:rsid w:val="71AE2F46"/>
    <w:rsid w:val="71AF31FB"/>
    <w:rsid w:val="71B074C4"/>
    <w:rsid w:val="71B72208"/>
    <w:rsid w:val="71BC7EA6"/>
    <w:rsid w:val="71C414F5"/>
    <w:rsid w:val="71C84FF7"/>
    <w:rsid w:val="71CF584A"/>
    <w:rsid w:val="71D00D58"/>
    <w:rsid w:val="71D65BF3"/>
    <w:rsid w:val="71DA3A81"/>
    <w:rsid w:val="71E14A7B"/>
    <w:rsid w:val="71E668B9"/>
    <w:rsid w:val="71EB0E9C"/>
    <w:rsid w:val="71F70164"/>
    <w:rsid w:val="71FA0310"/>
    <w:rsid w:val="71FA03A4"/>
    <w:rsid w:val="7203475A"/>
    <w:rsid w:val="72114682"/>
    <w:rsid w:val="721867C9"/>
    <w:rsid w:val="721F3F83"/>
    <w:rsid w:val="72231E79"/>
    <w:rsid w:val="72240784"/>
    <w:rsid w:val="72340E14"/>
    <w:rsid w:val="72367B34"/>
    <w:rsid w:val="723A3666"/>
    <w:rsid w:val="723E2270"/>
    <w:rsid w:val="724711A9"/>
    <w:rsid w:val="724B645E"/>
    <w:rsid w:val="724B6DCC"/>
    <w:rsid w:val="724C3092"/>
    <w:rsid w:val="724D75F1"/>
    <w:rsid w:val="724E6B5D"/>
    <w:rsid w:val="72552748"/>
    <w:rsid w:val="72566D1C"/>
    <w:rsid w:val="7257734C"/>
    <w:rsid w:val="725F43C2"/>
    <w:rsid w:val="72645DEC"/>
    <w:rsid w:val="726C3CB4"/>
    <w:rsid w:val="726D7C7F"/>
    <w:rsid w:val="7277713D"/>
    <w:rsid w:val="72860B42"/>
    <w:rsid w:val="7288268C"/>
    <w:rsid w:val="728B4196"/>
    <w:rsid w:val="728C0F4F"/>
    <w:rsid w:val="728F4E67"/>
    <w:rsid w:val="72923FE8"/>
    <w:rsid w:val="7294044B"/>
    <w:rsid w:val="729942E8"/>
    <w:rsid w:val="729B03C7"/>
    <w:rsid w:val="729F5065"/>
    <w:rsid w:val="72AD67F9"/>
    <w:rsid w:val="72AF7641"/>
    <w:rsid w:val="72B01483"/>
    <w:rsid w:val="72B62C80"/>
    <w:rsid w:val="72B7717D"/>
    <w:rsid w:val="72BA7244"/>
    <w:rsid w:val="72BC4C7D"/>
    <w:rsid w:val="72BC7B1C"/>
    <w:rsid w:val="72BD2F0C"/>
    <w:rsid w:val="72BE5FAD"/>
    <w:rsid w:val="72CC1981"/>
    <w:rsid w:val="72D0088C"/>
    <w:rsid w:val="72DB7738"/>
    <w:rsid w:val="72E107B9"/>
    <w:rsid w:val="72E17E12"/>
    <w:rsid w:val="72E93268"/>
    <w:rsid w:val="72EE0601"/>
    <w:rsid w:val="72EF68FC"/>
    <w:rsid w:val="72F540C9"/>
    <w:rsid w:val="72F65229"/>
    <w:rsid w:val="72FE20BF"/>
    <w:rsid w:val="72FE2D24"/>
    <w:rsid w:val="73041AF1"/>
    <w:rsid w:val="7307279A"/>
    <w:rsid w:val="730B4688"/>
    <w:rsid w:val="7310150F"/>
    <w:rsid w:val="73132831"/>
    <w:rsid w:val="731659A5"/>
    <w:rsid w:val="7319287E"/>
    <w:rsid w:val="731C7819"/>
    <w:rsid w:val="73217A9C"/>
    <w:rsid w:val="732550C7"/>
    <w:rsid w:val="73291FE6"/>
    <w:rsid w:val="732D4A53"/>
    <w:rsid w:val="733659EE"/>
    <w:rsid w:val="733769BD"/>
    <w:rsid w:val="733B441C"/>
    <w:rsid w:val="733B5346"/>
    <w:rsid w:val="733E2261"/>
    <w:rsid w:val="733F2EB7"/>
    <w:rsid w:val="733F37B2"/>
    <w:rsid w:val="73422ACE"/>
    <w:rsid w:val="734304FC"/>
    <w:rsid w:val="734575C6"/>
    <w:rsid w:val="73477D1C"/>
    <w:rsid w:val="73487792"/>
    <w:rsid w:val="734D0084"/>
    <w:rsid w:val="734F5013"/>
    <w:rsid w:val="735029F8"/>
    <w:rsid w:val="73565BA5"/>
    <w:rsid w:val="735A1725"/>
    <w:rsid w:val="73656511"/>
    <w:rsid w:val="736D4B5E"/>
    <w:rsid w:val="73705C26"/>
    <w:rsid w:val="737566AB"/>
    <w:rsid w:val="73797AB5"/>
    <w:rsid w:val="73797DAC"/>
    <w:rsid w:val="737E55AB"/>
    <w:rsid w:val="737F40FA"/>
    <w:rsid w:val="738B1C6D"/>
    <w:rsid w:val="738B2FC3"/>
    <w:rsid w:val="738B3884"/>
    <w:rsid w:val="738C6FDD"/>
    <w:rsid w:val="739A38F1"/>
    <w:rsid w:val="739E6C22"/>
    <w:rsid w:val="73A47455"/>
    <w:rsid w:val="73AB2828"/>
    <w:rsid w:val="73AB598D"/>
    <w:rsid w:val="73AB72AD"/>
    <w:rsid w:val="73AE7E8F"/>
    <w:rsid w:val="73B205FF"/>
    <w:rsid w:val="73B337CB"/>
    <w:rsid w:val="73B65DB0"/>
    <w:rsid w:val="73B94D11"/>
    <w:rsid w:val="73BA2088"/>
    <w:rsid w:val="73BD5682"/>
    <w:rsid w:val="73C1632C"/>
    <w:rsid w:val="73C204EA"/>
    <w:rsid w:val="73C2465C"/>
    <w:rsid w:val="73C64E21"/>
    <w:rsid w:val="73C9129D"/>
    <w:rsid w:val="73CC3C78"/>
    <w:rsid w:val="73CE373A"/>
    <w:rsid w:val="73D16EF8"/>
    <w:rsid w:val="73D627D9"/>
    <w:rsid w:val="73DF1C04"/>
    <w:rsid w:val="73E17EBC"/>
    <w:rsid w:val="73E26F26"/>
    <w:rsid w:val="73E57C39"/>
    <w:rsid w:val="73EB1642"/>
    <w:rsid w:val="73EB5CC6"/>
    <w:rsid w:val="73EE3508"/>
    <w:rsid w:val="73F4154E"/>
    <w:rsid w:val="73F57948"/>
    <w:rsid w:val="73F73087"/>
    <w:rsid w:val="73FB2212"/>
    <w:rsid w:val="73FE0387"/>
    <w:rsid w:val="73FF2FE2"/>
    <w:rsid w:val="73FF566D"/>
    <w:rsid w:val="740115FC"/>
    <w:rsid w:val="74056267"/>
    <w:rsid w:val="740B3B3C"/>
    <w:rsid w:val="74145F55"/>
    <w:rsid w:val="741811E7"/>
    <w:rsid w:val="741B54FE"/>
    <w:rsid w:val="741E6EC9"/>
    <w:rsid w:val="74292FBE"/>
    <w:rsid w:val="742D396E"/>
    <w:rsid w:val="742E56A0"/>
    <w:rsid w:val="7430265E"/>
    <w:rsid w:val="74332096"/>
    <w:rsid w:val="74381571"/>
    <w:rsid w:val="743A7459"/>
    <w:rsid w:val="743B5ED5"/>
    <w:rsid w:val="74440E49"/>
    <w:rsid w:val="744B1037"/>
    <w:rsid w:val="744F07C8"/>
    <w:rsid w:val="745447D5"/>
    <w:rsid w:val="74581E54"/>
    <w:rsid w:val="745F5DF2"/>
    <w:rsid w:val="746167EE"/>
    <w:rsid w:val="74677AF6"/>
    <w:rsid w:val="74681102"/>
    <w:rsid w:val="746F0C65"/>
    <w:rsid w:val="747329FA"/>
    <w:rsid w:val="74747F7D"/>
    <w:rsid w:val="74770CC5"/>
    <w:rsid w:val="747B3895"/>
    <w:rsid w:val="747B4742"/>
    <w:rsid w:val="747E5A14"/>
    <w:rsid w:val="74803E68"/>
    <w:rsid w:val="74817139"/>
    <w:rsid w:val="7483256E"/>
    <w:rsid w:val="74856D6F"/>
    <w:rsid w:val="748F4686"/>
    <w:rsid w:val="74987681"/>
    <w:rsid w:val="749B2E28"/>
    <w:rsid w:val="749B4202"/>
    <w:rsid w:val="74A044FB"/>
    <w:rsid w:val="74A2465F"/>
    <w:rsid w:val="74A3779F"/>
    <w:rsid w:val="74A645AD"/>
    <w:rsid w:val="74A66047"/>
    <w:rsid w:val="74AB4770"/>
    <w:rsid w:val="74B31877"/>
    <w:rsid w:val="74B40BE9"/>
    <w:rsid w:val="74B712E4"/>
    <w:rsid w:val="74B74464"/>
    <w:rsid w:val="74B8420A"/>
    <w:rsid w:val="74BE3559"/>
    <w:rsid w:val="74C73E91"/>
    <w:rsid w:val="74CC2EEE"/>
    <w:rsid w:val="74D60767"/>
    <w:rsid w:val="74D65BE1"/>
    <w:rsid w:val="74D9212C"/>
    <w:rsid w:val="74DA78F3"/>
    <w:rsid w:val="74DD5D90"/>
    <w:rsid w:val="74DD71DF"/>
    <w:rsid w:val="74DF77B7"/>
    <w:rsid w:val="74E55EE6"/>
    <w:rsid w:val="74E821C4"/>
    <w:rsid w:val="74F965B2"/>
    <w:rsid w:val="74FA2A27"/>
    <w:rsid w:val="75042F01"/>
    <w:rsid w:val="751469DB"/>
    <w:rsid w:val="75164D6C"/>
    <w:rsid w:val="75193A74"/>
    <w:rsid w:val="751C4EA9"/>
    <w:rsid w:val="751D432A"/>
    <w:rsid w:val="75246D3E"/>
    <w:rsid w:val="75276215"/>
    <w:rsid w:val="752C15DF"/>
    <w:rsid w:val="753A4E60"/>
    <w:rsid w:val="753C6901"/>
    <w:rsid w:val="753E1815"/>
    <w:rsid w:val="75416B64"/>
    <w:rsid w:val="754271DC"/>
    <w:rsid w:val="754560B4"/>
    <w:rsid w:val="754D436C"/>
    <w:rsid w:val="754D7793"/>
    <w:rsid w:val="75557F22"/>
    <w:rsid w:val="75583C85"/>
    <w:rsid w:val="7558690B"/>
    <w:rsid w:val="75591880"/>
    <w:rsid w:val="755F66A1"/>
    <w:rsid w:val="75654035"/>
    <w:rsid w:val="75670565"/>
    <w:rsid w:val="75690083"/>
    <w:rsid w:val="756A3EB0"/>
    <w:rsid w:val="756C13D9"/>
    <w:rsid w:val="756C4DFE"/>
    <w:rsid w:val="756C538B"/>
    <w:rsid w:val="75710D0E"/>
    <w:rsid w:val="75710D1F"/>
    <w:rsid w:val="75733756"/>
    <w:rsid w:val="757D0DB7"/>
    <w:rsid w:val="757D3E94"/>
    <w:rsid w:val="757F018E"/>
    <w:rsid w:val="757F6A05"/>
    <w:rsid w:val="75833968"/>
    <w:rsid w:val="7584647F"/>
    <w:rsid w:val="75867D0A"/>
    <w:rsid w:val="758D2721"/>
    <w:rsid w:val="758D33DD"/>
    <w:rsid w:val="75940013"/>
    <w:rsid w:val="759A405B"/>
    <w:rsid w:val="759F4E8F"/>
    <w:rsid w:val="75A235DA"/>
    <w:rsid w:val="75AC09D7"/>
    <w:rsid w:val="75B47DE6"/>
    <w:rsid w:val="75BA4742"/>
    <w:rsid w:val="75BD3BE2"/>
    <w:rsid w:val="75BE489D"/>
    <w:rsid w:val="75C04205"/>
    <w:rsid w:val="75C15EDE"/>
    <w:rsid w:val="75C72BED"/>
    <w:rsid w:val="75D633F7"/>
    <w:rsid w:val="75DF389B"/>
    <w:rsid w:val="75E10F48"/>
    <w:rsid w:val="75E31D2B"/>
    <w:rsid w:val="75EA5D09"/>
    <w:rsid w:val="75F03E87"/>
    <w:rsid w:val="75F3343E"/>
    <w:rsid w:val="75F34003"/>
    <w:rsid w:val="75F847AE"/>
    <w:rsid w:val="75FA5D2E"/>
    <w:rsid w:val="75FE1585"/>
    <w:rsid w:val="76033C84"/>
    <w:rsid w:val="76073BE5"/>
    <w:rsid w:val="760A4F76"/>
    <w:rsid w:val="760B3971"/>
    <w:rsid w:val="76144E73"/>
    <w:rsid w:val="7615397B"/>
    <w:rsid w:val="761546D9"/>
    <w:rsid w:val="76157947"/>
    <w:rsid w:val="76206D4D"/>
    <w:rsid w:val="76213A6C"/>
    <w:rsid w:val="762D377B"/>
    <w:rsid w:val="764173DC"/>
    <w:rsid w:val="764517C8"/>
    <w:rsid w:val="7646071B"/>
    <w:rsid w:val="7646768D"/>
    <w:rsid w:val="76481FF9"/>
    <w:rsid w:val="76482C7A"/>
    <w:rsid w:val="76492816"/>
    <w:rsid w:val="764A52F9"/>
    <w:rsid w:val="7650151F"/>
    <w:rsid w:val="76553D39"/>
    <w:rsid w:val="76566038"/>
    <w:rsid w:val="765742AD"/>
    <w:rsid w:val="765A78DC"/>
    <w:rsid w:val="76625742"/>
    <w:rsid w:val="76627E92"/>
    <w:rsid w:val="76662E87"/>
    <w:rsid w:val="76667A6D"/>
    <w:rsid w:val="766B671A"/>
    <w:rsid w:val="766C6BB2"/>
    <w:rsid w:val="766D05FF"/>
    <w:rsid w:val="76763D35"/>
    <w:rsid w:val="767B6647"/>
    <w:rsid w:val="76870533"/>
    <w:rsid w:val="768918F1"/>
    <w:rsid w:val="768A222D"/>
    <w:rsid w:val="768B14D4"/>
    <w:rsid w:val="76910BD3"/>
    <w:rsid w:val="76913341"/>
    <w:rsid w:val="769534B1"/>
    <w:rsid w:val="76A36684"/>
    <w:rsid w:val="76A40C48"/>
    <w:rsid w:val="76A76B1F"/>
    <w:rsid w:val="76AB0677"/>
    <w:rsid w:val="76AC01D9"/>
    <w:rsid w:val="76AC7CAF"/>
    <w:rsid w:val="76AF007B"/>
    <w:rsid w:val="76AF081E"/>
    <w:rsid w:val="76B4258E"/>
    <w:rsid w:val="76B56589"/>
    <w:rsid w:val="76B9218B"/>
    <w:rsid w:val="76BC1A37"/>
    <w:rsid w:val="76BF09E8"/>
    <w:rsid w:val="76C50CE2"/>
    <w:rsid w:val="76C52A24"/>
    <w:rsid w:val="76C54F44"/>
    <w:rsid w:val="76C770D1"/>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D46C9"/>
    <w:rsid w:val="76EE7037"/>
    <w:rsid w:val="76EF132A"/>
    <w:rsid w:val="76EF366E"/>
    <w:rsid w:val="76FA0759"/>
    <w:rsid w:val="76FA7D71"/>
    <w:rsid w:val="76FE1C68"/>
    <w:rsid w:val="7700323B"/>
    <w:rsid w:val="770B275E"/>
    <w:rsid w:val="770F495C"/>
    <w:rsid w:val="771262A9"/>
    <w:rsid w:val="77146149"/>
    <w:rsid w:val="77153ECA"/>
    <w:rsid w:val="771B19D9"/>
    <w:rsid w:val="771C0F7D"/>
    <w:rsid w:val="771D1941"/>
    <w:rsid w:val="771F3BDA"/>
    <w:rsid w:val="77212E31"/>
    <w:rsid w:val="77262DDE"/>
    <w:rsid w:val="77265713"/>
    <w:rsid w:val="772B29EC"/>
    <w:rsid w:val="772E2295"/>
    <w:rsid w:val="7732100E"/>
    <w:rsid w:val="77331554"/>
    <w:rsid w:val="77367FC0"/>
    <w:rsid w:val="7737084C"/>
    <w:rsid w:val="773830F5"/>
    <w:rsid w:val="77417F30"/>
    <w:rsid w:val="77465FAB"/>
    <w:rsid w:val="7747191E"/>
    <w:rsid w:val="77492BE0"/>
    <w:rsid w:val="774E16D7"/>
    <w:rsid w:val="77506C3F"/>
    <w:rsid w:val="7752759B"/>
    <w:rsid w:val="77582AC2"/>
    <w:rsid w:val="775A27C9"/>
    <w:rsid w:val="775B5DED"/>
    <w:rsid w:val="77686BE1"/>
    <w:rsid w:val="776920A5"/>
    <w:rsid w:val="776B6E52"/>
    <w:rsid w:val="776D0E49"/>
    <w:rsid w:val="776E252B"/>
    <w:rsid w:val="777A47C9"/>
    <w:rsid w:val="777A6424"/>
    <w:rsid w:val="777B241F"/>
    <w:rsid w:val="777B4DC0"/>
    <w:rsid w:val="777C13E6"/>
    <w:rsid w:val="77801906"/>
    <w:rsid w:val="7785756E"/>
    <w:rsid w:val="778601E9"/>
    <w:rsid w:val="778666FA"/>
    <w:rsid w:val="778D489B"/>
    <w:rsid w:val="77953D5C"/>
    <w:rsid w:val="77990964"/>
    <w:rsid w:val="77991457"/>
    <w:rsid w:val="77A0499A"/>
    <w:rsid w:val="77A7092E"/>
    <w:rsid w:val="77AE30AE"/>
    <w:rsid w:val="77AF1C62"/>
    <w:rsid w:val="77B6708C"/>
    <w:rsid w:val="77B73D31"/>
    <w:rsid w:val="77BC0BAA"/>
    <w:rsid w:val="77C410C1"/>
    <w:rsid w:val="77C47D82"/>
    <w:rsid w:val="77C91DA3"/>
    <w:rsid w:val="77CC31E3"/>
    <w:rsid w:val="77CD0717"/>
    <w:rsid w:val="77CE0F48"/>
    <w:rsid w:val="77CE3163"/>
    <w:rsid w:val="77D070DE"/>
    <w:rsid w:val="77D44371"/>
    <w:rsid w:val="77D8426A"/>
    <w:rsid w:val="77D84C40"/>
    <w:rsid w:val="77DE0391"/>
    <w:rsid w:val="77DF0DAE"/>
    <w:rsid w:val="77E06F50"/>
    <w:rsid w:val="77E23AE2"/>
    <w:rsid w:val="77E411CD"/>
    <w:rsid w:val="77E44DD7"/>
    <w:rsid w:val="77E61830"/>
    <w:rsid w:val="77E8106F"/>
    <w:rsid w:val="77F0358F"/>
    <w:rsid w:val="77F4601E"/>
    <w:rsid w:val="77FB5518"/>
    <w:rsid w:val="78007EF7"/>
    <w:rsid w:val="7808613E"/>
    <w:rsid w:val="78092773"/>
    <w:rsid w:val="780A38F0"/>
    <w:rsid w:val="780C3A7E"/>
    <w:rsid w:val="78120E54"/>
    <w:rsid w:val="781572EA"/>
    <w:rsid w:val="78157DAF"/>
    <w:rsid w:val="781A18B0"/>
    <w:rsid w:val="781C73F0"/>
    <w:rsid w:val="781F163F"/>
    <w:rsid w:val="781F178A"/>
    <w:rsid w:val="782942F2"/>
    <w:rsid w:val="782E61C7"/>
    <w:rsid w:val="782F3211"/>
    <w:rsid w:val="783129AD"/>
    <w:rsid w:val="78334775"/>
    <w:rsid w:val="783C063B"/>
    <w:rsid w:val="784548FD"/>
    <w:rsid w:val="78477E1D"/>
    <w:rsid w:val="784C137E"/>
    <w:rsid w:val="784E05E1"/>
    <w:rsid w:val="784E5DC5"/>
    <w:rsid w:val="78561A75"/>
    <w:rsid w:val="78582901"/>
    <w:rsid w:val="78582DD1"/>
    <w:rsid w:val="78594907"/>
    <w:rsid w:val="78595836"/>
    <w:rsid w:val="785B7120"/>
    <w:rsid w:val="785D00FB"/>
    <w:rsid w:val="785E6B7A"/>
    <w:rsid w:val="78626792"/>
    <w:rsid w:val="78657301"/>
    <w:rsid w:val="786F385F"/>
    <w:rsid w:val="786F664D"/>
    <w:rsid w:val="78756CB4"/>
    <w:rsid w:val="787645FA"/>
    <w:rsid w:val="787C51E8"/>
    <w:rsid w:val="788003A8"/>
    <w:rsid w:val="78812179"/>
    <w:rsid w:val="78841742"/>
    <w:rsid w:val="788460C1"/>
    <w:rsid w:val="788818A2"/>
    <w:rsid w:val="78896171"/>
    <w:rsid w:val="788B7C30"/>
    <w:rsid w:val="788F4D2E"/>
    <w:rsid w:val="78971BF2"/>
    <w:rsid w:val="78AA232E"/>
    <w:rsid w:val="78AB323F"/>
    <w:rsid w:val="78B452F9"/>
    <w:rsid w:val="78B950CC"/>
    <w:rsid w:val="78BC3B78"/>
    <w:rsid w:val="78BC4093"/>
    <w:rsid w:val="78C645BA"/>
    <w:rsid w:val="78CB23D0"/>
    <w:rsid w:val="78CD2AA6"/>
    <w:rsid w:val="78CF133C"/>
    <w:rsid w:val="78CF65C6"/>
    <w:rsid w:val="78D10508"/>
    <w:rsid w:val="78DD58A2"/>
    <w:rsid w:val="78DE6CB8"/>
    <w:rsid w:val="78E044E3"/>
    <w:rsid w:val="78E079A9"/>
    <w:rsid w:val="78E40F9D"/>
    <w:rsid w:val="78E42F40"/>
    <w:rsid w:val="78E44605"/>
    <w:rsid w:val="78E75198"/>
    <w:rsid w:val="78EE2C07"/>
    <w:rsid w:val="78EF0A82"/>
    <w:rsid w:val="78F35CFF"/>
    <w:rsid w:val="78F647C2"/>
    <w:rsid w:val="78F95E1B"/>
    <w:rsid w:val="790276D7"/>
    <w:rsid w:val="79040A96"/>
    <w:rsid w:val="7908404B"/>
    <w:rsid w:val="790C7E49"/>
    <w:rsid w:val="79173E34"/>
    <w:rsid w:val="79174294"/>
    <w:rsid w:val="791A0145"/>
    <w:rsid w:val="791E7FFE"/>
    <w:rsid w:val="79222611"/>
    <w:rsid w:val="7924372B"/>
    <w:rsid w:val="792867F0"/>
    <w:rsid w:val="792B4828"/>
    <w:rsid w:val="792E53C8"/>
    <w:rsid w:val="79306B09"/>
    <w:rsid w:val="79313D25"/>
    <w:rsid w:val="7933487A"/>
    <w:rsid w:val="793452EB"/>
    <w:rsid w:val="79376126"/>
    <w:rsid w:val="79393D00"/>
    <w:rsid w:val="794940A8"/>
    <w:rsid w:val="79497224"/>
    <w:rsid w:val="794E37C9"/>
    <w:rsid w:val="794E3E04"/>
    <w:rsid w:val="794F6637"/>
    <w:rsid w:val="7950018C"/>
    <w:rsid w:val="7951058E"/>
    <w:rsid w:val="7956593C"/>
    <w:rsid w:val="795875BC"/>
    <w:rsid w:val="7959655E"/>
    <w:rsid w:val="795B1465"/>
    <w:rsid w:val="795F7726"/>
    <w:rsid w:val="79612F61"/>
    <w:rsid w:val="796410B7"/>
    <w:rsid w:val="796E2607"/>
    <w:rsid w:val="79732EBC"/>
    <w:rsid w:val="797C0917"/>
    <w:rsid w:val="797D05D4"/>
    <w:rsid w:val="797F5554"/>
    <w:rsid w:val="79850083"/>
    <w:rsid w:val="79871188"/>
    <w:rsid w:val="798C52CF"/>
    <w:rsid w:val="7992074C"/>
    <w:rsid w:val="799D5D70"/>
    <w:rsid w:val="799E1438"/>
    <w:rsid w:val="79A0111D"/>
    <w:rsid w:val="79A52EAE"/>
    <w:rsid w:val="79A70672"/>
    <w:rsid w:val="79AA434A"/>
    <w:rsid w:val="79AE44F6"/>
    <w:rsid w:val="79B0053F"/>
    <w:rsid w:val="79B01766"/>
    <w:rsid w:val="79BB1073"/>
    <w:rsid w:val="79BF4539"/>
    <w:rsid w:val="79C31CBA"/>
    <w:rsid w:val="79CD47DF"/>
    <w:rsid w:val="79D0629D"/>
    <w:rsid w:val="79D40128"/>
    <w:rsid w:val="79D528A5"/>
    <w:rsid w:val="79D840AC"/>
    <w:rsid w:val="79D971BD"/>
    <w:rsid w:val="79DE6532"/>
    <w:rsid w:val="79E36C3A"/>
    <w:rsid w:val="79E53ADA"/>
    <w:rsid w:val="79E67672"/>
    <w:rsid w:val="79E80322"/>
    <w:rsid w:val="79EF2E64"/>
    <w:rsid w:val="79F3642F"/>
    <w:rsid w:val="79FB3AA4"/>
    <w:rsid w:val="79FC0095"/>
    <w:rsid w:val="79FD2C2C"/>
    <w:rsid w:val="7A022823"/>
    <w:rsid w:val="7A027BB7"/>
    <w:rsid w:val="7A050A61"/>
    <w:rsid w:val="7A074534"/>
    <w:rsid w:val="7A096696"/>
    <w:rsid w:val="7A0C0499"/>
    <w:rsid w:val="7A0C0DE0"/>
    <w:rsid w:val="7A0C200A"/>
    <w:rsid w:val="7A0C3E33"/>
    <w:rsid w:val="7A1317FB"/>
    <w:rsid w:val="7A19682C"/>
    <w:rsid w:val="7A1B61F3"/>
    <w:rsid w:val="7A200161"/>
    <w:rsid w:val="7A21113F"/>
    <w:rsid w:val="7A213406"/>
    <w:rsid w:val="7A2675DF"/>
    <w:rsid w:val="7A296394"/>
    <w:rsid w:val="7A2A3E2D"/>
    <w:rsid w:val="7A2C45FD"/>
    <w:rsid w:val="7A2D07FD"/>
    <w:rsid w:val="7A2F0ECB"/>
    <w:rsid w:val="7A346654"/>
    <w:rsid w:val="7A3951D3"/>
    <w:rsid w:val="7A395E1D"/>
    <w:rsid w:val="7A3C0051"/>
    <w:rsid w:val="7A453268"/>
    <w:rsid w:val="7A486F99"/>
    <w:rsid w:val="7A4D3E3C"/>
    <w:rsid w:val="7A4F6072"/>
    <w:rsid w:val="7A4F78E1"/>
    <w:rsid w:val="7A5C1B12"/>
    <w:rsid w:val="7A604E8D"/>
    <w:rsid w:val="7A615624"/>
    <w:rsid w:val="7A670209"/>
    <w:rsid w:val="7A685FCD"/>
    <w:rsid w:val="7A6E2D6A"/>
    <w:rsid w:val="7A711BDD"/>
    <w:rsid w:val="7A721F7A"/>
    <w:rsid w:val="7A752196"/>
    <w:rsid w:val="7A802450"/>
    <w:rsid w:val="7A860683"/>
    <w:rsid w:val="7A867C9D"/>
    <w:rsid w:val="7A8F3CB8"/>
    <w:rsid w:val="7A912B54"/>
    <w:rsid w:val="7A9246DE"/>
    <w:rsid w:val="7A95371B"/>
    <w:rsid w:val="7A984841"/>
    <w:rsid w:val="7A9C05FF"/>
    <w:rsid w:val="7AA60DF2"/>
    <w:rsid w:val="7AA61673"/>
    <w:rsid w:val="7AA96B50"/>
    <w:rsid w:val="7AAE7BBD"/>
    <w:rsid w:val="7AAF7E3C"/>
    <w:rsid w:val="7AB36F5E"/>
    <w:rsid w:val="7ABD7B1E"/>
    <w:rsid w:val="7AC0155D"/>
    <w:rsid w:val="7AC71D38"/>
    <w:rsid w:val="7ACD490D"/>
    <w:rsid w:val="7ACF32B3"/>
    <w:rsid w:val="7ACF4FC7"/>
    <w:rsid w:val="7AD9320F"/>
    <w:rsid w:val="7AE014E8"/>
    <w:rsid w:val="7AE325D6"/>
    <w:rsid w:val="7AE35956"/>
    <w:rsid w:val="7AE56E96"/>
    <w:rsid w:val="7AE81AD9"/>
    <w:rsid w:val="7AEF3C15"/>
    <w:rsid w:val="7AF23CC8"/>
    <w:rsid w:val="7AF30918"/>
    <w:rsid w:val="7AF37FB3"/>
    <w:rsid w:val="7AF63A0D"/>
    <w:rsid w:val="7AFB37ED"/>
    <w:rsid w:val="7AFF477E"/>
    <w:rsid w:val="7B092995"/>
    <w:rsid w:val="7B182FCF"/>
    <w:rsid w:val="7B185664"/>
    <w:rsid w:val="7B1B45F5"/>
    <w:rsid w:val="7B1B4C17"/>
    <w:rsid w:val="7B200809"/>
    <w:rsid w:val="7B251D5E"/>
    <w:rsid w:val="7B256DDF"/>
    <w:rsid w:val="7B2660A8"/>
    <w:rsid w:val="7B2B1A05"/>
    <w:rsid w:val="7B2C07EB"/>
    <w:rsid w:val="7B2C3522"/>
    <w:rsid w:val="7B345490"/>
    <w:rsid w:val="7B3B142B"/>
    <w:rsid w:val="7B411196"/>
    <w:rsid w:val="7B414013"/>
    <w:rsid w:val="7B472D44"/>
    <w:rsid w:val="7B51696C"/>
    <w:rsid w:val="7B543440"/>
    <w:rsid w:val="7B5573A2"/>
    <w:rsid w:val="7B561BC2"/>
    <w:rsid w:val="7B565550"/>
    <w:rsid w:val="7B577705"/>
    <w:rsid w:val="7B5D174C"/>
    <w:rsid w:val="7B5D7AE1"/>
    <w:rsid w:val="7B600C5F"/>
    <w:rsid w:val="7B6018A2"/>
    <w:rsid w:val="7B633641"/>
    <w:rsid w:val="7B66686D"/>
    <w:rsid w:val="7B6726B6"/>
    <w:rsid w:val="7B673088"/>
    <w:rsid w:val="7B681B49"/>
    <w:rsid w:val="7B6C4027"/>
    <w:rsid w:val="7B6F7A45"/>
    <w:rsid w:val="7B707F5B"/>
    <w:rsid w:val="7B747CBE"/>
    <w:rsid w:val="7B77686D"/>
    <w:rsid w:val="7B8115ED"/>
    <w:rsid w:val="7B8165B5"/>
    <w:rsid w:val="7B83180A"/>
    <w:rsid w:val="7B8B3801"/>
    <w:rsid w:val="7B9209D4"/>
    <w:rsid w:val="7B9333AA"/>
    <w:rsid w:val="7B954398"/>
    <w:rsid w:val="7B97175E"/>
    <w:rsid w:val="7B9E1F3D"/>
    <w:rsid w:val="7BA20724"/>
    <w:rsid w:val="7BA52C97"/>
    <w:rsid w:val="7BAB48E3"/>
    <w:rsid w:val="7BAC47EF"/>
    <w:rsid w:val="7BAE30AA"/>
    <w:rsid w:val="7BB56246"/>
    <w:rsid w:val="7BBE2151"/>
    <w:rsid w:val="7BC13CD3"/>
    <w:rsid w:val="7BC24B21"/>
    <w:rsid w:val="7BC501CD"/>
    <w:rsid w:val="7BCC73E6"/>
    <w:rsid w:val="7BCF732F"/>
    <w:rsid w:val="7BD703C3"/>
    <w:rsid w:val="7BD85920"/>
    <w:rsid w:val="7BDA3E35"/>
    <w:rsid w:val="7BDA4EDD"/>
    <w:rsid w:val="7BDC58CD"/>
    <w:rsid w:val="7BDD5515"/>
    <w:rsid w:val="7BDD7B1D"/>
    <w:rsid w:val="7BE159EA"/>
    <w:rsid w:val="7BE46975"/>
    <w:rsid w:val="7BE81962"/>
    <w:rsid w:val="7BEB7AB8"/>
    <w:rsid w:val="7BEC3DE0"/>
    <w:rsid w:val="7BEF2F2F"/>
    <w:rsid w:val="7BF159E3"/>
    <w:rsid w:val="7BF27C14"/>
    <w:rsid w:val="7BF34B9D"/>
    <w:rsid w:val="7BF50252"/>
    <w:rsid w:val="7BF55CED"/>
    <w:rsid w:val="7BFA059B"/>
    <w:rsid w:val="7BFB3744"/>
    <w:rsid w:val="7BFC1E65"/>
    <w:rsid w:val="7C050785"/>
    <w:rsid w:val="7C142769"/>
    <w:rsid w:val="7C153D59"/>
    <w:rsid w:val="7C171845"/>
    <w:rsid w:val="7C1B4545"/>
    <w:rsid w:val="7C1E59E5"/>
    <w:rsid w:val="7C210FF5"/>
    <w:rsid w:val="7C267B04"/>
    <w:rsid w:val="7C291676"/>
    <w:rsid w:val="7C2950F5"/>
    <w:rsid w:val="7C2A6CD4"/>
    <w:rsid w:val="7C2D2E72"/>
    <w:rsid w:val="7C300D66"/>
    <w:rsid w:val="7C32209B"/>
    <w:rsid w:val="7C356138"/>
    <w:rsid w:val="7C374AF8"/>
    <w:rsid w:val="7C387BE9"/>
    <w:rsid w:val="7C3D2071"/>
    <w:rsid w:val="7C3E5E53"/>
    <w:rsid w:val="7C413F62"/>
    <w:rsid w:val="7C493E7E"/>
    <w:rsid w:val="7C4B6D42"/>
    <w:rsid w:val="7C5814C3"/>
    <w:rsid w:val="7C5C3AB2"/>
    <w:rsid w:val="7C5D31DF"/>
    <w:rsid w:val="7C5F3C06"/>
    <w:rsid w:val="7C6007C4"/>
    <w:rsid w:val="7C632B35"/>
    <w:rsid w:val="7C646661"/>
    <w:rsid w:val="7C6E6ED6"/>
    <w:rsid w:val="7C6F7C26"/>
    <w:rsid w:val="7C734128"/>
    <w:rsid w:val="7C734B01"/>
    <w:rsid w:val="7C751082"/>
    <w:rsid w:val="7C76043B"/>
    <w:rsid w:val="7C7B4686"/>
    <w:rsid w:val="7C7D0AA9"/>
    <w:rsid w:val="7C892FBF"/>
    <w:rsid w:val="7C8D717B"/>
    <w:rsid w:val="7C9948C9"/>
    <w:rsid w:val="7C9A0E6C"/>
    <w:rsid w:val="7C9B46EA"/>
    <w:rsid w:val="7C9E2418"/>
    <w:rsid w:val="7CA24CEA"/>
    <w:rsid w:val="7CA31646"/>
    <w:rsid w:val="7CAD2AA8"/>
    <w:rsid w:val="7CB11C3D"/>
    <w:rsid w:val="7CB2699D"/>
    <w:rsid w:val="7CB453F5"/>
    <w:rsid w:val="7CB87038"/>
    <w:rsid w:val="7CB92466"/>
    <w:rsid w:val="7CBC7964"/>
    <w:rsid w:val="7CC043D1"/>
    <w:rsid w:val="7CC0500D"/>
    <w:rsid w:val="7CC4616C"/>
    <w:rsid w:val="7CCE7013"/>
    <w:rsid w:val="7CCF4C20"/>
    <w:rsid w:val="7CD70682"/>
    <w:rsid w:val="7CDD3DB6"/>
    <w:rsid w:val="7CE6444B"/>
    <w:rsid w:val="7CE75E18"/>
    <w:rsid w:val="7CEB1F9A"/>
    <w:rsid w:val="7CEB449C"/>
    <w:rsid w:val="7CF73AFE"/>
    <w:rsid w:val="7CFB6359"/>
    <w:rsid w:val="7D0843BE"/>
    <w:rsid w:val="7D0861B4"/>
    <w:rsid w:val="7D0A00B3"/>
    <w:rsid w:val="7D0C5BE7"/>
    <w:rsid w:val="7D0D4982"/>
    <w:rsid w:val="7D0E3B14"/>
    <w:rsid w:val="7D0E3C7F"/>
    <w:rsid w:val="7D10299D"/>
    <w:rsid w:val="7D113145"/>
    <w:rsid w:val="7D172E9B"/>
    <w:rsid w:val="7D1A3B5A"/>
    <w:rsid w:val="7D1F12D6"/>
    <w:rsid w:val="7D1F1737"/>
    <w:rsid w:val="7D234D47"/>
    <w:rsid w:val="7D2645AA"/>
    <w:rsid w:val="7D2667FC"/>
    <w:rsid w:val="7D28238E"/>
    <w:rsid w:val="7D2E1BDC"/>
    <w:rsid w:val="7D2F20AE"/>
    <w:rsid w:val="7D2F7723"/>
    <w:rsid w:val="7D411E3A"/>
    <w:rsid w:val="7D4C208C"/>
    <w:rsid w:val="7D56745F"/>
    <w:rsid w:val="7D5E34FA"/>
    <w:rsid w:val="7D6074DC"/>
    <w:rsid w:val="7D611D89"/>
    <w:rsid w:val="7D637899"/>
    <w:rsid w:val="7D667318"/>
    <w:rsid w:val="7D6A7C65"/>
    <w:rsid w:val="7D6D1D3B"/>
    <w:rsid w:val="7D6F43D3"/>
    <w:rsid w:val="7D6F653F"/>
    <w:rsid w:val="7D7168A8"/>
    <w:rsid w:val="7D77008D"/>
    <w:rsid w:val="7D7A262A"/>
    <w:rsid w:val="7D7B02FC"/>
    <w:rsid w:val="7D8109C3"/>
    <w:rsid w:val="7D826DFA"/>
    <w:rsid w:val="7D8455F2"/>
    <w:rsid w:val="7D854EA5"/>
    <w:rsid w:val="7D8857A8"/>
    <w:rsid w:val="7D8C1AA9"/>
    <w:rsid w:val="7D8C7512"/>
    <w:rsid w:val="7D942794"/>
    <w:rsid w:val="7D947959"/>
    <w:rsid w:val="7D97314F"/>
    <w:rsid w:val="7D9B662B"/>
    <w:rsid w:val="7D9E1144"/>
    <w:rsid w:val="7DA0773D"/>
    <w:rsid w:val="7DA12833"/>
    <w:rsid w:val="7DA22336"/>
    <w:rsid w:val="7DA3375D"/>
    <w:rsid w:val="7DA67A80"/>
    <w:rsid w:val="7DAD739F"/>
    <w:rsid w:val="7DB05381"/>
    <w:rsid w:val="7DB12689"/>
    <w:rsid w:val="7DB23C36"/>
    <w:rsid w:val="7DB3106F"/>
    <w:rsid w:val="7DB64DD9"/>
    <w:rsid w:val="7DC919DC"/>
    <w:rsid w:val="7DC92406"/>
    <w:rsid w:val="7DC94D99"/>
    <w:rsid w:val="7DD20E15"/>
    <w:rsid w:val="7DD33925"/>
    <w:rsid w:val="7DD35F75"/>
    <w:rsid w:val="7DD55531"/>
    <w:rsid w:val="7DD72BF5"/>
    <w:rsid w:val="7DD862D6"/>
    <w:rsid w:val="7DDA244B"/>
    <w:rsid w:val="7DE35507"/>
    <w:rsid w:val="7DE84DBF"/>
    <w:rsid w:val="7DED27D7"/>
    <w:rsid w:val="7DED4D65"/>
    <w:rsid w:val="7DF10341"/>
    <w:rsid w:val="7DF6754A"/>
    <w:rsid w:val="7DF714FE"/>
    <w:rsid w:val="7DF76FAB"/>
    <w:rsid w:val="7DFF2A4D"/>
    <w:rsid w:val="7E012BCB"/>
    <w:rsid w:val="7E047210"/>
    <w:rsid w:val="7E0656D1"/>
    <w:rsid w:val="7E0D2E06"/>
    <w:rsid w:val="7E0D732A"/>
    <w:rsid w:val="7E0F25B4"/>
    <w:rsid w:val="7E0F2BEE"/>
    <w:rsid w:val="7E0F7383"/>
    <w:rsid w:val="7E162F12"/>
    <w:rsid w:val="7E170211"/>
    <w:rsid w:val="7E1A37A0"/>
    <w:rsid w:val="7E243A12"/>
    <w:rsid w:val="7E254484"/>
    <w:rsid w:val="7E2A7D6A"/>
    <w:rsid w:val="7E2B764B"/>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603056"/>
    <w:rsid w:val="7E631C04"/>
    <w:rsid w:val="7E68058B"/>
    <w:rsid w:val="7E6F1D2E"/>
    <w:rsid w:val="7E751149"/>
    <w:rsid w:val="7E7C17AC"/>
    <w:rsid w:val="7E7E1B20"/>
    <w:rsid w:val="7E7F1921"/>
    <w:rsid w:val="7E7F275C"/>
    <w:rsid w:val="7E7F2C81"/>
    <w:rsid w:val="7E7F5672"/>
    <w:rsid w:val="7E7F792D"/>
    <w:rsid w:val="7E8356F4"/>
    <w:rsid w:val="7E89173D"/>
    <w:rsid w:val="7E8E7BCD"/>
    <w:rsid w:val="7E936979"/>
    <w:rsid w:val="7E94213A"/>
    <w:rsid w:val="7E966B5D"/>
    <w:rsid w:val="7EA06C80"/>
    <w:rsid w:val="7EA1645A"/>
    <w:rsid w:val="7EA80CC7"/>
    <w:rsid w:val="7EAA5923"/>
    <w:rsid w:val="7EAD335B"/>
    <w:rsid w:val="7EAE48B0"/>
    <w:rsid w:val="7EB0669D"/>
    <w:rsid w:val="7EB14319"/>
    <w:rsid w:val="7EB53114"/>
    <w:rsid w:val="7EB73E95"/>
    <w:rsid w:val="7EB856E7"/>
    <w:rsid w:val="7EBC4A1F"/>
    <w:rsid w:val="7EBC70E6"/>
    <w:rsid w:val="7EBD45F5"/>
    <w:rsid w:val="7EC31832"/>
    <w:rsid w:val="7EC95F6F"/>
    <w:rsid w:val="7EDE1578"/>
    <w:rsid w:val="7EE51B4B"/>
    <w:rsid w:val="7EE60A88"/>
    <w:rsid w:val="7EEC2838"/>
    <w:rsid w:val="7EED4A22"/>
    <w:rsid w:val="7EF02D00"/>
    <w:rsid w:val="7EF55F7E"/>
    <w:rsid w:val="7EF64F47"/>
    <w:rsid w:val="7EF72560"/>
    <w:rsid w:val="7EF8767E"/>
    <w:rsid w:val="7EF96C4D"/>
    <w:rsid w:val="7EFC39C0"/>
    <w:rsid w:val="7EFE5788"/>
    <w:rsid w:val="7F016582"/>
    <w:rsid w:val="7F023BBC"/>
    <w:rsid w:val="7F086613"/>
    <w:rsid w:val="7F0A156B"/>
    <w:rsid w:val="7F127358"/>
    <w:rsid w:val="7F1E626D"/>
    <w:rsid w:val="7F1E703D"/>
    <w:rsid w:val="7F1F01F7"/>
    <w:rsid w:val="7F201B66"/>
    <w:rsid w:val="7F23019E"/>
    <w:rsid w:val="7F2313DA"/>
    <w:rsid w:val="7F237701"/>
    <w:rsid w:val="7F241BB2"/>
    <w:rsid w:val="7F2D16BC"/>
    <w:rsid w:val="7F2F21D9"/>
    <w:rsid w:val="7F317AD7"/>
    <w:rsid w:val="7F340318"/>
    <w:rsid w:val="7F3A34A7"/>
    <w:rsid w:val="7F3A5ABD"/>
    <w:rsid w:val="7F3E0247"/>
    <w:rsid w:val="7F3E3325"/>
    <w:rsid w:val="7F3E4202"/>
    <w:rsid w:val="7F42746A"/>
    <w:rsid w:val="7F431343"/>
    <w:rsid w:val="7F48108A"/>
    <w:rsid w:val="7F484AB3"/>
    <w:rsid w:val="7F4A6626"/>
    <w:rsid w:val="7F5333A6"/>
    <w:rsid w:val="7F551DE9"/>
    <w:rsid w:val="7F5636E8"/>
    <w:rsid w:val="7F566C11"/>
    <w:rsid w:val="7F58303C"/>
    <w:rsid w:val="7F593803"/>
    <w:rsid w:val="7F5961E6"/>
    <w:rsid w:val="7F5A3BC2"/>
    <w:rsid w:val="7F615561"/>
    <w:rsid w:val="7F6622EF"/>
    <w:rsid w:val="7F6D4D25"/>
    <w:rsid w:val="7F6D6F90"/>
    <w:rsid w:val="7F6E0DC1"/>
    <w:rsid w:val="7F6F02C8"/>
    <w:rsid w:val="7F7145BC"/>
    <w:rsid w:val="7F735F63"/>
    <w:rsid w:val="7F7440CE"/>
    <w:rsid w:val="7F7E2821"/>
    <w:rsid w:val="7F8359B3"/>
    <w:rsid w:val="7F85187F"/>
    <w:rsid w:val="7F8C57E7"/>
    <w:rsid w:val="7F912385"/>
    <w:rsid w:val="7F980752"/>
    <w:rsid w:val="7F983D64"/>
    <w:rsid w:val="7F9F6650"/>
    <w:rsid w:val="7FA10378"/>
    <w:rsid w:val="7FA2743A"/>
    <w:rsid w:val="7FA52767"/>
    <w:rsid w:val="7FA66D11"/>
    <w:rsid w:val="7FAC3D86"/>
    <w:rsid w:val="7FB31D8F"/>
    <w:rsid w:val="7FB72394"/>
    <w:rsid w:val="7FB86496"/>
    <w:rsid w:val="7FB9042E"/>
    <w:rsid w:val="7FBB354B"/>
    <w:rsid w:val="7FBB3A71"/>
    <w:rsid w:val="7FC123FF"/>
    <w:rsid w:val="7FC30633"/>
    <w:rsid w:val="7FCD1F27"/>
    <w:rsid w:val="7FD30686"/>
    <w:rsid w:val="7FD44C2B"/>
    <w:rsid w:val="7FD949BD"/>
    <w:rsid w:val="7FF129BB"/>
    <w:rsid w:val="7FF2723A"/>
    <w:rsid w:val="7FF369C0"/>
    <w:rsid w:val="7FF50E5E"/>
    <w:rsid w:val="7FF91C50"/>
    <w:rsid w:val="7FF947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5"/>
    <w:autoRedefine/>
    <w:qFormat/>
    <w:locked/>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2"/>
    <w:basedOn w:val="1"/>
    <w:next w:val="1"/>
    <w:link w:val="81"/>
    <w:autoRedefine/>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4">
    <w:name w:val="heading 3"/>
    <w:basedOn w:val="1"/>
    <w:next w:val="1"/>
    <w:link w:val="48"/>
    <w:autoRedefine/>
    <w:qFormat/>
    <w:uiPriority w:val="99"/>
    <w:pPr>
      <w:keepNext/>
      <w:keepLines/>
      <w:spacing w:line="416" w:lineRule="auto"/>
      <w:outlineLvl w:val="2"/>
    </w:pPr>
    <w:rPr>
      <w:b/>
      <w:bCs/>
      <w:sz w:val="32"/>
      <w:szCs w:val="32"/>
    </w:rPr>
  </w:style>
  <w:style w:type="paragraph" w:styleId="5">
    <w:name w:val="heading 6"/>
    <w:basedOn w:val="1"/>
    <w:next w:val="1"/>
    <w:link w:val="82"/>
    <w:autoRedefine/>
    <w:qFormat/>
    <w:locked/>
    <w:uiPriority w:val="99"/>
    <w:pPr>
      <w:keepNext/>
      <w:keepLines/>
      <w:spacing w:line="320" w:lineRule="auto"/>
      <w:outlineLvl w:val="5"/>
    </w:pPr>
    <w:rPr>
      <w:rFonts w:ascii="Arial" w:hAnsi="Arial" w:eastAsia="黑体"/>
      <w:b/>
      <w:bCs/>
      <w:sz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99"/>
    <w:pPr>
      <w:ind w:left="420" w:leftChars="200"/>
    </w:pPr>
    <w:rPr>
      <w:rFonts w:ascii="Times New Roman" w:hAnsi="Times New Roman" w:cs="Times New Roman"/>
      <w:sz w:val="24"/>
      <w:szCs w:val="22"/>
    </w:rPr>
  </w:style>
  <w:style w:type="paragraph" w:styleId="7">
    <w:name w:val="Normal Indent"/>
    <w:basedOn w:val="1"/>
    <w:next w:val="1"/>
    <w:autoRedefine/>
    <w:qFormat/>
    <w:uiPriority w:val="99"/>
    <w:pPr>
      <w:spacing w:line="440" w:lineRule="exact"/>
      <w:ind w:firstLine="420" w:firstLineChars="200"/>
    </w:pPr>
    <w:rPr>
      <w:sz w:val="24"/>
      <w:szCs w:val="24"/>
    </w:rPr>
  </w:style>
  <w:style w:type="paragraph" w:styleId="8">
    <w:name w:val="caption"/>
    <w:basedOn w:val="1"/>
    <w:next w:val="1"/>
    <w:autoRedefine/>
    <w:unhideWhenUsed/>
    <w:qFormat/>
    <w:locked/>
    <w:uiPriority w:val="0"/>
    <w:pPr>
      <w:spacing w:before="152" w:after="160"/>
    </w:pPr>
    <w:rPr>
      <w:rFonts w:ascii="Arial" w:hAnsi="Arial" w:eastAsia="黑体" w:cs="Arial"/>
      <w:sz w:val="20"/>
      <w:szCs w:val="20"/>
    </w:rPr>
  </w:style>
  <w:style w:type="paragraph" w:styleId="9">
    <w:name w:val="annotation text"/>
    <w:basedOn w:val="1"/>
    <w:link w:val="69"/>
    <w:autoRedefine/>
    <w:semiHidden/>
    <w:qFormat/>
    <w:uiPriority w:val="99"/>
    <w:pPr>
      <w:jc w:val="left"/>
    </w:pPr>
  </w:style>
  <w:style w:type="paragraph" w:styleId="10">
    <w:name w:val="Body Text 3"/>
    <w:basedOn w:val="1"/>
    <w:autoRedefine/>
    <w:unhideWhenUsed/>
    <w:qFormat/>
    <w:uiPriority w:val="99"/>
    <w:pPr>
      <w:spacing w:after="120"/>
    </w:pPr>
    <w:rPr>
      <w:sz w:val="16"/>
      <w:szCs w:val="16"/>
    </w:rPr>
  </w:style>
  <w:style w:type="paragraph" w:styleId="11">
    <w:name w:val="Body Text"/>
    <w:basedOn w:val="1"/>
    <w:next w:val="12"/>
    <w:link w:val="80"/>
    <w:autoRedefine/>
    <w:qFormat/>
    <w:uiPriority w:val="0"/>
  </w:style>
  <w:style w:type="paragraph" w:styleId="12">
    <w:name w:val="Body Text First Indent"/>
    <w:basedOn w:val="11"/>
    <w:next w:val="1"/>
    <w:link w:val="79"/>
    <w:autoRedefine/>
    <w:unhideWhenUsed/>
    <w:qFormat/>
    <w:uiPriority w:val="99"/>
    <w:pPr>
      <w:ind w:firstLine="420" w:firstLineChars="100"/>
    </w:pPr>
  </w:style>
  <w:style w:type="paragraph" w:styleId="13">
    <w:name w:val="Body Text Indent"/>
    <w:basedOn w:val="1"/>
    <w:next w:val="1"/>
    <w:link w:val="49"/>
    <w:autoRedefine/>
    <w:qFormat/>
    <w:uiPriority w:val="99"/>
    <w:pPr>
      <w:ind w:left="420" w:leftChars="200"/>
    </w:pPr>
  </w:style>
  <w:style w:type="paragraph" w:styleId="14">
    <w:name w:val="List 2"/>
    <w:basedOn w:val="1"/>
    <w:autoRedefine/>
    <w:qFormat/>
    <w:uiPriority w:val="0"/>
    <w:pPr>
      <w:adjustRightInd/>
      <w:spacing w:line="360" w:lineRule="auto"/>
      <w:ind w:left="100" w:leftChars="200" w:hanging="200" w:hangingChars="200"/>
    </w:pPr>
    <w:rPr>
      <w:rFonts w:eastAsia="微软雅黑"/>
    </w:rPr>
  </w:style>
  <w:style w:type="paragraph" w:styleId="15">
    <w:name w:val="Block Text"/>
    <w:basedOn w:val="1"/>
    <w:autoRedefine/>
    <w:unhideWhenUsed/>
    <w:qFormat/>
    <w:uiPriority w:val="0"/>
    <w:pPr>
      <w:spacing w:beforeLines="0" w:afterLines="0"/>
      <w:ind w:left="1200" w:right="-72" w:hanging="30"/>
    </w:pPr>
    <w:rPr>
      <w:rFonts w:hint="default" w:ascii="Arial" w:hAnsi="Arial" w:eastAsia="幼圆" w:cs="Arial"/>
      <w:sz w:val="22"/>
      <w:szCs w:val="20"/>
    </w:rPr>
  </w:style>
  <w:style w:type="paragraph" w:styleId="16">
    <w:name w:val="toc 3"/>
    <w:basedOn w:val="1"/>
    <w:next w:val="1"/>
    <w:autoRedefine/>
    <w:unhideWhenUsed/>
    <w:qFormat/>
    <w:uiPriority w:val="39"/>
    <w:pPr>
      <w:ind w:left="840" w:leftChars="400"/>
    </w:pPr>
    <w:rPr>
      <w:rFonts w:ascii="Times New Roman" w:hAnsi="Times New Roman" w:cs="Times New Roman"/>
      <w:szCs w:val="24"/>
    </w:rPr>
  </w:style>
  <w:style w:type="paragraph" w:styleId="17">
    <w:name w:val="Plain Text"/>
    <w:basedOn w:val="1"/>
    <w:next w:val="7"/>
    <w:link w:val="50"/>
    <w:autoRedefine/>
    <w:qFormat/>
    <w:uiPriority w:val="99"/>
    <w:rPr>
      <w:rFonts w:ascii="宋体" w:hAnsi="Courier New" w:cs="宋体"/>
    </w:rPr>
  </w:style>
  <w:style w:type="paragraph" w:styleId="18">
    <w:name w:val="Date"/>
    <w:basedOn w:val="1"/>
    <w:next w:val="1"/>
    <w:link w:val="84"/>
    <w:autoRedefine/>
    <w:unhideWhenUsed/>
    <w:qFormat/>
    <w:uiPriority w:val="99"/>
    <w:pPr>
      <w:ind w:left="2500" w:leftChars="2500"/>
    </w:pPr>
    <w:rPr>
      <w:rFonts w:eastAsia="楷体_GB2312"/>
      <w:sz w:val="32"/>
      <w:szCs w:val="20"/>
    </w:rPr>
  </w:style>
  <w:style w:type="paragraph" w:styleId="19">
    <w:name w:val="Body Text Indent 2"/>
    <w:basedOn w:val="1"/>
    <w:link w:val="51"/>
    <w:autoRedefine/>
    <w:qFormat/>
    <w:uiPriority w:val="99"/>
    <w:pPr>
      <w:spacing w:line="480" w:lineRule="auto"/>
      <w:ind w:left="420" w:leftChars="200"/>
    </w:pPr>
  </w:style>
  <w:style w:type="paragraph" w:styleId="20">
    <w:name w:val="Balloon Text"/>
    <w:basedOn w:val="1"/>
    <w:link w:val="71"/>
    <w:autoRedefine/>
    <w:semiHidden/>
    <w:qFormat/>
    <w:uiPriority w:val="99"/>
    <w:rPr>
      <w:sz w:val="18"/>
      <w:szCs w:val="18"/>
    </w:rPr>
  </w:style>
  <w:style w:type="paragraph" w:styleId="21">
    <w:name w:val="footer"/>
    <w:basedOn w:val="1"/>
    <w:link w:val="52"/>
    <w:autoRedefine/>
    <w:qFormat/>
    <w:uiPriority w:val="99"/>
    <w:pPr>
      <w:tabs>
        <w:tab w:val="center" w:pos="4153"/>
        <w:tab w:val="right" w:pos="8306"/>
      </w:tabs>
      <w:snapToGrid w:val="0"/>
      <w:jc w:val="left"/>
    </w:pPr>
    <w:rPr>
      <w:sz w:val="18"/>
      <w:szCs w:val="18"/>
    </w:rPr>
  </w:style>
  <w:style w:type="paragraph" w:styleId="22">
    <w:name w:val="header"/>
    <w:basedOn w:val="1"/>
    <w:link w:val="5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3">
    <w:name w:val="toc 1"/>
    <w:basedOn w:val="1"/>
    <w:next w:val="1"/>
    <w:autoRedefine/>
    <w:semiHidden/>
    <w:qFormat/>
    <w:uiPriority w:val="99"/>
  </w:style>
  <w:style w:type="paragraph" w:styleId="24">
    <w:name w:val="toc 6"/>
    <w:basedOn w:val="1"/>
    <w:next w:val="1"/>
    <w:autoRedefine/>
    <w:qFormat/>
    <w:uiPriority w:val="39"/>
    <w:pPr>
      <w:ind w:left="2100" w:leftChars="1000"/>
    </w:pPr>
  </w:style>
  <w:style w:type="paragraph" w:styleId="25">
    <w:name w:val="Body Text Indent 3"/>
    <w:basedOn w:val="1"/>
    <w:autoRedefine/>
    <w:unhideWhenUsed/>
    <w:qFormat/>
    <w:uiPriority w:val="99"/>
    <w:pPr>
      <w:ind w:firstLine="435"/>
    </w:pPr>
  </w:style>
  <w:style w:type="paragraph" w:styleId="26">
    <w:name w:val="toc 2"/>
    <w:basedOn w:val="1"/>
    <w:next w:val="1"/>
    <w:autoRedefine/>
    <w:semiHidden/>
    <w:qFormat/>
    <w:uiPriority w:val="99"/>
    <w:pPr>
      <w:ind w:left="420" w:leftChars="200"/>
    </w:pPr>
  </w:style>
  <w:style w:type="paragraph" w:styleId="27">
    <w:name w:val="Normal (Web)"/>
    <w:basedOn w:val="1"/>
    <w:autoRedefine/>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8">
    <w:name w:val="index 1"/>
    <w:basedOn w:val="1"/>
    <w:next w:val="1"/>
    <w:autoRedefine/>
    <w:semiHidden/>
    <w:qFormat/>
    <w:uiPriority w:val="99"/>
  </w:style>
  <w:style w:type="paragraph" w:styleId="29">
    <w:name w:val="Title"/>
    <w:basedOn w:val="1"/>
    <w:next w:val="1"/>
    <w:autoRedefine/>
    <w:qFormat/>
    <w:locked/>
    <w:uiPriority w:val="10"/>
    <w:pPr>
      <w:jc w:val="center"/>
    </w:pPr>
    <w:rPr>
      <w:sz w:val="30"/>
    </w:rPr>
  </w:style>
  <w:style w:type="paragraph" w:styleId="30">
    <w:name w:val="annotation subject"/>
    <w:basedOn w:val="9"/>
    <w:next w:val="9"/>
    <w:link w:val="70"/>
    <w:autoRedefine/>
    <w:semiHidden/>
    <w:qFormat/>
    <w:uiPriority w:val="99"/>
    <w:rPr>
      <w:b/>
      <w:bCs/>
    </w:rPr>
  </w:style>
  <w:style w:type="paragraph" w:styleId="31">
    <w:name w:val="Body Text First Indent 2"/>
    <w:basedOn w:val="13"/>
    <w:next w:val="12"/>
    <w:autoRedefine/>
    <w:qFormat/>
    <w:uiPriority w:val="0"/>
    <w:pPr>
      <w:spacing w:after="120"/>
      <w:ind w:firstLine="420" w:firstLineChars="200"/>
    </w:pPr>
  </w:style>
  <w:style w:type="table" w:styleId="33">
    <w:name w:val="Table Grid"/>
    <w:basedOn w:val="3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locked/>
    <w:uiPriority w:val="0"/>
    <w:rPr>
      <w:bCs/>
    </w:rPr>
  </w:style>
  <w:style w:type="character" w:styleId="36">
    <w:name w:val="page number"/>
    <w:basedOn w:val="34"/>
    <w:autoRedefine/>
    <w:qFormat/>
    <w:uiPriority w:val="0"/>
  </w:style>
  <w:style w:type="character" w:styleId="37">
    <w:name w:val="FollowedHyperlink"/>
    <w:basedOn w:val="34"/>
    <w:autoRedefine/>
    <w:unhideWhenUsed/>
    <w:qFormat/>
    <w:uiPriority w:val="99"/>
    <w:rPr>
      <w:color w:val="800080"/>
      <w:u w:val="single"/>
    </w:rPr>
  </w:style>
  <w:style w:type="character" w:styleId="38">
    <w:name w:val="Hyperlink"/>
    <w:basedOn w:val="34"/>
    <w:autoRedefine/>
    <w:qFormat/>
    <w:uiPriority w:val="99"/>
    <w:rPr>
      <w:color w:val="auto"/>
      <w:u w:val="single"/>
    </w:rPr>
  </w:style>
  <w:style w:type="character" w:styleId="39">
    <w:name w:val="annotation reference"/>
    <w:basedOn w:val="34"/>
    <w:autoRedefine/>
    <w:semiHidden/>
    <w:qFormat/>
    <w:uiPriority w:val="99"/>
    <w:rPr>
      <w:sz w:val="21"/>
      <w:szCs w:val="21"/>
    </w:rPr>
  </w:style>
  <w:style w:type="paragraph" w:customStyle="1" w:styleId="4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1">
    <w:name w:val="正文文本首行缩进 2"/>
    <w:basedOn w:val="13"/>
    <w:autoRedefine/>
    <w:qFormat/>
    <w:uiPriority w:val="99"/>
    <w:pPr>
      <w:spacing w:line="200" w:lineRule="atLeast"/>
      <w:ind w:firstLine="420"/>
    </w:pPr>
    <w:rPr>
      <w:rFonts w:ascii="宋体" w:hAnsi="Courier New"/>
      <w:spacing w:val="-4"/>
      <w:sz w:val="18"/>
    </w:rPr>
  </w:style>
  <w:style w:type="paragraph" w:customStyle="1" w:styleId="42">
    <w:name w:val="章正文"/>
    <w:basedOn w:val="1"/>
    <w:autoRedefine/>
    <w:qFormat/>
    <w:uiPriority w:val="0"/>
    <w:pPr>
      <w:spacing w:beforeLines="50" w:after="120" w:line="300" w:lineRule="auto"/>
      <w:ind w:firstLine="480" w:firstLineChars="200"/>
    </w:pPr>
    <w:rPr>
      <w:rFonts w:ascii="Helvetica" w:hAnsi="Helvetica"/>
      <w:kern w:val="0"/>
      <w:sz w:val="24"/>
    </w:rPr>
  </w:style>
  <w:style w:type="paragraph" w:customStyle="1" w:styleId="43">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44">
    <w:name w:val="列出段落1"/>
    <w:basedOn w:val="1"/>
    <w:autoRedefine/>
    <w:qFormat/>
    <w:uiPriority w:val="0"/>
    <w:pPr>
      <w:ind w:firstLine="420" w:firstLineChars="200"/>
    </w:pPr>
    <w:rPr>
      <w:rFonts w:cs="Times New Roman"/>
      <w:szCs w:val="22"/>
    </w:rPr>
  </w:style>
  <w:style w:type="paragraph" w:customStyle="1" w:styleId="45">
    <w:name w:val="TOC 标题1"/>
    <w:basedOn w:val="2"/>
    <w:next w:val="1"/>
    <w:autoRedefine/>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6">
    <w:name w:val="Char"/>
    <w:basedOn w:val="1"/>
    <w:autoRedefine/>
    <w:qFormat/>
    <w:uiPriority w:val="0"/>
    <w:rPr>
      <w:rFonts w:ascii="仿宋_GB2312" w:eastAsia="仿宋_GB2312"/>
      <w:b/>
      <w:sz w:val="32"/>
      <w:szCs w:val="32"/>
    </w:rPr>
  </w:style>
  <w:style w:type="paragraph" w:customStyle="1" w:styleId="4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8">
    <w:name w:val="标题 3 Char"/>
    <w:basedOn w:val="34"/>
    <w:link w:val="4"/>
    <w:autoRedefine/>
    <w:semiHidden/>
    <w:qFormat/>
    <w:uiPriority w:val="9"/>
    <w:rPr>
      <w:rFonts w:ascii="Calibri" w:hAnsi="Calibri" w:cs="Calibri"/>
      <w:bCs/>
      <w:sz w:val="32"/>
      <w:szCs w:val="32"/>
    </w:rPr>
  </w:style>
  <w:style w:type="character" w:customStyle="1" w:styleId="49">
    <w:name w:val="正文文本缩进 Char"/>
    <w:basedOn w:val="34"/>
    <w:link w:val="13"/>
    <w:autoRedefine/>
    <w:semiHidden/>
    <w:qFormat/>
    <w:uiPriority w:val="99"/>
    <w:rPr>
      <w:rFonts w:ascii="Calibri" w:hAnsi="Calibri" w:cs="Calibri"/>
      <w:szCs w:val="21"/>
    </w:rPr>
  </w:style>
  <w:style w:type="character" w:customStyle="1" w:styleId="50">
    <w:name w:val="纯文本 Char"/>
    <w:basedOn w:val="34"/>
    <w:link w:val="17"/>
    <w:autoRedefine/>
    <w:semiHidden/>
    <w:qFormat/>
    <w:uiPriority w:val="99"/>
    <w:rPr>
      <w:rFonts w:ascii="宋体" w:hAnsi="Courier New" w:cs="Courier New"/>
      <w:szCs w:val="21"/>
    </w:rPr>
  </w:style>
  <w:style w:type="character" w:customStyle="1" w:styleId="51">
    <w:name w:val="正文文本缩进 2 Char"/>
    <w:basedOn w:val="34"/>
    <w:link w:val="19"/>
    <w:autoRedefine/>
    <w:semiHidden/>
    <w:qFormat/>
    <w:uiPriority w:val="99"/>
    <w:rPr>
      <w:rFonts w:ascii="Calibri" w:hAnsi="Calibri" w:cs="Calibri"/>
      <w:szCs w:val="21"/>
    </w:rPr>
  </w:style>
  <w:style w:type="character" w:customStyle="1" w:styleId="52">
    <w:name w:val="页脚 Char"/>
    <w:basedOn w:val="34"/>
    <w:link w:val="21"/>
    <w:autoRedefine/>
    <w:semiHidden/>
    <w:qFormat/>
    <w:uiPriority w:val="99"/>
    <w:rPr>
      <w:rFonts w:ascii="Calibri" w:hAnsi="Calibri" w:cs="Calibri"/>
      <w:sz w:val="18"/>
      <w:szCs w:val="18"/>
    </w:rPr>
  </w:style>
  <w:style w:type="character" w:customStyle="1" w:styleId="53">
    <w:name w:val="页眉 Char"/>
    <w:basedOn w:val="34"/>
    <w:link w:val="22"/>
    <w:autoRedefine/>
    <w:semiHidden/>
    <w:qFormat/>
    <w:uiPriority w:val="99"/>
    <w:rPr>
      <w:rFonts w:ascii="Calibri" w:hAnsi="Calibri" w:cs="Calibri"/>
      <w:sz w:val="18"/>
      <w:szCs w:val="18"/>
    </w:rPr>
  </w:style>
  <w:style w:type="paragraph" w:customStyle="1" w:styleId="54">
    <w:name w:val="正文文字"/>
    <w:basedOn w:val="1"/>
    <w:autoRedefine/>
    <w:qFormat/>
    <w:uiPriority w:val="99"/>
    <w:pPr>
      <w:spacing w:line="351" w:lineRule="atLeast"/>
      <w:ind w:firstLine="419"/>
    </w:pPr>
  </w:style>
  <w:style w:type="paragraph" w:customStyle="1" w:styleId="55">
    <w:name w:val="p0"/>
    <w:basedOn w:val="1"/>
    <w:autoRedefine/>
    <w:qFormat/>
    <w:uiPriority w:val="99"/>
    <w:pPr>
      <w:widowControl/>
    </w:pPr>
    <w:rPr>
      <w:kern w:val="0"/>
    </w:rPr>
  </w:style>
  <w:style w:type="paragraph" w:customStyle="1" w:styleId="56">
    <w:name w:val="p18"/>
    <w:basedOn w:val="1"/>
    <w:autoRedefine/>
    <w:qFormat/>
    <w:uiPriority w:val="99"/>
    <w:pPr>
      <w:widowControl/>
      <w:spacing w:line="748" w:lineRule="atLeast"/>
      <w:ind w:left="-527" w:firstLine="527"/>
    </w:pPr>
    <w:rPr>
      <w:rFonts w:ascii="宋体" w:hAnsi="宋体" w:cs="宋体"/>
      <w:kern w:val="0"/>
      <w:sz w:val="24"/>
      <w:szCs w:val="24"/>
    </w:rPr>
  </w:style>
  <w:style w:type="character" w:customStyle="1" w:styleId="57">
    <w:name w:val="font21"/>
    <w:basedOn w:val="34"/>
    <w:autoRedefine/>
    <w:qFormat/>
    <w:uiPriority w:val="99"/>
    <w:rPr>
      <w:rFonts w:ascii="宋体" w:hAnsi="宋体" w:eastAsia="宋体" w:cs="宋体"/>
      <w:color w:val="000000"/>
      <w:sz w:val="21"/>
      <w:szCs w:val="21"/>
      <w:u w:val="none"/>
    </w:rPr>
  </w:style>
  <w:style w:type="character" w:customStyle="1" w:styleId="58">
    <w:name w:val="font11"/>
    <w:basedOn w:val="34"/>
    <w:autoRedefine/>
    <w:qFormat/>
    <w:uiPriority w:val="99"/>
    <w:rPr>
      <w:rFonts w:ascii="宋体" w:hAnsi="宋体" w:eastAsia="宋体" w:cs="宋体"/>
      <w:color w:val="000000"/>
      <w:sz w:val="24"/>
      <w:szCs w:val="24"/>
      <w:u w:val="none"/>
    </w:rPr>
  </w:style>
  <w:style w:type="character" w:customStyle="1" w:styleId="59">
    <w:name w:val="font41"/>
    <w:basedOn w:val="34"/>
    <w:autoRedefine/>
    <w:qFormat/>
    <w:uiPriority w:val="99"/>
    <w:rPr>
      <w:rFonts w:ascii="宋体" w:hAnsi="宋体" w:eastAsia="宋体" w:cs="宋体"/>
      <w:color w:val="FF0000"/>
      <w:sz w:val="24"/>
      <w:szCs w:val="24"/>
      <w:u w:val="none"/>
    </w:rPr>
  </w:style>
  <w:style w:type="character" w:customStyle="1" w:styleId="60">
    <w:name w:val="font61"/>
    <w:autoRedefine/>
    <w:qFormat/>
    <w:uiPriority w:val="99"/>
    <w:rPr>
      <w:rFonts w:ascii="宋体" w:hAnsi="宋体" w:eastAsia="宋体" w:cs="宋体"/>
      <w:b/>
      <w:bCs/>
      <w:color w:val="000000"/>
      <w:sz w:val="21"/>
      <w:szCs w:val="21"/>
      <w:u w:val="none"/>
    </w:rPr>
  </w:style>
  <w:style w:type="character" w:customStyle="1" w:styleId="61">
    <w:name w:val="font81"/>
    <w:autoRedefine/>
    <w:qFormat/>
    <w:uiPriority w:val="99"/>
    <w:rPr>
      <w:rFonts w:ascii="宋体" w:hAnsi="宋体" w:eastAsia="宋体" w:cs="宋体"/>
      <w:color w:val="000000"/>
      <w:sz w:val="21"/>
      <w:szCs w:val="21"/>
      <w:u w:val="none"/>
    </w:rPr>
  </w:style>
  <w:style w:type="paragraph" w:customStyle="1" w:styleId="62">
    <w:name w:val="普通文字"/>
    <w:basedOn w:val="1"/>
    <w:autoRedefine/>
    <w:qFormat/>
    <w:uiPriority w:val="99"/>
    <w:pPr>
      <w:widowControl/>
      <w:spacing w:line="351" w:lineRule="atLeast"/>
      <w:ind w:firstLine="419"/>
      <w:textAlignment w:val="baseline"/>
    </w:pPr>
    <w:rPr>
      <w:rFonts w:ascii="宋体" w:cs="宋体"/>
      <w:color w:val="000000"/>
      <w:kern w:val="0"/>
      <w:u w:color="000000"/>
    </w:rPr>
  </w:style>
  <w:style w:type="paragraph" w:customStyle="1" w:styleId="63">
    <w:name w:val="_Style 1"/>
    <w:basedOn w:val="1"/>
    <w:autoRedefine/>
    <w:qFormat/>
    <w:uiPriority w:val="99"/>
    <w:pPr>
      <w:ind w:firstLine="420" w:firstLineChars="200"/>
    </w:pPr>
  </w:style>
  <w:style w:type="paragraph" w:customStyle="1" w:styleId="64">
    <w:name w:val="正文_3"/>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5">
    <w:name w:val="Proposals body"/>
    <w:basedOn w:val="1"/>
    <w:next w:val="1"/>
    <w:autoRedefine/>
    <w:qFormat/>
    <w:uiPriority w:val="99"/>
    <w:pPr>
      <w:widowControl/>
      <w:spacing w:line="360" w:lineRule="auto"/>
      <w:jc w:val="left"/>
    </w:pPr>
    <w:rPr>
      <w:rFonts w:ascii="宋体" w:eastAsia="仿宋_GB2312" w:cs="宋体"/>
      <w:color w:val="000000"/>
      <w:kern w:val="0"/>
      <w:sz w:val="24"/>
      <w:szCs w:val="24"/>
    </w:rPr>
  </w:style>
  <w:style w:type="paragraph" w:customStyle="1" w:styleId="66">
    <w:name w:val="正文_17"/>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正文段"/>
    <w:basedOn w:val="1"/>
    <w:autoRedefine/>
    <w:qFormat/>
    <w:uiPriority w:val="99"/>
    <w:pPr>
      <w:widowControl/>
      <w:snapToGrid w:val="0"/>
      <w:spacing w:afterLines="50"/>
      <w:ind w:firstLine="200" w:firstLineChars="200"/>
    </w:pPr>
    <w:rPr>
      <w:kern w:val="0"/>
      <w:sz w:val="24"/>
      <w:szCs w:val="24"/>
    </w:rPr>
  </w:style>
  <w:style w:type="paragraph" w:customStyle="1" w:styleId="68">
    <w:name w:val="_Style 2"/>
    <w:basedOn w:val="1"/>
    <w:autoRedefine/>
    <w:qFormat/>
    <w:uiPriority w:val="99"/>
    <w:pPr>
      <w:ind w:left="720"/>
    </w:pPr>
  </w:style>
  <w:style w:type="character" w:customStyle="1" w:styleId="69">
    <w:name w:val="批注文字 Char"/>
    <w:basedOn w:val="34"/>
    <w:link w:val="9"/>
    <w:autoRedefine/>
    <w:semiHidden/>
    <w:qFormat/>
    <w:uiPriority w:val="99"/>
    <w:rPr>
      <w:rFonts w:ascii="Calibri" w:hAnsi="Calibri" w:cs="Calibri"/>
      <w:szCs w:val="21"/>
    </w:rPr>
  </w:style>
  <w:style w:type="character" w:customStyle="1" w:styleId="70">
    <w:name w:val="批注主题 Char"/>
    <w:basedOn w:val="69"/>
    <w:link w:val="30"/>
    <w:autoRedefine/>
    <w:semiHidden/>
    <w:qFormat/>
    <w:uiPriority w:val="99"/>
    <w:rPr>
      <w:rFonts w:ascii="Calibri" w:hAnsi="Calibri" w:cs="Calibri"/>
      <w:bCs/>
      <w:szCs w:val="21"/>
    </w:rPr>
  </w:style>
  <w:style w:type="character" w:customStyle="1" w:styleId="71">
    <w:name w:val="批注框文本 Char"/>
    <w:basedOn w:val="34"/>
    <w:link w:val="20"/>
    <w:autoRedefine/>
    <w:semiHidden/>
    <w:qFormat/>
    <w:uiPriority w:val="99"/>
    <w:rPr>
      <w:rFonts w:ascii="Calibri" w:hAnsi="Calibri" w:cs="Calibri"/>
      <w:sz w:val="0"/>
      <w:szCs w:val="0"/>
    </w:rPr>
  </w:style>
  <w:style w:type="paragraph" w:customStyle="1" w:styleId="72">
    <w:name w:val="p17"/>
    <w:basedOn w:val="1"/>
    <w:autoRedefine/>
    <w:qFormat/>
    <w:uiPriority w:val="99"/>
    <w:pPr>
      <w:widowControl/>
    </w:pPr>
    <w:rPr>
      <w:rFonts w:ascii="宋体" w:hAnsi="宋体" w:cs="宋体"/>
      <w:kern w:val="0"/>
    </w:rPr>
  </w:style>
  <w:style w:type="paragraph" w:customStyle="1" w:styleId="73">
    <w:name w:val="List Paragraph1"/>
    <w:basedOn w:val="1"/>
    <w:autoRedefine/>
    <w:qFormat/>
    <w:uiPriority w:val="99"/>
    <w:pPr>
      <w:ind w:firstLine="420" w:firstLineChars="200"/>
    </w:pPr>
    <w:rPr>
      <w:rFonts w:cs="Times New Roman"/>
      <w:szCs w:val="22"/>
    </w:rPr>
  </w:style>
  <w:style w:type="paragraph" w:customStyle="1" w:styleId="7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character" w:customStyle="1" w:styleId="76">
    <w:name w:val="font31"/>
    <w:basedOn w:val="34"/>
    <w:autoRedefine/>
    <w:qFormat/>
    <w:uiPriority w:val="0"/>
    <w:rPr>
      <w:rFonts w:hint="eastAsia" w:ascii="宋体" w:hAnsi="宋体" w:eastAsia="宋体" w:cs="宋体"/>
      <w:color w:val="000000"/>
      <w:sz w:val="24"/>
      <w:szCs w:val="24"/>
      <w:u w:val="none"/>
    </w:rPr>
  </w:style>
  <w:style w:type="paragraph" w:customStyle="1" w:styleId="77">
    <w:name w:val="*正文"/>
    <w:basedOn w:val="1"/>
    <w:autoRedefine/>
    <w:qFormat/>
    <w:uiPriority w:val="0"/>
    <w:pPr>
      <w:spacing w:line="360" w:lineRule="auto"/>
      <w:ind w:firstLine="200" w:firstLineChars="200"/>
    </w:pPr>
    <w:rPr>
      <w:rFonts w:ascii="宋体" w:hAnsi="宋体"/>
      <w:sz w:val="22"/>
      <w:szCs w:val="20"/>
    </w:rPr>
  </w:style>
  <w:style w:type="paragraph" w:customStyle="1" w:styleId="78">
    <w:name w:val="列出段落2"/>
    <w:basedOn w:val="1"/>
    <w:autoRedefine/>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79">
    <w:name w:val="正文首行缩进 Char"/>
    <w:basedOn w:val="80"/>
    <w:link w:val="12"/>
    <w:autoRedefine/>
    <w:qFormat/>
    <w:uiPriority w:val="0"/>
    <w:rPr>
      <w:kern w:val="2"/>
      <w:sz w:val="21"/>
      <w:szCs w:val="24"/>
    </w:rPr>
  </w:style>
  <w:style w:type="character" w:customStyle="1" w:styleId="80">
    <w:name w:val="正文文本 Char"/>
    <w:basedOn w:val="34"/>
    <w:link w:val="11"/>
    <w:autoRedefine/>
    <w:qFormat/>
    <w:uiPriority w:val="0"/>
    <w:rPr>
      <w:kern w:val="2"/>
      <w:sz w:val="21"/>
      <w:szCs w:val="24"/>
    </w:rPr>
  </w:style>
  <w:style w:type="character" w:customStyle="1" w:styleId="81">
    <w:name w:val="标题 2 Char"/>
    <w:basedOn w:val="34"/>
    <w:link w:val="3"/>
    <w:autoRedefine/>
    <w:qFormat/>
    <w:uiPriority w:val="0"/>
    <w:rPr>
      <w:rFonts w:ascii="Cambria" w:hAnsi="Cambria" w:eastAsia="宋体" w:cs="Times New Roman"/>
      <w:kern w:val="2"/>
      <w:sz w:val="32"/>
      <w:szCs w:val="32"/>
    </w:rPr>
  </w:style>
  <w:style w:type="character" w:customStyle="1" w:styleId="82">
    <w:name w:val="标题 6 Char"/>
    <w:basedOn w:val="34"/>
    <w:link w:val="5"/>
    <w:autoRedefine/>
    <w:qFormat/>
    <w:uiPriority w:val="0"/>
    <w:rPr>
      <w:rFonts w:ascii="Cambria" w:hAnsi="Cambria" w:eastAsia="宋体" w:cs="Times New Roman"/>
      <w:kern w:val="2"/>
      <w:sz w:val="24"/>
      <w:szCs w:val="24"/>
    </w:rPr>
  </w:style>
  <w:style w:type="character" w:customStyle="1" w:styleId="83">
    <w:name w:val="日期 Char"/>
    <w:basedOn w:val="34"/>
    <w:autoRedefine/>
    <w:qFormat/>
    <w:uiPriority w:val="0"/>
    <w:rPr>
      <w:rFonts w:hint="eastAsia" w:ascii="宋体" w:hAnsi="宋体" w:eastAsia="宋体" w:cs="宋体"/>
      <w:color w:val="000000"/>
      <w:spacing w:val="-14"/>
      <w:sz w:val="28"/>
      <w:szCs w:val="18"/>
    </w:rPr>
  </w:style>
  <w:style w:type="character" w:customStyle="1" w:styleId="84">
    <w:name w:val="日期 Char1"/>
    <w:basedOn w:val="34"/>
    <w:link w:val="18"/>
    <w:autoRedefine/>
    <w:qFormat/>
    <w:uiPriority w:val="0"/>
    <w:rPr>
      <w:kern w:val="2"/>
      <w:sz w:val="21"/>
      <w:szCs w:val="24"/>
    </w:rPr>
  </w:style>
  <w:style w:type="character" w:customStyle="1" w:styleId="85">
    <w:name w:val="标题 1 Char"/>
    <w:basedOn w:val="34"/>
    <w:link w:val="2"/>
    <w:autoRedefine/>
    <w:qFormat/>
    <w:uiPriority w:val="0"/>
    <w:rPr>
      <w:kern w:val="44"/>
      <w:sz w:val="44"/>
      <w:szCs w:val="44"/>
    </w:rPr>
  </w:style>
  <w:style w:type="character" w:customStyle="1" w:styleId="86">
    <w:name w:val="large1"/>
    <w:autoRedefine/>
    <w:qFormat/>
    <w:uiPriority w:val="0"/>
    <w:rPr>
      <w:rFonts w:hint="eastAsia" w:ascii="宋体" w:hAnsi="宋体" w:eastAsia="宋体"/>
      <w:sz w:val="21"/>
      <w:szCs w:val="21"/>
    </w:rPr>
  </w:style>
  <w:style w:type="paragraph" w:styleId="87">
    <w:name w:val="List Paragraph"/>
    <w:basedOn w:val="1"/>
    <w:autoRedefine/>
    <w:unhideWhenUsed/>
    <w:qFormat/>
    <w:uiPriority w:val="34"/>
    <w:pPr>
      <w:ind w:firstLine="420" w:firstLineChars="200"/>
    </w:pPr>
  </w:style>
  <w:style w:type="paragraph" w:customStyle="1" w:styleId="88">
    <w:name w:val="表格文字"/>
    <w:basedOn w:val="1"/>
    <w:next w:val="11"/>
    <w:autoRedefine/>
    <w:qFormat/>
    <w:uiPriority w:val="0"/>
    <w:pPr>
      <w:adjustRightInd w:val="0"/>
      <w:spacing w:line="420" w:lineRule="atLeast"/>
      <w:jc w:val="left"/>
      <w:textAlignment w:val="baseline"/>
    </w:pPr>
    <w:rPr>
      <w:kern w:val="0"/>
      <w:szCs w:val="20"/>
    </w:rPr>
  </w:style>
  <w:style w:type="paragraph" w:customStyle="1" w:styleId="89">
    <w:name w:val="无间距1"/>
    <w:autoRedefine/>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0">
    <w:name w:val="aa"/>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1">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92">
    <w:name w:val="Body text|1"/>
    <w:basedOn w:val="1"/>
    <w:autoRedefine/>
    <w:qFormat/>
    <w:uiPriority w:val="0"/>
    <w:pPr>
      <w:spacing w:line="360" w:lineRule="auto"/>
      <w:ind w:firstLine="400"/>
    </w:pPr>
    <w:rPr>
      <w:rFonts w:ascii="宋体" w:hAnsi="宋体" w:cs="宋体"/>
      <w:sz w:val="22"/>
      <w:szCs w:val="22"/>
      <w:lang w:val="zh-TW" w:eastAsia="zh-TW" w:bidi="zh-TW"/>
    </w:rPr>
  </w:style>
  <w:style w:type="paragraph" w:customStyle="1" w:styleId="93">
    <w:name w:val="_Style 3"/>
    <w:basedOn w:val="1"/>
    <w:autoRedefine/>
    <w:unhideWhenUsed/>
    <w:qFormat/>
    <w:uiPriority w:val="0"/>
    <w:pPr>
      <w:spacing w:beforeLines="0" w:afterLines="0"/>
      <w:ind w:firstLine="420" w:firstLineChars="200"/>
    </w:pPr>
    <w:rPr>
      <w:rFonts w:hint="default" w:ascii="Calibri" w:hAnsi="Calibri" w:eastAsia="宋体"/>
      <w:sz w:val="21"/>
      <w:szCs w:val="24"/>
    </w:rPr>
  </w:style>
  <w:style w:type="character" w:customStyle="1" w:styleId="94">
    <w:name w:val="font51"/>
    <w:basedOn w:val="34"/>
    <w:qFormat/>
    <w:uiPriority w:val="0"/>
    <w:rPr>
      <w:rFonts w:hint="eastAsia" w:ascii="宋体" w:hAnsi="宋体" w:eastAsia="宋体"/>
      <w:b/>
      <w:bCs/>
      <w:color w:val="FF00FF"/>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E0740-73C1-4D3C-A253-95DC8A185D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32664</Words>
  <Characters>36484</Characters>
  <Lines>240</Lines>
  <Paragraphs>67</Paragraphs>
  <TotalTime>25</TotalTime>
  <ScaleCrop>false</ScaleCrop>
  <LinksUpToDate>false</LinksUpToDate>
  <CharactersWithSpaces>39969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2023-02-03T08:05:00Z</dcterms:created>
  <dc:creator>Administrator</dc:creator>
  <cp:lastModifiedBy>Administrator</cp:lastModifiedBy>
  <cp:lastPrinted>2024-06-27T10:28:00Z</cp:lastPrinted>
  <dcterms:modified xsi:type="dcterms:W3CDTF">2024-07-20T06:48:06Z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3951D199025F4490B1522AD24A0D7E21_13</vt:lpwstr>
  </property>
</Properties>
</file>