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rPr>
          <w:sz w:val="32"/>
          <w:szCs w:val="32"/>
        </w:rPr>
      </w:pPr>
      <w:r>
        <w:rPr>
          <w:rFonts w:hint="eastAsia"/>
          <w:sz w:val="32"/>
          <w:szCs w:val="32"/>
        </w:rPr>
        <w:t xml:space="preserve">                                                                                                                                                                                                                                                                                                                                                                                                                                                                                                                                                                                                                                                                                                                                                                     </w:t>
      </w:r>
    </w:p>
    <w:p>
      <w:pPr>
        <w:spacing w:line="360" w:lineRule="auto"/>
        <w:rPr>
          <w:sz w:val="32"/>
          <w:szCs w:val="32"/>
        </w:rPr>
      </w:pPr>
    </w:p>
    <w:p>
      <w:pPr>
        <w:spacing w:line="360" w:lineRule="auto"/>
        <w:rPr>
          <w:sz w:val="32"/>
          <w:szCs w:val="32"/>
        </w:rPr>
      </w:pPr>
    </w:p>
    <w:p>
      <w:pPr>
        <w:adjustRightInd/>
        <w:spacing w:line="560" w:lineRule="exact"/>
        <w:ind w:left="420" w:leftChars="200" w:right="420" w:rightChars="200"/>
        <w:jc w:val="center"/>
        <w:rPr>
          <w:rFonts w:ascii="方正小标宋_GBK" w:hAnsi="宋体" w:eastAsia="方正小标宋_GBK" w:cs="宋体"/>
          <w:color w:val="000000" w:themeColor="text1"/>
          <w:sz w:val="44"/>
          <w:szCs w:val="44"/>
          <w14:textFill>
            <w14:solidFill>
              <w14:schemeClr w14:val="tx1"/>
            </w14:solidFill>
          </w14:textFill>
        </w:rPr>
      </w:pPr>
      <w:bookmarkStart w:id="0" w:name="公开征集文件"/>
      <w:r>
        <w:rPr>
          <w:rFonts w:hint="eastAsia" w:ascii="方正小标宋_GBK" w:hAnsi="宋体" w:eastAsia="方正小标宋_GBK" w:cs="宋体"/>
          <w:color w:val="000000" w:themeColor="text1"/>
          <w:sz w:val="44"/>
          <w:szCs w:val="44"/>
          <w14:textFill>
            <w14:solidFill>
              <w14:schemeClr w14:val="tx1"/>
            </w14:solidFill>
          </w14:textFill>
        </w:rPr>
        <w:t>2025-2026年度丽水市（市本级、莲都区、开发区、缙云县、云和县）审计服务封闭式框架协议采购项目公开征集文件</w:t>
      </w:r>
      <w:bookmarkEnd w:id="0"/>
    </w:p>
    <w:p>
      <w:pPr>
        <w:adjustRightInd/>
        <w:spacing w:line="560" w:lineRule="exact"/>
        <w:jc w:val="center"/>
        <w:rPr>
          <w:rFonts w:ascii="方正小标宋_GBK" w:hAnsi="宋体" w:eastAsia="方正小标宋_GBK" w:cs="宋体"/>
          <w:color w:val="000000" w:themeColor="text1"/>
          <w:sz w:val="44"/>
          <w:szCs w:val="44"/>
          <w14:textFill>
            <w14:solidFill>
              <w14:schemeClr w14:val="tx1"/>
            </w14:solidFill>
          </w14:textFill>
        </w:rPr>
      </w:pPr>
    </w:p>
    <w:p>
      <w:pPr>
        <w:adjustRightInd/>
        <w:spacing w:line="560" w:lineRule="exact"/>
        <w:jc w:val="center"/>
        <w:rPr>
          <w:rFonts w:ascii="方正小标宋_GBK" w:hAnsi="宋体" w:eastAsia="方正小标宋_GBK" w:cs="宋体"/>
          <w:color w:val="000000" w:themeColor="text1"/>
          <w:sz w:val="44"/>
          <w:szCs w:val="44"/>
          <w14:textFill>
            <w14:solidFill>
              <w14:schemeClr w14:val="tx1"/>
            </w14:solidFill>
          </w14:textFill>
        </w:rPr>
      </w:pPr>
    </w:p>
    <w:p>
      <w:pPr>
        <w:snapToGrid w:val="0"/>
        <w:spacing w:line="360" w:lineRule="auto"/>
        <w:jc w:val="center"/>
        <w:rPr>
          <w:rFonts w:ascii="方正小标宋_GBK" w:hAnsi="宋体" w:eastAsia="方正小标宋_GBK" w:cs="宋体"/>
          <w:color w:val="000000" w:themeColor="text1"/>
          <w:sz w:val="30"/>
          <w:szCs w:val="30"/>
          <w14:textFill>
            <w14:solidFill>
              <w14:schemeClr w14:val="tx1"/>
            </w14:solidFill>
          </w14:textFill>
        </w:rPr>
      </w:pPr>
      <w:r>
        <w:rPr>
          <w:rFonts w:hint="eastAsia" w:ascii="方正小标宋_GBK" w:hAnsi="宋体" w:eastAsia="方正小标宋_GBK" w:cs="宋体"/>
          <w:color w:val="000000" w:themeColor="text1"/>
          <w:sz w:val="30"/>
          <w:szCs w:val="30"/>
          <w14:textFill>
            <w14:solidFill>
              <w14:schemeClr w14:val="tx1"/>
            </w14:solidFill>
          </w14:textFill>
        </w:rPr>
        <w:t>项目编号：</w:t>
      </w:r>
      <w:r>
        <w:rPr>
          <w:rFonts w:ascii="方正小标宋_GBK" w:hAnsi="宋体" w:eastAsia="方正小标宋_GBK" w:cs="宋体"/>
          <w:color w:val="000000" w:themeColor="text1"/>
          <w:sz w:val="30"/>
          <w:szCs w:val="30"/>
          <w14:textFill>
            <w14:solidFill>
              <w14:schemeClr w14:val="tx1"/>
            </w14:solidFill>
          </w14:textFill>
        </w:rPr>
        <w:t>LCK2024-003</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ind w:firstLine="0"/>
        <w:jc w:val="left"/>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pStyle w:val="5"/>
        <w:spacing w:line="360" w:lineRule="auto"/>
        <w:ind w:firstLine="0"/>
      </w:pPr>
    </w:p>
    <w:p>
      <w:pPr>
        <w:spacing w:line="360" w:lineRule="auto"/>
      </w:pPr>
    </w:p>
    <w:p>
      <w:pPr>
        <w:snapToGrid w:val="0"/>
        <w:spacing w:line="360" w:lineRule="auto"/>
        <w:jc w:val="left"/>
        <w:rPr>
          <w:rFonts w:ascii="仿宋_GB2312" w:hAnsi="宋体" w:eastAsia="仿宋_GB2312" w:cs="宋体"/>
          <w:color w:val="000000" w:themeColor="text1"/>
          <w:sz w:val="32"/>
          <w:szCs w:val="32"/>
          <w14:textFill>
            <w14:solidFill>
              <w14:schemeClr w14:val="tx1"/>
            </w14:solidFill>
          </w14:textFill>
        </w:rPr>
      </w:pPr>
    </w:p>
    <w:p>
      <w:pPr>
        <w:spacing w:line="560" w:lineRule="exact"/>
        <w:jc w:val="center"/>
        <w:rPr>
          <w:rFonts w:ascii="方正小标宋_GBK" w:hAnsi="宋体" w:eastAsia="方正小标宋_GBK" w:cs="宋体"/>
          <w:bCs/>
          <w:color w:val="000000" w:themeColor="text1"/>
          <w:sz w:val="32"/>
          <w:szCs w:val="32"/>
          <w14:textFill>
            <w14:solidFill>
              <w14:schemeClr w14:val="tx1"/>
            </w14:solidFill>
          </w14:textFill>
        </w:rPr>
      </w:pPr>
      <w:r>
        <w:rPr>
          <w:rFonts w:hint="eastAsia" w:ascii="方正小标宋_GBK" w:hAnsi="宋体" w:eastAsia="方正小标宋_GBK" w:cs="宋体"/>
          <w:bCs/>
          <w:color w:val="000000" w:themeColor="text1"/>
          <w:sz w:val="32"/>
          <w:szCs w:val="32"/>
          <w14:textFill>
            <w14:solidFill>
              <w14:schemeClr w14:val="tx1"/>
            </w14:solidFill>
          </w14:textFill>
        </w:rPr>
        <w:t>丽水市公共资源交易中心</w:t>
      </w:r>
    </w:p>
    <w:p>
      <w:pPr>
        <w:snapToGrid w:val="0"/>
        <w:spacing w:line="560" w:lineRule="exact"/>
        <w:jc w:val="center"/>
        <w:rPr>
          <w:rFonts w:ascii="方正小标宋_GBK" w:hAnsi="宋体" w:eastAsia="方正小标宋_GBK" w:cs="宋体"/>
          <w:bCs/>
          <w:color w:val="000000" w:themeColor="text1"/>
          <w:sz w:val="32"/>
          <w:szCs w:val="32"/>
          <w14:textFill>
            <w14:solidFill>
              <w14:schemeClr w14:val="tx1"/>
            </w14:solidFill>
          </w14:textFill>
        </w:rPr>
      </w:pPr>
      <w:r>
        <w:rPr>
          <w:rFonts w:hint="eastAsia" w:ascii="方正小标宋_GBK" w:hAnsi="宋体" w:eastAsia="方正小标宋_GBK" w:cs="宋体"/>
          <w:bCs/>
          <w:color w:val="000000" w:themeColor="text1"/>
          <w:sz w:val="32"/>
          <w:szCs w:val="32"/>
          <w14:textFill>
            <w14:solidFill>
              <w14:schemeClr w14:val="tx1"/>
            </w14:solidFill>
          </w14:textFill>
        </w:rPr>
        <w:t>二</w:t>
      </w:r>
      <w:r>
        <w:rPr>
          <w:rFonts w:hint="eastAsia" w:ascii="方正小标宋_GBK" w:hAnsi="微软雅黑" w:eastAsia="方正小标宋_GBK" w:cs="微软雅黑"/>
          <w:bCs/>
          <w:color w:val="000000" w:themeColor="text1"/>
          <w:sz w:val="32"/>
          <w:szCs w:val="32"/>
          <w14:textFill>
            <w14:solidFill>
              <w14:schemeClr w14:val="tx1"/>
            </w14:solidFill>
          </w14:textFill>
        </w:rPr>
        <w:t>〇</w:t>
      </w:r>
      <w:r>
        <w:rPr>
          <w:rFonts w:hint="eastAsia" w:ascii="方正小标宋_GBK" w:hAnsi="仿宋_GB2312" w:eastAsia="方正小标宋_GBK" w:cs="仿宋_GB2312"/>
          <w:bCs/>
          <w:color w:val="000000" w:themeColor="text1"/>
          <w:sz w:val="32"/>
          <w:szCs w:val="32"/>
          <w14:textFill>
            <w14:solidFill>
              <w14:schemeClr w14:val="tx1"/>
            </w14:solidFill>
          </w14:textFill>
        </w:rPr>
        <w:t>二</w:t>
      </w:r>
      <w:r>
        <w:rPr>
          <w:rFonts w:hint="eastAsia" w:ascii="方正小标宋_GBK" w:hAnsi="宋体" w:eastAsia="方正小标宋_GBK" w:cs="宋体"/>
          <w:bCs/>
          <w:color w:val="000000" w:themeColor="text1"/>
          <w:sz w:val="32"/>
          <w:szCs w:val="32"/>
          <w14:textFill>
            <w14:solidFill>
              <w14:schemeClr w14:val="tx1"/>
            </w14:solidFill>
          </w14:textFill>
        </w:rPr>
        <w:t>五年</w:t>
      </w:r>
      <w:r>
        <w:rPr>
          <w:rFonts w:hint="eastAsia" w:ascii="方正小标宋_GBK" w:hAnsi="宋体" w:eastAsia="方正小标宋_GBK" w:cs="宋体"/>
          <w:bCs/>
          <w:sz w:val="32"/>
          <w:szCs w:val="32"/>
          <w:lang w:val="en-US" w:eastAsia="zh-CN"/>
        </w:rPr>
        <w:t>三</w:t>
      </w:r>
      <w:r>
        <w:rPr>
          <w:rFonts w:hint="eastAsia" w:ascii="方正小标宋_GBK" w:hAnsi="宋体" w:eastAsia="方正小标宋_GBK" w:cs="宋体"/>
          <w:bCs/>
          <w:sz w:val="32"/>
          <w:szCs w:val="32"/>
        </w:rPr>
        <w:t>月</w:t>
      </w:r>
    </w:p>
    <w:p>
      <w:pPr>
        <w:spacing w:after="240" w:afterLines="100" w:line="360" w:lineRule="auto"/>
        <w:jc w:val="center"/>
        <w:outlineLvl w:val="0"/>
        <w:rPr>
          <w:rFonts w:ascii="仿宋_GB2312" w:eastAsia="仿宋_GB2312"/>
          <w:sz w:val="32"/>
          <w:szCs w:val="32"/>
        </w:rPr>
        <w:sectPr>
          <w:headerReference r:id="rId3" w:type="first"/>
          <w:footerReference r:id="rId5" w:type="first"/>
          <w:footerReference r:id="rId4" w:type="default"/>
          <w:pgSz w:w="11906" w:h="16838"/>
          <w:pgMar w:top="1418" w:right="1418" w:bottom="1418" w:left="1418" w:header="851" w:footer="851" w:gutter="0"/>
          <w:pgNumType w:start="1" w:chapStyle="1"/>
          <w:cols w:space="720" w:num="1"/>
          <w:docGrid w:linePitch="312" w:charSpace="0"/>
        </w:sectPr>
      </w:pPr>
      <w:bookmarkStart w:id="1" w:name="目录"/>
    </w:p>
    <w:p>
      <w:pPr>
        <w:spacing w:after="240" w:afterLines="100" w:line="360" w:lineRule="auto"/>
        <w:jc w:val="center"/>
        <w:outlineLvl w:val="0"/>
        <w:rPr>
          <w:rFonts w:ascii="仿宋_GB2312" w:eastAsia="仿宋_GB2312"/>
          <w:b/>
          <w:sz w:val="32"/>
          <w:szCs w:val="32"/>
        </w:rPr>
      </w:pPr>
      <w:bookmarkStart w:id="2" w:name="_Toc21576"/>
      <w:bookmarkStart w:id="3" w:name="_Toc146706811"/>
      <w:bookmarkStart w:id="4" w:name="_Toc30526"/>
      <w:r>
        <w:rPr>
          <w:rFonts w:hint="eastAsia" w:ascii="仿宋_GB2312" w:eastAsia="仿宋_GB2312"/>
          <w:b/>
          <w:sz w:val="32"/>
          <w:szCs w:val="32"/>
        </w:rPr>
        <w:t>目  录</w:t>
      </w:r>
      <w:bookmarkEnd w:id="1"/>
      <w:bookmarkEnd w:id="2"/>
      <w:bookmarkEnd w:id="3"/>
      <w:bookmarkEnd w:id="4"/>
    </w:p>
    <w:p>
      <w:pPr>
        <w:pStyle w:val="44"/>
        <w:tabs>
          <w:tab w:val="right" w:leader="dot" w:pos="9070"/>
        </w:tabs>
      </w:pPr>
      <w:r>
        <w:rPr>
          <w:rFonts w:hint="eastAsia" w:ascii="仿宋_GB2312" w:hAnsi="仿宋_GB2312" w:cs="仿宋_GB2312"/>
          <w:b w:val="0"/>
          <w:color w:val="000000" w:themeColor="text1"/>
          <w:sz w:val="28"/>
          <w:szCs w:val="28"/>
          <w14:textFill>
            <w14:solidFill>
              <w14:schemeClr w14:val="tx1"/>
            </w14:solidFill>
          </w14:textFill>
        </w:rPr>
        <w:fldChar w:fldCharType="begin"/>
      </w:r>
      <w:r>
        <w:rPr>
          <w:rFonts w:hint="eastAsia" w:ascii="仿宋_GB2312" w:hAnsi="仿宋_GB2312" w:cs="仿宋_GB2312"/>
          <w:b w:val="0"/>
          <w:color w:val="000000" w:themeColor="text1"/>
          <w:sz w:val="28"/>
          <w:szCs w:val="28"/>
          <w14:textFill>
            <w14:solidFill>
              <w14:schemeClr w14:val="tx1"/>
            </w14:solidFill>
          </w14:textFill>
        </w:rPr>
        <w:instrText xml:space="preserve"> TOC \o "1-2" \h \z \u </w:instrText>
      </w:r>
      <w:r>
        <w:rPr>
          <w:rFonts w:hint="eastAsia" w:ascii="仿宋_GB2312" w:hAnsi="仿宋_GB2312" w:cs="仿宋_GB2312"/>
          <w:b w:val="0"/>
          <w:color w:val="000000" w:themeColor="text1"/>
          <w:sz w:val="28"/>
          <w:szCs w:val="28"/>
          <w14:textFill>
            <w14:solidFill>
              <w14:schemeClr w14:val="tx1"/>
            </w14:solidFill>
          </w14:textFill>
        </w:rPr>
        <w:fldChar w:fldCharType="separate"/>
      </w:r>
    </w:p>
    <w:p>
      <w:pPr>
        <w:pStyle w:val="44"/>
        <w:tabs>
          <w:tab w:val="right" w:leader="dot" w:pos="9070"/>
        </w:tabs>
        <w:spacing w:line="360" w:lineRule="auto"/>
      </w:pPr>
      <w:r>
        <w:fldChar w:fldCharType="begin"/>
      </w:r>
      <w:r>
        <w:instrText xml:space="preserve"> HYPERLINK \l "_Toc28782" </w:instrText>
      </w:r>
      <w:r>
        <w:fldChar w:fldCharType="separate"/>
      </w:r>
      <w:r>
        <w:rPr>
          <w:rFonts w:hint="eastAsia" w:ascii="仿宋_GB2312" w:hAnsi="宋体" w:cs="宋体"/>
          <w:szCs w:val="32"/>
        </w:rPr>
        <w:t>第一部分  征集公告</w:t>
      </w:r>
      <w:r>
        <w:tab/>
      </w:r>
      <w:r>
        <w:fldChar w:fldCharType="begin"/>
      </w:r>
      <w:r>
        <w:instrText xml:space="preserve"> PAGEREF _Toc28782 </w:instrText>
      </w:r>
      <w:r>
        <w:fldChar w:fldCharType="separate"/>
      </w:r>
      <w:r>
        <w:t>3</w:t>
      </w:r>
      <w:r>
        <w:fldChar w:fldCharType="end"/>
      </w:r>
      <w:r>
        <w:fldChar w:fldCharType="end"/>
      </w:r>
    </w:p>
    <w:p>
      <w:pPr>
        <w:pStyle w:val="55"/>
        <w:tabs>
          <w:tab w:val="right" w:leader="dot" w:pos="9070"/>
        </w:tabs>
        <w:spacing w:line="360" w:lineRule="auto"/>
        <w:ind w:left="210"/>
      </w:pPr>
      <w:r>
        <w:fldChar w:fldCharType="begin"/>
      </w:r>
      <w:r>
        <w:instrText xml:space="preserve"> HYPERLINK \l "_Toc627" </w:instrText>
      </w:r>
      <w:r>
        <w:fldChar w:fldCharType="separate"/>
      </w:r>
      <w:r>
        <w:rPr>
          <w:rFonts w:hint="eastAsia" w:ascii="仿宋_GB2312"/>
        </w:rPr>
        <w:t>一、项目基本情况</w:t>
      </w:r>
      <w:r>
        <w:tab/>
      </w:r>
      <w:r>
        <w:fldChar w:fldCharType="begin"/>
      </w:r>
      <w:r>
        <w:instrText xml:space="preserve"> PAGEREF _Toc627 </w:instrText>
      </w:r>
      <w:r>
        <w:fldChar w:fldCharType="separate"/>
      </w:r>
      <w:r>
        <w:t>3</w:t>
      </w:r>
      <w:r>
        <w:fldChar w:fldCharType="end"/>
      </w:r>
      <w:r>
        <w:fldChar w:fldCharType="end"/>
      </w:r>
    </w:p>
    <w:p>
      <w:pPr>
        <w:pStyle w:val="55"/>
        <w:tabs>
          <w:tab w:val="right" w:leader="dot" w:pos="9070"/>
        </w:tabs>
        <w:spacing w:line="360" w:lineRule="auto"/>
        <w:ind w:left="210"/>
      </w:pPr>
      <w:r>
        <w:fldChar w:fldCharType="begin"/>
      </w:r>
      <w:r>
        <w:instrText xml:space="preserve"> HYPERLINK \l "_Toc8470" </w:instrText>
      </w:r>
      <w:r>
        <w:fldChar w:fldCharType="separate"/>
      </w:r>
      <w:r>
        <w:rPr>
          <w:rFonts w:hint="eastAsia" w:ascii="仿宋_GB2312"/>
        </w:rPr>
        <w:t>二、供应商的资格要求</w:t>
      </w:r>
      <w:r>
        <w:tab/>
      </w:r>
      <w:r>
        <w:fldChar w:fldCharType="begin"/>
      </w:r>
      <w:r>
        <w:instrText xml:space="preserve"> PAGEREF _Toc8470 </w:instrText>
      </w:r>
      <w:r>
        <w:fldChar w:fldCharType="separate"/>
      </w:r>
      <w:r>
        <w:t>3</w:t>
      </w:r>
      <w:r>
        <w:fldChar w:fldCharType="end"/>
      </w:r>
      <w:r>
        <w:fldChar w:fldCharType="end"/>
      </w:r>
    </w:p>
    <w:p>
      <w:pPr>
        <w:pStyle w:val="55"/>
        <w:tabs>
          <w:tab w:val="right" w:leader="dot" w:pos="9070"/>
        </w:tabs>
        <w:spacing w:line="360" w:lineRule="auto"/>
        <w:ind w:left="210"/>
      </w:pPr>
      <w:r>
        <w:fldChar w:fldCharType="begin"/>
      </w:r>
      <w:r>
        <w:instrText xml:space="preserve"> HYPERLINK \l "_Toc7880" </w:instrText>
      </w:r>
      <w:r>
        <w:fldChar w:fldCharType="separate"/>
      </w:r>
      <w:r>
        <w:rPr>
          <w:rFonts w:hint="eastAsia" w:ascii="仿宋_GB2312"/>
        </w:rPr>
        <w:t>三、框架协议的期限</w:t>
      </w:r>
      <w:r>
        <w:tab/>
      </w:r>
      <w:r>
        <w:fldChar w:fldCharType="begin"/>
      </w:r>
      <w:r>
        <w:instrText xml:space="preserve"> PAGEREF _Toc7880 </w:instrText>
      </w:r>
      <w:r>
        <w:fldChar w:fldCharType="separate"/>
      </w:r>
      <w:r>
        <w:t>4</w:t>
      </w:r>
      <w:r>
        <w:fldChar w:fldCharType="end"/>
      </w:r>
      <w:r>
        <w:fldChar w:fldCharType="end"/>
      </w:r>
    </w:p>
    <w:p>
      <w:pPr>
        <w:pStyle w:val="55"/>
        <w:tabs>
          <w:tab w:val="right" w:leader="dot" w:pos="9070"/>
        </w:tabs>
        <w:spacing w:line="360" w:lineRule="auto"/>
        <w:ind w:left="210"/>
      </w:pPr>
      <w:r>
        <w:fldChar w:fldCharType="begin"/>
      </w:r>
      <w:r>
        <w:instrText xml:space="preserve"> HYPERLINK \l "_Toc20948" </w:instrText>
      </w:r>
      <w:r>
        <w:fldChar w:fldCharType="separate"/>
      </w:r>
      <w:r>
        <w:rPr>
          <w:rFonts w:hint="eastAsia" w:ascii="仿宋_GB2312"/>
        </w:rPr>
        <w:t>四、获取征集文件</w:t>
      </w:r>
      <w:r>
        <w:tab/>
      </w:r>
      <w:r>
        <w:fldChar w:fldCharType="begin"/>
      </w:r>
      <w:r>
        <w:instrText xml:space="preserve"> PAGEREF _Toc20948 </w:instrText>
      </w:r>
      <w:r>
        <w:fldChar w:fldCharType="separate"/>
      </w:r>
      <w:r>
        <w:t>4</w:t>
      </w:r>
      <w:r>
        <w:fldChar w:fldCharType="end"/>
      </w:r>
      <w:r>
        <w:fldChar w:fldCharType="end"/>
      </w:r>
    </w:p>
    <w:p>
      <w:pPr>
        <w:pStyle w:val="55"/>
        <w:tabs>
          <w:tab w:val="right" w:leader="dot" w:pos="9070"/>
        </w:tabs>
        <w:spacing w:line="360" w:lineRule="auto"/>
        <w:ind w:left="210"/>
      </w:pPr>
      <w:r>
        <w:fldChar w:fldCharType="begin"/>
      </w:r>
      <w:r>
        <w:instrText xml:space="preserve"> HYPERLINK \l "_Toc18807" </w:instrText>
      </w:r>
      <w:r>
        <w:fldChar w:fldCharType="separate"/>
      </w:r>
      <w:r>
        <w:rPr>
          <w:rFonts w:hint="eastAsia" w:ascii="仿宋_GB2312"/>
        </w:rPr>
        <w:t>五、响应文件的提交方式、提交截止时间和地点，开启方式、时间和地点</w:t>
      </w:r>
      <w:r>
        <w:tab/>
      </w:r>
      <w:r>
        <w:fldChar w:fldCharType="begin"/>
      </w:r>
      <w:r>
        <w:instrText xml:space="preserve"> PAGEREF _Toc18807 </w:instrText>
      </w:r>
      <w:r>
        <w:fldChar w:fldCharType="separate"/>
      </w:r>
      <w:r>
        <w:t>4</w:t>
      </w:r>
      <w:r>
        <w:fldChar w:fldCharType="end"/>
      </w:r>
      <w:r>
        <w:fldChar w:fldCharType="end"/>
      </w:r>
    </w:p>
    <w:p>
      <w:pPr>
        <w:pStyle w:val="55"/>
        <w:tabs>
          <w:tab w:val="right" w:leader="dot" w:pos="9070"/>
        </w:tabs>
        <w:spacing w:line="360" w:lineRule="auto"/>
        <w:ind w:left="210"/>
      </w:pPr>
      <w:r>
        <w:fldChar w:fldCharType="begin"/>
      </w:r>
      <w:r>
        <w:instrText xml:space="preserve"> HYPERLINK \l "_Toc12461" </w:instrText>
      </w:r>
      <w:r>
        <w:fldChar w:fldCharType="separate"/>
      </w:r>
      <w:r>
        <w:rPr>
          <w:rFonts w:hint="eastAsia" w:ascii="仿宋_GB2312"/>
        </w:rPr>
        <w:t>六、公告期限</w:t>
      </w:r>
      <w:r>
        <w:tab/>
      </w:r>
      <w:r>
        <w:fldChar w:fldCharType="begin"/>
      </w:r>
      <w:r>
        <w:instrText xml:space="preserve"> PAGEREF _Toc12461 </w:instrText>
      </w:r>
      <w:r>
        <w:fldChar w:fldCharType="separate"/>
      </w:r>
      <w:r>
        <w:t>4</w:t>
      </w:r>
      <w:r>
        <w:fldChar w:fldCharType="end"/>
      </w:r>
      <w:r>
        <w:fldChar w:fldCharType="end"/>
      </w:r>
    </w:p>
    <w:p>
      <w:pPr>
        <w:pStyle w:val="55"/>
        <w:tabs>
          <w:tab w:val="right" w:leader="dot" w:pos="9070"/>
        </w:tabs>
        <w:spacing w:line="360" w:lineRule="auto"/>
        <w:ind w:left="210"/>
      </w:pPr>
      <w:r>
        <w:fldChar w:fldCharType="begin"/>
      </w:r>
      <w:r>
        <w:instrText xml:space="preserve"> HYPERLINK \l "_Toc20315" </w:instrText>
      </w:r>
      <w:r>
        <w:fldChar w:fldCharType="separate"/>
      </w:r>
      <w:r>
        <w:rPr>
          <w:rFonts w:hint="eastAsia" w:ascii="仿宋_GB2312"/>
        </w:rPr>
        <w:t>七、其他补充事宜</w:t>
      </w:r>
      <w:r>
        <w:tab/>
      </w:r>
      <w:r>
        <w:fldChar w:fldCharType="begin"/>
      </w:r>
      <w:r>
        <w:instrText xml:space="preserve"> PAGEREF _Toc20315 </w:instrText>
      </w:r>
      <w:r>
        <w:fldChar w:fldCharType="separate"/>
      </w:r>
      <w:r>
        <w:t>4</w:t>
      </w:r>
      <w:r>
        <w:fldChar w:fldCharType="end"/>
      </w:r>
      <w:r>
        <w:fldChar w:fldCharType="end"/>
      </w:r>
    </w:p>
    <w:p>
      <w:pPr>
        <w:pStyle w:val="55"/>
        <w:tabs>
          <w:tab w:val="right" w:leader="dot" w:pos="9070"/>
        </w:tabs>
        <w:spacing w:line="360" w:lineRule="auto"/>
        <w:ind w:left="210"/>
      </w:pPr>
      <w:r>
        <w:fldChar w:fldCharType="begin"/>
      </w:r>
      <w:r>
        <w:instrText xml:space="preserve"> HYPERLINK \l "_Toc31312" </w:instrText>
      </w:r>
      <w:r>
        <w:fldChar w:fldCharType="separate"/>
      </w:r>
      <w:r>
        <w:rPr>
          <w:rFonts w:hint="eastAsia" w:ascii="仿宋_GB2312"/>
        </w:rPr>
        <w:t>八、对本次征集提出询问、质疑、投诉，请按以下方式联系</w:t>
      </w:r>
      <w:r>
        <w:tab/>
      </w:r>
      <w:r>
        <w:fldChar w:fldCharType="begin"/>
      </w:r>
      <w:r>
        <w:instrText xml:space="preserve"> PAGEREF _Toc31312 </w:instrText>
      </w:r>
      <w:r>
        <w:fldChar w:fldCharType="separate"/>
      </w:r>
      <w:r>
        <w:t>6</w:t>
      </w:r>
      <w:r>
        <w:fldChar w:fldCharType="end"/>
      </w:r>
      <w:r>
        <w:fldChar w:fldCharType="end"/>
      </w:r>
    </w:p>
    <w:p>
      <w:pPr>
        <w:pStyle w:val="44"/>
        <w:tabs>
          <w:tab w:val="right" w:leader="dot" w:pos="9070"/>
        </w:tabs>
        <w:spacing w:line="360" w:lineRule="auto"/>
      </w:pPr>
      <w:r>
        <w:fldChar w:fldCharType="begin"/>
      </w:r>
      <w:r>
        <w:instrText xml:space="preserve"> HYPERLINK \l "_Toc6308" </w:instrText>
      </w:r>
      <w:r>
        <w:fldChar w:fldCharType="separate"/>
      </w:r>
      <w:r>
        <w:rPr>
          <w:rFonts w:hint="eastAsia" w:ascii="仿宋_GB2312" w:hAnsi="宋体" w:cs="宋体"/>
          <w:szCs w:val="32"/>
        </w:rPr>
        <w:t>第二部分  响应供应商须知</w:t>
      </w:r>
      <w:r>
        <w:tab/>
      </w:r>
      <w:r>
        <w:fldChar w:fldCharType="begin"/>
      </w:r>
      <w:r>
        <w:instrText xml:space="preserve"> PAGEREF _Toc6308 </w:instrText>
      </w:r>
      <w:r>
        <w:fldChar w:fldCharType="separate"/>
      </w:r>
      <w:r>
        <w:t>7</w:t>
      </w:r>
      <w:r>
        <w:fldChar w:fldCharType="end"/>
      </w:r>
      <w:r>
        <w:fldChar w:fldCharType="end"/>
      </w:r>
    </w:p>
    <w:p>
      <w:pPr>
        <w:pStyle w:val="55"/>
        <w:tabs>
          <w:tab w:val="right" w:leader="dot" w:pos="9070"/>
        </w:tabs>
        <w:spacing w:line="360" w:lineRule="auto"/>
        <w:ind w:left="210"/>
      </w:pPr>
      <w:r>
        <w:fldChar w:fldCharType="begin"/>
      </w:r>
      <w:r>
        <w:instrText xml:space="preserve"> HYPERLINK \l "_Toc897" </w:instrText>
      </w:r>
      <w:r>
        <w:fldChar w:fldCharType="separate"/>
      </w:r>
      <w:r>
        <w:rPr>
          <w:rFonts w:hint="eastAsia" w:ascii="仿宋_GB2312" w:hAnsi="宋体" w:cs="宋体"/>
          <w:szCs w:val="20"/>
        </w:rPr>
        <w:t>前附表</w:t>
      </w:r>
      <w:r>
        <w:tab/>
      </w:r>
      <w:r>
        <w:fldChar w:fldCharType="begin"/>
      </w:r>
      <w:r>
        <w:instrText xml:space="preserve"> PAGEREF _Toc897 </w:instrText>
      </w:r>
      <w:r>
        <w:fldChar w:fldCharType="separate"/>
      </w:r>
      <w:r>
        <w:t>7</w:t>
      </w:r>
      <w:r>
        <w:fldChar w:fldCharType="end"/>
      </w:r>
      <w:r>
        <w:fldChar w:fldCharType="end"/>
      </w:r>
    </w:p>
    <w:p>
      <w:pPr>
        <w:pStyle w:val="55"/>
        <w:tabs>
          <w:tab w:val="right" w:leader="dot" w:pos="9070"/>
        </w:tabs>
        <w:spacing w:line="360" w:lineRule="auto"/>
        <w:ind w:left="210"/>
      </w:pPr>
      <w:r>
        <w:fldChar w:fldCharType="begin"/>
      </w:r>
      <w:r>
        <w:instrText xml:space="preserve"> HYPERLINK \l "_Toc18191" </w:instrText>
      </w:r>
      <w:r>
        <w:fldChar w:fldCharType="separate"/>
      </w:r>
      <w:r>
        <w:rPr>
          <w:rFonts w:hint="eastAsia" w:ascii="仿宋_GB2312" w:hAnsi="宋体" w:cs="宋体"/>
          <w:szCs w:val="20"/>
        </w:rPr>
        <w:t>一、总则</w:t>
      </w:r>
      <w:r>
        <w:tab/>
      </w:r>
      <w:r>
        <w:fldChar w:fldCharType="begin"/>
      </w:r>
      <w:r>
        <w:instrText xml:space="preserve"> PAGEREF _Toc18191 </w:instrText>
      </w:r>
      <w:r>
        <w:fldChar w:fldCharType="separate"/>
      </w:r>
      <w:r>
        <w:t>9</w:t>
      </w:r>
      <w:r>
        <w:fldChar w:fldCharType="end"/>
      </w:r>
      <w:r>
        <w:fldChar w:fldCharType="end"/>
      </w:r>
    </w:p>
    <w:p>
      <w:pPr>
        <w:pStyle w:val="55"/>
        <w:tabs>
          <w:tab w:val="right" w:leader="dot" w:pos="9070"/>
        </w:tabs>
        <w:spacing w:line="360" w:lineRule="auto"/>
        <w:ind w:left="210"/>
      </w:pPr>
      <w:r>
        <w:fldChar w:fldCharType="begin"/>
      </w:r>
      <w:r>
        <w:instrText xml:space="preserve"> HYPERLINK \l "_Toc12012" </w:instrText>
      </w:r>
      <w:r>
        <w:fldChar w:fldCharType="separate"/>
      </w:r>
      <w:r>
        <w:rPr>
          <w:rFonts w:hint="eastAsia" w:ascii="仿宋_GB2312" w:hAnsi="宋体" w:cs="宋体"/>
          <w:szCs w:val="20"/>
        </w:rPr>
        <w:t>二、征集文件的构成、澄清、修改</w:t>
      </w:r>
      <w:r>
        <w:tab/>
      </w:r>
      <w:r>
        <w:fldChar w:fldCharType="begin"/>
      </w:r>
      <w:r>
        <w:instrText xml:space="preserve"> PAGEREF _Toc12012 </w:instrText>
      </w:r>
      <w:r>
        <w:fldChar w:fldCharType="separate"/>
      </w:r>
      <w:r>
        <w:t>12</w:t>
      </w:r>
      <w:r>
        <w:fldChar w:fldCharType="end"/>
      </w:r>
      <w:r>
        <w:fldChar w:fldCharType="end"/>
      </w:r>
    </w:p>
    <w:p>
      <w:pPr>
        <w:pStyle w:val="55"/>
        <w:tabs>
          <w:tab w:val="right" w:leader="dot" w:pos="9070"/>
        </w:tabs>
        <w:spacing w:line="360" w:lineRule="auto"/>
        <w:ind w:left="210"/>
      </w:pPr>
      <w:r>
        <w:fldChar w:fldCharType="begin"/>
      </w:r>
      <w:r>
        <w:instrText xml:space="preserve"> HYPERLINK \l "_Toc25327" </w:instrText>
      </w:r>
      <w:r>
        <w:fldChar w:fldCharType="separate"/>
      </w:r>
      <w:r>
        <w:rPr>
          <w:rFonts w:hint="eastAsia" w:ascii="仿宋_GB2312" w:hAnsi="宋体" w:cs="宋体"/>
          <w:szCs w:val="20"/>
        </w:rPr>
        <w:t>三、响应</w:t>
      </w:r>
      <w:r>
        <w:tab/>
      </w:r>
      <w:r>
        <w:fldChar w:fldCharType="begin"/>
      </w:r>
      <w:r>
        <w:instrText xml:space="preserve"> PAGEREF _Toc25327 </w:instrText>
      </w:r>
      <w:r>
        <w:fldChar w:fldCharType="separate"/>
      </w:r>
      <w:r>
        <w:t>12</w:t>
      </w:r>
      <w:r>
        <w:fldChar w:fldCharType="end"/>
      </w:r>
      <w:r>
        <w:fldChar w:fldCharType="end"/>
      </w:r>
    </w:p>
    <w:p>
      <w:pPr>
        <w:pStyle w:val="55"/>
        <w:tabs>
          <w:tab w:val="right" w:leader="dot" w:pos="9070"/>
        </w:tabs>
        <w:spacing w:line="360" w:lineRule="auto"/>
        <w:ind w:left="210"/>
      </w:pPr>
      <w:r>
        <w:fldChar w:fldCharType="begin"/>
      </w:r>
      <w:r>
        <w:instrText xml:space="preserve"> HYPERLINK \l "_Toc14980" </w:instrText>
      </w:r>
      <w:r>
        <w:fldChar w:fldCharType="separate"/>
      </w:r>
      <w:r>
        <w:rPr>
          <w:rFonts w:hint="eastAsia" w:ascii="仿宋_GB2312" w:hAnsi="宋体" w:cs="宋体"/>
          <w:szCs w:val="20"/>
        </w:rPr>
        <w:t>四、开启响应文件、资格审查与信用信息查询</w:t>
      </w:r>
      <w:r>
        <w:tab/>
      </w:r>
      <w:r>
        <w:fldChar w:fldCharType="begin"/>
      </w:r>
      <w:r>
        <w:instrText xml:space="preserve"> PAGEREF _Toc14980 </w:instrText>
      </w:r>
      <w:r>
        <w:fldChar w:fldCharType="separate"/>
      </w:r>
      <w:r>
        <w:t>15</w:t>
      </w:r>
      <w:r>
        <w:fldChar w:fldCharType="end"/>
      </w:r>
      <w:r>
        <w:fldChar w:fldCharType="end"/>
      </w:r>
    </w:p>
    <w:p>
      <w:pPr>
        <w:pStyle w:val="55"/>
        <w:tabs>
          <w:tab w:val="right" w:leader="dot" w:pos="9070"/>
        </w:tabs>
        <w:spacing w:line="360" w:lineRule="auto"/>
        <w:ind w:left="210"/>
      </w:pPr>
      <w:r>
        <w:fldChar w:fldCharType="begin"/>
      </w:r>
      <w:r>
        <w:instrText xml:space="preserve"> HYPERLINK \l "_Toc30104" </w:instrText>
      </w:r>
      <w:r>
        <w:fldChar w:fldCharType="separate"/>
      </w:r>
      <w:r>
        <w:rPr>
          <w:rFonts w:hint="eastAsia" w:ascii="仿宋_GB2312" w:hAnsi="宋体" w:cs="宋体"/>
          <w:szCs w:val="20"/>
        </w:rPr>
        <w:t>五、评审</w:t>
      </w:r>
      <w:r>
        <w:tab/>
      </w:r>
      <w:r>
        <w:fldChar w:fldCharType="begin"/>
      </w:r>
      <w:r>
        <w:instrText xml:space="preserve"> PAGEREF _Toc30104 </w:instrText>
      </w:r>
      <w:r>
        <w:fldChar w:fldCharType="separate"/>
      </w:r>
      <w:r>
        <w:t>17</w:t>
      </w:r>
      <w:r>
        <w:fldChar w:fldCharType="end"/>
      </w:r>
      <w:r>
        <w:fldChar w:fldCharType="end"/>
      </w:r>
    </w:p>
    <w:p>
      <w:pPr>
        <w:pStyle w:val="55"/>
        <w:tabs>
          <w:tab w:val="right" w:leader="dot" w:pos="9070"/>
        </w:tabs>
        <w:spacing w:line="360" w:lineRule="auto"/>
        <w:ind w:left="210"/>
      </w:pPr>
      <w:r>
        <w:fldChar w:fldCharType="begin"/>
      </w:r>
      <w:r>
        <w:instrText xml:space="preserve"> HYPERLINK \l "_Toc26838" </w:instrText>
      </w:r>
      <w:r>
        <w:fldChar w:fldCharType="separate"/>
      </w:r>
      <w:r>
        <w:rPr>
          <w:rFonts w:hint="eastAsia" w:ascii="仿宋_GB2312" w:hAnsi="宋体" w:cs="宋体"/>
          <w:szCs w:val="20"/>
        </w:rPr>
        <w:t>六、确定评审结果</w:t>
      </w:r>
      <w:r>
        <w:tab/>
      </w:r>
      <w:r>
        <w:fldChar w:fldCharType="begin"/>
      </w:r>
      <w:r>
        <w:instrText xml:space="preserve"> PAGEREF _Toc26838 </w:instrText>
      </w:r>
      <w:r>
        <w:fldChar w:fldCharType="separate"/>
      </w:r>
      <w:r>
        <w:t>17</w:t>
      </w:r>
      <w:r>
        <w:fldChar w:fldCharType="end"/>
      </w:r>
      <w:r>
        <w:fldChar w:fldCharType="end"/>
      </w:r>
    </w:p>
    <w:p>
      <w:pPr>
        <w:pStyle w:val="55"/>
        <w:tabs>
          <w:tab w:val="right" w:leader="dot" w:pos="9070"/>
        </w:tabs>
        <w:spacing w:line="360" w:lineRule="auto"/>
        <w:ind w:left="210"/>
      </w:pPr>
      <w:r>
        <w:fldChar w:fldCharType="begin"/>
      </w:r>
      <w:r>
        <w:instrText xml:space="preserve"> HYPERLINK \l "_Toc9181" </w:instrText>
      </w:r>
      <w:r>
        <w:fldChar w:fldCharType="separate"/>
      </w:r>
      <w:r>
        <w:rPr>
          <w:rFonts w:hint="eastAsia" w:ascii="仿宋_GB2312" w:hAnsi="宋体" w:cs="宋体"/>
          <w:szCs w:val="20"/>
        </w:rPr>
        <w:t>七、框架协议、采购合同签订</w:t>
      </w:r>
      <w:r>
        <w:tab/>
      </w:r>
      <w:r>
        <w:fldChar w:fldCharType="begin"/>
      </w:r>
      <w:r>
        <w:instrText xml:space="preserve"> PAGEREF _Toc9181 </w:instrText>
      </w:r>
      <w:r>
        <w:fldChar w:fldCharType="separate"/>
      </w:r>
      <w:r>
        <w:t>17</w:t>
      </w:r>
      <w:r>
        <w:fldChar w:fldCharType="end"/>
      </w:r>
      <w:r>
        <w:fldChar w:fldCharType="end"/>
      </w:r>
    </w:p>
    <w:p>
      <w:pPr>
        <w:pStyle w:val="55"/>
        <w:tabs>
          <w:tab w:val="right" w:leader="dot" w:pos="9070"/>
        </w:tabs>
        <w:spacing w:line="360" w:lineRule="auto"/>
        <w:ind w:left="210"/>
      </w:pPr>
      <w:r>
        <w:fldChar w:fldCharType="begin"/>
      </w:r>
      <w:r>
        <w:instrText xml:space="preserve"> HYPERLINK \l "_Toc28153" </w:instrText>
      </w:r>
      <w:r>
        <w:fldChar w:fldCharType="separate"/>
      </w:r>
      <w:r>
        <w:rPr>
          <w:rFonts w:hint="eastAsia" w:ascii="仿宋_GB2312" w:hAnsi="宋体" w:cs="宋体"/>
          <w:szCs w:val="20"/>
        </w:rPr>
        <w:t>八、电子交易活动的中止</w:t>
      </w:r>
      <w:r>
        <w:tab/>
      </w:r>
      <w:r>
        <w:fldChar w:fldCharType="begin"/>
      </w:r>
      <w:r>
        <w:instrText xml:space="preserve"> PAGEREF _Toc28153 </w:instrText>
      </w:r>
      <w:r>
        <w:fldChar w:fldCharType="separate"/>
      </w:r>
      <w:r>
        <w:t>19</w:t>
      </w:r>
      <w:r>
        <w:fldChar w:fldCharType="end"/>
      </w:r>
      <w:r>
        <w:fldChar w:fldCharType="end"/>
      </w:r>
    </w:p>
    <w:p>
      <w:pPr>
        <w:pStyle w:val="55"/>
        <w:tabs>
          <w:tab w:val="right" w:leader="dot" w:pos="9070"/>
        </w:tabs>
        <w:spacing w:line="360" w:lineRule="auto"/>
        <w:ind w:left="210"/>
      </w:pPr>
      <w:r>
        <w:fldChar w:fldCharType="begin"/>
      </w:r>
      <w:r>
        <w:instrText xml:space="preserve"> HYPERLINK \l "_Toc12736" </w:instrText>
      </w:r>
      <w:r>
        <w:fldChar w:fldCharType="separate"/>
      </w:r>
      <w:r>
        <w:rPr>
          <w:rFonts w:hint="eastAsia" w:ascii="仿宋_GB2312" w:hAnsi="宋体" w:cs="宋体"/>
          <w:szCs w:val="20"/>
        </w:rPr>
        <w:t>九、验收和支付</w:t>
      </w:r>
      <w:r>
        <w:tab/>
      </w:r>
      <w:r>
        <w:fldChar w:fldCharType="begin"/>
      </w:r>
      <w:r>
        <w:instrText xml:space="preserve"> PAGEREF _Toc12736 </w:instrText>
      </w:r>
      <w:r>
        <w:fldChar w:fldCharType="separate"/>
      </w:r>
      <w:r>
        <w:t>19</w:t>
      </w:r>
      <w:r>
        <w:fldChar w:fldCharType="end"/>
      </w:r>
      <w:r>
        <w:fldChar w:fldCharType="end"/>
      </w:r>
    </w:p>
    <w:p>
      <w:pPr>
        <w:pStyle w:val="55"/>
        <w:tabs>
          <w:tab w:val="right" w:leader="dot" w:pos="9070"/>
        </w:tabs>
        <w:spacing w:line="360" w:lineRule="auto"/>
        <w:ind w:left="210"/>
      </w:pPr>
      <w:r>
        <w:fldChar w:fldCharType="begin"/>
      </w:r>
      <w:r>
        <w:instrText xml:space="preserve"> HYPERLINK \l "_Toc1286" </w:instrText>
      </w:r>
      <w:r>
        <w:fldChar w:fldCharType="separate"/>
      </w:r>
      <w:r>
        <w:rPr>
          <w:rFonts w:hint="eastAsia" w:ascii="仿宋_GB2312" w:hAnsi="宋体" w:cs="宋体"/>
          <w:szCs w:val="20"/>
        </w:rPr>
        <w:t>十、协议期内的监督与管理</w:t>
      </w:r>
      <w:r>
        <w:tab/>
      </w:r>
      <w:r>
        <w:fldChar w:fldCharType="begin"/>
      </w:r>
      <w:r>
        <w:instrText xml:space="preserve"> PAGEREF _Toc1286 </w:instrText>
      </w:r>
      <w:r>
        <w:fldChar w:fldCharType="separate"/>
      </w:r>
      <w:r>
        <w:t>20</w:t>
      </w:r>
      <w:r>
        <w:fldChar w:fldCharType="end"/>
      </w:r>
      <w:r>
        <w:fldChar w:fldCharType="end"/>
      </w:r>
    </w:p>
    <w:p>
      <w:pPr>
        <w:pStyle w:val="44"/>
        <w:tabs>
          <w:tab w:val="right" w:leader="dot" w:pos="9070"/>
        </w:tabs>
        <w:spacing w:line="360" w:lineRule="auto"/>
      </w:pPr>
      <w:r>
        <w:fldChar w:fldCharType="begin"/>
      </w:r>
      <w:r>
        <w:instrText xml:space="preserve"> HYPERLINK \l "_Toc24725" </w:instrText>
      </w:r>
      <w:r>
        <w:fldChar w:fldCharType="separate"/>
      </w:r>
      <w:r>
        <w:rPr>
          <w:rFonts w:hint="eastAsia" w:ascii="仿宋_GB2312" w:hAnsi="宋体" w:cs="宋体"/>
          <w:szCs w:val="32"/>
        </w:rPr>
        <w:t>第三部分   采购需求</w:t>
      </w:r>
      <w:r>
        <w:tab/>
      </w:r>
      <w:r>
        <w:fldChar w:fldCharType="begin"/>
      </w:r>
      <w:r>
        <w:instrText xml:space="preserve"> PAGEREF _Toc24725 </w:instrText>
      </w:r>
      <w:r>
        <w:fldChar w:fldCharType="separate"/>
      </w:r>
      <w:r>
        <w:t>23</w:t>
      </w:r>
      <w:r>
        <w:fldChar w:fldCharType="end"/>
      </w:r>
      <w:r>
        <w:fldChar w:fldCharType="end"/>
      </w:r>
    </w:p>
    <w:p>
      <w:pPr>
        <w:pStyle w:val="55"/>
        <w:tabs>
          <w:tab w:val="right" w:leader="dot" w:pos="9070"/>
        </w:tabs>
        <w:spacing w:line="360" w:lineRule="auto"/>
        <w:ind w:left="210"/>
      </w:pPr>
      <w:r>
        <w:fldChar w:fldCharType="begin"/>
      </w:r>
      <w:r>
        <w:instrText xml:space="preserve"> HYPERLINK \l "_Toc31287" </w:instrText>
      </w:r>
      <w:r>
        <w:fldChar w:fldCharType="separate"/>
      </w:r>
      <w:r>
        <w:rPr>
          <w:rFonts w:hint="eastAsia" w:ascii="仿宋_GB2312" w:hAnsi="仿宋_GB2312" w:cs="仿宋_GB2312"/>
          <w:bCs/>
        </w:rPr>
        <w:t>一、项目基本情况</w:t>
      </w:r>
      <w:r>
        <w:tab/>
      </w:r>
      <w:r>
        <w:fldChar w:fldCharType="begin"/>
      </w:r>
      <w:r>
        <w:instrText xml:space="preserve"> PAGEREF _Toc31287 </w:instrText>
      </w:r>
      <w:r>
        <w:fldChar w:fldCharType="separate"/>
      </w:r>
      <w:r>
        <w:t>23</w:t>
      </w:r>
      <w:r>
        <w:fldChar w:fldCharType="end"/>
      </w:r>
      <w:r>
        <w:fldChar w:fldCharType="end"/>
      </w:r>
    </w:p>
    <w:p>
      <w:pPr>
        <w:pStyle w:val="55"/>
        <w:tabs>
          <w:tab w:val="right" w:leader="dot" w:pos="9070"/>
        </w:tabs>
        <w:spacing w:line="360" w:lineRule="auto"/>
        <w:ind w:left="210"/>
      </w:pPr>
      <w:r>
        <w:fldChar w:fldCharType="begin"/>
      </w:r>
      <w:r>
        <w:instrText xml:space="preserve"> HYPERLINK \l "_Toc25365" </w:instrText>
      </w:r>
      <w:r>
        <w:fldChar w:fldCharType="separate"/>
      </w:r>
      <w:r>
        <w:rPr>
          <w:rFonts w:hint="eastAsia" w:ascii="仿宋_GB2312" w:hAnsi="仿宋_GB2312" w:cs="仿宋_GB2312"/>
          <w:bCs/>
        </w:rPr>
        <w:t>二、资格要求</w:t>
      </w:r>
      <w:r>
        <w:tab/>
      </w:r>
      <w:r>
        <w:fldChar w:fldCharType="begin"/>
      </w:r>
      <w:r>
        <w:instrText xml:space="preserve"> PAGEREF _Toc25365 </w:instrText>
      </w:r>
      <w:r>
        <w:fldChar w:fldCharType="separate"/>
      </w:r>
      <w:r>
        <w:t>23</w:t>
      </w:r>
      <w:r>
        <w:fldChar w:fldCharType="end"/>
      </w:r>
      <w:r>
        <w:fldChar w:fldCharType="end"/>
      </w:r>
    </w:p>
    <w:p>
      <w:pPr>
        <w:pStyle w:val="55"/>
        <w:tabs>
          <w:tab w:val="right" w:leader="dot" w:pos="9070"/>
        </w:tabs>
        <w:spacing w:line="360" w:lineRule="auto"/>
        <w:ind w:left="210"/>
      </w:pPr>
      <w:r>
        <w:fldChar w:fldCharType="begin"/>
      </w:r>
      <w:r>
        <w:instrText xml:space="preserve"> HYPERLINK \l "_Toc5921" </w:instrText>
      </w:r>
      <w:r>
        <w:fldChar w:fldCharType="separate"/>
      </w:r>
      <w:r>
        <w:rPr>
          <w:rFonts w:hint="eastAsia" w:ascii="仿宋_GB2312" w:hAnsi="仿宋_GB2312" w:cs="仿宋_GB2312"/>
          <w:bCs/>
        </w:rPr>
        <w:t>三、服务要求</w:t>
      </w:r>
      <w:r>
        <w:tab/>
      </w:r>
      <w:r>
        <w:fldChar w:fldCharType="begin"/>
      </w:r>
      <w:r>
        <w:instrText xml:space="preserve"> PAGEREF _Toc5921 </w:instrText>
      </w:r>
      <w:r>
        <w:fldChar w:fldCharType="separate"/>
      </w:r>
      <w:r>
        <w:t>24</w:t>
      </w:r>
      <w:r>
        <w:fldChar w:fldCharType="end"/>
      </w:r>
      <w:r>
        <w:fldChar w:fldCharType="end"/>
      </w:r>
    </w:p>
    <w:p>
      <w:pPr>
        <w:pStyle w:val="55"/>
        <w:tabs>
          <w:tab w:val="right" w:leader="dot" w:pos="9070"/>
        </w:tabs>
        <w:spacing w:line="360" w:lineRule="auto"/>
        <w:ind w:left="210"/>
      </w:pPr>
      <w:r>
        <w:fldChar w:fldCharType="begin"/>
      </w:r>
      <w:r>
        <w:instrText xml:space="preserve"> HYPERLINK \l "_Toc16185" </w:instrText>
      </w:r>
      <w:r>
        <w:fldChar w:fldCharType="separate"/>
      </w:r>
      <w:r>
        <w:rPr>
          <w:rFonts w:hint="eastAsia" w:ascii="仿宋_GB2312" w:hAnsi="仿宋_GB2312" w:cs="仿宋_GB2312"/>
          <w:bCs/>
        </w:rPr>
        <w:t>四、最高限价及报价要求：</w:t>
      </w:r>
      <w:r>
        <w:tab/>
      </w:r>
      <w:r>
        <w:fldChar w:fldCharType="begin"/>
      </w:r>
      <w:r>
        <w:instrText xml:space="preserve"> PAGEREF _Toc16185 </w:instrText>
      </w:r>
      <w:r>
        <w:fldChar w:fldCharType="separate"/>
      </w:r>
      <w:r>
        <w:t>25</w:t>
      </w:r>
      <w:r>
        <w:fldChar w:fldCharType="end"/>
      </w:r>
      <w:r>
        <w:fldChar w:fldCharType="end"/>
      </w:r>
    </w:p>
    <w:p>
      <w:pPr>
        <w:pStyle w:val="55"/>
        <w:tabs>
          <w:tab w:val="right" w:leader="dot" w:pos="9070"/>
        </w:tabs>
        <w:spacing w:line="360" w:lineRule="auto"/>
        <w:ind w:left="210"/>
      </w:pPr>
      <w:r>
        <w:fldChar w:fldCharType="begin"/>
      </w:r>
      <w:r>
        <w:instrText xml:space="preserve"> HYPERLINK \l "_Toc2473" </w:instrText>
      </w:r>
      <w:r>
        <w:fldChar w:fldCharType="separate"/>
      </w:r>
      <w:r>
        <w:rPr>
          <w:rFonts w:hint="eastAsia" w:ascii="仿宋_GB2312" w:hAnsi="仿宋_GB2312" w:cs="仿宋_GB2312"/>
          <w:bCs/>
        </w:rPr>
        <w:t>五、框架协议、采购合同签订要求：</w:t>
      </w:r>
      <w:r>
        <w:tab/>
      </w:r>
      <w:r>
        <w:fldChar w:fldCharType="begin"/>
      </w:r>
      <w:r>
        <w:instrText xml:space="preserve"> PAGEREF _Toc2473 </w:instrText>
      </w:r>
      <w:r>
        <w:fldChar w:fldCharType="separate"/>
      </w:r>
      <w:r>
        <w:t>25</w:t>
      </w:r>
      <w:r>
        <w:fldChar w:fldCharType="end"/>
      </w:r>
      <w:r>
        <w:fldChar w:fldCharType="end"/>
      </w:r>
    </w:p>
    <w:p>
      <w:pPr>
        <w:pStyle w:val="55"/>
        <w:tabs>
          <w:tab w:val="right" w:leader="dot" w:pos="9070"/>
        </w:tabs>
        <w:spacing w:line="360" w:lineRule="auto"/>
        <w:ind w:left="210"/>
      </w:pPr>
      <w:r>
        <w:fldChar w:fldCharType="begin"/>
      </w:r>
      <w:r>
        <w:instrText xml:space="preserve"> HYPERLINK \l "_Toc29662" </w:instrText>
      </w:r>
      <w:r>
        <w:fldChar w:fldCharType="separate"/>
      </w:r>
      <w:r>
        <w:rPr>
          <w:rFonts w:hint="eastAsia" w:ascii="仿宋_GB2312" w:hAnsi="仿宋_GB2312" w:cs="仿宋_GB2312"/>
          <w:bCs/>
        </w:rPr>
        <w:t>六、用户反馈和评价机制：</w:t>
      </w:r>
      <w:r>
        <w:tab/>
      </w:r>
      <w:r>
        <w:fldChar w:fldCharType="begin"/>
      </w:r>
      <w:r>
        <w:instrText xml:space="preserve"> PAGEREF _Toc29662 </w:instrText>
      </w:r>
      <w:r>
        <w:fldChar w:fldCharType="separate"/>
      </w:r>
      <w:r>
        <w:t>26</w:t>
      </w:r>
      <w:r>
        <w:fldChar w:fldCharType="end"/>
      </w:r>
      <w:r>
        <w:fldChar w:fldCharType="end"/>
      </w:r>
    </w:p>
    <w:p>
      <w:pPr>
        <w:pStyle w:val="55"/>
        <w:tabs>
          <w:tab w:val="right" w:leader="dot" w:pos="9070"/>
        </w:tabs>
        <w:spacing w:line="360" w:lineRule="auto"/>
        <w:ind w:left="210"/>
      </w:pPr>
      <w:r>
        <w:fldChar w:fldCharType="begin"/>
      </w:r>
      <w:r>
        <w:instrText xml:space="preserve"> HYPERLINK \l "_Toc25501" </w:instrText>
      </w:r>
      <w:r>
        <w:fldChar w:fldCharType="separate"/>
      </w:r>
      <w:r>
        <w:rPr>
          <w:rFonts w:hint="eastAsia" w:ascii="仿宋_GB2312" w:hAnsi="仿宋_GB2312" w:cs="仿宋_GB2312"/>
          <w:bCs/>
        </w:rPr>
        <w:t>七、确定第二阶段成交供应商的方式：</w:t>
      </w:r>
      <w:r>
        <w:tab/>
      </w:r>
      <w:r>
        <w:fldChar w:fldCharType="begin"/>
      </w:r>
      <w:r>
        <w:instrText xml:space="preserve"> PAGEREF _Toc25501 </w:instrText>
      </w:r>
      <w:r>
        <w:fldChar w:fldCharType="separate"/>
      </w:r>
      <w:r>
        <w:t>26</w:t>
      </w:r>
      <w:r>
        <w:fldChar w:fldCharType="end"/>
      </w:r>
      <w:r>
        <w:fldChar w:fldCharType="end"/>
      </w:r>
    </w:p>
    <w:p>
      <w:pPr>
        <w:pStyle w:val="55"/>
        <w:tabs>
          <w:tab w:val="right" w:leader="dot" w:pos="9070"/>
        </w:tabs>
        <w:spacing w:line="360" w:lineRule="auto"/>
        <w:ind w:left="210"/>
      </w:pPr>
      <w:r>
        <w:fldChar w:fldCharType="begin"/>
      </w:r>
      <w:r>
        <w:instrText xml:space="preserve"> HYPERLINK \l "_Toc10358" </w:instrText>
      </w:r>
      <w:r>
        <w:fldChar w:fldCharType="separate"/>
      </w:r>
      <w:r>
        <w:rPr>
          <w:rFonts w:hint="eastAsia" w:ascii="仿宋_GB2312" w:hAnsi="仿宋_GB2312" w:cs="仿宋_GB2312"/>
          <w:bCs/>
        </w:rPr>
        <w:t>八、协议期内日常管理要求：</w:t>
      </w:r>
      <w:r>
        <w:tab/>
      </w:r>
      <w:r>
        <w:fldChar w:fldCharType="begin"/>
      </w:r>
      <w:r>
        <w:instrText xml:space="preserve"> PAGEREF _Toc10358 </w:instrText>
      </w:r>
      <w:r>
        <w:fldChar w:fldCharType="separate"/>
      </w:r>
      <w:r>
        <w:t>26</w:t>
      </w:r>
      <w:r>
        <w:fldChar w:fldCharType="end"/>
      </w:r>
      <w:r>
        <w:fldChar w:fldCharType="end"/>
      </w:r>
    </w:p>
    <w:p>
      <w:pPr>
        <w:pStyle w:val="55"/>
        <w:tabs>
          <w:tab w:val="right" w:leader="dot" w:pos="9070"/>
        </w:tabs>
        <w:spacing w:line="360" w:lineRule="auto"/>
        <w:ind w:left="210"/>
      </w:pPr>
      <w:r>
        <w:fldChar w:fldCharType="begin"/>
      </w:r>
      <w:r>
        <w:instrText xml:space="preserve"> HYPERLINK \l "_Toc26" </w:instrText>
      </w:r>
      <w:r>
        <w:fldChar w:fldCharType="separate"/>
      </w:r>
      <w:r>
        <w:rPr>
          <w:rFonts w:hint="eastAsia" w:ascii="仿宋_GB2312" w:hAnsi="仿宋_GB2312" w:cs="仿宋_GB2312"/>
          <w:bCs/>
        </w:rPr>
        <w:t>九、入围供应商清退规则：</w:t>
      </w:r>
      <w:r>
        <w:tab/>
      </w:r>
      <w:r>
        <w:fldChar w:fldCharType="begin"/>
      </w:r>
      <w:r>
        <w:instrText xml:space="preserve"> PAGEREF _Toc26 </w:instrText>
      </w:r>
      <w:r>
        <w:fldChar w:fldCharType="separate"/>
      </w:r>
      <w:r>
        <w:t>26</w:t>
      </w:r>
      <w:r>
        <w:fldChar w:fldCharType="end"/>
      </w:r>
      <w:r>
        <w:fldChar w:fldCharType="end"/>
      </w:r>
    </w:p>
    <w:p>
      <w:pPr>
        <w:pStyle w:val="55"/>
        <w:tabs>
          <w:tab w:val="right" w:leader="dot" w:pos="9070"/>
        </w:tabs>
        <w:spacing w:line="360" w:lineRule="auto"/>
        <w:ind w:left="210"/>
      </w:pPr>
      <w:r>
        <w:fldChar w:fldCharType="begin"/>
      </w:r>
      <w:r>
        <w:instrText xml:space="preserve"> HYPERLINK \l "_Toc8020" </w:instrText>
      </w:r>
      <w:r>
        <w:fldChar w:fldCharType="separate"/>
      </w:r>
      <w:r>
        <w:rPr>
          <w:rFonts w:hint="eastAsia" w:ascii="仿宋_GB2312" w:hAnsi="仿宋_GB2312" w:cs="仿宋_GB2312"/>
          <w:bCs/>
        </w:rPr>
        <w:t>十、入围供应商补充规则：</w:t>
      </w:r>
      <w:r>
        <w:tab/>
      </w:r>
      <w:r>
        <w:fldChar w:fldCharType="begin"/>
      </w:r>
      <w:r>
        <w:instrText xml:space="preserve"> PAGEREF _Toc8020 </w:instrText>
      </w:r>
      <w:r>
        <w:fldChar w:fldCharType="separate"/>
      </w:r>
      <w:r>
        <w:t>27</w:t>
      </w:r>
      <w:r>
        <w:fldChar w:fldCharType="end"/>
      </w:r>
      <w:r>
        <w:fldChar w:fldCharType="end"/>
      </w:r>
    </w:p>
    <w:p>
      <w:pPr>
        <w:pStyle w:val="44"/>
        <w:tabs>
          <w:tab w:val="right" w:leader="dot" w:pos="9070"/>
        </w:tabs>
        <w:spacing w:line="360" w:lineRule="auto"/>
      </w:pPr>
      <w:r>
        <w:fldChar w:fldCharType="begin"/>
      </w:r>
      <w:r>
        <w:instrText xml:space="preserve"> HYPERLINK \l "_Toc17703" </w:instrText>
      </w:r>
      <w:r>
        <w:fldChar w:fldCharType="separate"/>
      </w:r>
      <w:r>
        <w:rPr>
          <w:rFonts w:hint="eastAsia" w:ascii="仿宋_GB2312" w:hAnsi="宋体" w:cs="宋体"/>
          <w:szCs w:val="32"/>
        </w:rPr>
        <w:t>第四部分 确定第一阶段入围供应商的评审方法</w:t>
      </w:r>
      <w:r>
        <w:tab/>
      </w:r>
      <w:r>
        <w:fldChar w:fldCharType="begin"/>
      </w:r>
      <w:r>
        <w:instrText xml:space="preserve"> PAGEREF _Toc17703 </w:instrText>
      </w:r>
      <w:r>
        <w:fldChar w:fldCharType="separate"/>
      </w:r>
      <w:r>
        <w:t>28</w:t>
      </w:r>
      <w:r>
        <w:fldChar w:fldCharType="end"/>
      </w:r>
      <w:r>
        <w:fldChar w:fldCharType="end"/>
      </w:r>
    </w:p>
    <w:p>
      <w:pPr>
        <w:pStyle w:val="44"/>
        <w:tabs>
          <w:tab w:val="right" w:leader="dot" w:pos="9070"/>
        </w:tabs>
        <w:spacing w:line="360" w:lineRule="auto"/>
      </w:pPr>
      <w:r>
        <w:fldChar w:fldCharType="begin"/>
      </w:r>
      <w:r>
        <w:instrText xml:space="preserve"> HYPERLINK \l "_Toc10074" </w:instrText>
      </w:r>
      <w:r>
        <w:fldChar w:fldCharType="separate"/>
      </w:r>
      <w:r>
        <w:rPr>
          <w:rFonts w:hint="eastAsia" w:ascii="仿宋_GB2312" w:hAnsi="宋体" w:cs="宋体"/>
          <w:szCs w:val="32"/>
        </w:rPr>
        <w:t>第五部分 拟签订的框架协议文本和采购合同文本</w:t>
      </w:r>
      <w:r>
        <w:tab/>
      </w:r>
      <w:r>
        <w:fldChar w:fldCharType="begin"/>
      </w:r>
      <w:r>
        <w:instrText xml:space="preserve"> PAGEREF _Toc10074 </w:instrText>
      </w:r>
      <w:r>
        <w:fldChar w:fldCharType="separate"/>
      </w:r>
      <w:r>
        <w:t>32</w:t>
      </w:r>
      <w:r>
        <w:fldChar w:fldCharType="end"/>
      </w:r>
      <w:r>
        <w:fldChar w:fldCharType="end"/>
      </w:r>
    </w:p>
    <w:p>
      <w:pPr>
        <w:pStyle w:val="44"/>
        <w:tabs>
          <w:tab w:val="right" w:leader="dot" w:pos="9070"/>
        </w:tabs>
        <w:spacing w:line="360" w:lineRule="auto"/>
      </w:pPr>
      <w:r>
        <w:fldChar w:fldCharType="begin"/>
      </w:r>
      <w:r>
        <w:instrText xml:space="preserve"> HYPERLINK \l "_Toc28687" </w:instrText>
      </w:r>
      <w:r>
        <w:fldChar w:fldCharType="separate"/>
      </w:r>
      <w:r>
        <w:rPr>
          <w:rFonts w:hint="eastAsia" w:ascii="仿宋_GB2312" w:hAnsi="宋体" w:cs="宋体"/>
          <w:szCs w:val="32"/>
        </w:rPr>
        <w:t>第六部分 响应文件编制格式及规范要求</w:t>
      </w:r>
      <w:r>
        <w:tab/>
      </w:r>
      <w:r>
        <w:fldChar w:fldCharType="begin"/>
      </w:r>
      <w:r>
        <w:instrText xml:space="preserve"> PAGEREF _Toc28687 </w:instrText>
      </w:r>
      <w:r>
        <w:fldChar w:fldCharType="separate"/>
      </w:r>
      <w:r>
        <w:t>46</w:t>
      </w:r>
      <w:r>
        <w:fldChar w:fldCharType="end"/>
      </w:r>
      <w:r>
        <w:fldChar w:fldCharType="end"/>
      </w:r>
    </w:p>
    <w:p>
      <w:pPr>
        <w:pStyle w:val="55"/>
        <w:tabs>
          <w:tab w:val="right" w:leader="dot" w:pos="9070"/>
        </w:tabs>
        <w:spacing w:line="360" w:lineRule="auto"/>
        <w:ind w:left="210"/>
      </w:pPr>
      <w:r>
        <w:fldChar w:fldCharType="begin"/>
      </w:r>
      <w:r>
        <w:instrText xml:space="preserve"> HYPERLINK \l "_Toc321" </w:instrText>
      </w:r>
      <w:r>
        <w:fldChar w:fldCharType="separate"/>
      </w:r>
      <w:r>
        <w:rPr>
          <w:rFonts w:hint="eastAsia" w:ascii="仿宋_GB2312" w:hAnsi="宋体" w:cs="宋体"/>
          <w:kern w:val="0"/>
          <w:szCs w:val="48"/>
        </w:rPr>
        <w:t>响应文件</w:t>
      </w:r>
      <w:r>
        <w:tab/>
      </w:r>
      <w:r>
        <w:fldChar w:fldCharType="begin"/>
      </w:r>
      <w:r>
        <w:instrText xml:space="preserve"> PAGEREF _Toc321 </w:instrText>
      </w:r>
      <w:r>
        <w:fldChar w:fldCharType="separate"/>
      </w:r>
      <w:r>
        <w:t>46</w:t>
      </w:r>
      <w:r>
        <w:fldChar w:fldCharType="end"/>
      </w:r>
      <w:r>
        <w:fldChar w:fldCharType="end"/>
      </w:r>
    </w:p>
    <w:p>
      <w:pPr>
        <w:pStyle w:val="55"/>
        <w:tabs>
          <w:tab w:val="right" w:leader="dot" w:pos="9070"/>
        </w:tabs>
        <w:spacing w:line="360" w:lineRule="auto"/>
        <w:ind w:left="210"/>
      </w:pPr>
      <w:r>
        <w:fldChar w:fldCharType="begin"/>
      </w:r>
      <w:r>
        <w:instrText xml:space="preserve"> HYPERLINK \l "_Toc31590" </w:instrText>
      </w:r>
      <w:r>
        <w:fldChar w:fldCharType="separate"/>
      </w:r>
      <w:r>
        <w:rPr>
          <w:rFonts w:hint="eastAsia" w:ascii="仿宋_GB2312" w:hAnsi="宋体" w:cs="宋体"/>
          <w:kern w:val="0"/>
          <w:szCs w:val="32"/>
        </w:rPr>
        <w:t>目录</w:t>
      </w:r>
      <w:r>
        <w:tab/>
      </w:r>
      <w:r>
        <w:fldChar w:fldCharType="begin"/>
      </w:r>
      <w:r>
        <w:instrText xml:space="preserve"> PAGEREF _Toc31590 </w:instrText>
      </w:r>
      <w:r>
        <w:fldChar w:fldCharType="separate"/>
      </w:r>
      <w:r>
        <w:t>46</w:t>
      </w:r>
      <w:r>
        <w:fldChar w:fldCharType="end"/>
      </w:r>
      <w:r>
        <w:fldChar w:fldCharType="end"/>
      </w:r>
    </w:p>
    <w:p>
      <w:pPr>
        <w:pStyle w:val="55"/>
        <w:tabs>
          <w:tab w:val="right" w:leader="dot" w:pos="9070"/>
        </w:tabs>
        <w:spacing w:line="360" w:lineRule="auto"/>
        <w:ind w:left="210"/>
      </w:pPr>
      <w:r>
        <w:fldChar w:fldCharType="begin"/>
      </w:r>
      <w:r>
        <w:instrText xml:space="preserve"> HYPERLINK \l "_Toc23605" </w:instrText>
      </w:r>
      <w:r>
        <w:fldChar w:fldCharType="separate"/>
      </w:r>
      <w:r>
        <w:rPr>
          <w:rFonts w:hint="eastAsia" w:ascii="仿宋_GB2312" w:hAnsi="宋体" w:cs="宋体"/>
          <w:kern w:val="0"/>
          <w:szCs w:val="32"/>
        </w:rPr>
        <w:t>一、资格响应文件</w:t>
      </w:r>
      <w:r>
        <w:tab/>
      </w:r>
      <w:r>
        <w:fldChar w:fldCharType="begin"/>
      </w:r>
      <w:r>
        <w:instrText xml:space="preserve"> PAGEREF _Toc23605 </w:instrText>
      </w:r>
      <w:r>
        <w:fldChar w:fldCharType="separate"/>
      </w:r>
      <w:r>
        <w:t>47</w:t>
      </w:r>
      <w:r>
        <w:fldChar w:fldCharType="end"/>
      </w:r>
      <w:r>
        <w:fldChar w:fldCharType="end"/>
      </w:r>
    </w:p>
    <w:p>
      <w:pPr>
        <w:pStyle w:val="55"/>
        <w:tabs>
          <w:tab w:val="right" w:leader="dot" w:pos="9070"/>
        </w:tabs>
        <w:spacing w:line="360" w:lineRule="auto"/>
        <w:ind w:left="210"/>
      </w:pPr>
      <w:r>
        <w:fldChar w:fldCharType="begin"/>
      </w:r>
      <w:r>
        <w:instrText xml:space="preserve"> HYPERLINK \l "_Toc703" </w:instrText>
      </w:r>
      <w:r>
        <w:fldChar w:fldCharType="separate"/>
      </w:r>
      <w:r>
        <w:rPr>
          <w:rFonts w:hint="eastAsia" w:ascii="仿宋_GB2312" w:hAnsi="宋体" w:cs="宋体"/>
          <w:kern w:val="0"/>
          <w:szCs w:val="32"/>
        </w:rPr>
        <w:t>二、商务技术响应文件</w:t>
      </w:r>
      <w:r>
        <w:tab/>
      </w:r>
      <w:r>
        <w:fldChar w:fldCharType="begin"/>
      </w:r>
      <w:r>
        <w:instrText xml:space="preserve"> PAGEREF _Toc703 </w:instrText>
      </w:r>
      <w:r>
        <w:fldChar w:fldCharType="separate"/>
      </w:r>
      <w:r>
        <w:t>49</w:t>
      </w:r>
      <w:r>
        <w:fldChar w:fldCharType="end"/>
      </w:r>
      <w:r>
        <w:fldChar w:fldCharType="end"/>
      </w:r>
    </w:p>
    <w:p>
      <w:pPr>
        <w:pStyle w:val="55"/>
        <w:tabs>
          <w:tab w:val="right" w:leader="dot" w:pos="9070"/>
        </w:tabs>
        <w:spacing w:line="360" w:lineRule="auto"/>
        <w:ind w:left="210"/>
      </w:pPr>
      <w:r>
        <w:fldChar w:fldCharType="begin"/>
      </w:r>
      <w:r>
        <w:instrText xml:space="preserve"> HYPERLINK \l "_Toc20528" </w:instrText>
      </w:r>
      <w:r>
        <w:fldChar w:fldCharType="separate"/>
      </w:r>
      <w:r>
        <w:rPr>
          <w:rFonts w:hint="eastAsia" w:ascii="仿宋_GB2312" w:hAnsi="宋体" w:cs="宋体"/>
          <w:kern w:val="0"/>
          <w:szCs w:val="32"/>
        </w:rPr>
        <w:t>三、▲参数响应文件</w:t>
      </w:r>
      <w:r>
        <w:tab/>
      </w:r>
      <w:r>
        <w:fldChar w:fldCharType="begin"/>
      </w:r>
      <w:r>
        <w:instrText xml:space="preserve"> PAGEREF _Toc20528 </w:instrText>
      </w:r>
      <w:r>
        <w:fldChar w:fldCharType="separate"/>
      </w:r>
      <w:r>
        <w:t>56</w:t>
      </w:r>
      <w:r>
        <w:fldChar w:fldCharType="end"/>
      </w:r>
      <w:r>
        <w:fldChar w:fldCharType="end"/>
      </w:r>
    </w:p>
    <w:p>
      <w:pPr>
        <w:pStyle w:val="55"/>
        <w:tabs>
          <w:tab w:val="right" w:leader="dot" w:pos="9070"/>
        </w:tabs>
        <w:spacing w:line="360" w:lineRule="auto"/>
        <w:ind w:left="210"/>
      </w:pPr>
      <w:r>
        <w:fldChar w:fldCharType="begin"/>
      </w:r>
      <w:r>
        <w:instrText xml:space="preserve"> HYPERLINK \l "_Toc4325" </w:instrText>
      </w:r>
      <w:r>
        <w:fldChar w:fldCharType="separate"/>
      </w:r>
      <w:r>
        <w:rPr>
          <w:rFonts w:hint="eastAsia" w:ascii="仿宋_GB2312" w:hAnsi="宋体" w:cs="宋体"/>
          <w:kern w:val="0"/>
          <w:szCs w:val="32"/>
        </w:rPr>
        <w:t>四、报价要求响应文件</w:t>
      </w:r>
      <w:r>
        <w:tab/>
      </w:r>
      <w:r>
        <w:fldChar w:fldCharType="begin"/>
      </w:r>
      <w:r>
        <w:instrText xml:space="preserve"> PAGEREF _Toc4325 </w:instrText>
      </w:r>
      <w:r>
        <w:fldChar w:fldCharType="separate"/>
      </w:r>
      <w:r>
        <w:t>57</w:t>
      </w:r>
      <w:r>
        <w:fldChar w:fldCharType="end"/>
      </w:r>
      <w:r>
        <w:fldChar w:fldCharType="end"/>
      </w:r>
    </w:p>
    <w:p>
      <w:pPr>
        <w:spacing w:line="360" w:lineRule="auto"/>
        <w:rPr>
          <w:rFonts w:ascii="仿宋_GB2312" w:hAnsi="宋体" w:eastAsia="仿宋_GB2312" w:cs="宋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Cs w:val="28"/>
          <w14:textFill>
            <w14:solidFill>
              <w14:schemeClr w14:val="tx1"/>
            </w14:solidFill>
          </w14:textFill>
        </w:rPr>
        <w:fldChar w:fldCharType="end"/>
      </w:r>
    </w:p>
    <w:p>
      <w:pPr>
        <w:jc w:val="left"/>
        <w:rPr>
          <w:rFonts w:ascii="仿宋_GB2312" w:hAnsi="宋体" w:eastAsia="仿宋_GB2312" w:cs="宋体"/>
          <w:b/>
          <w:color w:val="000000" w:themeColor="text1"/>
          <w:sz w:val="32"/>
          <w:szCs w:val="32"/>
          <w14:textFill>
            <w14:solidFill>
              <w14:schemeClr w14:val="tx1"/>
            </w14:solidFill>
          </w14:textFill>
        </w:rPr>
      </w:pPr>
      <w:bookmarkStart w:id="5" w:name="_Hlt74729822"/>
      <w:bookmarkEnd w:id="5"/>
      <w:bookmarkStart w:id="6" w:name="_Hlt74728647"/>
      <w:bookmarkEnd w:id="6"/>
      <w:bookmarkStart w:id="7" w:name="_Hlt74707423"/>
      <w:bookmarkEnd w:id="7"/>
      <w:bookmarkStart w:id="8" w:name="_Hlt74649545"/>
      <w:bookmarkEnd w:id="8"/>
      <w:bookmarkStart w:id="9" w:name="第一部分"/>
      <w:bookmarkStart w:id="10" w:name="_Toc146706812"/>
      <w:bookmarkStart w:id="11" w:name="_Toc91899870"/>
      <w:bookmarkStart w:id="12" w:name="_Toc91899871"/>
      <w:r>
        <w:rPr>
          <w:rFonts w:hint="eastAsia" w:ascii="仿宋_GB2312" w:hAnsi="宋体" w:eastAsia="仿宋_GB2312" w:cs="宋体"/>
          <w:b/>
          <w:color w:val="000000" w:themeColor="text1"/>
          <w:sz w:val="32"/>
          <w:szCs w:val="32"/>
          <w14:textFill>
            <w14:solidFill>
              <w14:schemeClr w14:val="tx1"/>
            </w14:solidFill>
          </w14:textFill>
        </w:rPr>
        <w:br w:type="page"/>
      </w:r>
    </w:p>
    <w:p>
      <w:pPr>
        <w:spacing w:after="240" w:afterLines="100" w:line="360" w:lineRule="auto"/>
        <w:jc w:val="center"/>
        <w:outlineLvl w:val="0"/>
        <w:rPr>
          <w:rFonts w:ascii="仿宋_GB2312" w:hAnsi="宋体" w:eastAsia="仿宋_GB2312" w:cs="宋体"/>
          <w:b/>
          <w:color w:val="000000" w:themeColor="text1"/>
          <w:sz w:val="32"/>
          <w:szCs w:val="32"/>
          <w14:textFill>
            <w14:solidFill>
              <w14:schemeClr w14:val="tx1"/>
            </w14:solidFill>
          </w14:textFill>
        </w:rPr>
      </w:pPr>
      <w:bookmarkStart w:id="13" w:name="_Toc28782"/>
      <w:r>
        <w:rPr>
          <w:rFonts w:hint="eastAsia" w:ascii="仿宋_GB2312" w:hAnsi="宋体" w:eastAsia="仿宋_GB2312" w:cs="宋体"/>
          <w:b/>
          <w:color w:val="000000" w:themeColor="text1"/>
          <w:sz w:val="32"/>
          <w:szCs w:val="32"/>
          <w14:textFill>
            <w14:solidFill>
              <w14:schemeClr w14:val="tx1"/>
            </w14:solidFill>
          </w14:textFill>
        </w:rPr>
        <w:t>第一部分  征集公告</w:t>
      </w:r>
      <w:bookmarkEnd w:id="9"/>
      <w:bookmarkEnd w:id="10"/>
      <w:bookmarkEnd w:id="13"/>
    </w:p>
    <w:p>
      <w:pPr>
        <w:spacing w:line="440" w:lineRule="exact"/>
        <w:ind w:firstLine="480" w:firstLineChars="200"/>
        <w:rPr>
          <w:rFonts w:ascii="仿宋_GB2312" w:eastAsia="仿宋_GB2312"/>
          <w:sz w:val="24"/>
        </w:rPr>
      </w:pPr>
      <w:r>
        <w:rPr>
          <w:rFonts w:hint="eastAsia" w:ascii="仿宋_GB2312" w:eastAsia="仿宋_GB2312"/>
          <w:sz w:val="24"/>
        </w:rPr>
        <w:t>根据《中华人民共和国政府采购法》《政府采购货物和服务招标投标管理办法》《政府采购框架协议采购方式管理暂行办法》《浙江省政府采购电子交易管理暂行办法》等规定，现就“2025-2026年度丽水市（市本级、莲都区、开发区、缙云县、云和县）审计服务封闭式框架协议采购项目”进行公开征集，邀请符合条件的供应商前来响应。</w:t>
      </w:r>
    </w:p>
    <w:p>
      <w:pPr>
        <w:spacing w:line="440" w:lineRule="exact"/>
        <w:ind w:firstLine="482" w:firstLineChars="200"/>
        <w:outlineLvl w:val="1"/>
        <w:rPr>
          <w:rFonts w:ascii="仿宋_GB2312" w:eastAsia="仿宋_GB2312"/>
          <w:b/>
          <w:sz w:val="24"/>
        </w:rPr>
      </w:pPr>
      <w:bookmarkStart w:id="14" w:name="_Toc627"/>
      <w:bookmarkStart w:id="15" w:name="_Toc146706813"/>
      <w:bookmarkStart w:id="16" w:name="_Hlk24379207"/>
      <w:r>
        <w:rPr>
          <w:rFonts w:hint="eastAsia" w:ascii="仿宋_GB2312" w:eastAsia="仿宋_GB2312"/>
          <w:b/>
          <w:sz w:val="24"/>
        </w:rPr>
        <w:t>一、项目基本情况</w:t>
      </w:r>
      <w:bookmarkEnd w:id="14"/>
      <w:bookmarkEnd w:id="15"/>
    </w:p>
    <w:p>
      <w:pPr>
        <w:spacing w:line="440" w:lineRule="exact"/>
        <w:ind w:firstLine="482" w:firstLineChars="200"/>
        <w:rPr>
          <w:rFonts w:ascii="仿宋_GB2312" w:eastAsia="仿宋_GB2312"/>
          <w:sz w:val="24"/>
          <w:highlight w:val="yellow"/>
        </w:rPr>
      </w:pPr>
      <w:r>
        <w:rPr>
          <w:rFonts w:hint="eastAsia" w:ascii="仿宋_GB2312" w:eastAsia="仿宋_GB2312"/>
          <w:b/>
          <w:sz w:val="24"/>
        </w:rPr>
        <w:t>项目编号：</w:t>
      </w:r>
      <w:r>
        <w:rPr>
          <w:rFonts w:ascii="仿宋_GB2312" w:eastAsia="仿宋_GB2312"/>
          <w:sz w:val="24"/>
        </w:rPr>
        <w:t>LCK2024-003</w:t>
      </w:r>
    </w:p>
    <w:p>
      <w:pPr>
        <w:spacing w:line="440" w:lineRule="exact"/>
        <w:ind w:firstLine="482" w:firstLineChars="200"/>
        <w:rPr>
          <w:rFonts w:ascii="仿宋_GB2312" w:eastAsia="仿宋_GB2312"/>
          <w:sz w:val="24"/>
        </w:rPr>
      </w:pPr>
      <w:r>
        <w:rPr>
          <w:rFonts w:hint="eastAsia" w:ascii="仿宋_GB2312" w:eastAsia="仿宋_GB2312"/>
          <w:b/>
          <w:sz w:val="24"/>
        </w:rPr>
        <w:t>项目名称：</w:t>
      </w:r>
      <w:r>
        <w:rPr>
          <w:rFonts w:hint="eastAsia" w:ascii="仿宋_GB2312" w:eastAsia="仿宋_GB2312"/>
          <w:sz w:val="24"/>
        </w:rPr>
        <w:t>2025-2026年度丽水市（市本级、莲都区、开发区、缙云县、云和县）审计服务封闭式框架协议采购项目</w:t>
      </w:r>
    </w:p>
    <w:bookmarkEnd w:id="16"/>
    <w:p>
      <w:pPr>
        <w:spacing w:line="440" w:lineRule="exact"/>
        <w:ind w:firstLine="482" w:firstLineChars="200"/>
        <w:rPr>
          <w:rFonts w:ascii="仿宋_GB2312" w:eastAsia="仿宋_GB2312"/>
          <w:sz w:val="24"/>
        </w:rPr>
      </w:pPr>
      <w:r>
        <w:rPr>
          <w:rFonts w:hint="eastAsia" w:ascii="仿宋_GB2312" w:eastAsia="仿宋_GB2312"/>
          <w:b/>
          <w:sz w:val="24"/>
        </w:rPr>
        <w:t>适用服务对象范围：</w:t>
      </w:r>
      <w:r>
        <w:rPr>
          <w:rFonts w:hint="eastAsia" w:ascii="仿宋_GB2312" w:eastAsia="仿宋_GB2312"/>
          <w:sz w:val="24"/>
        </w:rPr>
        <w:t>丽水市市本级、莲都区、开发区、缙云县、云和县行政机关、事业单位、团体组织。</w:t>
      </w:r>
      <w:bookmarkStart w:id="17" w:name="_Toc28359080"/>
      <w:bookmarkStart w:id="18" w:name="_Toc28359003"/>
      <w:bookmarkStart w:id="19" w:name="_Toc35393791"/>
      <w:bookmarkStart w:id="20" w:name="_Toc35393622"/>
    </w:p>
    <w:p>
      <w:pPr>
        <w:spacing w:line="440" w:lineRule="exact"/>
        <w:ind w:firstLine="482" w:firstLineChars="200"/>
        <w:rPr>
          <w:rFonts w:ascii="仿宋_GB2312" w:eastAsia="仿宋_GB2312"/>
          <w:sz w:val="24"/>
        </w:rPr>
      </w:pPr>
      <w:r>
        <w:rPr>
          <w:rFonts w:hint="eastAsia" w:ascii="仿宋_GB2312" w:eastAsia="仿宋_GB2312"/>
          <w:b/>
          <w:sz w:val="24"/>
        </w:rPr>
        <w:t>采购内容：</w:t>
      </w:r>
      <w:r>
        <w:rPr>
          <w:rFonts w:hint="eastAsia" w:ascii="仿宋_GB2312" w:eastAsia="仿宋_GB2312"/>
          <w:sz w:val="24"/>
        </w:rPr>
        <w:t>本项目采购审计服务，按照公认的会计原则，审查某机构的会计账册和其他单据的服务，跟踪审计服务归入此类。</w:t>
      </w:r>
    </w:p>
    <w:p>
      <w:pPr>
        <w:spacing w:line="440" w:lineRule="exact"/>
        <w:ind w:firstLine="480" w:firstLineChars="200"/>
        <w:rPr>
          <w:rFonts w:ascii="仿宋_GB2312" w:eastAsia="仿宋_GB2312"/>
          <w:sz w:val="24"/>
        </w:rPr>
      </w:pPr>
      <w:r>
        <w:rPr>
          <w:rFonts w:hint="eastAsia" w:ascii="仿宋_GB2312" w:eastAsia="仿宋_GB2312"/>
          <w:sz w:val="24"/>
        </w:rPr>
        <w:t>供应商根据要求进行响应，并提交响应文件。具体以征集文件第三部分采购需求为准。</w:t>
      </w:r>
    </w:p>
    <w:bookmarkEnd w:id="17"/>
    <w:bookmarkEnd w:id="18"/>
    <w:bookmarkEnd w:id="19"/>
    <w:bookmarkEnd w:id="20"/>
    <w:p>
      <w:pPr>
        <w:spacing w:line="440" w:lineRule="exact"/>
        <w:ind w:firstLine="482" w:firstLineChars="200"/>
        <w:outlineLvl w:val="1"/>
        <w:rPr>
          <w:rFonts w:ascii="仿宋_GB2312" w:eastAsia="仿宋_GB2312"/>
          <w:b/>
          <w:sz w:val="24"/>
        </w:rPr>
      </w:pPr>
      <w:bookmarkStart w:id="21" w:name="_Toc146706814"/>
      <w:bookmarkStart w:id="22" w:name="_Toc8470"/>
      <w:bookmarkStart w:id="23" w:name="_Toc28359081"/>
      <w:bookmarkStart w:id="24" w:name="_Toc28359004"/>
      <w:r>
        <w:rPr>
          <w:rFonts w:hint="eastAsia" w:ascii="仿宋_GB2312" w:eastAsia="仿宋_GB2312"/>
          <w:b/>
          <w:sz w:val="24"/>
        </w:rPr>
        <w:t>二、供应商的资格要求</w:t>
      </w:r>
      <w:bookmarkEnd w:id="21"/>
      <w:bookmarkEnd w:id="22"/>
    </w:p>
    <w:p>
      <w:pPr>
        <w:spacing w:line="440" w:lineRule="exact"/>
        <w:ind w:firstLine="480" w:firstLineChars="200"/>
        <w:rPr>
          <w:rFonts w:ascii="仿宋_GB2312" w:eastAsia="仿宋_GB2312"/>
          <w:sz w:val="24"/>
        </w:rPr>
      </w:pPr>
      <w:r>
        <w:rPr>
          <w:rFonts w:hint="eastAsia" w:ascii="仿宋_GB2312" w:eastAsia="仿宋_GB2312"/>
          <w:sz w:val="24"/>
        </w:rPr>
        <w:t>1.满足《中华人民共和国政府采购法》第二十二条规定。</w:t>
      </w:r>
    </w:p>
    <w:p>
      <w:pPr>
        <w:spacing w:line="440" w:lineRule="exact"/>
        <w:ind w:firstLine="480" w:firstLineChars="200"/>
        <w:rPr>
          <w:rFonts w:ascii="仿宋_GB2312" w:eastAsia="仿宋_GB2312"/>
          <w:sz w:val="24"/>
        </w:rPr>
      </w:pPr>
      <w:r>
        <w:rPr>
          <w:rFonts w:hint="eastAsia" w:ascii="仿宋_GB2312" w:eastAsia="仿宋_GB2312"/>
          <w:sz w:val="24"/>
        </w:rPr>
        <w:t>2.未被列入“信用中国”网站(</w:t>
      </w:r>
      <w:r>
        <w:fldChar w:fldCharType="begin"/>
      </w:r>
      <w:r>
        <w:instrText xml:space="preserve"> HYPERLINK "http://www.creditchina.gov.cn/" \t "_blank" </w:instrText>
      </w:r>
      <w:r>
        <w:fldChar w:fldCharType="separate"/>
      </w:r>
      <w:r>
        <w:rPr>
          <w:rStyle w:val="76"/>
          <w:rFonts w:hint="eastAsia" w:ascii="仿宋_GB2312" w:eastAsia="仿宋_GB2312"/>
          <w:sz w:val="24"/>
          <w:szCs w:val="24"/>
        </w:rPr>
        <w:t>www.creditchina.gov.cn</w:t>
      </w:r>
      <w:r>
        <w:rPr>
          <w:rStyle w:val="76"/>
          <w:rFonts w:hint="eastAsia" w:ascii="仿宋_GB2312" w:eastAsia="仿宋_GB2312"/>
          <w:sz w:val="24"/>
          <w:szCs w:val="24"/>
        </w:rPr>
        <w:fldChar w:fldCharType="end"/>
      </w:r>
      <w:r>
        <w:rPr>
          <w:rFonts w:hint="eastAsia" w:ascii="仿宋_GB2312" w:eastAsia="仿宋_GB2312"/>
          <w:sz w:val="24"/>
        </w:rPr>
        <w:t>)、中国政府采购网(</w:t>
      </w:r>
      <w:r>
        <w:fldChar w:fldCharType="begin"/>
      </w:r>
      <w:r>
        <w:instrText xml:space="preserve"> HYPERLINK "http://www.ccgp.gov.cn/" \t "_blank" </w:instrText>
      </w:r>
      <w:r>
        <w:fldChar w:fldCharType="separate"/>
      </w:r>
      <w:r>
        <w:rPr>
          <w:rStyle w:val="76"/>
          <w:rFonts w:hint="eastAsia" w:ascii="仿宋_GB2312" w:eastAsia="仿宋_GB2312"/>
          <w:sz w:val="24"/>
          <w:szCs w:val="24"/>
        </w:rPr>
        <w:t>www.ccgp.gov.cn</w:t>
      </w:r>
      <w:r>
        <w:rPr>
          <w:rStyle w:val="76"/>
          <w:rFonts w:hint="eastAsia" w:ascii="仿宋_GB2312" w:eastAsia="仿宋_GB2312"/>
          <w:sz w:val="24"/>
          <w:szCs w:val="24"/>
        </w:rPr>
        <w:fldChar w:fldCharType="end"/>
      </w:r>
      <w:r>
        <w:rPr>
          <w:rFonts w:hint="eastAsia" w:ascii="仿宋_GB2312" w:eastAsia="仿宋_GB2312"/>
          <w:sz w:val="24"/>
        </w:rPr>
        <w:t>)渠道信用记录失信被执行人、重大税收违法案件当事人名单、政府采购严重违法失信行为记录名单的供应商。</w:t>
      </w:r>
    </w:p>
    <w:p>
      <w:pPr>
        <w:spacing w:line="440" w:lineRule="exact"/>
        <w:ind w:firstLine="480" w:firstLineChars="200"/>
        <w:rPr>
          <w:rFonts w:ascii="仿宋_GB2312" w:eastAsia="仿宋_GB2312"/>
          <w:sz w:val="24"/>
        </w:rPr>
      </w:pPr>
      <w:r>
        <w:rPr>
          <w:rFonts w:hint="eastAsia" w:ascii="仿宋_GB2312" w:eastAsia="仿宋_GB2312"/>
          <w:sz w:val="24"/>
        </w:rPr>
        <w:t>3.在中华人民共和国境内注册，能承担本项目的供应商。</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4.单位负责人为同一人或者存在直接控股、管理关系的不同供应商，不得参加同一合同项下的政府采购活动。</w:t>
      </w:r>
    </w:p>
    <w:p>
      <w:pPr>
        <w:spacing w:line="440" w:lineRule="exact"/>
        <w:ind w:firstLine="480" w:firstLineChars="200"/>
        <w:rPr>
          <w:rFonts w:ascii="仿宋_GB2312" w:eastAsia="仿宋_GB2312"/>
          <w:sz w:val="24"/>
        </w:rPr>
      </w:pPr>
      <w:r>
        <w:rPr>
          <w:rFonts w:hint="eastAsia" w:ascii="仿宋_GB2312" w:eastAsia="仿宋_GB2312"/>
          <w:sz w:val="24"/>
        </w:rPr>
        <w:t>5.特定资格要求：具有财政部门颁发的现行有效的会计师事务所执业证书。</w:t>
      </w:r>
    </w:p>
    <w:p>
      <w:pPr>
        <w:spacing w:line="440" w:lineRule="exact"/>
        <w:ind w:firstLine="480" w:firstLineChars="200"/>
        <w:rPr>
          <w:rFonts w:ascii="仿宋_GB2312" w:eastAsia="仿宋_GB2312"/>
          <w:sz w:val="24"/>
        </w:rPr>
      </w:pPr>
      <w:r>
        <w:rPr>
          <w:rFonts w:hint="eastAsia" w:ascii="仿宋_GB2312" w:eastAsia="仿宋_GB2312"/>
          <w:sz w:val="24"/>
        </w:rPr>
        <w:t>6.特别提示：</w:t>
      </w:r>
    </w:p>
    <w:p>
      <w:pPr>
        <w:spacing w:line="440" w:lineRule="exact"/>
        <w:ind w:firstLine="480" w:firstLineChars="200"/>
        <w:rPr>
          <w:rFonts w:ascii="仿宋_GB2312" w:eastAsia="仿宋_GB2312"/>
          <w:sz w:val="24"/>
        </w:rPr>
      </w:pPr>
      <w:r>
        <w:rPr>
          <w:rFonts w:hint="eastAsia" w:ascii="仿宋_GB2312" w:eastAsia="仿宋_GB2312"/>
          <w:sz w:val="24"/>
        </w:rPr>
        <w:t>（1）本项目不接受联合体参与响应；</w:t>
      </w:r>
    </w:p>
    <w:p>
      <w:pPr>
        <w:spacing w:line="440" w:lineRule="exact"/>
        <w:ind w:firstLine="480" w:firstLineChars="200"/>
        <w:rPr>
          <w:rFonts w:ascii="仿宋_GB2312" w:eastAsia="仿宋_GB2312"/>
          <w:sz w:val="24"/>
        </w:rPr>
      </w:pPr>
      <w:r>
        <w:rPr>
          <w:rFonts w:hint="eastAsia" w:ascii="仿宋_GB2312" w:eastAsia="仿宋_GB2312"/>
          <w:sz w:val="24"/>
        </w:rPr>
        <w:t>（2）本项目不接受分公司（分支机构）直接参与响应。如个别供应商提供的服务全部由丽水市级所在地分公司（分支机构）承担且开具发票的，仍须以总公司（总机构）名义申请。总公司（总机构）在承诺文件“供应商认为需要的其他文件或说明”中还需提供：</w:t>
      </w:r>
    </w:p>
    <w:p>
      <w:pPr>
        <w:spacing w:line="440" w:lineRule="exact"/>
        <w:ind w:firstLine="480" w:firstLineChars="200"/>
        <w:rPr>
          <w:rFonts w:ascii="仿宋_GB2312" w:eastAsia="仿宋_GB2312"/>
          <w:sz w:val="24"/>
        </w:rPr>
      </w:pPr>
      <w:r>
        <w:rPr>
          <w:rFonts w:hint="eastAsia" w:ascii="仿宋_GB2312" w:eastAsia="仿宋_GB2312"/>
          <w:sz w:val="24"/>
        </w:rPr>
        <w:t>A.丽水市级所在地分公司（分支机构）具体名称；</w:t>
      </w:r>
    </w:p>
    <w:p>
      <w:pPr>
        <w:spacing w:line="440" w:lineRule="exact"/>
        <w:ind w:firstLine="480" w:firstLineChars="200"/>
        <w:rPr>
          <w:rFonts w:ascii="仿宋_GB2312" w:eastAsia="仿宋_GB2312"/>
          <w:sz w:val="24"/>
        </w:rPr>
      </w:pPr>
      <w:r>
        <w:rPr>
          <w:rFonts w:hint="eastAsia" w:ascii="仿宋_GB2312" w:eastAsia="仿宋_GB2312"/>
          <w:sz w:val="24"/>
        </w:rPr>
        <w:t>B.对丽水市级所在地分公司（分支机构）出具针对本项目的唯一授权书；</w:t>
      </w:r>
    </w:p>
    <w:p>
      <w:pPr>
        <w:spacing w:line="440" w:lineRule="exact"/>
        <w:ind w:firstLine="480" w:firstLineChars="200"/>
        <w:rPr>
          <w:rFonts w:ascii="仿宋_GB2312" w:eastAsia="仿宋_GB2312"/>
          <w:sz w:val="24"/>
        </w:rPr>
      </w:pPr>
      <w:r>
        <w:rPr>
          <w:rFonts w:hint="eastAsia" w:ascii="仿宋_GB2312" w:eastAsia="仿宋_GB2312"/>
          <w:sz w:val="24"/>
        </w:rPr>
        <w:t>C.丽水市级所在地分公司（分支机构）的会计师事务所执业证书（复印件）。</w:t>
      </w:r>
    </w:p>
    <w:p>
      <w:pPr>
        <w:spacing w:line="440" w:lineRule="exact"/>
        <w:ind w:firstLine="482" w:firstLineChars="200"/>
        <w:outlineLvl w:val="1"/>
        <w:rPr>
          <w:rFonts w:ascii="仿宋_GB2312" w:eastAsia="仿宋_GB2312"/>
          <w:b/>
          <w:sz w:val="24"/>
        </w:rPr>
      </w:pPr>
      <w:bookmarkStart w:id="25" w:name="_Toc7880"/>
      <w:bookmarkStart w:id="26" w:name="_Toc146706815"/>
      <w:r>
        <w:rPr>
          <w:rFonts w:hint="eastAsia" w:ascii="仿宋_GB2312" w:eastAsia="仿宋_GB2312"/>
          <w:b/>
          <w:sz w:val="24"/>
        </w:rPr>
        <w:t>三、框架协议的期限</w:t>
      </w:r>
      <w:bookmarkEnd w:id="25"/>
      <w:bookmarkEnd w:id="26"/>
    </w:p>
    <w:p>
      <w:pPr>
        <w:spacing w:line="440" w:lineRule="exact"/>
        <w:ind w:firstLine="480" w:firstLineChars="200"/>
        <w:rPr>
          <w:rFonts w:ascii="仿宋_GB2312" w:eastAsia="仿宋_GB2312"/>
          <w:sz w:val="24"/>
        </w:rPr>
      </w:pPr>
      <w:r>
        <w:rPr>
          <w:rFonts w:hint="eastAsia" w:ascii="仿宋_GB2312" w:eastAsia="仿宋_GB2312"/>
          <w:sz w:val="24"/>
        </w:rPr>
        <w:t>框架协议生效之日起-2026年12月31日</w:t>
      </w:r>
    </w:p>
    <w:p>
      <w:pPr>
        <w:spacing w:line="440" w:lineRule="exact"/>
        <w:ind w:firstLine="482" w:firstLineChars="200"/>
        <w:outlineLvl w:val="1"/>
        <w:rPr>
          <w:rFonts w:ascii="仿宋_GB2312" w:eastAsia="仿宋_GB2312"/>
          <w:b/>
          <w:sz w:val="24"/>
        </w:rPr>
      </w:pPr>
      <w:bookmarkStart w:id="27" w:name="_Toc20948"/>
      <w:bookmarkStart w:id="28" w:name="_Toc146706816"/>
      <w:bookmarkStart w:id="29" w:name="_Toc35393792"/>
      <w:bookmarkStart w:id="30" w:name="_Toc35393623"/>
      <w:r>
        <w:rPr>
          <w:rFonts w:hint="eastAsia" w:ascii="仿宋_GB2312" w:eastAsia="仿宋_GB2312"/>
          <w:b/>
          <w:sz w:val="24"/>
        </w:rPr>
        <w:t>四、获取征集文件</w:t>
      </w:r>
      <w:bookmarkEnd w:id="23"/>
      <w:bookmarkEnd w:id="24"/>
      <w:bookmarkEnd w:id="27"/>
      <w:bookmarkEnd w:id="28"/>
      <w:bookmarkEnd w:id="29"/>
      <w:bookmarkEnd w:id="30"/>
    </w:p>
    <w:p>
      <w:pPr>
        <w:spacing w:line="440" w:lineRule="exact"/>
        <w:ind w:firstLine="482" w:firstLineChars="200"/>
        <w:rPr>
          <w:rFonts w:ascii="仿宋_GB2312" w:eastAsia="仿宋_GB2312"/>
          <w:color w:val="auto"/>
          <w:sz w:val="24"/>
        </w:rPr>
      </w:pPr>
      <w:r>
        <w:rPr>
          <w:rFonts w:hint="eastAsia" w:ascii="仿宋_GB2312" w:eastAsia="仿宋_GB2312"/>
          <w:b/>
          <w:sz w:val="24"/>
        </w:rPr>
        <w:t>获取时间：</w:t>
      </w:r>
      <w:r>
        <w:rPr>
          <w:rFonts w:hint="eastAsia" w:ascii="仿宋_GB2312" w:eastAsia="仿宋_GB2312"/>
          <w:color w:val="auto"/>
          <w:sz w:val="24"/>
        </w:rPr>
        <w:t>2025年</w:t>
      </w:r>
      <w:r>
        <w:rPr>
          <w:rFonts w:hint="eastAsia" w:ascii="仿宋_GB2312" w:eastAsia="仿宋_GB2312"/>
          <w:color w:val="auto"/>
          <w:sz w:val="24"/>
          <w:lang w:val="en-US" w:eastAsia="zh-CN"/>
        </w:rPr>
        <w:t>3</w:t>
      </w:r>
      <w:r>
        <w:rPr>
          <w:rFonts w:hint="eastAsia" w:ascii="仿宋_GB2312" w:eastAsia="仿宋_GB2312"/>
          <w:color w:val="auto"/>
          <w:sz w:val="24"/>
        </w:rPr>
        <w:t>月</w:t>
      </w:r>
      <w:r>
        <w:rPr>
          <w:rFonts w:hint="eastAsia" w:ascii="仿宋_GB2312" w:eastAsia="仿宋_GB2312"/>
          <w:color w:val="auto"/>
          <w:sz w:val="24"/>
          <w:lang w:val="en-US" w:eastAsia="zh-CN"/>
        </w:rPr>
        <w:t>7</w:t>
      </w:r>
      <w:bookmarkStart w:id="505" w:name="_GoBack"/>
      <w:bookmarkEnd w:id="505"/>
      <w:r>
        <w:rPr>
          <w:rFonts w:hint="eastAsia" w:ascii="仿宋_GB2312" w:eastAsia="仿宋_GB2312"/>
          <w:color w:val="auto"/>
          <w:sz w:val="24"/>
        </w:rPr>
        <w:t>日至2025年</w:t>
      </w:r>
      <w:r>
        <w:rPr>
          <w:rFonts w:hint="eastAsia" w:ascii="仿宋_GB2312" w:eastAsia="仿宋_GB2312"/>
          <w:color w:val="auto"/>
          <w:sz w:val="24"/>
          <w:lang w:val="en-US" w:eastAsia="zh-CN"/>
        </w:rPr>
        <w:t>4</w:t>
      </w:r>
      <w:r>
        <w:rPr>
          <w:rFonts w:hint="eastAsia" w:ascii="仿宋_GB2312" w:eastAsia="仿宋_GB2312"/>
          <w:color w:val="auto"/>
          <w:sz w:val="24"/>
        </w:rPr>
        <w:t>月</w:t>
      </w:r>
      <w:r>
        <w:rPr>
          <w:rFonts w:hint="eastAsia" w:ascii="仿宋_GB2312" w:eastAsia="仿宋_GB2312"/>
          <w:color w:val="auto"/>
          <w:sz w:val="24"/>
          <w:lang w:val="en-US" w:eastAsia="zh-CN"/>
        </w:rPr>
        <w:t>1</w:t>
      </w:r>
      <w:r>
        <w:rPr>
          <w:rFonts w:hint="eastAsia" w:ascii="仿宋_GB2312" w:eastAsia="仿宋_GB2312"/>
          <w:color w:val="auto"/>
          <w:sz w:val="24"/>
        </w:rPr>
        <w:t>日</w:t>
      </w:r>
    </w:p>
    <w:p>
      <w:pPr>
        <w:spacing w:line="440" w:lineRule="exact"/>
        <w:ind w:firstLine="482" w:firstLineChars="200"/>
        <w:rPr>
          <w:rFonts w:ascii="仿宋_GB2312" w:eastAsia="仿宋_GB2312"/>
          <w:sz w:val="24"/>
        </w:rPr>
      </w:pPr>
      <w:r>
        <w:rPr>
          <w:rFonts w:hint="eastAsia" w:ascii="仿宋_GB2312" w:eastAsia="仿宋_GB2312"/>
          <w:b/>
          <w:sz w:val="24"/>
        </w:rPr>
        <w:t>获取地点：</w:t>
      </w:r>
      <w:r>
        <w:rPr>
          <w:rFonts w:hint="eastAsia" w:ascii="仿宋_GB2312" w:eastAsia="仿宋_GB2312"/>
          <w:sz w:val="24"/>
        </w:rPr>
        <w:t>政采云平台（https://www.zcygov.cn/）</w:t>
      </w:r>
    </w:p>
    <w:p>
      <w:pPr>
        <w:wordWrap w:val="0"/>
        <w:spacing w:line="440" w:lineRule="exact"/>
        <w:ind w:firstLine="482" w:firstLineChars="200"/>
        <w:rPr>
          <w:rFonts w:ascii="仿宋_GB2312" w:eastAsia="仿宋_GB2312"/>
          <w:bCs/>
          <w:sz w:val="24"/>
        </w:rPr>
      </w:pPr>
      <w:r>
        <w:rPr>
          <w:rFonts w:hint="eastAsia" w:ascii="仿宋_GB2312" w:eastAsia="仿宋_GB2312"/>
          <w:b/>
          <w:sz w:val="24"/>
        </w:rPr>
        <w:t>获取方式：</w:t>
      </w:r>
      <w:r>
        <w:rPr>
          <w:rFonts w:hint="eastAsia" w:ascii="仿宋_GB2312" w:eastAsia="仿宋_GB2312"/>
          <w:bCs/>
          <w:sz w:val="24"/>
        </w:rPr>
        <w:t>供应商登录政采云平台https://www.zcygov.cn/在线申请获取采购文件（进入“项目采购”应用，在获取采购文件菜单中选择项目，申请获取采购文件）。</w:t>
      </w:r>
    </w:p>
    <w:p>
      <w:pPr>
        <w:spacing w:line="440" w:lineRule="exact"/>
        <w:ind w:firstLine="482" w:firstLineChars="200"/>
        <w:rPr>
          <w:rFonts w:ascii="仿宋_GB2312" w:eastAsia="仿宋_GB2312"/>
          <w:sz w:val="24"/>
        </w:rPr>
      </w:pPr>
      <w:r>
        <w:rPr>
          <w:rFonts w:hint="eastAsia" w:ascii="仿宋_GB2312" w:eastAsia="仿宋_GB2312"/>
          <w:b/>
          <w:sz w:val="24"/>
        </w:rPr>
        <w:t>售价：</w:t>
      </w:r>
      <w:r>
        <w:rPr>
          <w:rFonts w:hint="eastAsia" w:ascii="仿宋_GB2312" w:eastAsia="仿宋_GB2312"/>
          <w:sz w:val="24"/>
        </w:rPr>
        <w:t>0元</w:t>
      </w:r>
    </w:p>
    <w:p>
      <w:pPr>
        <w:spacing w:line="440" w:lineRule="exact"/>
        <w:ind w:firstLine="482" w:firstLineChars="200"/>
        <w:outlineLvl w:val="1"/>
        <w:rPr>
          <w:rFonts w:ascii="仿宋_GB2312" w:eastAsia="仿宋_GB2312"/>
          <w:b/>
          <w:sz w:val="24"/>
        </w:rPr>
      </w:pPr>
      <w:bookmarkStart w:id="31" w:name="_Toc35393793"/>
      <w:bookmarkStart w:id="32" w:name="_Toc146706817"/>
      <w:bookmarkStart w:id="33" w:name="_Toc28359082"/>
      <w:bookmarkStart w:id="34" w:name="_Toc35393624"/>
      <w:bookmarkStart w:id="35" w:name="_Toc28359005"/>
      <w:bookmarkStart w:id="36" w:name="_Toc18807"/>
      <w:r>
        <w:rPr>
          <w:rFonts w:hint="eastAsia" w:ascii="仿宋_GB2312" w:eastAsia="仿宋_GB2312"/>
          <w:b/>
          <w:sz w:val="24"/>
        </w:rPr>
        <w:t>五、</w:t>
      </w:r>
      <w:bookmarkEnd w:id="31"/>
      <w:bookmarkEnd w:id="32"/>
      <w:bookmarkEnd w:id="33"/>
      <w:bookmarkEnd w:id="34"/>
      <w:bookmarkEnd w:id="35"/>
      <w:r>
        <w:rPr>
          <w:rFonts w:hint="eastAsia" w:ascii="仿宋_GB2312" w:eastAsia="仿宋_GB2312"/>
          <w:b/>
          <w:sz w:val="24"/>
        </w:rPr>
        <w:t>响应文件的提交方式、提交截止时间和地点，开启方式、时间和地点</w:t>
      </w:r>
      <w:bookmarkEnd w:id="36"/>
    </w:p>
    <w:p>
      <w:pPr>
        <w:spacing w:line="440" w:lineRule="exact"/>
        <w:ind w:firstLine="482" w:firstLineChars="200"/>
        <w:rPr>
          <w:rFonts w:ascii="仿宋_GB2312" w:eastAsia="仿宋_GB2312"/>
          <w:sz w:val="24"/>
        </w:rPr>
      </w:pPr>
      <w:bookmarkStart w:id="37" w:name="_Toc146706818"/>
      <w:bookmarkStart w:id="38" w:name="_Toc35393625"/>
      <w:bookmarkStart w:id="39" w:name="_Toc28359007"/>
      <w:bookmarkStart w:id="40" w:name="_Toc28359084"/>
      <w:bookmarkStart w:id="41" w:name="_Toc35393794"/>
      <w:r>
        <w:rPr>
          <w:rFonts w:hint="eastAsia" w:ascii="仿宋_GB2312" w:eastAsia="仿宋_GB2312"/>
          <w:b/>
          <w:bCs/>
          <w:sz w:val="24"/>
        </w:rPr>
        <w:t>响应文件提交截止时间：</w:t>
      </w:r>
      <w:r>
        <w:rPr>
          <w:rFonts w:hint="eastAsia" w:ascii="仿宋_GB2312" w:eastAsia="仿宋_GB2312"/>
          <w:sz w:val="24"/>
        </w:rPr>
        <w:t>2025年</w:t>
      </w:r>
      <w:r>
        <w:rPr>
          <w:rFonts w:hint="eastAsia" w:ascii="仿宋_GB2312" w:eastAsia="仿宋_GB2312"/>
          <w:sz w:val="24"/>
          <w:lang w:val="en-US" w:eastAsia="zh-CN"/>
        </w:rPr>
        <w:t>4</w:t>
      </w:r>
      <w:r>
        <w:rPr>
          <w:rFonts w:hint="eastAsia" w:ascii="仿宋_GB2312" w:eastAsia="仿宋_GB2312"/>
          <w:sz w:val="24"/>
        </w:rPr>
        <w:t>月</w:t>
      </w:r>
      <w:r>
        <w:rPr>
          <w:rFonts w:hint="eastAsia" w:ascii="仿宋_GB2312" w:eastAsia="仿宋_GB2312"/>
          <w:sz w:val="24"/>
          <w:lang w:val="en-US" w:eastAsia="zh-CN"/>
        </w:rPr>
        <w:t>1</w:t>
      </w:r>
      <w:r>
        <w:rPr>
          <w:rFonts w:hint="eastAsia" w:ascii="仿宋_GB2312" w:eastAsia="仿宋_GB2312"/>
          <w:sz w:val="24"/>
        </w:rPr>
        <w:t>日9时00分00秒 （北京时间）</w:t>
      </w:r>
    </w:p>
    <w:p>
      <w:pPr>
        <w:spacing w:line="440" w:lineRule="exact"/>
        <w:ind w:firstLine="482" w:firstLineChars="200"/>
        <w:rPr>
          <w:rFonts w:ascii="仿宋_GB2312" w:eastAsia="仿宋_GB2312"/>
          <w:sz w:val="24"/>
        </w:rPr>
      </w:pPr>
      <w:r>
        <w:rPr>
          <w:rFonts w:hint="eastAsia" w:ascii="仿宋_GB2312" w:eastAsia="仿宋_GB2312"/>
          <w:b/>
          <w:bCs/>
          <w:sz w:val="24"/>
        </w:rPr>
        <w:t>响应文件提交地点（网址）：</w:t>
      </w:r>
      <w:r>
        <w:rPr>
          <w:rFonts w:hint="eastAsia" w:ascii="仿宋_GB2312" w:eastAsia="仿宋_GB2312"/>
          <w:sz w:val="24"/>
        </w:rPr>
        <w:t>政采云平台（https://www.zcygov.cn/）</w:t>
      </w:r>
    </w:p>
    <w:p>
      <w:pPr>
        <w:spacing w:line="440" w:lineRule="exact"/>
        <w:ind w:firstLine="482" w:firstLineChars="200"/>
        <w:rPr>
          <w:rFonts w:ascii="仿宋_GB2312" w:eastAsia="仿宋_GB2312"/>
          <w:sz w:val="24"/>
        </w:rPr>
      </w:pPr>
      <w:r>
        <w:rPr>
          <w:rFonts w:hint="eastAsia" w:ascii="仿宋_GB2312" w:eastAsia="仿宋_GB2312"/>
          <w:b/>
          <w:bCs/>
          <w:sz w:val="24"/>
        </w:rPr>
        <w:t>开启时间：</w:t>
      </w:r>
      <w:r>
        <w:rPr>
          <w:rFonts w:hint="eastAsia" w:ascii="仿宋_GB2312" w:eastAsia="仿宋_GB2312"/>
          <w:sz w:val="24"/>
        </w:rPr>
        <w:t>2025年</w:t>
      </w:r>
      <w:r>
        <w:rPr>
          <w:rFonts w:hint="eastAsia" w:ascii="仿宋_GB2312" w:eastAsia="仿宋_GB2312"/>
          <w:sz w:val="24"/>
          <w:lang w:val="en-US" w:eastAsia="zh-CN"/>
        </w:rPr>
        <w:t>4</w:t>
      </w:r>
      <w:r>
        <w:rPr>
          <w:rFonts w:hint="eastAsia" w:ascii="仿宋_GB2312" w:eastAsia="仿宋_GB2312"/>
          <w:sz w:val="24"/>
        </w:rPr>
        <w:t>月</w:t>
      </w:r>
      <w:r>
        <w:rPr>
          <w:rFonts w:hint="eastAsia" w:ascii="仿宋_GB2312" w:eastAsia="仿宋_GB2312"/>
          <w:sz w:val="24"/>
          <w:lang w:val="en-US" w:eastAsia="zh-CN"/>
        </w:rPr>
        <w:t>1</w:t>
      </w:r>
      <w:r>
        <w:rPr>
          <w:rFonts w:hint="eastAsia" w:ascii="仿宋_GB2312" w:eastAsia="仿宋_GB2312"/>
          <w:sz w:val="24"/>
        </w:rPr>
        <w:t>日</w:t>
      </w:r>
      <w:r>
        <w:rPr>
          <w:rFonts w:hint="eastAsia" w:ascii="仿宋_GB2312" w:eastAsia="仿宋_GB2312"/>
          <w:sz w:val="24"/>
          <w:lang w:val="en-US" w:eastAsia="zh-CN"/>
        </w:rPr>
        <w:t>9</w:t>
      </w:r>
      <w:r>
        <w:rPr>
          <w:rFonts w:hint="eastAsia" w:ascii="仿宋_GB2312" w:eastAsia="仿宋_GB2312"/>
          <w:sz w:val="24"/>
        </w:rPr>
        <w:t>时00分00秒</w:t>
      </w:r>
    </w:p>
    <w:p>
      <w:pPr>
        <w:spacing w:line="440" w:lineRule="exact"/>
        <w:ind w:firstLine="482" w:firstLineChars="200"/>
        <w:rPr>
          <w:rFonts w:ascii="仿宋_GB2312" w:eastAsia="仿宋_GB2312"/>
          <w:sz w:val="24"/>
        </w:rPr>
      </w:pPr>
      <w:r>
        <w:rPr>
          <w:rFonts w:hint="eastAsia" w:ascii="仿宋_GB2312" w:eastAsia="仿宋_GB2312"/>
          <w:b/>
          <w:bCs/>
          <w:sz w:val="24"/>
        </w:rPr>
        <w:t>开启地点（网址）：</w:t>
      </w:r>
      <w:r>
        <w:rPr>
          <w:rFonts w:hint="eastAsia" w:ascii="仿宋_GB2312" w:eastAsia="仿宋_GB2312"/>
          <w:sz w:val="24"/>
        </w:rPr>
        <w:t>政采云平台（https://www.zcygov.cn/）</w:t>
      </w:r>
    </w:p>
    <w:p>
      <w:pPr>
        <w:spacing w:line="440" w:lineRule="exact"/>
        <w:ind w:firstLine="482" w:firstLineChars="200"/>
        <w:rPr>
          <w:rFonts w:ascii="仿宋_GB2312" w:eastAsia="仿宋_GB2312"/>
          <w:bCs/>
          <w:sz w:val="24"/>
        </w:rPr>
      </w:pPr>
      <w:r>
        <w:rPr>
          <w:rFonts w:hint="eastAsia" w:ascii="仿宋_GB2312" w:eastAsia="仿宋_GB2312"/>
          <w:b/>
          <w:bCs/>
          <w:sz w:val="24"/>
        </w:rPr>
        <w:t>方式：</w:t>
      </w:r>
      <w:r>
        <w:rPr>
          <w:rFonts w:hint="eastAsia" w:ascii="仿宋_GB2312" w:eastAsia="仿宋_GB2312"/>
          <w:sz w:val="24"/>
        </w:rPr>
        <w:t>均在线提交和开启，详见本征集文件。</w:t>
      </w:r>
    </w:p>
    <w:p>
      <w:pPr>
        <w:spacing w:line="440" w:lineRule="exact"/>
        <w:ind w:firstLine="482" w:firstLineChars="200"/>
        <w:outlineLvl w:val="1"/>
        <w:rPr>
          <w:rFonts w:ascii="仿宋_GB2312" w:eastAsia="仿宋_GB2312"/>
          <w:b/>
          <w:sz w:val="24"/>
        </w:rPr>
      </w:pPr>
      <w:bookmarkStart w:id="42" w:name="_Toc12461"/>
      <w:r>
        <w:rPr>
          <w:rFonts w:hint="eastAsia" w:ascii="仿宋_GB2312" w:eastAsia="仿宋_GB2312"/>
          <w:b/>
          <w:sz w:val="24"/>
        </w:rPr>
        <w:t>六、公告期限</w:t>
      </w:r>
      <w:bookmarkEnd w:id="37"/>
      <w:bookmarkEnd w:id="38"/>
      <w:bookmarkEnd w:id="39"/>
      <w:bookmarkEnd w:id="40"/>
      <w:bookmarkEnd w:id="41"/>
      <w:bookmarkEnd w:id="42"/>
    </w:p>
    <w:p>
      <w:pPr>
        <w:spacing w:line="440" w:lineRule="exact"/>
        <w:ind w:firstLine="480" w:firstLineChars="200"/>
        <w:rPr>
          <w:rFonts w:ascii="仿宋_GB2312" w:eastAsia="仿宋_GB2312"/>
          <w:sz w:val="24"/>
        </w:rPr>
      </w:pPr>
      <w:r>
        <w:rPr>
          <w:rFonts w:hint="eastAsia" w:ascii="仿宋_GB2312" w:eastAsia="仿宋_GB2312"/>
          <w:sz w:val="24"/>
        </w:rPr>
        <w:t>自本公告发布之日起5个工作日。</w:t>
      </w:r>
    </w:p>
    <w:p>
      <w:pPr>
        <w:spacing w:line="440" w:lineRule="exact"/>
        <w:ind w:firstLine="482" w:firstLineChars="200"/>
        <w:outlineLvl w:val="1"/>
        <w:rPr>
          <w:rFonts w:ascii="仿宋_GB2312" w:eastAsia="仿宋_GB2312"/>
          <w:b/>
          <w:sz w:val="24"/>
        </w:rPr>
      </w:pPr>
      <w:bookmarkStart w:id="43" w:name="_Toc35393795"/>
      <w:bookmarkStart w:id="44" w:name="_Toc20315"/>
      <w:bookmarkStart w:id="45" w:name="_Toc146706819"/>
      <w:bookmarkStart w:id="46" w:name="_Toc35393626"/>
      <w:r>
        <w:rPr>
          <w:rFonts w:hint="eastAsia" w:ascii="仿宋_GB2312" w:eastAsia="仿宋_GB2312"/>
          <w:b/>
          <w:sz w:val="24"/>
        </w:rPr>
        <w:t>七、其他补充事宜</w:t>
      </w:r>
      <w:bookmarkEnd w:id="43"/>
      <w:bookmarkEnd w:id="44"/>
      <w:bookmarkEnd w:id="45"/>
      <w:bookmarkEnd w:id="46"/>
    </w:p>
    <w:p>
      <w:pPr>
        <w:spacing w:line="440" w:lineRule="exact"/>
        <w:ind w:firstLine="482" w:firstLineChars="200"/>
        <w:outlineLvl w:val="2"/>
        <w:rPr>
          <w:rFonts w:ascii="仿宋_GB2312" w:eastAsia="仿宋_GB2312"/>
          <w:b/>
          <w:sz w:val="24"/>
        </w:rPr>
      </w:pPr>
      <w:r>
        <w:rPr>
          <w:rFonts w:hint="eastAsia" w:ascii="仿宋_GB2312" w:eastAsia="仿宋_GB2312"/>
          <w:b/>
          <w:sz w:val="24"/>
        </w:rPr>
        <w:t>1.质疑和投诉</w:t>
      </w:r>
    </w:p>
    <w:p>
      <w:pPr>
        <w:spacing w:line="440" w:lineRule="exact"/>
        <w:ind w:firstLine="480" w:firstLineChars="200"/>
        <w:rPr>
          <w:rFonts w:ascii="仿宋_GB2312" w:eastAsia="仿宋_GB2312"/>
          <w:sz w:val="24"/>
        </w:rPr>
      </w:pPr>
      <w:r>
        <w:rPr>
          <w:rFonts w:hint="eastAsia" w:ascii="仿宋_GB2312" w:eastAsia="仿宋_GB2312"/>
          <w:sz w:val="24"/>
        </w:rPr>
        <w:t>供应商如认为征集文件、采购过程和成交结果使自身的合法权益受到损害的，可以在知道或者应知其权益受到损害之日起七个工作日内，以书面形式向丽水市公共资源交易中心提出质疑；供应商对质疑答复不满意或者未在规定时间内作出答复的，可以在答复期满后十五个工作日内向丽水市财政局政府采购监管处投诉。质疑函、投诉书范本在浙江政府采购网（zfcg.czt.zj.gov.cn）-下载专区中下载。</w:t>
      </w:r>
    </w:p>
    <w:p>
      <w:pPr>
        <w:spacing w:line="440" w:lineRule="exact"/>
        <w:ind w:firstLine="480" w:firstLineChars="200"/>
        <w:rPr>
          <w:rFonts w:ascii="仿宋_GB2312" w:eastAsia="仿宋_GB2312"/>
          <w:sz w:val="24"/>
        </w:rPr>
      </w:pPr>
      <w:r>
        <w:rPr>
          <w:rFonts w:hint="eastAsia" w:ascii="仿宋_GB2312" w:eastAsia="仿宋_GB2312"/>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ind w:firstLine="482" w:firstLineChars="200"/>
        <w:outlineLvl w:val="2"/>
        <w:rPr>
          <w:rFonts w:ascii="仿宋_GB2312" w:eastAsia="仿宋_GB2312"/>
          <w:b/>
          <w:sz w:val="24"/>
        </w:rPr>
      </w:pPr>
      <w:r>
        <w:rPr>
          <w:rFonts w:hint="eastAsia" w:ascii="仿宋_GB2312" w:eastAsia="仿宋_GB2312"/>
          <w:b/>
          <w:sz w:val="24"/>
        </w:rPr>
        <w:t>2</w:t>
      </w:r>
      <w:r>
        <w:rPr>
          <w:rFonts w:ascii="仿宋_GB2312" w:eastAsia="仿宋_GB2312"/>
          <w:b/>
          <w:sz w:val="24"/>
        </w:rPr>
        <w:t>.</w:t>
      </w:r>
      <w:r>
        <w:rPr>
          <w:rFonts w:hint="eastAsia" w:ascii="仿宋_GB2312" w:eastAsia="仿宋_GB2312"/>
          <w:b/>
          <w:sz w:val="24"/>
        </w:rPr>
        <w:t>其他事项：</w:t>
      </w:r>
    </w:p>
    <w:p>
      <w:pPr>
        <w:spacing w:line="440" w:lineRule="exact"/>
        <w:ind w:firstLine="482" w:firstLineChars="200"/>
        <w:outlineLvl w:val="3"/>
        <w:rPr>
          <w:rFonts w:ascii="仿宋_GB2312" w:eastAsia="仿宋_GB2312"/>
          <w:b/>
          <w:sz w:val="24"/>
        </w:rPr>
      </w:pPr>
      <w:r>
        <w:rPr>
          <w:rFonts w:hint="eastAsia" w:ascii="仿宋_GB2312" w:eastAsia="仿宋_GB2312"/>
          <w:b/>
          <w:sz w:val="24"/>
        </w:rPr>
        <w:t>（1）需要落实的政府采购政策：见征集文件的第二部分总则。</w:t>
      </w:r>
    </w:p>
    <w:p>
      <w:pPr>
        <w:spacing w:line="440" w:lineRule="exact"/>
        <w:ind w:firstLine="482" w:firstLineChars="200"/>
        <w:outlineLvl w:val="3"/>
        <w:rPr>
          <w:rFonts w:ascii="仿宋_GB2312" w:eastAsia="仿宋_GB2312"/>
          <w:b/>
          <w:sz w:val="24"/>
        </w:rPr>
      </w:pPr>
      <w:r>
        <w:rPr>
          <w:rFonts w:hint="eastAsia" w:ascii="仿宋_GB2312" w:eastAsia="仿宋_GB2312"/>
          <w:b/>
          <w:sz w:val="24"/>
        </w:rPr>
        <w:t>（2）电子招投标（公开征集电子采购）的说明：</w:t>
      </w:r>
    </w:p>
    <w:p>
      <w:pPr>
        <w:spacing w:line="440" w:lineRule="exact"/>
        <w:ind w:firstLine="482" w:firstLineChars="200"/>
        <w:rPr>
          <w:rFonts w:ascii="仿宋_GB2312" w:eastAsia="仿宋_GB2312"/>
          <w:sz w:val="24"/>
        </w:rPr>
      </w:pPr>
      <w:r>
        <w:rPr>
          <w:rFonts w:hint="eastAsia" w:ascii="仿宋_GB2312" w:eastAsia="仿宋_GB2312"/>
          <w:b/>
          <w:sz w:val="24"/>
        </w:rPr>
        <w:t>①电子招投标（公开征集电子采购）：</w:t>
      </w:r>
      <w:r>
        <w:rPr>
          <w:rFonts w:hint="eastAsia" w:ascii="仿宋_GB2312" w:eastAsia="仿宋_GB2312"/>
          <w:sz w:val="24"/>
        </w:rPr>
        <w:t>本项目以数据电文形式，依托“政府采购云平台（www.zcygov.cn）”进行招投标（公开征集电子采购）活动，不接受纸质投标（响应）文件；</w:t>
      </w:r>
    </w:p>
    <w:p>
      <w:pPr>
        <w:spacing w:line="440" w:lineRule="exact"/>
        <w:ind w:firstLine="482" w:firstLineChars="200"/>
        <w:rPr>
          <w:rFonts w:ascii="仿宋_GB2312" w:eastAsia="仿宋_GB2312"/>
          <w:sz w:val="24"/>
        </w:rPr>
      </w:pPr>
      <w:r>
        <w:rPr>
          <w:rFonts w:hint="eastAsia" w:ascii="仿宋_GB2312" w:eastAsia="仿宋_GB2312"/>
          <w:b/>
          <w:sz w:val="24"/>
        </w:rPr>
        <w:t>②投标（响应）准备：</w:t>
      </w:r>
      <w:r>
        <w:rPr>
          <w:rFonts w:hint="eastAsia" w:ascii="仿宋_GB2312" w:eastAsia="仿宋_GB2312"/>
          <w:sz w:val="24"/>
        </w:rPr>
        <w:t>注册账号-点击“商家入驻”，进行政府采购供应商资料填写；申领CA数字证书-申领流程见“浙江政府采购网-下载专区-电子交易客户端-CA驱动和申领流程”；安装“政采云电子交易客户端”-前往“浙江政府采购网-下载专区-电子交易客户端”进行下载并安装；</w:t>
      </w:r>
    </w:p>
    <w:p>
      <w:pPr>
        <w:spacing w:line="440" w:lineRule="exact"/>
        <w:ind w:firstLine="482" w:firstLineChars="200"/>
        <w:rPr>
          <w:rFonts w:ascii="仿宋_GB2312" w:eastAsia="仿宋_GB2312"/>
          <w:sz w:val="24"/>
        </w:rPr>
      </w:pPr>
      <w:r>
        <w:rPr>
          <w:rFonts w:hint="eastAsia" w:ascii="仿宋_GB2312" w:eastAsia="仿宋_GB2312"/>
          <w:b/>
          <w:sz w:val="24"/>
        </w:rPr>
        <w:t>③招标（征集）文件的获取：</w:t>
      </w:r>
      <w:r>
        <w:rPr>
          <w:rFonts w:hint="eastAsia" w:ascii="仿宋_GB2312" w:eastAsia="仿宋_GB2312"/>
          <w:sz w:val="24"/>
        </w:rPr>
        <w:t>使用账号登录或者使用CA登录政采云平台；进入“项目采购”应用，在获取采购文件菜单中选择项目，获取招标（征集）文件；</w:t>
      </w:r>
    </w:p>
    <w:p>
      <w:pPr>
        <w:spacing w:line="440" w:lineRule="exact"/>
        <w:ind w:firstLine="482" w:firstLineChars="200"/>
        <w:rPr>
          <w:rFonts w:ascii="仿宋_GB2312" w:eastAsia="仿宋_GB2312"/>
          <w:sz w:val="24"/>
        </w:rPr>
      </w:pPr>
      <w:r>
        <w:rPr>
          <w:rFonts w:hint="eastAsia" w:ascii="仿宋_GB2312" w:eastAsia="仿宋_GB2312"/>
          <w:b/>
          <w:sz w:val="24"/>
        </w:rPr>
        <w:t>④投标（响应）文件的制作：</w:t>
      </w:r>
      <w:r>
        <w:rPr>
          <w:rFonts w:hint="eastAsia" w:ascii="仿宋_GB2312" w:eastAsia="仿宋_GB2312"/>
          <w:sz w:val="24"/>
        </w:rPr>
        <w:t>在“政采云电子交易客户端”中完成“填写基本信息”、“导入投标（响应）文件”、“标书关联”、“标书检查”、“电子签名”、“生成电子标书”等操作；</w:t>
      </w:r>
    </w:p>
    <w:p>
      <w:pPr>
        <w:spacing w:line="440" w:lineRule="exact"/>
        <w:ind w:firstLine="480" w:firstLineChars="200"/>
        <w:rPr>
          <w:rFonts w:ascii="仿宋_GB2312" w:eastAsia="仿宋_GB2312"/>
          <w:sz w:val="24"/>
        </w:rPr>
      </w:pPr>
      <w:r>
        <w:rPr>
          <w:rFonts w:hint="eastAsia" w:ascii="仿宋_GB2312" w:eastAsia="仿宋_GB2312"/>
          <w:sz w:val="24"/>
        </w:rPr>
        <w:t>⑤采购人、采购机构（征集人）将依托政采云平台完成本项目的电子交易活动，平台不接受未按上述方式获取招标（征集）文件的供应商进行投标（响应）活动；</w:t>
      </w:r>
    </w:p>
    <w:p>
      <w:pPr>
        <w:spacing w:line="440" w:lineRule="exact"/>
        <w:ind w:firstLine="480" w:firstLineChars="200"/>
        <w:rPr>
          <w:rFonts w:ascii="仿宋_GB2312" w:eastAsia="仿宋_GB2312"/>
          <w:sz w:val="24"/>
        </w:rPr>
      </w:pPr>
      <w:r>
        <w:rPr>
          <w:rFonts w:hint="eastAsia" w:ascii="仿宋_GB2312" w:eastAsia="仿宋_GB2312"/>
          <w:sz w:val="24"/>
        </w:rPr>
        <w:t>⑥对未按上述方式获取招标（征集）文件的供应商对该文件提出的质疑，征集人将不予处理；</w:t>
      </w:r>
    </w:p>
    <w:p>
      <w:pPr>
        <w:spacing w:line="440" w:lineRule="exact"/>
        <w:ind w:firstLine="480" w:firstLineChars="200"/>
        <w:rPr>
          <w:rFonts w:ascii="仿宋_GB2312" w:eastAsia="仿宋_GB2312"/>
          <w:sz w:val="24"/>
        </w:rPr>
      </w:pPr>
      <w:r>
        <w:rPr>
          <w:rFonts w:hint="eastAsia" w:ascii="仿宋_GB2312" w:eastAsia="仿宋_GB2312"/>
          <w:sz w:val="24"/>
        </w:rPr>
        <w:t>⑦不提供招标（征集）文件纸质版；</w:t>
      </w:r>
    </w:p>
    <w:p>
      <w:pPr>
        <w:spacing w:line="440" w:lineRule="exact"/>
        <w:ind w:firstLine="482" w:firstLineChars="200"/>
        <w:rPr>
          <w:rFonts w:ascii="仿宋_GB2312" w:eastAsia="仿宋_GB2312"/>
          <w:sz w:val="24"/>
        </w:rPr>
      </w:pPr>
      <w:r>
        <w:rPr>
          <w:rFonts w:hint="eastAsia" w:ascii="仿宋_GB2312" w:eastAsia="仿宋_GB2312"/>
          <w:b/>
          <w:sz w:val="24"/>
        </w:rPr>
        <w:t>⑧投标（响应）文件的传输递交：</w:t>
      </w:r>
      <w:r>
        <w:rPr>
          <w:rFonts w:hint="eastAsia" w:ascii="仿宋_GB2312" w:eastAsia="仿宋_GB2312"/>
          <w:sz w:val="24"/>
        </w:rPr>
        <w:t>投标（响应）供应商在投标（响应）截止时间前将加密的投标（响应）文件上传至政府采购云平台，还可以在投标（响应）截止时间前直接提交或者以邮政快递方式递交备份投标（响应）文件1份。备份投标（响应）文件的制作、存储、密封见征集文件第二部分第15点—“备份投标（响应）文件”；</w:t>
      </w:r>
    </w:p>
    <w:p>
      <w:pPr>
        <w:spacing w:line="440" w:lineRule="exact"/>
        <w:ind w:firstLine="482" w:firstLineChars="200"/>
        <w:rPr>
          <w:rFonts w:ascii="仿宋_GB2312" w:eastAsia="仿宋_GB2312"/>
          <w:sz w:val="24"/>
        </w:rPr>
      </w:pPr>
      <w:r>
        <w:rPr>
          <w:rFonts w:hint="eastAsia" w:ascii="仿宋_GB2312" w:eastAsia="仿宋_GB2312"/>
          <w:b/>
          <w:sz w:val="24"/>
        </w:rPr>
        <w:t>⑨投标（响应）文件的解密：</w:t>
      </w:r>
      <w:r>
        <w:rPr>
          <w:rFonts w:hint="eastAsia" w:ascii="仿宋_GB2312" w:eastAsia="仿宋_GB2312"/>
          <w:sz w:val="24"/>
        </w:rPr>
        <w:t>投标（响应）供应商按照平台提示和招标（征集）文件的规定在半小时内完成在线解密。通过“政府采购云平台”上传递交的投标（响应）文件无法按时解密，投标（响应）供应商递交了备份投标（响应）文件的，以备份投标（响应）文件为依据，否则视为投标（响应）文件撤回。通过“政府采购云平台”上传递交的投标（响应）文件已按时解密的，备份投标（响应）文件自动失效。投标（响应）供应商仅提交备份投标（响应）文件，未在电子交易平台传输递交投标（响应）文件的，投标（响应）无效；</w:t>
      </w:r>
    </w:p>
    <w:p>
      <w:pPr>
        <w:spacing w:line="440" w:lineRule="exact"/>
        <w:ind w:firstLine="482" w:firstLineChars="200"/>
        <w:rPr>
          <w:rFonts w:ascii="仿宋_GB2312" w:eastAsia="仿宋_GB2312"/>
          <w:sz w:val="24"/>
        </w:rPr>
      </w:pPr>
      <w:r>
        <w:rPr>
          <w:rFonts w:hint="eastAsia" w:ascii="仿宋_GB2312" w:eastAsia="仿宋_GB2312"/>
          <w:b/>
          <w:sz w:val="24"/>
        </w:rPr>
        <w:t>⑩具体操作指南：</w:t>
      </w:r>
      <w:r>
        <w:rPr>
          <w:rFonts w:hint="eastAsia" w:ascii="仿宋_GB2312" w:eastAsia="仿宋_GB2312"/>
          <w:sz w:val="24"/>
        </w:rPr>
        <w:t>登录后见政采云平台“服务中心-帮助文档-项目采购-操作流程-电子招投标-政府采购项目电子交易管理操作指南-供应商”，政采云平台如有更新的，以平台更新为准。</w:t>
      </w:r>
    </w:p>
    <w:p>
      <w:pPr>
        <w:spacing w:line="440" w:lineRule="exact"/>
        <w:ind w:firstLine="482" w:firstLineChars="200"/>
        <w:outlineLvl w:val="3"/>
        <w:rPr>
          <w:rFonts w:ascii="仿宋_GB2312" w:eastAsia="仿宋_GB2312"/>
          <w:b/>
          <w:sz w:val="24"/>
        </w:rPr>
      </w:pPr>
      <w:r>
        <w:rPr>
          <w:rFonts w:hint="eastAsia" w:ascii="仿宋_GB2312" w:eastAsia="仿宋_GB2312"/>
          <w:b/>
          <w:sz w:val="24"/>
        </w:rPr>
        <w:t>（3）招标（征集）文件公告期限与招标（征集）公告的公告期限一致。</w:t>
      </w:r>
    </w:p>
    <w:p>
      <w:pPr>
        <w:spacing w:line="440" w:lineRule="exact"/>
        <w:ind w:firstLine="482" w:firstLineChars="200"/>
        <w:outlineLvl w:val="1"/>
        <w:rPr>
          <w:rFonts w:ascii="仿宋_GB2312" w:eastAsia="仿宋_GB2312"/>
          <w:b/>
          <w:sz w:val="24"/>
        </w:rPr>
      </w:pPr>
      <w:bookmarkStart w:id="47" w:name="_Toc146706820"/>
      <w:bookmarkStart w:id="48" w:name="_Toc31312"/>
      <w:r>
        <w:rPr>
          <w:rFonts w:hint="eastAsia" w:ascii="仿宋_GB2312" w:eastAsia="仿宋_GB2312"/>
          <w:b/>
          <w:sz w:val="24"/>
        </w:rPr>
        <w:t>八、对本次征集提出询问、质疑、投诉，请按以下方式联系</w:t>
      </w:r>
      <w:bookmarkEnd w:id="47"/>
      <w:bookmarkEnd w:id="48"/>
    </w:p>
    <w:p>
      <w:pPr>
        <w:spacing w:line="440" w:lineRule="exact"/>
        <w:ind w:firstLine="482" w:firstLineChars="200"/>
        <w:outlineLvl w:val="2"/>
        <w:rPr>
          <w:rFonts w:ascii="仿宋_GB2312" w:eastAsia="仿宋_GB2312"/>
          <w:b/>
          <w:sz w:val="24"/>
        </w:rPr>
      </w:pPr>
      <w:bookmarkStart w:id="49" w:name="_Toc322352982"/>
      <w:bookmarkStart w:id="50" w:name="_Toc354491896"/>
      <w:r>
        <w:rPr>
          <w:rFonts w:hint="eastAsia" w:ascii="仿宋_GB2312" w:eastAsia="仿宋_GB2312"/>
          <w:b/>
          <w:sz w:val="24"/>
        </w:rPr>
        <w:t>1.征集人信息</w:t>
      </w:r>
    </w:p>
    <w:p>
      <w:pPr>
        <w:spacing w:line="440" w:lineRule="exact"/>
        <w:ind w:firstLine="720" w:firstLineChars="300"/>
        <w:rPr>
          <w:rFonts w:ascii="仿宋_GB2312" w:eastAsia="仿宋_GB2312"/>
          <w:sz w:val="24"/>
        </w:rPr>
      </w:pPr>
      <w:r>
        <w:rPr>
          <w:rFonts w:hint="eastAsia" w:ascii="仿宋_GB2312" w:eastAsia="仿宋_GB2312"/>
          <w:sz w:val="24"/>
        </w:rPr>
        <w:t>名称：丽水市公共资源交易中心</w:t>
      </w:r>
    </w:p>
    <w:p>
      <w:pPr>
        <w:spacing w:line="440" w:lineRule="exact"/>
        <w:ind w:firstLine="720" w:firstLineChars="300"/>
        <w:rPr>
          <w:rFonts w:ascii="仿宋_GB2312" w:eastAsia="仿宋_GB2312"/>
          <w:sz w:val="24"/>
        </w:rPr>
      </w:pPr>
      <w:r>
        <w:rPr>
          <w:rFonts w:hint="eastAsia" w:ascii="仿宋_GB2312" w:eastAsia="仿宋_GB2312"/>
          <w:sz w:val="24"/>
        </w:rPr>
        <w:t>地址：丽水市人民街615号商会大厦5楼</w:t>
      </w:r>
    </w:p>
    <w:p>
      <w:pPr>
        <w:spacing w:line="440" w:lineRule="exact"/>
        <w:ind w:firstLine="720" w:firstLineChars="300"/>
        <w:rPr>
          <w:rFonts w:ascii="仿宋_GB2312" w:eastAsia="仿宋_GB2312"/>
          <w:sz w:val="24"/>
        </w:rPr>
      </w:pPr>
      <w:r>
        <w:rPr>
          <w:rFonts w:hint="eastAsia" w:ascii="仿宋_GB2312" w:eastAsia="仿宋_GB2312"/>
          <w:sz w:val="24"/>
        </w:rPr>
        <w:t>传真：/</w:t>
      </w:r>
    </w:p>
    <w:p>
      <w:pPr>
        <w:spacing w:line="440" w:lineRule="exact"/>
        <w:ind w:firstLine="720" w:firstLineChars="300"/>
        <w:rPr>
          <w:rFonts w:ascii="仿宋_GB2312" w:eastAsia="仿宋_GB2312"/>
          <w:sz w:val="24"/>
        </w:rPr>
      </w:pPr>
      <w:r>
        <w:rPr>
          <w:rFonts w:hint="eastAsia" w:ascii="仿宋_GB2312" w:eastAsia="仿宋_GB2312"/>
          <w:sz w:val="24"/>
        </w:rPr>
        <w:t xml:space="preserve">项目联系人（询问）：张丹 </w:t>
      </w:r>
    </w:p>
    <w:p>
      <w:pPr>
        <w:spacing w:line="440" w:lineRule="exact"/>
        <w:ind w:firstLine="720" w:firstLineChars="300"/>
        <w:rPr>
          <w:rFonts w:ascii="仿宋_GB2312" w:eastAsia="仿宋_GB2312"/>
          <w:sz w:val="24"/>
        </w:rPr>
      </w:pPr>
      <w:r>
        <w:rPr>
          <w:rFonts w:hint="eastAsia" w:ascii="仿宋_GB2312" w:eastAsia="仿宋_GB2312"/>
          <w:sz w:val="24"/>
        </w:rPr>
        <w:t>项目联系方式（询问）：0578-2179551</w:t>
      </w:r>
    </w:p>
    <w:p>
      <w:pPr>
        <w:spacing w:line="440" w:lineRule="exact"/>
        <w:ind w:firstLine="720" w:firstLineChars="300"/>
        <w:rPr>
          <w:rFonts w:ascii="仿宋_GB2312" w:eastAsia="仿宋_GB2312"/>
          <w:sz w:val="24"/>
        </w:rPr>
      </w:pPr>
      <w:r>
        <w:rPr>
          <w:rFonts w:hint="eastAsia" w:ascii="仿宋_GB2312" w:eastAsia="仿宋_GB2312"/>
          <w:sz w:val="24"/>
        </w:rPr>
        <w:t xml:space="preserve">质疑联系人：王迅 </w:t>
      </w:r>
    </w:p>
    <w:p>
      <w:pPr>
        <w:spacing w:line="440" w:lineRule="exact"/>
        <w:ind w:firstLine="720" w:firstLineChars="300"/>
        <w:rPr>
          <w:rFonts w:ascii="仿宋_GB2312" w:eastAsia="仿宋_GB2312"/>
          <w:sz w:val="24"/>
        </w:rPr>
      </w:pPr>
      <w:r>
        <w:rPr>
          <w:rFonts w:hint="eastAsia" w:ascii="仿宋_GB2312" w:eastAsia="仿宋_GB2312"/>
          <w:sz w:val="24"/>
        </w:rPr>
        <w:t>质疑联系方式：0578-2292511</w:t>
      </w:r>
    </w:p>
    <w:p>
      <w:pPr>
        <w:spacing w:line="440" w:lineRule="exact"/>
        <w:ind w:firstLine="482" w:firstLineChars="200"/>
        <w:outlineLvl w:val="2"/>
        <w:rPr>
          <w:rFonts w:ascii="仿宋_GB2312" w:eastAsia="仿宋_GB2312"/>
          <w:b/>
          <w:sz w:val="24"/>
        </w:rPr>
      </w:pPr>
      <w:r>
        <w:rPr>
          <w:rFonts w:hint="eastAsia" w:ascii="仿宋_GB2312" w:eastAsia="仿宋_GB2312"/>
          <w:b/>
          <w:sz w:val="24"/>
        </w:rPr>
        <w:t xml:space="preserve">2.政府采购监督管理部门 </w:t>
      </w:r>
    </w:p>
    <w:p>
      <w:pPr>
        <w:spacing w:line="440" w:lineRule="exact"/>
        <w:ind w:firstLine="720" w:firstLineChars="300"/>
        <w:rPr>
          <w:rFonts w:ascii="仿宋_GB2312" w:eastAsia="仿宋_GB2312"/>
          <w:sz w:val="24"/>
        </w:rPr>
      </w:pPr>
      <w:r>
        <w:rPr>
          <w:rFonts w:hint="eastAsia" w:ascii="仿宋_GB2312" w:eastAsia="仿宋_GB2312"/>
          <w:sz w:val="24"/>
        </w:rPr>
        <w:t>名称：丽水市财政局政府采购监管处</w:t>
      </w:r>
    </w:p>
    <w:p>
      <w:pPr>
        <w:spacing w:line="440" w:lineRule="exact"/>
        <w:ind w:firstLine="720" w:firstLineChars="300"/>
        <w:rPr>
          <w:rFonts w:ascii="仿宋_GB2312" w:eastAsia="仿宋_GB2312"/>
          <w:sz w:val="24"/>
        </w:rPr>
      </w:pPr>
      <w:r>
        <w:rPr>
          <w:rFonts w:hint="eastAsia" w:ascii="仿宋_GB2312" w:eastAsia="仿宋_GB2312"/>
          <w:sz w:val="24"/>
        </w:rPr>
        <w:t>地址：丽水市莲都区北苑路190号</w:t>
      </w:r>
    </w:p>
    <w:p>
      <w:pPr>
        <w:spacing w:line="440" w:lineRule="exact"/>
        <w:ind w:firstLine="720" w:firstLineChars="300"/>
        <w:rPr>
          <w:rFonts w:ascii="仿宋_GB2312" w:eastAsia="仿宋_GB2312"/>
          <w:sz w:val="24"/>
        </w:rPr>
      </w:pPr>
      <w:r>
        <w:rPr>
          <w:rFonts w:hint="eastAsia" w:ascii="仿宋_GB2312" w:eastAsia="仿宋_GB2312"/>
          <w:sz w:val="24"/>
        </w:rPr>
        <w:t>联系人：吴先生  叶先生</w:t>
      </w:r>
    </w:p>
    <w:p>
      <w:pPr>
        <w:spacing w:line="440" w:lineRule="exact"/>
        <w:ind w:firstLine="720" w:firstLineChars="300"/>
        <w:rPr>
          <w:rFonts w:ascii="仿宋_GB2312" w:eastAsia="仿宋_GB2312"/>
          <w:sz w:val="24"/>
        </w:rPr>
      </w:pPr>
      <w:r>
        <w:rPr>
          <w:rFonts w:hint="eastAsia" w:ascii="仿宋_GB2312" w:eastAsia="仿宋_GB2312"/>
          <w:sz w:val="24"/>
        </w:rPr>
        <w:t>监督投诉电话：0578-2669165</w:t>
      </w:r>
    </w:p>
    <w:p>
      <w:pPr>
        <w:spacing w:line="440" w:lineRule="exact"/>
        <w:ind w:firstLine="480" w:firstLineChars="200"/>
        <w:rPr>
          <w:rFonts w:ascii="仿宋_GB2312" w:eastAsia="仿宋_GB2312"/>
          <w:sz w:val="24"/>
        </w:rPr>
      </w:pPr>
    </w:p>
    <w:p>
      <w:pPr>
        <w:spacing w:line="440" w:lineRule="exact"/>
        <w:ind w:firstLine="480" w:firstLineChars="200"/>
        <w:rPr>
          <w:rFonts w:ascii="仿宋_GB2312" w:eastAsia="仿宋_GB2312"/>
          <w:sz w:val="24"/>
        </w:rPr>
      </w:pPr>
      <w:r>
        <w:rPr>
          <w:rFonts w:hint="eastAsia" w:ascii="仿宋_GB2312" w:eastAsia="仿宋_GB2312"/>
          <w:sz w:val="24"/>
        </w:rPr>
        <w:t>若对项目采购电子交易系统操作有疑问，可登录政采云（https：//www.zcygov.cn/），点击右侧咨询小采，获取采小蜜智能服务管家帮助，或拨打政采云服务热线95763获取热线服务帮助。</w:t>
      </w:r>
    </w:p>
    <w:p>
      <w:pPr>
        <w:spacing w:line="440" w:lineRule="exact"/>
        <w:ind w:firstLine="480" w:firstLineChars="200"/>
        <w:rPr>
          <w:rFonts w:ascii="仿宋_GB2312" w:eastAsia="仿宋_GB2312"/>
          <w:sz w:val="24"/>
        </w:rPr>
      </w:pPr>
      <w:r>
        <w:rPr>
          <w:rFonts w:hint="eastAsia" w:ascii="仿宋_GB2312" w:eastAsia="仿宋_GB2312"/>
          <w:sz w:val="24"/>
        </w:rPr>
        <w:t>CA问题联系电话（人工）：汇信CA 400-888-4636；天谷CA 400-087-8198。</w:t>
      </w:r>
      <w:bookmarkEnd w:id="49"/>
      <w:bookmarkEnd w:id="50"/>
    </w:p>
    <w:p>
      <w:pPr>
        <w:spacing w:line="440" w:lineRule="exact"/>
        <w:rPr>
          <w:rFonts w:ascii="仿宋_GB2312" w:hAnsi="宋体" w:eastAsia="仿宋_GB2312" w:cs="宋体"/>
          <w:b/>
          <w:color w:val="000000" w:themeColor="text1"/>
          <w:sz w:val="36"/>
          <w:szCs w:val="20"/>
          <w14:textFill>
            <w14:solidFill>
              <w14:schemeClr w14:val="tx1"/>
            </w14:solidFill>
          </w14:textFill>
        </w:rPr>
      </w:pPr>
      <w:r>
        <w:rPr>
          <w:rFonts w:hint="eastAsia" w:ascii="仿宋_GB2312" w:hAnsi="宋体" w:eastAsia="仿宋_GB2312" w:cs="宋体"/>
          <w:b/>
          <w:color w:val="000000" w:themeColor="text1"/>
          <w:sz w:val="36"/>
          <w:szCs w:val="20"/>
          <w14:textFill>
            <w14:solidFill>
              <w14:schemeClr w14:val="tx1"/>
            </w14:solidFill>
          </w14:textFill>
        </w:rPr>
        <w:br w:type="page"/>
      </w:r>
    </w:p>
    <w:p>
      <w:pPr>
        <w:spacing w:after="240" w:afterLines="100" w:line="360" w:lineRule="auto"/>
        <w:jc w:val="center"/>
        <w:outlineLvl w:val="0"/>
        <w:rPr>
          <w:rFonts w:ascii="仿宋_GB2312" w:hAnsi="宋体" w:eastAsia="仿宋_GB2312" w:cs="宋体"/>
          <w:b/>
          <w:color w:val="000000" w:themeColor="text1"/>
          <w:sz w:val="32"/>
          <w:szCs w:val="32"/>
          <w14:textFill>
            <w14:solidFill>
              <w14:schemeClr w14:val="tx1"/>
            </w14:solidFill>
          </w14:textFill>
        </w:rPr>
      </w:pPr>
      <w:bookmarkStart w:id="51" w:name="第二部分"/>
      <w:bookmarkStart w:id="52" w:name="_Toc146706821"/>
      <w:bookmarkStart w:id="53" w:name="_Toc6308"/>
      <w:r>
        <w:rPr>
          <w:rFonts w:hint="eastAsia" w:ascii="仿宋_GB2312" w:hAnsi="宋体" w:eastAsia="仿宋_GB2312" w:cs="宋体"/>
          <w:b/>
          <w:color w:val="000000" w:themeColor="text1"/>
          <w:sz w:val="32"/>
          <w:szCs w:val="32"/>
          <w14:textFill>
            <w14:solidFill>
              <w14:schemeClr w14:val="tx1"/>
            </w14:solidFill>
          </w14:textFill>
        </w:rPr>
        <w:t>第二部分  响应供应商须知</w:t>
      </w:r>
      <w:bookmarkEnd w:id="11"/>
      <w:bookmarkEnd w:id="51"/>
      <w:bookmarkEnd w:id="52"/>
      <w:bookmarkEnd w:id="53"/>
    </w:p>
    <w:p>
      <w:pPr>
        <w:adjustRightInd/>
        <w:spacing w:line="360" w:lineRule="auto"/>
        <w:ind w:firstLine="3845" w:firstLineChars="1197"/>
        <w:outlineLvl w:val="1"/>
        <w:rPr>
          <w:rFonts w:ascii="仿宋_GB2312" w:hAnsi="宋体" w:eastAsia="仿宋_GB2312" w:cs="宋体"/>
          <w:b/>
          <w:color w:val="000000" w:themeColor="text1"/>
          <w:sz w:val="32"/>
          <w:szCs w:val="20"/>
          <w14:textFill>
            <w14:solidFill>
              <w14:schemeClr w14:val="tx1"/>
            </w14:solidFill>
          </w14:textFill>
        </w:rPr>
      </w:pPr>
      <w:bookmarkStart w:id="54" w:name="_Toc897"/>
      <w:bookmarkStart w:id="55" w:name="_Toc146706822"/>
      <w:r>
        <w:rPr>
          <w:rFonts w:hint="eastAsia" w:ascii="仿宋_GB2312" w:hAnsi="宋体" w:eastAsia="仿宋_GB2312" w:cs="宋体"/>
          <w:b/>
          <w:color w:val="000000" w:themeColor="text1"/>
          <w:sz w:val="32"/>
          <w:szCs w:val="20"/>
          <w14:textFill>
            <w14:solidFill>
              <w14:schemeClr w14:val="tx1"/>
            </w14:solidFill>
          </w14:textFill>
        </w:rPr>
        <w:t>前附表</w:t>
      </w:r>
      <w:bookmarkEnd w:id="54"/>
      <w:bookmarkEnd w:id="55"/>
    </w:p>
    <w:tbl>
      <w:tblPr>
        <w:tblStyle w:val="62"/>
        <w:tblW w:w="92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6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22" w:type="dxa"/>
            <w:vAlign w:val="center"/>
          </w:tcPr>
          <w:p>
            <w:pPr>
              <w:ind w:right="-86" w:rightChars="-41"/>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1560"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c>
          <w:tcPr>
            <w:tcW w:w="6769"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采购方式</w:t>
            </w:r>
          </w:p>
        </w:tc>
        <w:tc>
          <w:tcPr>
            <w:tcW w:w="67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封闭式框架协议采购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2</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小型、微型企业的价格扣除</w:t>
            </w:r>
          </w:p>
        </w:tc>
        <w:tc>
          <w:tcPr>
            <w:tcW w:w="6769" w:type="dxa"/>
            <w:shd w:val="clear" w:color="auto" w:fill="auto"/>
            <w:vAlign w:val="center"/>
          </w:tcPr>
          <w:p>
            <w:pPr>
              <w:ind w:left="17" w:leftChars="8" w:right="-113" w:rightChars="-54"/>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1.采购标的：</w:t>
            </w:r>
            <w:r>
              <w:rPr>
                <w:rFonts w:hint="eastAsia" w:ascii="仿宋_GB2312" w:hAnsi="仿宋_GB2312" w:eastAsia="仿宋_GB2312" w:cs="仿宋_GB2312"/>
                <w:bCs/>
                <w:snapToGrid w:val="0"/>
                <w:color w:val="auto"/>
                <w:sz w:val="24"/>
                <w:highlight w:val="none"/>
                <w:u w:val="single"/>
              </w:rPr>
              <w:t>审计服务</w:t>
            </w:r>
          </w:p>
          <w:p>
            <w:pPr>
              <w:numPr>
                <w:ilvl w:val="0"/>
                <w:numId w:val="1"/>
              </w:numPr>
              <w:ind w:left="17" w:leftChars="8" w:right="-113" w:rightChars="-54"/>
              <w:rPr>
                <w:rFonts w:ascii="仿宋_GB2312" w:hAnsi="仿宋_GB2312" w:eastAsia="仿宋_GB2312" w:cs="仿宋_GB2312"/>
                <w:bCs/>
                <w:snapToGrid w:val="0"/>
                <w:color w:val="auto"/>
                <w:sz w:val="24"/>
                <w:highlight w:val="none"/>
              </w:rPr>
            </w:pPr>
            <w:r>
              <w:rPr>
                <w:rFonts w:hint="eastAsia" w:ascii="仿宋_GB2312" w:hAnsi="仿宋_GB2312" w:eastAsia="仿宋_GB2312" w:cs="仿宋_GB2312"/>
                <w:bCs/>
                <w:snapToGrid w:val="0"/>
                <w:color w:val="auto"/>
                <w:sz w:val="24"/>
                <w:highlight w:val="none"/>
              </w:rPr>
              <w:t>本项目所属行业：</w:t>
            </w:r>
            <w:r>
              <w:rPr>
                <w:rFonts w:hint="eastAsia" w:ascii="仿宋_GB2312" w:hAnsi="仿宋_GB2312" w:eastAsia="仿宋_GB2312" w:cs="仿宋_GB2312"/>
                <w:bCs/>
                <w:snapToGrid w:val="0"/>
                <w:color w:val="auto"/>
                <w:sz w:val="24"/>
                <w:highlight w:val="none"/>
                <w:u w:val="single"/>
              </w:rPr>
              <w:t>租赁和商务服务业；</w:t>
            </w:r>
          </w:p>
          <w:p>
            <w:pPr>
              <w:ind w:left="17" w:leftChars="8" w:right="-113" w:rightChars="-54"/>
              <w:rPr>
                <w:rFonts w:ascii="仿宋_GB2312" w:hAnsi="仿宋_GB2312" w:eastAsia="仿宋_GB2312" w:cs="仿宋_GB2312"/>
                <w:bCs/>
                <w:color w:val="auto"/>
                <w:sz w:val="24"/>
                <w:highlight w:val="none"/>
              </w:rPr>
            </w:pPr>
            <w:r>
              <w:rPr>
                <w:rFonts w:hint="eastAsia" w:ascii="仿宋_GB2312" w:hAnsi="仿宋_GB2312" w:eastAsia="仿宋_GB2312" w:cs="仿宋_GB2312"/>
                <w:bCs/>
                <w:snapToGrid w:val="0"/>
                <w:color w:val="auto"/>
                <w:sz w:val="24"/>
                <w:highlight w:val="none"/>
              </w:rPr>
              <w:t>3.</w:t>
            </w:r>
            <w:r>
              <w:rPr>
                <w:rFonts w:hint="eastAsia" w:ascii="仿宋_GB2312" w:hAnsi="宋体" w:eastAsia="仿宋_GB2312"/>
                <w:bCs/>
                <w:snapToGrid w:val="0"/>
                <w:color w:val="auto"/>
                <w:sz w:val="24"/>
                <w:highlight w:val="none"/>
              </w:rPr>
              <w:t>对小型和微型企业的报价给予</w:t>
            </w:r>
            <w:r>
              <w:rPr>
                <w:rFonts w:hint="eastAsia" w:ascii="仿宋_GB2312" w:hAnsi="仿宋_GB2312" w:eastAsia="仿宋_GB2312" w:cs="仿宋_GB2312"/>
                <w:bCs/>
                <w:snapToGrid w:val="0"/>
                <w:color w:val="auto"/>
                <w:sz w:val="24"/>
                <w:highlight w:val="none"/>
                <w:u w:val="single"/>
              </w:rPr>
              <w:t>20%</w:t>
            </w:r>
            <w:r>
              <w:rPr>
                <w:rFonts w:hint="eastAsia" w:ascii="仿宋_GB2312" w:hAnsi="仿宋_GB2312" w:eastAsia="仿宋_GB2312" w:cs="仿宋_GB2312"/>
                <w:bCs/>
                <w:snapToGrid w:val="0"/>
                <w:color w:val="auto"/>
                <w:sz w:val="24"/>
                <w:highlight w:val="none"/>
              </w:rPr>
              <w:t>的</w:t>
            </w:r>
            <w:r>
              <w:rPr>
                <w:rFonts w:hint="eastAsia" w:ascii="仿宋_GB2312" w:hAnsi="宋体" w:eastAsia="仿宋_GB2312"/>
                <w:bCs/>
                <w:snapToGrid w:val="0"/>
                <w:color w:val="auto"/>
                <w:sz w:val="24"/>
                <w:highlight w:val="none"/>
              </w:rPr>
              <w:t>价格扣除</w:t>
            </w:r>
            <w:r>
              <w:rPr>
                <w:rFonts w:hint="eastAsia" w:ascii="仿宋_GB2312" w:hAnsi="仿宋_GB2312" w:eastAsia="仿宋_GB2312" w:cs="仿宋_GB2312"/>
                <w:bCs/>
                <w:snapToGrid w:val="0"/>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3</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框架协议期限</w:t>
            </w:r>
          </w:p>
        </w:tc>
        <w:tc>
          <w:tcPr>
            <w:tcW w:w="6769" w:type="dxa"/>
            <w:vAlign w:val="center"/>
          </w:tcPr>
          <w:p>
            <w:pPr>
              <w:ind w:left="-44" w:leftChars="-53" w:right="-65" w:rightChars="-31" w:hanging="67" w:hangingChars="28"/>
              <w:jc w:val="left"/>
              <w:rPr>
                <w:rFonts w:ascii="仿宋_GB2312" w:hAnsi="仿宋_GB2312" w:eastAsia="仿宋_GB2312" w:cs="仿宋_GB2312"/>
                <w:bCs/>
                <w:sz w:val="24"/>
              </w:rPr>
            </w:pPr>
            <w:r>
              <w:rPr>
                <w:rFonts w:hint="eastAsia" w:ascii="仿宋_GB2312" w:hAnsi="仿宋_GB2312" w:eastAsia="仿宋_GB2312" w:cs="仿宋_GB2312"/>
                <w:bCs/>
                <w:sz w:val="24"/>
              </w:rPr>
              <w:t>自框架协议生效之日起至2026年12月31日止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4</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联合体投标</w:t>
            </w:r>
          </w:p>
        </w:tc>
        <w:tc>
          <w:tcPr>
            <w:tcW w:w="6769" w:type="dxa"/>
            <w:vAlign w:val="center"/>
          </w:tcPr>
          <w:p>
            <w:pPr>
              <w:rPr>
                <w:rFonts w:ascii="仿宋_GB2312" w:hAnsi="仿宋_GB2312" w:eastAsia="仿宋_GB2312" w:cs="仿宋_GB2312"/>
                <w:sz w:val="24"/>
              </w:rPr>
            </w:pPr>
            <w:r>
              <w:rPr>
                <w:rFonts w:hint="eastAsia" w:ascii="仿宋_GB2312" w:hAnsi="仿宋_GB2312" w:eastAsia="仿宋_GB2312" w:cs="仿宋_GB2312"/>
                <w:bCs/>
                <w:sz w:val="24"/>
              </w:rPr>
              <w:sym w:font="Wingdings 2" w:char="0052"/>
            </w:r>
            <w:r>
              <w:rPr>
                <w:rFonts w:hint="eastAsia" w:ascii="仿宋_GB2312" w:hAnsi="仿宋_GB2312" w:eastAsia="仿宋_GB2312" w:cs="仿宋_GB2312"/>
                <w:sz w:val="24"/>
              </w:rPr>
              <w:t xml:space="preserve"> 不接受；</w:t>
            </w:r>
          </w:p>
          <w:p>
            <w:pPr>
              <w:rPr>
                <w:rFonts w:ascii="仿宋_GB2312" w:hAnsi="仿宋_GB2312" w:eastAsia="仿宋_GB2312" w:cs="仿宋_GB2312"/>
                <w:sz w:val="24"/>
              </w:rPr>
            </w:pPr>
            <w:r>
              <w:rPr>
                <w:rFonts w:hint="eastAsia" w:ascii="仿宋_GB2312" w:hAnsi="仿宋_GB2312" w:eastAsia="仿宋_GB2312" w:cs="仿宋_GB2312"/>
                <w:bCs/>
                <w:sz w:val="24"/>
              </w:rPr>
              <w:t xml:space="preserve">□ </w:t>
            </w:r>
            <w:r>
              <w:rPr>
                <w:rFonts w:hint="eastAsia" w:ascii="仿宋_GB2312" w:hAnsi="仿宋_GB2312" w:eastAsia="仿宋_GB2312" w:cs="仿宋_GB2312"/>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5</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分包</w:t>
            </w:r>
          </w:p>
        </w:tc>
        <w:tc>
          <w:tcPr>
            <w:tcW w:w="67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52"/>
            </w:r>
            <w:r>
              <w:rPr>
                <w:rFonts w:hint="eastAsia" w:ascii="仿宋_GB2312" w:hAnsi="仿宋_GB2312" w:eastAsia="仿宋_GB2312" w:cs="仿宋_GB2312"/>
                <w:bCs/>
                <w:kern w:val="13"/>
                <w:sz w:val="24"/>
              </w:rPr>
              <w:t xml:space="preserve"> </w:t>
            </w:r>
            <w:r>
              <w:rPr>
                <w:rFonts w:hint="eastAsia" w:ascii="仿宋_GB2312" w:hAnsi="仿宋_GB2312" w:eastAsia="仿宋_GB2312" w:cs="仿宋_GB2312"/>
                <w:bCs/>
                <w:sz w:val="24"/>
              </w:rPr>
              <w:t>1.不允许。</w:t>
            </w:r>
          </w:p>
          <w:p>
            <w:r>
              <w:rPr>
                <w:rFonts w:hint="eastAsia" w:ascii="仿宋_GB2312" w:hAnsi="仿宋_GB2312" w:eastAsia="仿宋_GB2312" w:cs="仿宋_GB2312"/>
                <w:bCs/>
                <w:sz w:val="24"/>
              </w:rPr>
              <w:t xml:space="preserve">□ </w:t>
            </w:r>
            <w:r>
              <w:rPr>
                <w:rFonts w:ascii="仿宋_GB2312" w:hAnsi="仿宋_GB2312" w:eastAsia="仿宋_GB2312" w:cs="仿宋_GB2312"/>
                <w:bCs/>
                <w:sz w:val="24"/>
              </w:rPr>
              <w:t>2</w:t>
            </w:r>
            <w:r>
              <w:rPr>
                <w:rFonts w:hint="eastAsia" w:ascii="仿宋_GB2312" w:hAnsi="仿宋_GB2312" w:eastAsia="仿宋_GB2312" w:cs="仿宋_GB2312"/>
                <w:bCs/>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6</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采购人范围</w:t>
            </w:r>
          </w:p>
        </w:tc>
        <w:tc>
          <w:tcPr>
            <w:tcW w:w="67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丽水</w:t>
            </w:r>
            <w:r>
              <w:rPr>
                <w:rFonts w:hint="eastAsia" w:ascii="仿宋_GB2312" w:hAnsi="仿宋_GB2312" w:eastAsia="仿宋_GB2312" w:cs="仿宋_GB2312"/>
                <w:bCs/>
                <w:sz w:val="24"/>
                <w:lang w:val="en-US" w:eastAsia="zh-CN"/>
              </w:rPr>
              <w:t>市</w:t>
            </w:r>
            <w:r>
              <w:rPr>
                <w:rFonts w:hint="eastAsia" w:ascii="仿宋_GB2312" w:hAnsi="仿宋_GB2312" w:eastAsia="仿宋_GB2312" w:cs="仿宋_GB2312"/>
                <w:bCs/>
                <w:sz w:val="24"/>
              </w:rPr>
              <w:t>市本级、莲都区、开发区、缙云县、云和县行政机关、事业单位、团体组织。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7</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征集人</w:t>
            </w:r>
          </w:p>
        </w:tc>
        <w:tc>
          <w:tcPr>
            <w:tcW w:w="67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丽水市公共资源交易中心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8</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项目联系人及质疑联系人</w:t>
            </w:r>
          </w:p>
        </w:tc>
        <w:tc>
          <w:tcPr>
            <w:tcW w:w="676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1.项目联系人：张丹     联系电话：0578-2179551</w:t>
            </w:r>
          </w:p>
          <w:p>
            <w:pPr>
              <w:rPr>
                <w:rFonts w:ascii="仿宋_GB2312" w:hAnsi="仿宋_GB2312" w:eastAsia="仿宋_GB2312" w:cs="仿宋_GB2312"/>
                <w:bCs/>
                <w:sz w:val="24"/>
              </w:rPr>
            </w:pPr>
            <w:r>
              <w:rPr>
                <w:rFonts w:hint="eastAsia" w:ascii="仿宋_GB2312" w:hAnsi="仿宋_GB2312" w:eastAsia="仿宋_GB2312" w:cs="仿宋_GB2312"/>
                <w:sz w:val="24"/>
              </w:rPr>
              <w:t>2.质疑联系人：</w:t>
            </w:r>
            <w:r>
              <w:rPr>
                <w:rFonts w:hint="eastAsia" w:ascii="仿宋_GB2312" w:hAnsi="仿宋_GB2312" w:eastAsia="仿宋_GB2312" w:cs="仿宋_GB2312"/>
                <w:bCs/>
                <w:sz w:val="24"/>
              </w:rPr>
              <w:t>王迅</w:t>
            </w:r>
            <w:r>
              <w:rPr>
                <w:rFonts w:hint="eastAsia" w:ascii="仿宋_GB2312" w:hAnsi="仿宋_GB2312" w:eastAsia="仿宋_GB2312" w:cs="仿宋_GB2312"/>
                <w:sz w:val="24"/>
              </w:rPr>
              <w:t xml:space="preserve">     联系电话：</w:t>
            </w:r>
            <w:r>
              <w:rPr>
                <w:rFonts w:hint="eastAsia" w:ascii="仿宋_GB2312" w:hAnsi="仿宋_GB2312" w:eastAsia="仿宋_GB2312" w:cs="仿宋_GB2312"/>
                <w:bCs/>
                <w:sz w:val="24"/>
              </w:rPr>
              <w:t>0578-2292511</w:t>
            </w: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9</w:t>
            </w:r>
          </w:p>
        </w:tc>
        <w:tc>
          <w:tcPr>
            <w:tcW w:w="1560" w:type="dxa"/>
            <w:vAlign w:val="center"/>
          </w:tcPr>
          <w:p>
            <w:pPr>
              <w:ind w:left="-44" w:leftChars="-53" w:right="-65" w:rightChars="-31" w:hanging="67" w:hangingChars="28"/>
              <w:jc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同级政府采购监督管理部门</w:t>
            </w:r>
          </w:p>
        </w:tc>
        <w:tc>
          <w:tcPr>
            <w:tcW w:w="6769" w:type="dxa"/>
            <w:vAlign w:val="center"/>
          </w:tcPr>
          <w:p>
            <w:pP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见第一部分 征集公告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10</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信息发布网址</w:t>
            </w:r>
          </w:p>
        </w:tc>
        <w:tc>
          <w:tcPr>
            <w:tcW w:w="67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1.浙江政府采购网（</w:t>
            </w:r>
            <w:r>
              <w:fldChar w:fldCharType="begin"/>
            </w:r>
            <w:r>
              <w:instrText xml:space="preserve"> HYPERLINK "http://www.zjzfcg.gov.cn" </w:instrText>
            </w:r>
            <w:r>
              <w:fldChar w:fldCharType="separate"/>
            </w:r>
            <w:r>
              <w:rPr>
                <w:rFonts w:hint="eastAsia" w:ascii="仿宋_GB2312" w:hAnsi="仿宋_GB2312" w:eastAsia="仿宋_GB2312" w:cs="仿宋_GB2312"/>
                <w:sz w:val="24"/>
              </w:rPr>
              <w:t>zfcg.czt.zj.gov.cn</w:t>
            </w:r>
            <w:r>
              <w:rPr>
                <w:rFonts w:hint="eastAsia" w:ascii="仿宋_GB2312" w:hAnsi="仿宋_GB2312" w:eastAsia="仿宋_GB2312" w:cs="仿宋_GB2312"/>
                <w:sz w:val="24"/>
              </w:rPr>
              <w:fldChar w:fldCharType="end"/>
            </w:r>
            <w:r>
              <w:rPr>
                <w:rFonts w:hint="eastAsia" w:ascii="仿宋_GB2312" w:hAnsi="仿宋_GB2312" w:eastAsia="仿宋_GB2312" w:cs="仿宋_GB2312"/>
                <w:bCs/>
                <w:sz w:val="24"/>
              </w:rPr>
              <w:t>）</w:t>
            </w:r>
          </w:p>
          <w:p>
            <w:pPr>
              <w:rPr>
                <w:rFonts w:ascii="仿宋_GB2312" w:hAnsi="仿宋_GB2312" w:eastAsia="仿宋_GB2312" w:cs="仿宋_GB2312"/>
                <w:bCs/>
                <w:sz w:val="24"/>
              </w:rPr>
            </w:pPr>
            <w:r>
              <w:rPr>
                <w:rFonts w:hint="eastAsia" w:ascii="仿宋_GB2312" w:hAnsi="仿宋_GB2312" w:eastAsia="仿宋_GB2312" w:cs="仿宋_GB2312"/>
                <w:bCs/>
                <w:sz w:val="24"/>
              </w:rPr>
              <w:t>2.丽水市公共资源交易网（lssggzy.lishui.gov.cn）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11</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响应文件的组成</w:t>
            </w:r>
          </w:p>
        </w:tc>
        <w:tc>
          <w:tcPr>
            <w:tcW w:w="6769" w:type="dxa"/>
            <w:vAlign w:val="center"/>
          </w:tcPr>
          <w:p>
            <w:pPr>
              <w:tabs>
                <w:tab w:val="left" w:pos="0"/>
                <w:tab w:val="left" w:pos="900"/>
                <w:tab w:val="left" w:pos="7020"/>
                <w:tab w:val="left" w:pos="8460"/>
              </w:tabs>
              <w:snapToGrid w:val="0"/>
              <w:rPr>
                <w:rFonts w:ascii="仿宋_GB2312" w:hAnsi="仿宋_GB2312" w:eastAsia="仿宋_GB2312" w:cs="仿宋_GB2312"/>
                <w:bCs/>
                <w:sz w:val="24"/>
              </w:rPr>
            </w:pPr>
            <w:r>
              <w:rPr>
                <w:rFonts w:hint="eastAsia" w:ascii="仿宋_GB2312" w:hAnsi="仿宋_GB2312" w:eastAsia="仿宋_GB2312" w:cs="仿宋_GB2312"/>
                <w:bCs/>
                <w:sz w:val="24"/>
              </w:rPr>
              <w:t>详见征集文件第二部分“11.响应文件的组成”、第三部分“采购需求”、第四部分“确定第一阶段入围供应商的评审方法”、第六部分“响应文件编制格式及规范要求”的要求。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12</w:t>
            </w:r>
          </w:p>
        </w:tc>
        <w:tc>
          <w:tcPr>
            <w:tcW w:w="1560" w:type="dxa"/>
            <w:vAlign w:val="center"/>
          </w:tcPr>
          <w:p>
            <w:pPr>
              <w:ind w:left="360" w:hanging="360" w:hangingChars="150"/>
              <w:rPr>
                <w:rFonts w:ascii="仿宋_GB2312" w:hAnsi="仿宋_GB2312" w:eastAsia="仿宋_GB2312" w:cs="仿宋_GB2312"/>
                <w:sz w:val="24"/>
              </w:rPr>
            </w:pPr>
            <w:r>
              <w:rPr>
                <w:rFonts w:hint="eastAsia" w:ascii="仿宋_GB2312" w:hAnsi="仿宋_GB2312" w:eastAsia="仿宋_GB2312" w:cs="仿宋_GB2312"/>
                <w:bCs/>
                <w:color w:val="000000"/>
                <w:sz w:val="24"/>
              </w:rPr>
              <w:t>响应文件</w:t>
            </w:r>
            <w:r>
              <w:rPr>
                <w:rFonts w:hint="eastAsia" w:ascii="仿宋_GB2312" w:hAnsi="仿宋_GB2312" w:eastAsia="仿宋_GB2312" w:cs="仿宋_GB2312"/>
                <w:bCs/>
                <w:sz w:val="24"/>
              </w:rPr>
              <w:t>的提交</w:t>
            </w:r>
          </w:p>
        </w:tc>
        <w:tc>
          <w:tcPr>
            <w:tcW w:w="6769" w:type="dxa"/>
            <w:vAlign w:val="center"/>
          </w:tcPr>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本项目通过政采云平台进行电子投标（响应）。</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进行电子投标（响应）应安装客户端软件—“政采云电子交易客户端”，并按照征集文件和电子交易平台的要求编制并加密投标（响应）文件。供应商未按规定加密的投标（响应）文件，电子交易平台将拒收并提示。</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使用“政采云电子交易客户端”需要提前申领CA数字证书，申领流程请自行前往“浙江政府采购网-下载专区-电子交易客户端-CA驱动和申领流程”进行查阅。</w:t>
            </w:r>
          </w:p>
          <w:p>
            <w:pPr>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征集人拒绝纸质或非按本征集文件规定形式提交的投标（响应）文件。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13</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备份响应文件</w:t>
            </w:r>
          </w:p>
        </w:tc>
        <w:tc>
          <w:tcPr>
            <w:tcW w:w="6769" w:type="dxa"/>
            <w:vAlign w:val="center"/>
          </w:tcPr>
          <w:p>
            <w:pPr>
              <w:numPr>
                <w:ilvl w:val="0"/>
                <w:numId w:val="2"/>
              </w:numPr>
              <w:rPr>
                <w:rFonts w:ascii="仿宋_GB2312" w:hAnsi="仿宋_GB2312" w:eastAsia="仿宋_GB2312" w:cs="仿宋_GB2312"/>
                <w:sz w:val="24"/>
              </w:rPr>
            </w:pPr>
            <w:r>
              <w:rPr>
                <w:rFonts w:hint="eastAsia" w:ascii="仿宋_GB2312" w:hAnsi="仿宋_GB2312" w:eastAsia="仿宋_GB2312" w:cs="仿宋_GB2312"/>
                <w:sz w:val="24"/>
              </w:rPr>
              <w:t>备份响应文件：由供应商自行确定是否提交；</w:t>
            </w:r>
          </w:p>
          <w:p>
            <w:pPr>
              <w:numPr>
                <w:ilvl w:val="0"/>
                <w:numId w:val="2"/>
              </w:numPr>
              <w:rPr>
                <w:rFonts w:ascii="仿宋_GB2312" w:hAnsi="仿宋_GB2312" w:eastAsia="仿宋_GB2312" w:cs="仿宋_GB2312"/>
                <w:sz w:val="24"/>
              </w:rPr>
            </w:pPr>
            <w:r>
              <w:rPr>
                <w:rFonts w:hint="eastAsia" w:ascii="仿宋_GB2312" w:hAnsi="仿宋_GB2312" w:eastAsia="仿宋_GB2312" w:cs="仿宋_GB2312"/>
                <w:sz w:val="24"/>
              </w:rPr>
              <w:t>若需提交请将备份响应文件送达：</w:t>
            </w:r>
            <w:r>
              <w:rPr>
                <w:rFonts w:hint="eastAsia" w:ascii="仿宋_GB2312" w:hAnsi="仿宋_GB2312" w:eastAsia="仿宋_GB2312" w:cs="仿宋_GB2312"/>
                <w:sz w:val="24"/>
                <w:u w:val="single"/>
              </w:rPr>
              <w:t>丽水市莲都区人民街615号商会大厦5楼（丽水市公共资源交易中心8号窗口）</w:t>
            </w:r>
            <w:r>
              <w:rPr>
                <w:rFonts w:hint="eastAsia" w:ascii="仿宋_GB2312" w:hAnsi="仿宋_GB2312" w:eastAsia="仿宋_GB2312" w:cs="仿宋_GB2312"/>
                <w:sz w:val="24"/>
              </w:rPr>
              <w:t>；备份响应文件签收人员：</w:t>
            </w:r>
            <w:r>
              <w:rPr>
                <w:rFonts w:hint="eastAsia" w:ascii="仿宋_GB2312" w:hAnsi="仿宋_GB2312" w:eastAsia="仿宋_GB2312" w:cs="仿宋_GB2312"/>
                <w:sz w:val="24"/>
                <w:u w:val="single"/>
              </w:rPr>
              <w:t>楼艾奇</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0578-2292282</w:t>
            </w:r>
            <w:r>
              <w:rPr>
                <w:rFonts w:hint="eastAsia" w:ascii="仿宋_GB2312" w:hAnsi="仿宋_GB2312" w:eastAsia="仿宋_GB2312" w:cs="仿宋_GB2312"/>
                <w:sz w:val="24"/>
              </w:rPr>
              <w:t>。</w:t>
            </w:r>
          </w:p>
          <w:p>
            <w:pPr>
              <w:rPr>
                <w:rFonts w:ascii="仿宋_GB2312" w:hAnsi="仿宋_GB2312" w:eastAsia="仿宋_GB2312" w:cs="仿宋_GB2312"/>
                <w:sz w:val="24"/>
              </w:rPr>
            </w:pPr>
            <w:r>
              <w:rPr>
                <w:rFonts w:hint="eastAsia" w:ascii="仿宋_GB2312" w:hAnsi="仿宋_GB2312" w:eastAsia="仿宋_GB2312" w:cs="仿宋_GB2312"/>
                <w:sz w:val="24"/>
              </w:rPr>
              <w:t>注：供应商在线解密失败后，启用备份响应文件，否则不启用备份响应文件。</w:t>
            </w:r>
          </w:p>
          <w:p>
            <w:pPr>
              <w:rPr>
                <w:rFonts w:ascii="仿宋_GB2312" w:hAnsi="仿宋_GB2312" w:eastAsia="仿宋_GB2312" w:cs="仿宋_GB2312"/>
                <w:sz w:val="24"/>
              </w:rPr>
            </w:pPr>
            <w:r>
              <w:rPr>
                <w:rFonts w:hint="eastAsia" w:ascii="仿宋_GB2312" w:hAnsi="仿宋_GB2312" w:eastAsia="仿宋_GB2312" w:cs="仿宋_GB2312"/>
                <w:sz w:val="24"/>
              </w:rPr>
              <w:t>备份响应文件要求见征集文件第二部分“15.备份响应文件”。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14</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开启时间和地点</w:t>
            </w:r>
          </w:p>
        </w:tc>
        <w:tc>
          <w:tcPr>
            <w:tcW w:w="6769" w:type="dxa"/>
            <w:vAlign w:val="center"/>
          </w:tcPr>
          <w:p>
            <w:pPr>
              <w:rPr>
                <w:rFonts w:ascii="仿宋_GB2312" w:hAnsi="仿宋_GB2312" w:eastAsia="仿宋_GB2312" w:cs="仿宋_GB2312"/>
                <w:color w:val="000000"/>
                <w:sz w:val="24"/>
              </w:rPr>
            </w:pPr>
            <w:r>
              <w:rPr>
                <w:rFonts w:hint="eastAsia" w:ascii="仿宋_GB2312" w:hAnsi="仿宋_GB2312" w:eastAsia="仿宋_GB2312" w:cs="仿宋_GB2312"/>
                <w:bCs/>
                <w:sz w:val="24"/>
              </w:rPr>
              <w:t>见第一部分 征集公告，供应商可以远程在线参加，不必现场参加开标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15</w:t>
            </w:r>
          </w:p>
        </w:tc>
        <w:tc>
          <w:tcPr>
            <w:tcW w:w="1560" w:type="dxa"/>
            <w:vAlign w:val="center"/>
          </w:tcPr>
          <w:p>
            <w:pPr>
              <w:snapToGrid w:val="0"/>
              <w:jc w:val="center"/>
              <w:rPr>
                <w:rFonts w:ascii="仿宋_GB2312" w:hAnsi="仿宋_GB2312" w:eastAsia="仿宋_GB2312" w:cs="仿宋_GB2312"/>
                <w:bCs/>
                <w:sz w:val="24"/>
              </w:rPr>
            </w:pPr>
            <w:r>
              <w:rPr>
                <w:rFonts w:hint="eastAsia" w:ascii="仿宋_GB2312" w:hAnsi="仿宋_GB2312" w:eastAsia="仿宋_GB2312" w:cs="仿宋_GB2312"/>
                <w:bCs/>
                <w:color w:val="000000" w:themeColor="text1"/>
                <w:sz w:val="24"/>
                <w14:textFill>
                  <w14:solidFill>
                    <w14:schemeClr w14:val="tx1"/>
                  </w14:solidFill>
                </w14:textFill>
              </w:rPr>
              <w:t>响应文件的解密</w:t>
            </w:r>
          </w:p>
        </w:tc>
        <w:tc>
          <w:tcPr>
            <w:tcW w:w="676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供应商应按照平台提示和征集文件的规定在半小时内完成在线解密。见第二部分“四、开启响应文件、资格审查与信用信息查询”。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16</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确定第一阶段入围供应商的评审方法</w:t>
            </w:r>
          </w:p>
        </w:tc>
        <w:tc>
          <w:tcPr>
            <w:tcW w:w="676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价格优先法，见征集文件第四部分。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snapToGrid w:val="0"/>
              <w:jc w:val="center"/>
              <w:rPr>
                <w:rFonts w:ascii="仿宋_GB2312" w:hAnsi="仿宋_GB2312" w:eastAsia="仿宋_GB2312" w:cs="仿宋_GB2312"/>
                <w:bCs/>
                <w:snapToGrid w:val="0"/>
                <w:sz w:val="24"/>
              </w:rPr>
            </w:pPr>
            <w:r>
              <w:rPr>
                <w:rFonts w:hint="eastAsia" w:ascii="仿宋_GB2312" w:hAnsi="仿宋_GB2312" w:eastAsia="仿宋_GB2312" w:cs="仿宋_GB2312"/>
                <w:color w:val="000000" w:themeColor="text1"/>
                <w:sz w:val="24"/>
                <w14:textFill>
                  <w14:solidFill>
                    <w14:schemeClr w14:val="tx1"/>
                  </w14:solidFill>
                </w14:textFill>
              </w:rPr>
              <w:t>17</w:t>
            </w:r>
          </w:p>
        </w:tc>
        <w:tc>
          <w:tcPr>
            <w:tcW w:w="1560" w:type="dxa"/>
            <w:vAlign w:val="center"/>
          </w:tcPr>
          <w:p>
            <w:pPr>
              <w:snapToGrid w:val="0"/>
              <w:jc w:val="center"/>
              <w:rPr>
                <w:rFonts w:ascii="仿宋_GB2312" w:hAnsi="仿宋_GB2312" w:eastAsia="仿宋_GB2312" w:cs="仿宋_GB2312"/>
                <w:bCs/>
                <w:sz w:val="24"/>
              </w:rPr>
            </w:pPr>
            <w:r>
              <w:rPr>
                <w:rFonts w:hint="eastAsia" w:ascii="仿宋_GB2312" w:hAnsi="仿宋_GB2312" w:eastAsia="仿宋_GB2312" w:cs="仿宋_GB2312"/>
                <w:color w:val="000000" w:themeColor="text1"/>
                <w:sz w:val="24"/>
                <w14:textFill>
                  <w14:solidFill>
                    <w14:schemeClr w14:val="tx1"/>
                  </w14:solidFill>
                </w14:textFill>
              </w:rPr>
              <w:t>最高限价和报价要求</w:t>
            </w:r>
          </w:p>
        </w:tc>
        <w:tc>
          <w:tcPr>
            <w:tcW w:w="6769" w:type="dxa"/>
            <w:vAlign w:val="center"/>
          </w:tcPr>
          <w:p>
            <w:pPr>
              <w:snapToGrid w:val="0"/>
              <w:rPr>
                <w:rFonts w:ascii="仿宋_GB2312" w:hAnsi="仿宋_GB2312" w:eastAsia="仿宋_GB2312" w:cs="仿宋_GB2312"/>
                <w:b/>
                <w:bCs/>
                <w:kern w:val="0"/>
                <w:sz w:val="24"/>
                <w:lang w:val="zh-CN"/>
              </w:rPr>
            </w:pPr>
            <w:r>
              <w:rPr>
                <w:rFonts w:hint="eastAsia" w:ascii="仿宋_GB2312" w:hAnsi="仿宋_GB2312" w:eastAsia="仿宋_GB2312" w:cs="仿宋_GB2312"/>
                <w:b/>
                <w:bCs/>
                <w:kern w:val="0"/>
                <w:sz w:val="24"/>
                <w:lang w:val="zh-CN"/>
              </w:rPr>
              <w:t>响应文件中的第一阶段响应报价表是报价的唯一载体。</w:t>
            </w:r>
          </w:p>
          <w:p>
            <w:pPr>
              <w:snapToGrid w:val="0"/>
              <w:ind w:firstLine="482" w:firstLineChars="200"/>
              <w:rPr>
                <w:rFonts w:ascii="仿宋_GB2312" w:hAnsi="仿宋_GB2312" w:eastAsia="仿宋_GB2312" w:cs="仿宋_GB2312"/>
                <w:kern w:val="0"/>
                <w:sz w:val="24"/>
                <w:lang w:val="zh-CN"/>
              </w:rPr>
            </w:pPr>
            <w:r>
              <w:rPr>
                <w:rFonts w:hint="eastAsia" w:ascii="仿宋_GB2312" w:hAnsi="仿宋_GB2312" w:eastAsia="仿宋_GB2312" w:cs="仿宋_GB2312"/>
                <w:b/>
                <w:bCs/>
                <w:kern w:val="0"/>
                <w:sz w:val="24"/>
                <w:lang w:val="zh-CN"/>
              </w:rPr>
              <w:t>审计服务费计费方式：按工作量计时收费方式；</w:t>
            </w:r>
          </w:p>
          <w:p>
            <w:pPr>
              <w:snapToGrid w:val="0"/>
              <w:ind w:firstLine="480" w:firstLineChars="20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供应商应在服务费标准最高限价的基础上作出第一阶段响应报价，给予统一</w:t>
            </w:r>
            <w:r>
              <w:rPr>
                <w:rFonts w:hint="eastAsia" w:ascii="仿宋_GB2312" w:hAnsi="仿宋_GB2312" w:eastAsia="仿宋_GB2312" w:cs="仿宋_GB2312"/>
                <w:kern w:val="0"/>
                <w:sz w:val="24"/>
              </w:rPr>
              <w:t>优惠</w:t>
            </w:r>
            <w:r>
              <w:rPr>
                <w:rFonts w:hint="eastAsia" w:ascii="仿宋_GB2312" w:hAnsi="仿宋_GB2312" w:eastAsia="仿宋_GB2312" w:cs="仿宋_GB2312"/>
                <w:kern w:val="0"/>
                <w:sz w:val="24"/>
                <w:lang w:val="zh-CN"/>
              </w:rPr>
              <w:t>率。</w:t>
            </w:r>
            <w:r>
              <w:rPr>
                <w:rFonts w:hint="eastAsia" w:ascii="仿宋_GB2312" w:hAnsi="仿宋_GB2312" w:eastAsia="仿宋_GB2312" w:cs="仿宋_GB2312"/>
                <w:sz w:val="24"/>
              </w:rPr>
              <w:t>除根据采购人要求需赴采购人指定的常驻地以外地点的，</w:t>
            </w:r>
            <w:r>
              <w:rPr>
                <w:rFonts w:hint="eastAsia" w:ascii="仿宋_GB2312" w:hAnsi="仿宋_GB2312" w:eastAsia="仿宋_GB2312" w:cs="仿宋_GB2312"/>
                <w:kern w:val="0"/>
                <w:sz w:val="24"/>
                <w:lang w:val="zh-CN"/>
              </w:rPr>
              <w:t>城市间交通费、食宿费可另行按政府部门有关规定结算报销，其他所有费用（含税费）均计入报价。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p>
            <w:pPr>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见征集文件第三部分和第六部分要求。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snapToGrid w:val="0"/>
              <w:jc w:val="center"/>
              <w:rPr>
                <w:rFonts w:ascii="仿宋_GB2312" w:hAnsi="仿宋_GB2312" w:eastAsia="仿宋_GB2312" w:cs="仿宋_GB2312"/>
                <w:bCs/>
                <w:snapToGrid w:val="0"/>
                <w:sz w:val="24"/>
              </w:rPr>
            </w:pPr>
            <w:r>
              <w:rPr>
                <w:rFonts w:hint="eastAsia" w:ascii="仿宋_GB2312" w:hAnsi="仿宋_GB2312" w:eastAsia="仿宋_GB2312" w:cs="仿宋_GB2312"/>
                <w:color w:val="000000" w:themeColor="text1"/>
                <w:sz w:val="24"/>
                <w14:textFill>
                  <w14:solidFill>
                    <w14:schemeClr w14:val="tx1"/>
                  </w14:solidFill>
                </w14:textFill>
              </w:rPr>
              <w:t>18</w:t>
            </w:r>
          </w:p>
        </w:tc>
        <w:tc>
          <w:tcPr>
            <w:tcW w:w="1560" w:type="dxa"/>
            <w:vAlign w:val="center"/>
          </w:tcPr>
          <w:p>
            <w:pPr>
              <w:snapToGrid w:val="0"/>
              <w:jc w:val="center"/>
              <w:rPr>
                <w:rFonts w:ascii="仿宋_GB2312" w:hAnsi="仿宋_GB2312" w:eastAsia="仿宋_GB2312" w:cs="仿宋_GB2312"/>
                <w:bCs/>
                <w:sz w:val="24"/>
              </w:rPr>
            </w:pPr>
            <w:r>
              <w:rPr>
                <w:rFonts w:hint="eastAsia" w:ascii="仿宋_GB2312" w:hAnsi="仿宋_GB2312" w:eastAsia="仿宋_GB2312" w:cs="仿宋_GB2312"/>
                <w:color w:val="000000" w:themeColor="text1"/>
                <w:sz w:val="24"/>
                <w14:textFill>
                  <w14:solidFill>
                    <w14:schemeClr w14:val="tx1"/>
                  </w14:solidFill>
                </w14:textFill>
              </w:rPr>
              <w:t>响应无效情形</w:t>
            </w:r>
          </w:p>
        </w:tc>
        <w:tc>
          <w:tcPr>
            <w:tcW w:w="6769" w:type="dxa"/>
            <w:vAlign w:val="center"/>
          </w:tcPr>
          <w:p>
            <w:pPr>
              <w:rPr>
                <w:rFonts w:ascii="仿宋_GB2312" w:hAnsi="仿宋_GB2312" w:eastAsia="仿宋_GB2312" w:cs="仿宋_GB2312"/>
                <w:sz w:val="24"/>
              </w:rPr>
            </w:pPr>
            <w:r>
              <w:rPr>
                <w:rFonts w:hint="eastAsia" w:ascii="仿宋_GB2312" w:hAnsi="仿宋_GB2312" w:eastAsia="仿宋_GB2312" w:cs="仿宋_GB2312"/>
                <w:bCs/>
                <w:sz w:val="24"/>
              </w:rPr>
              <w:t>见征集文件第四部分和其他部分特别指出之处。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snapToGrid w:val="0"/>
              <w:jc w:val="center"/>
              <w:rPr>
                <w:rFonts w:ascii="仿宋_GB2312" w:hAnsi="仿宋_GB2312" w:eastAsia="仿宋_GB2312" w:cs="仿宋_GB2312"/>
                <w:bCs/>
                <w:snapToGrid w:val="0"/>
                <w:sz w:val="24"/>
              </w:rPr>
            </w:pPr>
            <w:r>
              <w:rPr>
                <w:rFonts w:hint="eastAsia" w:ascii="仿宋_GB2312" w:hAnsi="仿宋_GB2312" w:eastAsia="仿宋_GB2312" w:cs="仿宋_GB2312"/>
                <w:color w:val="000000" w:themeColor="text1"/>
                <w:sz w:val="24"/>
                <w14:textFill>
                  <w14:solidFill>
                    <w14:schemeClr w14:val="tx1"/>
                  </w14:solidFill>
                </w14:textFill>
              </w:rPr>
              <w:t>19</w:t>
            </w:r>
          </w:p>
        </w:tc>
        <w:tc>
          <w:tcPr>
            <w:tcW w:w="1560"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确定第二阶段成交供应商的方式</w:t>
            </w:r>
          </w:p>
        </w:tc>
        <w:tc>
          <w:tcPr>
            <w:tcW w:w="6769" w:type="dxa"/>
            <w:vAlign w:val="center"/>
          </w:tcPr>
          <w:p>
            <w:r>
              <w:rPr>
                <w:rFonts w:hint="eastAsia" w:ascii="仿宋_GB2312" w:hAnsi="仿宋_GB2312" w:eastAsia="仿宋_GB2312" w:cs="仿宋_GB2312"/>
                <w:bCs/>
                <w:sz w:val="24"/>
              </w:rPr>
              <w:t>由采购人从第一阶段入围供应商中直接选定，见征集文件第三部分。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pStyle w:val="34"/>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20</w:t>
            </w:r>
          </w:p>
        </w:tc>
        <w:tc>
          <w:tcPr>
            <w:tcW w:w="1560" w:type="dxa"/>
            <w:vAlign w:val="center"/>
          </w:tcPr>
          <w:p>
            <w:pPr>
              <w:pStyle w:val="34"/>
              <w:snapToGrid w:val="0"/>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签订框架协议</w:t>
            </w:r>
          </w:p>
        </w:tc>
        <w:tc>
          <w:tcPr>
            <w:tcW w:w="6769" w:type="dxa"/>
            <w:vAlign w:val="center"/>
          </w:tcPr>
          <w:p>
            <w:pPr>
              <w:pStyle w:val="34"/>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入围通知书发出之日起三十天内签订框架协议。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22" w:type="dxa"/>
            <w:vAlign w:val="center"/>
          </w:tcPr>
          <w:p>
            <w:pPr>
              <w:ind w:left="-88" w:leftChars="-42" w:right="-113" w:rightChars="-54"/>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21</w:t>
            </w:r>
          </w:p>
        </w:tc>
        <w:tc>
          <w:tcPr>
            <w:tcW w:w="1560" w:type="dxa"/>
            <w:vAlign w:val="center"/>
          </w:tcPr>
          <w:p>
            <w:pPr>
              <w:ind w:left="-44" w:leftChars="-53" w:right="-65" w:rightChars="-31" w:hanging="67" w:hangingChars="28"/>
              <w:jc w:val="center"/>
              <w:rPr>
                <w:rFonts w:ascii="仿宋_GB2312" w:hAnsi="仿宋_GB2312" w:eastAsia="仿宋_GB2312" w:cs="仿宋_GB2312"/>
                <w:bCs/>
                <w:sz w:val="24"/>
              </w:rPr>
            </w:pPr>
            <w:r>
              <w:rPr>
                <w:rFonts w:hint="eastAsia" w:ascii="仿宋_GB2312" w:hAnsi="仿宋_GB2312" w:eastAsia="仿宋_GB2312" w:cs="仿宋_GB2312"/>
                <w:bCs/>
                <w:sz w:val="24"/>
              </w:rPr>
              <w:t>履约保证金</w:t>
            </w:r>
          </w:p>
        </w:tc>
        <w:tc>
          <w:tcPr>
            <w:tcW w:w="6769" w:type="dxa"/>
            <w:vAlign w:val="center"/>
          </w:tcPr>
          <w:p>
            <w:pPr>
              <w:rPr>
                <w:rFonts w:ascii="仿宋_GB2312" w:hAnsi="仿宋_GB2312" w:eastAsia="仿宋_GB2312" w:cs="仿宋_GB2312"/>
                <w:color w:val="FF0000"/>
                <w:sz w:val="24"/>
              </w:rPr>
            </w:pPr>
            <w:r>
              <w:rPr>
                <w:rFonts w:hint="eastAsia" w:ascii="仿宋_GB2312" w:hAnsi="仿宋_GB2312" w:eastAsia="仿宋_GB2312" w:cs="仿宋_GB2312"/>
                <w:bCs/>
                <w:sz w:val="24"/>
              </w:rPr>
              <w:t>本项目不要求缴纳履约保证金</w:t>
            </w:r>
          </w:p>
        </w:tc>
      </w:tr>
      <w:bookmarkEnd w:id="12"/>
    </w:tbl>
    <w:p>
      <w:pPr>
        <w:rPr>
          <w:rFonts w:ascii="仿宋_GB2312" w:hAnsi="宋体" w:eastAsia="仿宋_GB2312" w:cs="宋体"/>
          <w:b/>
          <w:color w:val="000000" w:themeColor="text1"/>
          <w:sz w:val="32"/>
          <w:szCs w:val="20"/>
          <w14:textFill>
            <w14:solidFill>
              <w14:schemeClr w14:val="tx1"/>
            </w14:solidFill>
          </w14:textFill>
        </w:rPr>
      </w:pPr>
      <w:bookmarkStart w:id="56" w:name="_Toc164416483"/>
      <w:r>
        <w:rPr>
          <w:rFonts w:hint="eastAsia" w:ascii="仿宋_GB2312" w:hAnsi="宋体" w:eastAsia="仿宋_GB2312" w:cs="宋体"/>
          <w:b/>
          <w:color w:val="000000" w:themeColor="text1"/>
          <w:sz w:val="32"/>
          <w:szCs w:val="20"/>
          <w14:textFill>
            <w14:solidFill>
              <w14:schemeClr w14:val="tx1"/>
            </w14:solidFill>
          </w14:textFill>
        </w:rPr>
        <w:br w:type="page"/>
      </w:r>
    </w:p>
    <w:p>
      <w:pPr>
        <w:adjustRightInd/>
        <w:spacing w:before="240" w:beforeLines="100" w:after="240" w:afterLines="100" w:line="360" w:lineRule="auto"/>
        <w:jc w:val="center"/>
        <w:outlineLvl w:val="1"/>
        <w:rPr>
          <w:rFonts w:ascii="仿宋_GB2312" w:hAnsi="宋体" w:eastAsia="仿宋_GB2312" w:cs="宋体"/>
          <w:b/>
          <w:color w:val="000000" w:themeColor="text1"/>
          <w:sz w:val="32"/>
          <w:szCs w:val="20"/>
          <w14:textFill>
            <w14:solidFill>
              <w14:schemeClr w14:val="tx1"/>
            </w14:solidFill>
          </w14:textFill>
        </w:rPr>
      </w:pPr>
      <w:bookmarkStart w:id="57" w:name="_Toc146706823"/>
      <w:bookmarkStart w:id="58" w:name="_Toc18191"/>
      <w:r>
        <w:rPr>
          <w:rFonts w:hint="eastAsia" w:ascii="仿宋_GB2312" w:hAnsi="宋体" w:eastAsia="仿宋_GB2312" w:cs="宋体"/>
          <w:b/>
          <w:color w:val="000000" w:themeColor="text1"/>
          <w:sz w:val="32"/>
          <w:szCs w:val="20"/>
          <w14:textFill>
            <w14:solidFill>
              <w14:schemeClr w14:val="tx1"/>
            </w14:solidFill>
          </w14:textFill>
        </w:rPr>
        <w:t>一、总则</w:t>
      </w:r>
      <w:bookmarkEnd w:id="57"/>
      <w:bookmarkEnd w:id="58"/>
    </w:p>
    <w:p>
      <w:pPr>
        <w:snapToGrid w:val="0"/>
        <w:spacing w:line="360" w:lineRule="auto"/>
        <w:jc w:val="left"/>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1.适用范围</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本征集文件适用于该项目的征集、响应、开标（开启响应文件）、资格审查及信用信息查询、评审、定标（确定入围）、协议签订、合同签订、验收、履约、支付、协议期内管理、清退、补充等行为（法律、法规另有规定的，从其规定）。</w:t>
      </w:r>
    </w:p>
    <w:p>
      <w:pPr>
        <w:snapToGrid w:val="0"/>
        <w:spacing w:line="360" w:lineRule="auto"/>
        <w:jc w:val="left"/>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2.定义</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2.1 “采购人”系指征集公告中载明的本项目采购人范围中的采购单位。</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2.2 “征集人”系指征集公告中载明的丽水市公共资源交易中心。</w:t>
      </w:r>
    </w:p>
    <w:p>
      <w:pPr>
        <w:spacing w:line="360" w:lineRule="auto"/>
        <w:ind w:left="1076" w:leftChars="220" w:hanging="614" w:hangingChars="25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2.3 “供应商”系指参与响应本次征集、参加响应竞争的法人、其他组织或者自然人。</w:t>
      </w:r>
    </w:p>
    <w:p>
      <w:pPr>
        <w:spacing w:line="360" w:lineRule="auto"/>
        <w:ind w:left="1076" w:leftChars="220" w:hanging="614" w:hangingChars="25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left="1076" w:leftChars="220" w:hanging="614" w:hangingChars="25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2.5</w:t>
      </w:r>
      <w:r>
        <w:rPr>
          <w:rFonts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“电子签名”系指数据电文中以电子形式所含、所附用于识别签名人身份并表明签名人认可其中内容的数据；“公章”系指单位法定名称章。</w:t>
      </w:r>
    </w:p>
    <w:p>
      <w:pPr>
        <w:spacing w:line="360" w:lineRule="auto"/>
        <w:ind w:left="1076" w:leftChars="220" w:hanging="614" w:hangingChars="25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2.6</w:t>
      </w:r>
      <w:r>
        <w:rPr>
          <w:rFonts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“电子交易平台”是指本项目政府采购活动所依托的政府采购云平台（https：//www.zcygov.cn/）。</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2.7 “▲”系指实质性要求条款。</w:t>
      </w:r>
    </w:p>
    <w:p>
      <w:pPr>
        <w:snapToGrid w:val="0"/>
        <w:spacing w:line="360" w:lineRule="auto"/>
        <w:jc w:val="left"/>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3.采购项目需要落实的政府采购政策</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3.1 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征集人）不会对其加以限制，仍将按照公平竞争原则实施采购）；</w:t>
      </w:r>
      <w:r>
        <w:rPr>
          <w:rFonts w:hint="eastAsia" w:ascii="仿宋_GB2312" w:hAnsi="宋体" w:eastAsia="仿宋_GB2312"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_GB2312" w:hAnsi="宋体" w:eastAsia="仿宋_GB2312" w:cs="宋体"/>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3.2 支持绿色发展</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3.3</w:t>
      </w:r>
      <w:r>
        <w:rPr>
          <w:rFonts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支持中小企业发展</w:t>
      </w:r>
    </w:p>
    <w:p>
      <w:pPr>
        <w:spacing w:line="360" w:lineRule="auto"/>
        <w:ind w:firstLine="960" w:firstLineChars="4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3.3.1</w:t>
      </w:r>
      <w:r>
        <w:rPr>
          <w:rFonts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符合中小企业划分标准的个体工商户，在政府采购活动中视同中小企业。</w:t>
      </w:r>
    </w:p>
    <w:p>
      <w:pPr>
        <w:spacing w:line="360" w:lineRule="auto"/>
        <w:ind w:firstLine="960" w:firstLineChars="400"/>
        <w:rPr>
          <w:rFonts w:ascii="仿宋_GB2312" w:hAnsi="宋体" w:eastAsia="仿宋_GB2312" w:cs="宋体"/>
          <w:sz w:val="24"/>
        </w:rPr>
      </w:pPr>
      <w:r>
        <w:rPr>
          <w:rFonts w:hint="eastAsia" w:ascii="仿宋_GB2312" w:hAnsi="宋体" w:eastAsia="仿宋_GB2312" w:cs="宋体"/>
          <w:sz w:val="24"/>
        </w:rPr>
        <w:t>3.3.2</w:t>
      </w:r>
      <w:r>
        <w:rPr>
          <w:rFonts w:ascii="仿宋_GB2312" w:hAnsi="宋体" w:eastAsia="仿宋_GB2312" w:cs="宋体"/>
          <w:sz w:val="24"/>
        </w:rPr>
        <w:t xml:space="preserve"> </w:t>
      </w:r>
      <w:r>
        <w:rPr>
          <w:rFonts w:hint="eastAsia" w:ascii="仿宋_GB2312" w:hAnsi="宋体" w:eastAsia="仿宋_GB2312" w:cs="宋体"/>
          <w:sz w:val="24"/>
        </w:rPr>
        <w:t>本项目为非专门面向中小企业的政府采购服务项目，对小型和微型企业的响应报价给予20%的扣除，用扣除后的价格参与评审和排序。</w:t>
      </w:r>
    </w:p>
    <w:p>
      <w:pPr>
        <w:spacing w:line="360" w:lineRule="auto"/>
        <w:ind w:firstLine="960" w:firstLineChars="4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3.3.3</w:t>
      </w:r>
      <w:r>
        <w:rPr>
          <w:rFonts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符合《关于促进残疾人就业政府采购政策的通知》（财库〔2017〕141号）规定的条件并提供《残疾人福利性单位声明函》的残疾人福利性单位视同小型、微型企业；</w:t>
      </w:r>
    </w:p>
    <w:p>
      <w:pPr>
        <w:spacing w:line="360" w:lineRule="auto"/>
        <w:ind w:firstLine="960" w:firstLineChars="4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3.3.4</w:t>
      </w:r>
      <w:r>
        <w:rPr>
          <w:rFonts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960" w:firstLineChars="4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3.3.5可享受中小企业扶持政策的投标人（响应供应商）应按照征集文件规定的格式和要求提供《中小企业声明函》，投标人（响应供应商）未提供符合征集文件要求的《中小企业声明函》的，不享受中小企业扶持政策。声明内容不实的，属于提供虚假材料谋取中标、成交的，依法承担法律责任。</w:t>
      </w:r>
    </w:p>
    <w:p>
      <w:pPr>
        <w:spacing w:line="360" w:lineRule="auto"/>
        <w:ind w:firstLine="960" w:firstLineChars="4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3.3.6中小企业享受扶持政策获得政府采购合同的，小微企业不得将合同分包给大中型企业，中型企业不得将合同分包给大型企业。</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3.4平等对待内外资企业和符合条件的破产重整企业，切实保障企业公平竞争，平等维护企业的合法利益。</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4. 询问、质疑、投诉</w:t>
      </w:r>
    </w:p>
    <w:p>
      <w:pPr>
        <w:autoSpaceDE w:val="0"/>
        <w:autoSpaceDN w:val="0"/>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4.2</w:t>
      </w:r>
      <w:r>
        <w:rPr>
          <w:rFonts w:hint="eastAsia" w:ascii="仿宋_GB2312" w:hAnsi="宋体" w:eastAsia="仿宋_GB2312" w:cs="宋体"/>
          <w:color w:val="000000" w:themeColor="text1"/>
          <w:kern w:val="0"/>
          <w:sz w:val="24"/>
          <w:lang w:val="zh-CN"/>
          <w14:textFill>
            <w14:solidFill>
              <w14:schemeClr w14:val="tx1"/>
            </w14:solidFill>
          </w14:textFill>
        </w:rPr>
        <w:t>供应商询问</w:t>
      </w:r>
    </w:p>
    <w:p>
      <w:pPr>
        <w:autoSpaceDE w:val="0"/>
        <w:autoSpaceDN w:val="0"/>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供应商对政府采购活动事项有疑问的，可以提出询问，征集人应当在3个工作日内对供应商依法提出的询问作出答复，但答复的内容不得涉及商业秘密。</w:t>
      </w:r>
    </w:p>
    <w:p>
      <w:pPr>
        <w:autoSpaceDE w:val="0"/>
        <w:autoSpaceDN w:val="0"/>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w:t>
      </w:r>
      <w:r>
        <w:rPr>
          <w:rFonts w:hint="eastAsia" w:ascii="仿宋_GB2312" w:hAnsi="宋体" w:eastAsia="仿宋_GB2312" w:cs="宋体"/>
          <w:color w:val="000000" w:themeColor="text1"/>
          <w:kern w:val="0"/>
          <w:sz w:val="24"/>
          <w14:textFill>
            <w14:solidFill>
              <w14:schemeClr w14:val="tx1"/>
            </w14:solidFill>
          </w14:textFill>
        </w:rPr>
        <w:t>3</w:t>
      </w:r>
      <w:r>
        <w:rPr>
          <w:rFonts w:hint="eastAsia" w:ascii="仿宋_GB2312" w:hAnsi="宋体" w:eastAsia="仿宋_GB2312" w:cs="宋体"/>
          <w:color w:val="000000" w:themeColor="text1"/>
          <w:kern w:val="0"/>
          <w:sz w:val="24"/>
          <w:lang w:val="zh-CN"/>
          <w14:textFill>
            <w14:solidFill>
              <w14:schemeClr w14:val="tx1"/>
            </w14:solidFill>
          </w14:textFill>
        </w:rPr>
        <w:t>供应商质疑</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4.3.1提出质疑的供应商应当是参与所质疑项目采购活动的供应商。潜在供应商已依法获取其可质疑的征集文件的，可以对该文件提出质疑。</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4.3.2供应商认为征集文件、采购过程和成交（入围）结果使自己的权益受到损害的，可以在知道或者应知其权益受到损害之日起七个工作日内，以书面形式向征集人提出质疑，否则，征集人不予受理。</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4.3.2.1对征集文件提出质疑的，质疑期限为供应商获得征集文件之日或者征集文件公告期限届满之日起计算。</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4.3.2.2对采购过程提出质疑的，质疑期限为各采购程序环节结束之日起计算。</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4.3.2.3对采购结果提出质疑的，质疑期限自采购结果公告期限届满之日起计算。</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4.3.3供应商提出质疑应当提交质疑函和必要的证明材料。质疑函应当包括下列内容：</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4.3.3.1供应商的姓名或者名称、地址、邮编、联系人及联系电话；</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4.3.3.2质疑项目的名称、编号；</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4.3.3.3具体、明确的质疑事项和与质疑事项相关的请求；</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4.3.3.4事实依据；</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4.3.3.5必要的法律依据；</w:t>
      </w:r>
    </w:p>
    <w:p>
      <w:pPr>
        <w:autoSpaceDE w:val="0"/>
        <w:autoSpaceDN w:val="0"/>
        <w:spacing w:line="360" w:lineRule="auto"/>
        <w:ind w:firstLine="960" w:firstLineChars="4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4.3.3.6提出质疑的日期。</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w:t>
      </w:r>
      <w:r>
        <w:rPr>
          <w:rFonts w:ascii="仿宋_GB2312" w:hAnsi="宋体" w:eastAsia="仿宋_GB2312" w:cs="宋体"/>
          <w:color w:val="000000" w:themeColor="text1"/>
          <w:kern w:val="0"/>
          <w:sz w:val="24"/>
          <w:lang w:val="zh-CN"/>
          <w14:textFill>
            <w14:solidFill>
              <w14:schemeClr w14:val="tx1"/>
            </w14:solidFill>
          </w14:textFill>
        </w:rPr>
        <w:t>.3.4</w:t>
      </w:r>
      <w:r>
        <w:rPr>
          <w:rFonts w:hint="eastAsia" w:ascii="仿宋_GB2312" w:hAnsi="宋体" w:eastAsia="仿宋_GB2312" w:cs="宋体"/>
          <w:color w:val="000000" w:themeColor="text1"/>
          <w:kern w:val="0"/>
          <w:sz w:val="24"/>
          <w:lang w:val="zh-CN"/>
          <w14:textFill>
            <w14:solidFill>
              <w14:schemeClr w14:val="tx1"/>
            </w14:solidFill>
          </w14:textFill>
        </w:rPr>
        <w:t>供应商通过政府采购云平台提交的质疑函（如是线下提交质疑的需一式三份）。供应商为自然人的，应当由本人签字；供应商为法人或者其他组织的，应当由法定代表人、主要负责人，或者其授权代表签字或者盖章，并加盖公章。质疑函范本请到浙江政府采购网下载专区下载。</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w:t>
      </w:r>
      <w:r>
        <w:rPr>
          <w:rFonts w:ascii="仿宋_GB2312" w:hAnsi="宋体" w:eastAsia="仿宋_GB2312" w:cs="宋体"/>
          <w:color w:val="000000" w:themeColor="text1"/>
          <w:kern w:val="0"/>
          <w:sz w:val="24"/>
          <w:lang w:val="zh-CN"/>
          <w14:textFill>
            <w14:solidFill>
              <w14:schemeClr w14:val="tx1"/>
            </w14:solidFill>
          </w14:textFill>
        </w:rPr>
        <w:t>5</w:t>
      </w:r>
      <w:r>
        <w:rPr>
          <w:rFonts w:hint="eastAsia" w:ascii="仿宋_GB2312" w:hAnsi="宋体" w:eastAsia="仿宋_GB2312" w:cs="宋体"/>
          <w:color w:val="000000" w:themeColor="text1"/>
          <w:kern w:val="0"/>
          <w:sz w:val="24"/>
          <w:lang w:val="zh-CN"/>
          <w14:textFill>
            <w14:solidFill>
              <w14:schemeClr w14:val="tx1"/>
            </w14:solidFill>
          </w14:textFill>
        </w:rPr>
        <w:t>对同一采购程序环节的质疑，供应商须在法定质疑期内一次性提出。</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4.3.</w:t>
      </w:r>
      <w:r>
        <w:rPr>
          <w:rFonts w:ascii="仿宋_GB2312" w:hAnsi="宋体" w:eastAsia="仿宋_GB2312" w:cs="宋体"/>
          <w:color w:val="000000" w:themeColor="text1"/>
          <w:kern w:val="0"/>
          <w:sz w:val="24"/>
          <w:lang w:val="zh-CN"/>
          <w14:textFill>
            <w14:solidFill>
              <w14:schemeClr w14:val="tx1"/>
            </w14:solidFill>
          </w14:textFill>
        </w:rPr>
        <w:t>6</w:t>
      </w:r>
      <w:r>
        <w:rPr>
          <w:rFonts w:hint="eastAsia" w:ascii="仿宋_GB2312" w:hAnsi="宋体" w:eastAsia="仿宋_GB2312" w:cs="宋体"/>
          <w:color w:val="000000" w:themeColor="text1"/>
          <w:kern w:val="0"/>
          <w:sz w:val="24"/>
          <w:lang w:val="zh-CN"/>
          <w14:textFill>
            <w14:solidFill>
              <w14:schemeClr w14:val="tx1"/>
            </w14:solidFill>
          </w14:textFill>
        </w:rPr>
        <w:t>征集人应当在收到供应商的书面质疑后七个工作日内作出答复，并以书面形式通知质疑供应商和其他与质疑处理结果有利害关系的政府采购当事人，但答复的内容不得涉及商业秘密。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4.4供应商投诉</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4.4.1质疑供应商对征集人的答复不满意或者征集人未在规定的时间内作出答复的，可以在答复期满后十五个工作日内向征集公告公布的政府采购监督管理部门投诉。投诉书范本请到浙江政府采购网下载专区下载。</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4.4.2供应商投诉的事项不得超出已质疑事项的范围，基于质疑答复内容提出的投诉事项除外。</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4.4.3供应商投诉应当有明确的请求和必要的证明材料。</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4.4.4以联合体形式参加政府采购活动的，其投诉应当由组成联合体的所有供应商共同提出。</w:t>
      </w:r>
    </w:p>
    <w:p>
      <w:pPr>
        <w:autoSpaceDE w:val="0"/>
        <w:autoSpaceDN w:val="0"/>
        <w:spacing w:line="360" w:lineRule="auto"/>
        <w:ind w:firstLine="720" w:firstLineChars="3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4.4.5政府采购监督管理部门：见征集公告</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59" w:name="_Toc12012"/>
      <w:bookmarkStart w:id="60" w:name="_Toc146706824"/>
      <w:r>
        <w:rPr>
          <w:rFonts w:hint="eastAsia" w:ascii="仿宋_GB2312" w:hAnsi="宋体" w:eastAsia="仿宋_GB2312" w:cs="宋体"/>
          <w:b/>
          <w:color w:val="000000" w:themeColor="text1"/>
          <w:sz w:val="32"/>
          <w:szCs w:val="20"/>
          <w14:textFill>
            <w14:solidFill>
              <w14:schemeClr w14:val="tx1"/>
            </w14:solidFill>
          </w14:textFill>
        </w:rPr>
        <w:t>二、征集文件的构成、澄清、修改</w:t>
      </w:r>
      <w:bookmarkEnd w:id="59"/>
      <w:bookmarkEnd w:id="60"/>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5．征集文件的构成</w:t>
      </w:r>
    </w:p>
    <w:p>
      <w:pPr>
        <w:pStyle w:val="34"/>
        <w:spacing w:line="360" w:lineRule="auto"/>
        <w:ind w:firstLine="480" w:firstLineChars="2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 征集文件包括下列文件：</w:t>
      </w:r>
    </w:p>
    <w:p>
      <w:pPr>
        <w:pStyle w:val="34"/>
        <w:tabs>
          <w:tab w:val="left" w:pos="840"/>
        </w:tabs>
        <w:spacing w:line="360" w:lineRule="auto"/>
        <w:ind w:firstLine="720" w:firstLineChars="3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5.1.1征集公告；</w:t>
      </w:r>
    </w:p>
    <w:p>
      <w:pPr>
        <w:pStyle w:val="34"/>
        <w:tabs>
          <w:tab w:val="left" w:pos="840"/>
        </w:tabs>
        <w:spacing w:line="360" w:lineRule="auto"/>
        <w:ind w:firstLine="720" w:firstLineChars="3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5.1.2响应供应商须知；</w:t>
      </w:r>
    </w:p>
    <w:p>
      <w:pPr>
        <w:pStyle w:val="34"/>
        <w:tabs>
          <w:tab w:val="left" w:pos="840"/>
        </w:tabs>
        <w:spacing w:line="360" w:lineRule="auto"/>
        <w:ind w:firstLine="720" w:firstLineChars="3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5.1.3采购需求；</w:t>
      </w:r>
    </w:p>
    <w:p>
      <w:pPr>
        <w:pStyle w:val="34"/>
        <w:tabs>
          <w:tab w:val="left" w:pos="840"/>
        </w:tabs>
        <w:spacing w:line="360" w:lineRule="auto"/>
        <w:ind w:firstLine="720" w:firstLineChars="3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5.1.4确定第一阶段入围供应商的评审方法；</w:t>
      </w:r>
    </w:p>
    <w:p>
      <w:pPr>
        <w:pStyle w:val="34"/>
        <w:tabs>
          <w:tab w:val="left" w:pos="840"/>
        </w:tabs>
        <w:spacing w:line="360" w:lineRule="auto"/>
        <w:ind w:firstLine="720" w:firstLineChars="3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5.1.5拟签订的框架协议文本和采购合同文本；</w:t>
      </w:r>
    </w:p>
    <w:p>
      <w:pPr>
        <w:pStyle w:val="34"/>
        <w:tabs>
          <w:tab w:val="left" w:pos="840"/>
        </w:tabs>
        <w:spacing w:line="360" w:lineRule="auto"/>
        <w:ind w:firstLine="720" w:firstLineChars="3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5.1.6响应文件编制格式及规范要求。</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5.2与本项目有关的</w:t>
      </w:r>
      <w:r>
        <w:rPr>
          <w:rFonts w:hint="eastAsia" w:ascii="仿宋_GB2312" w:hAnsi="宋体" w:eastAsia="仿宋_GB2312" w:cs="宋体"/>
          <w:bCs/>
          <w:color w:val="000000" w:themeColor="text1"/>
          <w:sz w:val="24"/>
          <w14:textFill>
            <w14:solidFill>
              <w14:schemeClr w14:val="tx1"/>
            </w14:solidFill>
          </w14:textFill>
        </w:rPr>
        <w:t>澄清或者修改的内容为征集文件的组成部分</w:t>
      </w:r>
      <w:r>
        <w:rPr>
          <w:rFonts w:hint="eastAsia" w:ascii="仿宋_GB2312" w:hAnsi="宋体" w:eastAsia="仿宋_GB2312" w:cs="宋体"/>
          <w:color w:val="000000" w:themeColor="text1"/>
          <w:sz w:val="24"/>
          <w14:textFill>
            <w14:solidFill>
              <w14:schemeClr w14:val="tx1"/>
            </w14:solidFill>
          </w14:textFill>
        </w:rPr>
        <w:t>。</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6.征集文件的澄清、修改</w:t>
      </w:r>
    </w:p>
    <w:p>
      <w:pPr>
        <w:pStyle w:val="128"/>
        <w:snapToGrid w:val="0"/>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6.1已获取征集文件的潜在供应商，若有问题需要澄清，应于响应截止时间前，以书面形式向采购机构（征集人）提出。</w:t>
      </w:r>
    </w:p>
    <w:p>
      <w:pPr>
        <w:pStyle w:val="128"/>
        <w:snapToGrid w:val="0"/>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6.2 采购机构（征集人）对征集文件进行澄清或修改的，将同时通过电子交易平台通知已获取征集文件的潜在供应商。依法应当公告的，将按规定公告，同时视情况延长响应截止时间和开启响应文件时间。该澄清或者修改的内容为征集文件的组成部分。</w:t>
      </w:r>
    </w:p>
    <w:p>
      <w:pPr>
        <w:adjustRightInd/>
        <w:spacing w:before="240" w:beforeLines="100" w:after="240" w:afterLines="100" w:line="360" w:lineRule="auto"/>
        <w:jc w:val="center"/>
        <w:outlineLvl w:val="1"/>
        <w:rPr>
          <w:rFonts w:ascii="仿宋_GB2312" w:hAnsi="宋体" w:eastAsia="仿宋_GB2312" w:cs="宋体"/>
          <w:b/>
          <w:color w:val="000000" w:themeColor="text1"/>
          <w:sz w:val="32"/>
          <w:szCs w:val="20"/>
          <w14:textFill>
            <w14:solidFill>
              <w14:schemeClr w14:val="tx1"/>
            </w14:solidFill>
          </w14:textFill>
        </w:rPr>
      </w:pPr>
      <w:bookmarkStart w:id="61" w:name="_Toc25327"/>
      <w:bookmarkStart w:id="62" w:name="_Toc146706825"/>
      <w:r>
        <w:rPr>
          <w:rFonts w:hint="eastAsia" w:ascii="仿宋_GB2312" w:hAnsi="宋体" w:eastAsia="仿宋_GB2312" w:cs="宋体"/>
          <w:b/>
          <w:color w:val="000000" w:themeColor="text1"/>
          <w:sz w:val="32"/>
          <w:szCs w:val="20"/>
          <w14:textFill>
            <w14:solidFill>
              <w14:schemeClr w14:val="tx1"/>
            </w14:solidFill>
          </w14:textFill>
        </w:rPr>
        <w:t>三、响应</w:t>
      </w:r>
      <w:bookmarkEnd w:id="61"/>
      <w:bookmarkEnd w:id="62"/>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7.征集文件的获取</w:t>
      </w:r>
    </w:p>
    <w:p>
      <w:pPr>
        <w:spacing w:line="360" w:lineRule="auto"/>
        <w:ind w:firstLine="480" w:firstLineChars="200"/>
        <w:rPr>
          <w:rFonts w:ascii="仿宋_GB2312" w:hAnsi="宋体" w:eastAsia="仿宋_GB2312" w:cs="宋体"/>
          <w:snapToGrid w:val="0"/>
          <w:color w:val="000000" w:themeColor="text1"/>
          <w:kern w:val="28"/>
          <w:sz w:val="24"/>
          <w14:textFill>
            <w14:solidFill>
              <w14:schemeClr w14:val="tx1"/>
            </w14:solidFill>
          </w14:textFill>
        </w:rPr>
      </w:pPr>
      <w:r>
        <w:rPr>
          <w:rFonts w:hint="eastAsia" w:ascii="仿宋_GB2312" w:hAnsi="宋体" w:eastAsia="仿宋_GB2312" w:cs="宋体"/>
          <w:snapToGrid w:val="0"/>
          <w:color w:val="000000" w:themeColor="text1"/>
          <w:kern w:val="28"/>
          <w:sz w:val="24"/>
          <w14:textFill>
            <w14:solidFill>
              <w14:schemeClr w14:val="tx1"/>
            </w14:solidFill>
          </w14:textFill>
        </w:rPr>
        <w:t>见征集公告中获取征集文件的时间期限、地点、方式。</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8.开标（开启响应文件）前答疑会或现场考察</w:t>
      </w:r>
    </w:p>
    <w:p>
      <w:pPr>
        <w:pStyle w:val="34"/>
        <w:spacing w:line="360" w:lineRule="auto"/>
        <w:ind w:firstLine="480" w:firstLineChars="2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本项目不组织潜在供应商现场考察或者召开开标（开启响应文件）前答疑会。</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9.响应保证金</w:t>
      </w:r>
    </w:p>
    <w:p>
      <w:pPr>
        <w:pStyle w:val="5"/>
        <w:spacing w:line="360" w:lineRule="auto"/>
        <w:ind w:firstLine="470" w:firstLineChars="196"/>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本项目不需缴纳响应保证金。</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10.响应文件的语言</w:t>
      </w:r>
    </w:p>
    <w:p>
      <w:pPr>
        <w:autoSpaceDE w:val="0"/>
        <w:autoSpaceDN w:val="0"/>
        <w:spacing w:line="360" w:lineRule="auto"/>
        <w:ind w:firstLine="480" w:firstLineChars="200"/>
        <w:rPr>
          <w:rFonts w:ascii="仿宋_GB2312" w:hAnsi="宋体" w:eastAsia="仿宋_GB2312" w:cs="宋体"/>
          <w:color w:val="000000" w:themeColor="text1"/>
          <w:sz w:val="24"/>
          <w:lang w:val="zh-CN"/>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响应文件及响应供应商与采购有关的来往通知、函件和文件均应使用中文。</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11.响应文件的组成</w:t>
      </w:r>
    </w:p>
    <w:p>
      <w:pPr>
        <w:pStyle w:val="34"/>
        <w:spacing w:line="360" w:lineRule="auto"/>
        <w:ind w:firstLine="480" w:firstLineChars="200"/>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供应商按要求提供以下响应文件：</w:t>
      </w:r>
    </w:p>
    <w:p>
      <w:pPr>
        <w:snapToGrid w:val="0"/>
        <w:spacing w:line="360" w:lineRule="auto"/>
        <w:ind w:firstLine="482" w:firstLineChars="200"/>
        <w:rPr>
          <w:rFonts w:ascii="仿宋_GB2312" w:hAnsi="宋体" w:eastAsia="仿宋_GB2312" w:cs="宋体"/>
          <w:sz w:val="24"/>
        </w:rPr>
      </w:pPr>
      <w:r>
        <w:rPr>
          <w:rFonts w:hint="eastAsia" w:ascii="仿宋_GB2312" w:hAnsi="宋体" w:eastAsia="仿宋_GB2312" w:cs="宋体"/>
          <w:b/>
          <w:bCs/>
          <w:sz w:val="24"/>
        </w:rPr>
        <w:t>11.1 资</w:t>
      </w:r>
      <w:r>
        <w:rPr>
          <w:rFonts w:hint="eastAsia" w:ascii="仿宋_GB2312" w:hAnsi="宋体" w:eastAsia="仿宋_GB2312" w:cs="宋体"/>
          <w:b/>
          <w:sz w:val="24"/>
        </w:rPr>
        <w:t>格响应文件：</w:t>
      </w:r>
    </w:p>
    <w:p>
      <w:pPr>
        <w:snapToGrid w:val="0"/>
        <w:spacing w:line="360" w:lineRule="auto"/>
        <w:ind w:firstLine="720" w:firstLineChars="300"/>
        <w:rPr>
          <w:rFonts w:ascii="仿宋_GB2312" w:hAnsi="宋体" w:eastAsia="仿宋_GB2312" w:cs="宋体"/>
          <w:color w:val="000000" w:themeColor="text1"/>
          <w:sz w:val="24"/>
          <w:lang w:val="zh-CN"/>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11.1.</w:t>
      </w:r>
      <w:r>
        <w:rPr>
          <w:rFonts w:hint="eastAsia" w:ascii="仿宋_GB2312" w:hAnsi="宋体" w:eastAsia="仿宋_GB2312" w:cs="宋体"/>
          <w:color w:val="000000" w:themeColor="text1"/>
          <w:sz w:val="24"/>
          <w:lang w:val="zh-CN"/>
          <w14:textFill>
            <w14:solidFill>
              <w14:schemeClr w14:val="tx1"/>
            </w14:solidFill>
          </w14:textFill>
        </w:rPr>
        <w:t>1▲</w:t>
      </w:r>
      <w:r>
        <w:rPr>
          <w:rFonts w:hint="eastAsia" w:ascii="仿宋_GB2312" w:hAnsi="宋体" w:eastAsia="仿宋_GB2312" w:cs="宋体"/>
          <w:color w:val="000000" w:themeColor="text1"/>
          <w:sz w:val="24"/>
          <w14:textFill>
            <w14:solidFill>
              <w14:schemeClr w14:val="tx1"/>
            </w14:solidFill>
          </w14:textFill>
        </w:rPr>
        <w:t>符合参加政府采购活动应当具备的一般条件的承诺函</w:t>
      </w:r>
      <w:r>
        <w:rPr>
          <w:rFonts w:hint="eastAsia" w:ascii="仿宋_GB2312" w:hAnsi="宋体" w:eastAsia="仿宋_GB2312" w:cs="宋体"/>
          <w:color w:val="000000" w:themeColor="text1"/>
          <w:sz w:val="24"/>
          <w:lang w:val="zh-CN"/>
          <w14:textFill>
            <w14:solidFill>
              <w14:schemeClr w14:val="tx1"/>
            </w14:solidFill>
          </w14:textFill>
        </w:rPr>
        <w:t>；</w:t>
      </w:r>
    </w:p>
    <w:p>
      <w:pPr>
        <w:snapToGrid w:val="0"/>
        <w:spacing w:line="360" w:lineRule="auto"/>
        <w:ind w:firstLine="720" w:firstLineChars="300"/>
        <w:rPr>
          <w:rFonts w:hint="eastAsia" w:ascii="仿宋_GB2312" w:eastAsia="仿宋_GB2312"/>
          <w:sz w:val="24"/>
        </w:rPr>
      </w:pPr>
      <w:r>
        <w:rPr>
          <w:rFonts w:hint="eastAsia" w:ascii="仿宋_GB2312" w:hAnsi="宋体" w:eastAsia="仿宋_GB2312" w:cs="宋体"/>
          <w:color w:val="000000" w:themeColor="text1"/>
          <w:sz w:val="24"/>
          <w14:textFill>
            <w14:solidFill>
              <w14:schemeClr w14:val="tx1"/>
            </w14:solidFill>
          </w14:textFill>
        </w:rPr>
        <w:t>11.1.2</w:t>
      </w:r>
      <w:r>
        <w:rPr>
          <w:rFonts w:hint="eastAsia" w:ascii="仿宋_GB2312" w:hAnsi="宋体" w:eastAsia="仿宋_GB2312" w:cs="宋体"/>
          <w:color w:val="000000" w:themeColor="text1"/>
          <w:sz w:val="24"/>
          <w:lang w:val="zh-CN"/>
          <w14:textFill>
            <w14:solidFill>
              <w14:schemeClr w14:val="tx1"/>
            </w14:solidFill>
          </w14:textFill>
        </w:rPr>
        <w:t>▲</w:t>
      </w:r>
      <w:r>
        <w:rPr>
          <w:rFonts w:hint="eastAsia" w:ascii="仿宋_GB2312" w:hAnsi="仿宋_GB2312" w:eastAsia="仿宋_GB2312" w:cs="仿宋_GB2312"/>
          <w:sz w:val="24"/>
          <w:szCs w:val="24"/>
        </w:rPr>
        <w:t>有效营业执照电子文档</w:t>
      </w:r>
      <w:r>
        <w:rPr>
          <w:rFonts w:hint="eastAsia" w:ascii="仿宋_GB2312" w:eastAsia="仿宋_GB2312"/>
          <w:sz w:val="24"/>
        </w:rPr>
        <w:t>；</w:t>
      </w:r>
    </w:p>
    <w:p>
      <w:pPr>
        <w:snapToGrid w:val="0"/>
        <w:spacing w:line="360" w:lineRule="auto"/>
        <w:ind w:firstLine="720" w:firstLineChars="300"/>
        <w:rPr>
          <w:rFonts w:hint="eastAsia" w:ascii="仿宋_GB2312" w:hAnsi="宋体" w:eastAsia="仿宋_GB2312" w:cs="宋体"/>
          <w:color w:val="000000" w:themeColor="text1"/>
          <w:sz w:val="24"/>
          <w:lang w:val="zh-CN" w:eastAsia="zh-CN"/>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11.1.</w:t>
      </w:r>
      <w:r>
        <w:rPr>
          <w:rFonts w:hint="eastAsia" w:ascii="仿宋_GB2312" w:hAnsi="宋体" w:eastAsia="仿宋_GB2312" w:cs="宋体"/>
          <w:color w:val="000000" w:themeColor="text1"/>
          <w:sz w:val="24"/>
          <w:lang w:val="en-US" w:eastAsia="zh-CN"/>
          <w14:textFill>
            <w14:solidFill>
              <w14:schemeClr w14:val="tx1"/>
            </w14:solidFill>
          </w14:textFill>
        </w:rPr>
        <w:t>3</w:t>
      </w:r>
      <w:r>
        <w:rPr>
          <w:rFonts w:hint="eastAsia" w:ascii="仿宋_GB2312" w:hAnsi="宋体" w:eastAsia="仿宋_GB2312" w:cs="宋体"/>
          <w:color w:val="000000" w:themeColor="text1"/>
          <w:sz w:val="24"/>
          <w:lang w:val="zh-CN"/>
          <w14:textFill>
            <w14:solidFill>
              <w14:schemeClr w14:val="tx1"/>
            </w14:solidFill>
          </w14:textFill>
        </w:rPr>
        <w:t>▲特定资格要求证明文件</w:t>
      </w:r>
      <w:r>
        <w:rPr>
          <w:rFonts w:hint="eastAsia" w:ascii="仿宋_GB2312" w:eastAsia="仿宋_GB2312"/>
          <w:sz w:val="24"/>
          <w:lang w:eastAsia="zh-CN"/>
        </w:rPr>
        <w:t>。</w:t>
      </w:r>
    </w:p>
    <w:p>
      <w:pPr>
        <w:snapToGrid w:val="0"/>
        <w:spacing w:line="360" w:lineRule="auto"/>
        <w:ind w:firstLine="482" w:firstLineChars="200"/>
        <w:rPr>
          <w:rFonts w:ascii="仿宋_GB2312" w:hAnsi="宋体" w:eastAsia="仿宋_GB2312" w:cs="宋体"/>
          <w:color w:val="000000" w:themeColor="text1"/>
          <w:sz w:val="24"/>
          <w:lang w:val="zh-CN"/>
          <w14:textFill>
            <w14:solidFill>
              <w14:schemeClr w14:val="tx1"/>
            </w14:solidFill>
          </w14:textFill>
        </w:rPr>
      </w:pPr>
      <w:r>
        <w:rPr>
          <w:rFonts w:hint="eastAsia" w:ascii="仿宋_GB2312" w:hAnsi="宋体" w:eastAsia="仿宋_GB2312" w:cs="宋体"/>
          <w:b/>
          <w:bCs/>
          <w:color w:val="000000" w:themeColor="text1"/>
          <w:sz w:val="24"/>
          <w:lang w:val="zh-CN"/>
          <w14:textFill>
            <w14:solidFill>
              <w14:schemeClr w14:val="tx1"/>
            </w14:solidFill>
          </w14:textFill>
        </w:rPr>
        <w:t>11.</w:t>
      </w:r>
      <w:r>
        <w:rPr>
          <w:rFonts w:hint="eastAsia" w:ascii="仿宋_GB2312" w:hAnsi="宋体" w:eastAsia="仿宋_GB2312" w:cs="宋体"/>
          <w:b/>
          <w:bCs/>
          <w:color w:val="000000" w:themeColor="text1"/>
          <w:sz w:val="24"/>
          <w14:textFill>
            <w14:solidFill>
              <w14:schemeClr w14:val="tx1"/>
            </w14:solidFill>
          </w14:textFill>
        </w:rPr>
        <w:t>2</w:t>
      </w:r>
      <w:r>
        <w:rPr>
          <w:rFonts w:hint="eastAsia" w:ascii="仿宋_GB2312" w:hAnsi="宋体" w:eastAsia="仿宋_GB2312" w:cs="宋体"/>
          <w:b/>
          <w:bCs/>
          <w:color w:val="000000" w:themeColor="text1"/>
          <w:sz w:val="24"/>
          <w:lang w:val="zh-CN"/>
          <w14:textFill>
            <w14:solidFill>
              <w14:schemeClr w14:val="tx1"/>
            </w14:solidFill>
          </w14:textFill>
        </w:rPr>
        <w:t xml:space="preserve"> </w:t>
      </w:r>
      <w:r>
        <w:rPr>
          <w:rFonts w:hint="eastAsia" w:ascii="仿宋_GB2312" w:hAnsi="宋体" w:eastAsia="仿宋_GB2312" w:cs="宋体"/>
          <w:b/>
          <w:bCs/>
          <w:color w:val="000000" w:themeColor="text1"/>
          <w:sz w:val="24"/>
          <w14:textFill>
            <w14:solidFill>
              <w14:schemeClr w14:val="tx1"/>
            </w14:solidFill>
          </w14:textFill>
        </w:rPr>
        <w:t>商务技术响应文件</w:t>
      </w:r>
      <w:r>
        <w:rPr>
          <w:rFonts w:hint="eastAsia" w:ascii="仿宋_GB2312" w:hAnsi="宋体" w:eastAsia="仿宋_GB2312" w:cs="宋体"/>
          <w:b/>
          <w:bCs/>
          <w:color w:val="000000" w:themeColor="text1"/>
          <w:sz w:val="24"/>
          <w:lang w:val="zh-CN"/>
          <w14:textFill>
            <w14:solidFill>
              <w14:schemeClr w14:val="tx1"/>
            </w14:solidFill>
          </w14:textFill>
        </w:rPr>
        <w:t>：</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11.2.1▲授权委托书或法定代表人（单位负责人、自然人本人）身份证明</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11.2.2▲采购需求承诺函</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11.2.3▲管理制度</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11.2.4▲服务方案</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11.2.5▲服务团队配备人员情况表</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11.2.6▲注册会计师执业证书</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11.2.7承担类似业绩情况（如果有）</w:t>
      </w:r>
    </w:p>
    <w:p>
      <w:pPr>
        <w:pStyle w:val="26"/>
        <w:ind w:left="0" w:leftChars="0" w:firstLine="840" w:firstLineChars="35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11.2.8投标人需要说明的其他文件和说明（如果有）</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11.</w:t>
      </w:r>
      <w:r>
        <w:rPr>
          <w:rFonts w:hint="eastAsia" w:ascii="仿宋_GB2312" w:hAnsi="宋体" w:eastAsia="仿宋_GB2312" w:cs="宋体"/>
          <w:color w:val="000000" w:themeColor="text1"/>
          <w:kern w:val="0"/>
          <w:sz w:val="24"/>
          <w14:textFill>
            <w14:solidFill>
              <w14:schemeClr w14:val="tx1"/>
            </w14:solidFill>
          </w14:textFill>
        </w:rPr>
        <w:t xml:space="preserve">3 </w:t>
      </w:r>
      <w:r>
        <w:rPr>
          <w:rFonts w:hint="eastAsia" w:ascii="仿宋_GB2312" w:hAnsi="宋体" w:eastAsia="仿宋_GB2312" w:cs="宋体"/>
          <w:b/>
          <w:color w:val="000000" w:themeColor="text1"/>
          <w:sz w:val="24"/>
          <w14:textFill>
            <w14:solidFill>
              <w14:schemeClr w14:val="tx1"/>
            </w14:solidFill>
          </w14:textFill>
        </w:rPr>
        <w:t>▲参数响应文件</w:t>
      </w:r>
      <w:r>
        <w:rPr>
          <w:rFonts w:hint="eastAsia" w:ascii="仿宋_GB2312" w:hAnsi="宋体" w:eastAsia="仿宋_GB2312" w:cs="宋体"/>
          <w:bCs/>
          <w:color w:val="000000" w:themeColor="text1"/>
          <w:sz w:val="24"/>
          <w14:textFill>
            <w14:solidFill>
              <w14:schemeClr w14:val="tx1"/>
            </w14:solidFill>
          </w14:textFill>
        </w:rPr>
        <w:t>（由供应商在政采云投标系统中按要求填报）</w:t>
      </w:r>
    </w:p>
    <w:p>
      <w:pPr>
        <w:pStyle w:val="26"/>
        <w:ind w:left="0" w:leftChars="0" w:firstLine="48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 xml:space="preserve">11.4 </w:t>
      </w:r>
      <w:r>
        <w:rPr>
          <w:rFonts w:hint="eastAsia" w:ascii="仿宋_GB2312" w:eastAsia="仿宋_GB2312" w:cs="宋体"/>
          <w:b/>
          <w:bCs/>
          <w:color w:val="000000" w:themeColor="text1"/>
          <w:sz w:val="24"/>
          <w14:textFill>
            <w14:solidFill>
              <w14:schemeClr w14:val="tx1"/>
            </w14:solidFill>
          </w14:textFill>
        </w:rPr>
        <w:t>报价要求响应文件</w:t>
      </w:r>
    </w:p>
    <w:p>
      <w:pPr>
        <w:pStyle w:val="23"/>
        <w:ind w:firstLine="960" w:firstLineChars="400"/>
        <w:rPr>
          <w:rFonts w:hint="eastAsia" w:ascii="仿宋_GB2312" w:eastAsia="仿宋_GB2312" w:cs="宋体"/>
          <w:color w:val="000000" w:themeColor="text1"/>
          <w:szCs w:val="24"/>
          <w:lang w:val="en-US"/>
          <w14:textFill>
            <w14:solidFill>
              <w14:schemeClr w14:val="tx1"/>
            </w14:solidFill>
          </w14:textFill>
        </w:rPr>
      </w:pPr>
      <w:r>
        <w:rPr>
          <w:rFonts w:hint="eastAsia" w:ascii="仿宋_GB2312" w:eastAsia="仿宋_GB2312" w:cs="宋体"/>
          <w:color w:val="000000" w:themeColor="text1"/>
          <w:szCs w:val="24"/>
          <w:lang w:val="en-US"/>
          <w14:textFill>
            <w14:solidFill>
              <w14:schemeClr w14:val="tx1"/>
            </w14:solidFill>
          </w14:textFill>
        </w:rPr>
        <w:t>11.4.1▲第一阶段响应报价表</w:t>
      </w:r>
    </w:p>
    <w:p>
      <w:pPr>
        <w:pStyle w:val="23"/>
        <w:ind w:firstLine="960" w:firstLineChars="400"/>
        <w:rPr>
          <w:rFonts w:ascii="仿宋_GB2312" w:eastAsia="仿宋_GB2312" w:cs="宋体"/>
          <w:color w:val="000000" w:themeColor="text1"/>
          <w:szCs w:val="24"/>
          <w:lang w:val="en-US"/>
          <w14:textFill>
            <w14:solidFill>
              <w14:schemeClr w14:val="tx1"/>
            </w14:solidFill>
          </w14:textFill>
        </w:rPr>
      </w:pPr>
      <w:r>
        <w:rPr>
          <w:rFonts w:hint="eastAsia" w:ascii="仿宋_GB2312" w:eastAsia="仿宋_GB2312" w:cs="宋体"/>
          <w:color w:val="000000" w:themeColor="text1"/>
          <w:szCs w:val="24"/>
          <w:lang w:val="en-US"/>
          <w14:textFill>
            <w14:solidFill>
              <w14:schemeClr w14:val="tx1"/>
            </w14:solidFill>
          </w14:textFill>
        </w:rPr>
        <w:t>11.4.2 报价情况说明（如果有）</w:t>
      </w:r>
    </w:p>
    <w:p>
      <w:pPr>
        <w:pStyle w:val="24"/>
        <w:ind w:firstLine="960" w:firstLineChars="400"/>
        <w:rPr>
          <w:rFonts w:ascii="仿宋_GB2312" w:eastAsia="仿宋_GB2312" w:cs="宋体"/>
          <w:color w:val="000000" w:themeColor="text1"/>
          <w:szCs w:val="24"/>
          <w:lang w:val="en-US"/>
          <w14:textFill>
            <w14:solidFill>
              <w14:schemeClr w14:val="tx1"/>
            </w14:solidFill>
          </w14:textFill>
        </w:rPr>
      </w:pPr>
      <w:r>
        <w:rPr>
          <w:rFonts w:hint="eastAsia" w:ascii="仿宋_GB2312" w:eastAsia="仿宋_GB2312" w:cs="宋体"/>
          <w:color w:val="000000" w:themeColor="text1"/>
          <w:szCs w:val="24"/>
          <w:lang w:val="en-US"/>
          <w14:textFill>
            <w14:solidFill>
              <w14:schemeClr w14:val="tx1"/>
            </w14:solidFill>
          </w14:textFill>
        </w:rPr>
        <w:t>11.4.</w:t>
      </w:r>
      <w:r>
        <w:rPr>
          <w:rFonts w:hint="eastAsia" w:ascii="仿宋_GB2312" w:eastAsia="仿宋_GB2312" w:cs="宋体"/>
          <w:color w:val="000000" w:themeColor="text1"/>
          <w:szCs w:val="24"/>
          <w:lang w:val="en-US" w:eastAsia="zh-CN"/>
          <w14:textFill>
            <w14:solidFill>
              <w14:schemeClr w14:val="tx1"/>
            </w14:solidFill>
          </w14:textFill>
        </w:rPr>
        <w:t>3</w:t>
      </w:r>
      <w:r>
        <w:rPr>
          <w:rFonts w:hint="eastAsia" w:ascii="仿宋_GB2312" w:eastAsia="仿宋_GB2312" w:cs="宋体"/>
          <w:color w:val="000000" w:themeColor="text1"/>
          <w:szCs w:val="24"/>
          <w:lang w:val="en-US"/>
          <w14:textFill>
            <w14:solidFill>
              <w14:schemeClr w14:val="tx1"/>
            </w14:solidFill>
          </w14:textFill>
        </w:rPr>
        <w:t xml:space="preserve"> </w:t>
      </w:r>
      <w:r>
        <w:rPr>
          <w:rFonts w:hint="eastAsia" w:ascii="仿宋_GB2312" w:hAnsi="宋体" w:eastAsia="仿宋_GB2312" w:cs="宋体"/>
          <w:color w:val="000000" w:themeColor="text1"/>
          <w:szCs w:val="24"/>
          <w14:textFill>
            <w14:solidFill>
              <w14:schemeClr w14:val="tx1"/>
            </w14:solidFill>
          </w14:textFill>
        </w:rPr>
        <w:t>中小企业声明函或监狱企业声明函或残疾人福利性企业声明函（如果有）。</w:t>
      </w:r>
    </w:p>
    <w:bookmarkEnd w:id="56"/>
    <w:p>
      <w:pPr>
        <w:pStyle w:val="26"/>
        <w:ind w:left="0" w:leftChars="0" w:firstLine="482"/>
        <w:rPr>
          <w:rFonts w:ascii="仿宋_GB2312" w:eastAsia="仿宋_GB2312" w:cs="宋体"/>
          <w:b/>
          <w:color w:val="000000" w:themeColor="text1"/>
          <w:sz w:val="24"/>
          <w14:textFill>
            <w14:solidFill>
              <w14:schemeClr w14:val="tx1"/>
            </w14:solidFill>
          </w14:textFill>
        </w:rPr>
      </w:pPr>
      <w:bookmarkStart w:id="63" w:name="第三部分"/>
      <w:r>
        <w:rPr>
          <w:rFonts w:hint="eastAsia" w:ascii="仿宋_GB2312" w:eastAsia="仿宋_GB2312" w:cs="宋体"/>
          <w:b/>
          <w:color w:val="000000" w:themeColor="text1"/>
          <w:sz w:val="24"/>
          <w14:textFill>
            <w14:solidFill>
              <w14:schemeClr w14:val="tx1"/>
            </w14:solidFill>
          </w14:textFill>
        </w:rPr>
        <w:t>1</w:t>
      </w:r>
      <w:r>
        <w:rPr>
          <w:rFonts w:ascii="仿宋_GB2312" w:eastAsia="仿宋_GB2312" w:cs="宋体"/>
          <w:b/>
          <w:color w:val="000000" w:themeColor="text1"/>
          <w:sz w:val="24"/>
          <w14:textFill>
            <w14:solidFill>
              <w14:schemeClr w14:val="tx1"/>
            </w14:solidFill>
          </w14:textFill>
        </w:rPr>
        <w:t>1.5</w:t>
      </w:r>
      <w:r>
        <w:rPr>
          <w:rFonts w:hint="eastAsia" w:ascii="仿宋_GB2312" w:eastAsia="仿宋_GB2312" w:cs="宋体"/>
          <w:b/>
          <w:color w:val="000000" w:themeColor="text1"/>
          <w:sz w:val="24"/>
          <w14:textFill>
            <w14:solidFill>
              <w14:schemeClr w14:val="tx1"/>
            </w14:solidFill>
          </w14:textFill>
        </w:rPr>
        <w:t>响应文件含有征集人不能接受的附加条件的，响应无效；</w:t>
      </w:r>
    </w:p>
    <w:p>
      <w:pPr>
        <w:pStyle w:val="26"/>
        <w:ind w:left="0" w:leftChars="0" w:firstLine="482"/>
        <w:rPr>
          <w:rFonts w:ascii="仿宋_GB2312" w:eastAsia="仿宋_GB2312" w:cs="宋体"/>
          <w:b/>
          <w:color w:val="000000" w:themeColor="text1"/>
          <w:sz w:val="24"/>
          <w14:textFill>
            <w14:solidFill>
              <w14:schemeClr w14:val="tx1"/>
            </w14:solidFill>
          </w14:textFill>
        </w:rPr>
      </w:pPr>
      <w:r>
        <w:rPr>
          <w:rFonts w:ascii="仿宋_GB2312" w:eastAsia="仿宋_GB2312" w:cs="宋体"/>
          <w:b/>
          <w:color w:val="000000" w:themeColor="text1"/>
          <w:sz w:val="24"/>
          <w14:textFill>
            <w14:solidFill>
              <w14:schemeClr w14:val="tx1"/>
            </w14:solidFill>
          </w14:textFill>
        </w:rPr>
        <w:t>11.6</w:t>
      </w:r>
      <w:r>
        <w:rPr>
          <w:rFonts w:hint="eastAsia" w:ascii="仿宋_GB2312" w:eastAsia="仿宋_GB2312" w:cs="宋体"/>
          <w:b/>
          <w:color w:val="000000" w:themeColor="text1"/>
          <w:sz w:val="24"/>
          <w14:textFill>
            <w14:solidFill>
              <w14:schemeClr w14:val="tx1"/>
            </w14:solidFill>
          </w14:textFill>
        </w:rPr>
        <w:t>响应供应商提供虚假材料响应的，响应无效。</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12</w:t>
      </w:r>
      <w:r>
        <w:rPr>
          <w:rFonts w:hint="eastAsia" w:ascii="仿宋_GB2312" w:hAnsi="宋体" w:eastAsia="仿宋_GB2312" w:cs="宋体"/>
          <w:b/>
          <w:color w:val="000000" w:themeColor="text1"/>
          <w:kern w:val="0"/>
          <w:sz w:val="24"/>
          <w:lang w:val="zh-CN"/>
          <w14:textFill>
            <w14:solidFill>
              <w14:schemeClr w14:val="tx1"/>
            </w14:solidFill>
          </w14:textFill>
        </w:rPr>
        <w:t xml:space="preserve">. </w:t>
      </w:r>
      <w:r>
        <w:rPr>
          <w:rFonts w:hint="eastAsia" w:ascii="仿宋_GB2312" w:hAnsi="宋体" w:eastAsia="仿宋_GB2312" w:cs="宋体"/>
          <w:b/>
          <w:color w:val="000000" w:themeColor="text1"/>
          <w:sz w:val="24"/>
          <w14:textFill>
            <w14:solidFill>
              <w14:schemeClr w14:val="tx1"/>
            </w14:solidFill>
          </w14:textFill>
        </w:rPr>
        <w:t>响应文件的编制</w:t>
      </w:r>
    </w:p>
    <w:p>
      <w:pPr>
        <w:spacing w:line="360" w:lineRule="auto"/>
        <w:ind w:firstLine="480" w:firstLineChars="200"/>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12.1响应文件分为资格响应文件、商务技术响应文件、参数响应文件、报价要求响应文件四部分。各供应商在编制响应文件时请按照征集文件第六部分规定的格式和要求进行，混乱的编排导致响应文件被误读或评审小组查找不到有效文件是响应供应商的风险。▲供应商应按要求提交相应的响应文件。</w:t>
      </w:r>
    </w:p>
    <w:p>
      <w:pPr>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12.2供应商进行电子响应应安装客户端软件—“政采云电子交易客户端”，并按照征集文件和电子交易平台的要求编制并加密响应文件。响应供应商未按规定加密的响应文件，电子交易平台将拒收并提示。</w:t>
      </w:r>
    </w:p>
    <w:p>
      <w:pPr>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13.响应文件的签署、盖章</w:t>
      </w:r>
    </w:p>
    <w:p>
      <w:pPr>
        <w:pStyle w:val="128"/>
        <w:snapToGrid w:val="0"/>
        <w:spacing w:before="0"/>
        <w:ind w:firstLine="480"/>
        <w:rPr>
          <w:rFonts w:ascii="仿宋_GB2312" w:hAnsi="宋体" w:eastAsia="仿宋_GB2312" w:cs="宋体"/>
          <w:b/>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13.1响应文件按照征集文件第六部分的格式要求进行签署、盖章。</w:t>
      </w:r>
      <w:r>
        <w:rPr>
          <w:rFonts w:hint="eastAsia" w:ascii="仿宋_GB2312" w:hAnsi="宋体" w:eastAsia="仿宋_GB2312" w:cs="宋体"/>
          <w:b/>
          <w:color w:val="000000" w:themeColor="text1"/>
          <w:szCs w:val="24"/>
          <w14:textFill>
            <w14:solidFill>
              <w14:schemeClr w14:val="tx1"/>
            </w14:solidFill>
          </w14:textFill>
        </w:rPr>
        <w:t>▲供应商的响应文件未按照征集文件要求签署、盖章的，响应无效</w:t>
      </w:r>
      <w:r>
        <w:rPr>
          <w:rFonts w:hint="eastAsia" w:ascii="仿宋_GB2312" w:hAnsi="宋体" w:eastAsia="仿宋_GB2312" w:cs="宋体"/>
          <w:color w:val="000000" w:themeColor="text1"/>
          <w:szCs w:val="24"/>
          <w14:textFill>
            <w14:solidFill>
              <w14:schemeClr w14:val="tx1"/>
            </w14:solidFill>
          </w14:textFill>
        </w:rPr>
        <w:t>。</w:t>
      </w:r>
    </w:p>
    <w:p>
      <w:pPr>
        <w:pStyle w:val="128"/>
        <w:snapToGrid w:val="0"/>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13.2为确保网上操作合法、有效和安全，响应供应商应当在响应截止时间前完成在“政府采购云平台”的身份认证，确保在电子响应过程中能够对相关数据电文进行加密和使用电子签名。</w:t>
      </w:r>
    </w:p>
    <w:p>
      <w:pPr>
        <w:pStyle w:val="128"/>
        <w:snapToGrid w:val="0"/>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13.3征集文件对响应文件签署、盖章的要求适用于电子签名。</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14.响应文件的提交、补充、修改、撤回</w:t>
      </w:r>
    </w:p>
    <w:p>
      <w:pPr>
        <w:pStyle w:val="128"/>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14.1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pStyle w:val="128"/>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14.2电子交易平台收到响应文件，将妥善保存并即时向供应商发出确认回执通知。在响应截止时间前，除供应商补充、修改或者撤回响应文件外，任何单位和个人不得解密或提取响应文件。</w:t>
      </w:r>
    </w:p>
    <w:p>
      <w:pPr>
        <w:pStyle w:val="128"/>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14.3采购机构（征集人）可以视情况延长响应文件提交的截止时间。在上述情况下，采购机构（征集人）与响应供应商以前在响应截止期方面的全部权利、责任和义务，将适用于延长至新的响应截止期。</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15.备份响应文件</w:t>
      </w:r>
    </w:p>
    <w:p>
      <w:pPr>
        <w:pStyle w:val="34"/>
        <w:spacing w:line="360" w:lineRule="auto"/>
        <w:ind w:firstLine="360" w:firstLineChars="150"/>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15.1供应商在电子交易平台传输递交响应文件后，还可以在响应截止时间前直接提交或者以</w:t>
      </w:r>
      <w:r>
        <w:rPr>
          <w:rFonts w:hint="eastAsia" w:ascii="仿宋_GB2312" w:hAnsi="宋体" w:eastAsia="仿宋_GB2312" w:cs="宋体"/>
          <w:sz w:val="24"/>
          <w:szCs w:val="24"/>
        </w:rPr>
        <w:t>快递方式</w:t>
      </w:r>
      <w:r>
        <w:rPr>
          <w:rFonts w:hint="eastAsia" w:ascii="仿宋_GB2312" w:hAnsi="宋体" w:eastAsia="仿宋_GB2312" w:cs="宋体"/>
          <w:color w:val="000000" w:themeColor="text1"/>
          <w:sz w:val="24"/>
          <w:szCs w:val="24"/>
          <w14:textFill>
            <w14:solidFill>
              <w14:schemeClr w14:val="tx1"/>
            </w14:solidFill>
          </w14:textFill>
        </w:rPr>
        <w:t>递交备份响应文件1份，</w:t>
      </w:r>
      <w:r>
        <w:rPr>
          <w:rFonts w:hint="eastAsia" w:ascii="仿宋_GB2312" w:hAnsi="宋体" w:eastAsia="仿宋_GB2312" w:cs="宋体"/>
          <w:b/>
          <w:color w:val="000000" w:themeColor="text1"/>
          <w:sz w:val="24"/>
          <w:szCs w:val="24"/>
          <w14:textFill>
            <w14:solidFill>
              <w14:schemeClr w14:val="tx1"/>
            </w14:solidFill>
          </w14:textFill>
        </w:rPr>
        <w:t>但征集人不强制或变相强制供应商提交备份响应文件。</w:t>
      </w:r>
    </w:p>
    <w:p>
      <w:pPr>
        <w:pStyle w:val="34"/>
        <w:spacing w:line="360" w:lineRule="auto"/>
        <w:ind w:firstLine="480" w:firstLineChars="200"/>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15.2备份响应文件须在“政采云电子交易客户端”制作生成，并储存在U盘或DVD光盘中，数量为1份。备份响应文件应当密封包装，在密封包装上加盖供应商公章并注明响应项目名称、项目编号、供应商名称、供应商联系方式。</w:t>
      </w:r>
      <w:r>
        <w:rPr>
          <w:rFonts w:hint="eastAsia" w:ascii="仿宋_GB2312" w:hAnsi="宋体" w:eastAsia="仿宋_GB2312" w:cs="宋体"/>
          <w:b/>
          <w:color w:val="000000" w:themeColor="text1"/>
          <w:sz w:val="24"/>
          <w:szCs w:val="24"/>
          <w14:textFill>
            <w14:solidFill>
              <w14:schemeClr w14:val="tx1"/>
            </w14:solidFill>
          </w14:textFill>
        </w:rPr>
        <w:t>不符合上述制作、存储、密封规定的备份响应文件将被视为无效或者被拒绝接收。</w:t>
      </w:r>
    </w:p>
    <w:p>
      <w:pPr>
        <w:pStyle w:val="34"/>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15.3直接提交备份响应文件的，供应商须于响应截止时间前按</w:t>
      </w:r>
      <w:r>
        <w:rPr>
          <w:rFonts w:hint="eastAsia" w:ascii="仿宋_GB2312" w:hAnsi="宋体" w:eastAsia="仿宋_GB2312" w:cs="宋体"/>
          <w:snapToGrid/>
          <w:sz w:val="24"/>
          <w:szCs w:val="24"/>
        </w:rPr>
        <w:t>征集文件第二部分“响应供应商须知”前附表规定的备份响应文件送达地点</w:t>
      </w:r>
      <w:r>
        <w:rPr>
          <w:rFonts w:hint="eastAsia" w:ascii="仿宋_GB2312" w:hAnsi="宋体" w:eastAsia="仿宋_GB2312" w:cs="宋体"/>
          <w:sz w:val="24"/>
          <w:szCs w:val="24"/>
        </w:rPr>
        <w:t>送达采购机构（征集人），送达时间以签收人签收时间为准。采购机构（征集人）将拒绝接受逾期送达的备份响应文件。</w:t>
      </w:r>
    </w:p>
    <w:p>
      <w:pPr>
        <w:pStyle w:val="34"/>
        <w:spacing w:line="360" w:lineRule="auto"/>
        <w:ind w:firstLine="480" w:firstLineChars="200"/>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15.4以快递方式递交备份响应文件的，响应供应商应先将备份响应文件按要求密封和标记，再进行快递包装后邮寄。备份响应文件须在响应截止时间之前送达</w:t>
      </w:r>
      <w:r>
        <w:rPr>
          <w:rFonts w:hint="eastAsia" w:ascii="仿宋_GB2312" w:hAnsi="宋体" w:eastAsia="仿宋_GB2312" w:cs="宋体"/>
          <w:snapToGrid/>
          <w:color w:val="000000" w:themeColor="text1"/>
          <w:sz w:val="24"/>
          <w:szCs w:val="24"/>
          <w14:textFill>
            <w14:solidFill>
              <w14:schemeClr w14:val="tx1"/>
            </w14:solidFill>
          </w14:textFill>
        </w:rPr>
        <w:t>征集文件第二部分“响应供应商须知”前附表规定的备份响应文件送达地点；</w:t>
      </w:r>
      <w:r>
        <w:rPr>
          <w:rFonts w:hint="eastAsia" w:ascii="仿宋_GB2312" w:hAnsi="宋体" w:eastAsia="仿宋_GB2312" w:cs="宋体"/>
          <w:color w:val="000000" w:themeColor="text1"/>
          <w:sz w:val="24"/>
          <w:szCs w:val="24"/>
          <w14:textFill>
            <w14:solidFill>
              <w14:schemeClr w14:val="tx1"/>
            </w14:solidFill>
          </w14:textFill>
        </w:rPr>
        <w:t>送达时间以签收人签收时间为准（放在代收点或快递柜而造成未在规定时间签收的，视为未按规定送达，造成的后果由供应商自行负责）。采购机构（征集人）将拒绝接受逾期送达的备份响应文件。邮寄过程中，电子备份响应文件发生泄露、遗失、损坏或延期送达等情况的，由响应供应商自行负责。</w:t>
      </w:r>
    </w:p>
    <w:p>
      <w:pPr>
        <w:pStyle w:val="34"/>
        <w:spacing w:line="360" w:lineRule="auto"/>
        <w:ind w:firstLine="479" w:firstLineChars="199"/>
        <w:rPr>
          <w:rFonts w:ascii="仿宋_GB2312" w:hAnsi="宋体" w:eastAsia="仿宋_GB2312" w:cs="宋体"/>
          <w:b/>
          <w:color w:val="000000" w:themeColor="text1"/>
          <w:sz w:val="24"/>
          <w:szCs w:val="24"/>
          <w14:textFill>
            <w14:solidFill>
              <w14:schemeClr w14:val="tx1"/>
            </w14:solidFill>
          </w14:textFill>
        </w:rPr>
      </w:pPr>
      <w:r>
        <w:rPr>
          <w:rFonts w:hint="eastAsia" w:ascii="仿宋_GB2312" w:hAnsi="宋体" w:eastAsia="仿宋_GB2312" w:cs="宋体"/>
          <w:b/>
          <w:color w:val="000000" w:themeColor="text1"/>
          <w:sz w:val="24"/>
          <w:szCs w:val="24"/>
          <w14:textFill>
            <w14:solidFill>
              <w14:schemeClr w14:val="tx1"/>
            </w14:solidFill>
          </w14:textFill>
        </w:rPr>
        <w:t>15.5供应商仅提交备份响应文件，未在电子交易平台传输递交响应文件的，响应无效。</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16.响应文件的无效处理</w:t>
      </w:r>
    </w:p>
    <w:p>
      <w:pPr>
        <w:pStyle w:val="25"/>
        <w:spacing w:line="360" w:lineRule="auto"/>
        <w:ind w:firstLine="360" w:firstLineChars="150"/>
        <w:rPr>
          <w:rFonts w:ascii="仿宋_GB2312" w:eastAsia="仿宋_GB2312" w:cs="宋体"/>
          <w:color w:val="000000" w:themeColor="text1"/>
          <w:szCs w:val="21"/>
          <w14:textFill>
            <w14:solidFill>
              <w14:schemeClr w14:val="tx1"/>
            </w14:solidFill>
          </w14:textFill>
        </w:rPr>
      </w:pPr>
      <w:r>
        <w:rPr>
          <w:rFonts w:hint="eastAsia" w:ascii="仿宋_GB2312" w:eastAsia="仿宋_GB2312" w:cs="宋体"/>
          <w:color w:val="000000" w:themeColor="text1"/>
          <w:szCs w:val="21"/>
          <w14:textFill>
            <w14:solidFill>
              <w14:schemeClr w14:val="tx1"/>
            </w14:solidFill>
          </w14:textFill>
        </w:rPr>
        <w:t>有征集文件第四部分4.2规定的情形之一的，响应无效。</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17.响应有效期</w:t>
      </w:r>
    </w:p>
    <w:p>
      <w:pPr>
        <w:spacing w:line="360" w:lineRule="auto"/>
        <w:ind w:firstLine="480" w:firstLineChars="200"/>
        <w:rPr>
          <w:rFonts w:ascii="仿宋_GB2312" w:hAnsi="宋体" w:eastAsia="仿宋_GB2312" w:cs="宋体"/>
          <w:b/>
          <w:color w:val="000000" w:themeColor="text1"/>
          <w:sz w:val="24"/>
          <w:szCs w:val="21"/>
          <w14:textFill>
            <w14:solidFill>
              <w14:schemeClr w14:val="tx1"/>
            </w14:solidFill>
          </w14:textFill>
        </w:rPr>
      </w:pPr>
      <w:r>
        <w:rPr>
          <w:rFonts w:hint="eastAsia" w:ascii="仿宋_GB2312" w:hAnsi="宋体" w:eastAsia="仿宋_GB2312" w:cs="宋体"/>
          <w:color w:val="000000" w:themeColor="text1"/>
          <w:sz w:val="24"/>
          <w:szCs w:val="20"/>
          <w14:textFill>
            <w14:solidFill>
              <w14:schemeClr w14:val="tx1"/>
            </w14:solidFill>
          </w14:textFill>
        </w:rPr>
        <w:t>17.1响应有效期为从提交响应文件的截止之日起，不少于本项目协议采购有效期，在协议期满之前均具有约束力。▲</w:t>
      </w:r>
      <w:r>
        <w:rPr>
          <w:rFonts w:hint="eastAsia" w:ascii="仿宋_GB2312" w:hAnsi="宋体" w:eastAsia="仿宋_GB2312" w:cs="宋体"/>
          <w:b/>
          <w:color w:val="000000" w:themeColor="text1"/>
          <w:sz w:val="24"/>
          <w:szCs w:val="20"/>
          <w14:textFill>
            <w14:solidFill>
              <w14:schemeClr w14:val="tx1"/>
            </w14:solidFill>
          </w14:textFill>
        </w:rPr>
        <w:t>供应商的响应文件中承</w:t>
      </w:r>
      <w:r>
        <w:rPr>
          <w:rFonts w:hint="eastAsia" w:ascii="仿宋_GB2312" w:hAnsi="宋体" w:eastAsia="仿宋_GB2312" w:cs="宋体"/>
          <w:b/>
          <w:color w:val="000000" w:themeColor="text1"/>
          <w:sz w:val="24"/>
          <w:szCs w:val="21"/>
          <w14:textFill>
            <w14:solidFill>
              <w14:schemeClr w14:val="tx1"/>
            </w14:solidFill>
          </w14:textFill>
        </w:rPr>
        <w:t>诺的响应有效期少于征集文件中载明的响应有效期的，响应无效。</w:t>
      </w:r>
    </w:p>
    <w:p>
      <w:pPr>
        <w:pStyle w:val="128"/>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17.2响应文件合格投递后，自响应截止日期起，在响应有效期内有效。</w:t>
      </w:r>
    </w:p>
    <w:p>
      <w:pPr>
        <w:pStyle w:val="128"/>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17.3在原定响应有效期满之前，如果出现特殊情况，采购机构（征集人）可以以书面形式通知响应供应商延长响应有效期。响应供应商同意延长的，不得要求或被允许修改其响应文件，响应供应商拒绝延长的，其响应无效。</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64" w:name="_Toc14980"/>
      <w:bookmarkStart w:id="65" w:name="_Toc146706826"/>
      <w:r>
        <w:rPr>
          <w:rFonts w:hint="eastAsia" w:ascii="仿宋_GB2312" w:hAnsi="宋体" w:eastAsia="仿宋_GB2312" w:cs="宋体"/>
          <w:b/>
          <w:color w:val="000000" w:themeColor="text1"/>
          <w:sz w:val="32"/>
          <w:szCs w:val="20"/>
          <w14:textFill>
            <w14:solidFill>
              <w14:schemeClr w14:val="tx1"/>
            </w14:solidFill>
          </w14:textFill>
        </w:rPr>
        <w:t>四、开启响应文件、资格审查与信用信息查询</w:t>
      </w:r>
      <w:bookmarkEnd w:id="64"/>
      <w:bookmarkEnd w:id="65"/>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 xml:space="preserve">18.开启响应文件 </w:t>
      </w:r>
    </w:p>
    <w:p>
      <w:pPr>
        <w:pStyle w:val="554"/>
        <w:spacing w:before="0" w:line="360" w:lineRule="auto"/>
        <w:ind w:left="0" w:firstLine="480" w:firstLineChars="200"/>
        <w:contextualSpacing/>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18.1采购机构（征集人）按照征集文件规定的时间通过电子交易平台组织响应文件开启，所有响应供应商均应当准时在线参加。响应供应商不足2家的，不得开启响应文件。</w:t>
      </w:r>
    </w:p>
    <w:p>
      <w:pPr>
        <w:pStyle w:val="554"/>
        <w:spacing w:before="0" w:line="360" w:lineRule="auto"/>
        <w:ind w:left="0" w:firstLine="480" w:firstLineChars="200"/>
        <w:contextualSpacing/>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18.2响应文件开启时，电子交易平台按开启时间自动提取所有响应文件。采购机构（征集人）依托电子交易平台发起开始解密指令，响应供应商按照平台提示和征集文件的规定在半小时内完成在线解密。</w:t>
      </w:r>
    </w:p>
    <w:p>
      <w:pPr>
        <w:pStyle w:val="554"/>
        <w:spacing w:before="0" w:line="360" w:lineRule="auto"/>
        <w:ind w:left="0" w:firstLine="480" w:firstLineChars="200"/>
        <w:contextualSpacing/>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18.3</w:t>
      </w:r>
      <w:r>
        <w:rPr>
          <w:rFonts w:hint="eastAsia" w:ascii="仿宋_GB2312" w:hAnsi="宋体" w:eastAsia="仿宋_GB2312" w:cs="宋体"/>
          <w:b/>
          <w:color w:val="000000" w:themeColor="text1"/>
          <w:sz w:val="24"/>
          <w14:textFill>
            <w14:solidFill>
              <w14:schemeClr w14:val="tx1"/>
            </w14:solidFill>
          </w14:textFill>
        </w:rPr>
        <w:t>响应文件未按时解密，响应供应商提供了备份响应文件的，以备份响应文件作为依据，否则视为响应文件撤回。响应文件已按时解密的，备份响应文件自动失效。</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19.资格审查</w:t>
      </w:r>
    </w:p>
    <w:p>
      <w:pPr>
        <w:pStyle w:val="128"/>
        <w:spacing w:before="0"/>
        <w:ind w:firstLine="480"/>
        <w:rPr>
          <w:rFonts w:ascii="仿宋_GB2312" w:hAnsi="宋体" w:eastAsia="仿宋_GB2312" w:cs="宋体"/>
          <w:color w:val="000000" w:themeColor="text1"/>
          <w:kern w:val="0"/>
          <w:szCs w:val="24"/>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19.1开标（开启响应文件）后，资格审查小组将</w:t>
      </w:r>
      <w:r>
        <w:rPr>
          <w:rFonts w:hint="eastAsia" w:ascii="仿宋_GB2312" w:hAnsi="宋体" w:eastAsia="仿宋_GB2312" w:cs="宋体"/>
          <w:color w:val="000000" w:themeColor="text1"/>
          <w14:textFill>
            <w14:solidFill>
              <w14:schemeClr w14:val="tx1"/>
            </w14:solidFill>
          </w14:textFill>
        </w:rPr>
        <w:t>依据法律法规和征集文件的规定，</w:t>
      </w:r>
      <w:r>
        <w:rPr>
          <w:rFonts w:hint="eastAsia" w:ascii="仿宋_GB2312" w:hAnsi="宋体" w:eastAsia="仿宋_GB2312" w:cs="宋体"/>
          <w:color w:val="000000" w:themeColor="text1"/>
          <w:kern w:val="0"/>
          <w:szCs w:val="24"/>
          <w14:textFill>
            <w14:solidFill>
              <w14:schemeClr w14:val="tx1"/>
            </w14:solidFill>
          </w14:textFill>
        </w:rPr>
        <w:t>对响应供应商的资格进行审查。</w:t>
      </w:r>
    </w:p>
    <w:p>
      <w:pPr>
        <w:pStyle w:val="128"/>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19.2响应</w:t>
      </w:r>
      <w:r>
        <w:rPr>
          <w:rFonts w:hint="eastAsia" w:ascii="仿宋_GB2312" w:hAnsi="宋体" w:eastAsia="仿宋_GB2312" w:cs="宋体"/>
          <w:color w:val="000000" w:themeColor="text1"/>
          <w14:textFill>
            <w14:solidFill>
              <w14:schemeClr w14:val="tx1"/>
            </w14:solidFill>
          </w14:textFill>
        </w:rPr>
        <w:t>供应商</w:t>
      </w:r>
      <w:r>
        <w:rPr>
          <w:rFonts w:hint="eastAsia" w:ascii="仿宋_GB2312" w:hAnsi="宋体" w:eastAsia="仿宋_GB2312" w:cs="宋体"/>
          <w:color w:val="000000" w:themeColor="text1"/>
          <w:kern w:val="0"/>
          <w:szCs w:val="24"/>
          <w14:textFill>
            <w14:solidFill>
              <w14:schemeClr w14:val="tx1"/>
            </w14:solidFill>
          </w14:textFill>
        </w:rPr>
        <w:t>未按照征集文件要求提供与</w:t>
      </w:r>
      <w:r>
        <w:rPr>
          <w:rFonts w:hint="eastAsia" w:ascii="仿宋_GB2312" w:hAnsi="宋体" w:eastAsia="仿宋_GB2312" w:cs="宋体"/>
          <w:color w:val="000000" w:themeColor="text1"/>
          <w14:textFill>
            <w14:solidFill>
              <w14:schemeClr w14:val="tx1"/>
            </w14:solidFill>
          </w14:textFill>
        </w:rPr>
        <w:t>资格条件相应的</w:t>
      </w:r>
      <w:r>
        <w:rPr>
          <w:rFonts w:hint="eastAsia" w:ascii="仿宋_GB2312" w:hAnsi="宋体" w:eastAsia="仿宋_GB2312" w:cs="宋体"/>
          <w:color w:val="000000" w:themeColor="text1"/>
          <w:kern w:val="0"/>
          <w:szCs w:val="24"/>
          <w14:textFill>
            <w14:solidFill>
              <w14:schemeClr w14:val="tx1"/>
            </w14:solidFill>
          </w14:textFill>
        </w:rPr>
        <w:t>有效资格证明材料的，视为</w:t>
      </w:r>
      <w:r>
        <w:rPr>
          <w:rFonts w:hint="eastAsia" w:ascii="仿宋_GB2312" w:hAnsi="宋体" w:eastAsia="仿宋_GB2312" w:cs="宋体"/>
          <w:color w:val="000000" w:themeColor="text1"/>
          <w14:textFill>
            <w14:solidFill>
              <w14:schemeClr w14:val="tx1"/>
            </w14:solidFill>
          </w14:textFill>
        </w:rPr>
        <w:t>响应供应商不具备征集文件中规定的资格要求，其响应无效。</w:t>
      </w:r>
    </w:p>
    <w:p>
      <w:pPr>
        <w:pStyle w:val="128"/>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19.3</w:t>
      </w:r>
      <w:r>
        <w:rPr>
          <w:rFonts w:hint="eastAsia" w:ascii="仿宋_GB2312" w:hAnsi="宋体" w:eastAsia="仿宋_GB2312" w:cs="宋体"/>
          <w:color w:val="000000" w:themeColor="text1"/>
          <w14:textFill>
            <w14:solidFill>
              <w14:schemeClr w14:val="tx1"/>
            </w14:solidFill>
          </w14:textFill>
        </w:rPr>
        <w:t>对未通过资格审查的响应供应商，</w:t>
      </w:r>
      <w:r>
        <w:rPr>
          <w:rFonts w:hint="eastAsia" w:ascii="仿宋_GB2312" w:hAnsi="宋体" w:eastAsia="仿宋_GB2312" w:cs="宋体"/>
          <w:color w:val="000000" w:themeColor="text1"/>
          <w:kern w:val="0"/>
          <w:szCs w:val="24"/>
          <w14:textFill>
            <w14:solidFill>
              <w14:schemeClr w14:val="tx1"/>
            </w14:solidFill>
          </w14:textFill>
        </w:rPr>
        <w:t>资格审查小组</w:t>
      </w:r>
      <w:r>
        <w:rPr>
          <w:rFonts w:hint="eastAsia" w:ascii="仿宋_GB2312" w:hAnsi="宋体" w:eastAsia="仿宋_GB2312" w:cs="宋体"/>
          <w:color w:val="000000" w:themeColor="text1"/>
          <w14:textFill>
            <w14:solidFill>
              <w14:schemeClr w14:val="tx1"/>
            </w14:solidFill>
          </w14:textFill>
        </w:rPr>
        <w:t>告知其未通过的原因。</w:t>
      </w:r>
    </w:p>
    <w:p>
      <w:pPr>
        <w:pStyle w:val="128"/>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19.4</w:t>
      </w:r>
      <w:r>
        <w:rPr>
          <w:rFonts w:hint="eastAsia" w:ascii="仿宋_GB2312" w:hAnsi="宋体" w:eastAsia="仿宋_GB2312" w:cs="宋体"/>
          <w:color w:val="000000" w:themeColor="text1"/>
          <w14:textFill>
            <w14:solidFill>
              <w14:schemeClr w14:val="tx1"/>
            </w14:solidFill>
          </w14:textFill>
        </w:rPr>
        <w:t>合格响应供应商不足2家的，不再评审。</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20.信用信息查询</w:t>
      </w:r>
    </w:p>
    <w:p>
      <w:pPr>
        <w:pStyle w:val="128"/>
        <w:spacing w:before="0"/>
        <w:ind w:firstLine="495" w:firstLineChars="0"/>
        <w:rPr>
          <w:rFonts w:ascii="仿宋_GB2312" w:hAnsi="宋体" w:eastAsia="仿宋_GB2312" w:cs="宋体"/>
          <w:color w:val="000000" w:themeColor="text1"/>
          <w:kern w:val="0"/>
          <w:szCs w:val="24"/>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20.1信用信息查询渠道及截止时间：采购机构（征集人）将在资格审查时通过“信用中国”网站(www.creditchina.gov.cn)、中国政府采购网(www.ccgp.gov.cn)渠道查询响应</w:t>
      </w:r>
      <w:r>
        <w:rPr>
          <w:rFonts w:hint="eastAsia" w:ascii="仿宋_GB2312" w:hAnsi="宋体" w:eastAsia="仿宋_GB2312" w:cs="宋体"/>
          <w:color w:val="000000" w:themeColor="text1"/>
          <w14:textFill>
            <w14:solidFill>
              <w14:schemeClr w14:val="tx1"/>
            </w14:solidFill>
          </w14:textFill>
        </w:rPr>
        <w:t>供应商</w:t>
      </w:r>
      <w:r>
        <w:rPr>
          <w:rFonts w:hint="eastAsia" w:ascii="仿宋_GB2312" w:hAnsi="宋体" w:eastAsia="仿宋_GB2312" w:cs="宋体"/>
          <w:color w:val="000000" w:themeColor="text1"/>
          <w:kern w:val="0"/>
          <w:szCs w:val="24"/>
          <w14:textFill>
            <w14:solidFill>
              <w14:schemeClr w14:val="tx1"/>
            </w14:solidFill>
          </w14:textFill>
        </w:rPr>
        <w:t>接受资格审查时的信用记录。</w:t>
      </w:r>
    </w:p>
    <w:p>
      <w:pPr>
        <w:pStyle w:val="128"/>
        <w:spacing w:before="0"/>
        <w:ind w:firstLine="495" w:firstLineChars="0"/>
        <w:rPr>
          <w:rFonts w:ascii="仿宋_GB2312" w:hAnsi="宋体" w:eastAsia="仿宋_GB2312" w:cs="宋体"/>
          <w:color w:val="000000" w:themeColor="text1"/>
          <w:kern w:val="0"/>
          <w:szCs w:val="24"/>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20.2信用信息查询记录和证据留存的具体方式：现场查询的响应供应商的信用记录、查询结果经确认后将与采购文件一起存档。</w:t>
      </w:r>
    </w:p>
    <w:p>
      <w:pPr>
        <w:pStyle w:val="128"/>
        <w:spacing w:before="0"/>
        <w:ind w:firstLine="495" w:firstLineChars="0"/>
        <w:rPr>
          <w:rFonts w:ascii="仿宋_GB2312" w:hAnsi="宋体" w:eastAsia="仿宋_GB2312" w:cs="宋体"/>
          <w:color w:val="000000" w:themeColor="text1"/>
          <w:kern w:val="0"/>
          <w:szCs w:val="24"/>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20.3信用信息的使用规则：经查询列入失信被执行人名单、重大税收违法案件当事人名单、政府采购严重违法失信行为记录名单的响应供应商将被拒绝参与政府采购活动。</w:t>
      </w:r>
    </w:p>
    <w:p>
      <w:pPr>
        <w:pStyle w:val="128"/>
        <w:spacing w:before="0"/>
        <w:ind w:firstLine="480"/>
        <w:rPr>
          <w:rFonts w:ascii="仿宋_GB2312" w:hAnsi="宋体" w:eastAsia="仿宋_GB2312" w:cs="宋体"/>
          <w:color w:val="000000" w:themeColor="text1"/>
          <w:kern w:val="0"/>
          <w:szCs w:val="24"/>
          <w14:textFill>
            <w14:solidFill>
              <w14:schemeClr w14:val="tx1"/>
            </w14:solidFill>
          </w14:textFill>
        </w:rPr>
      </w:pPr>
      <w:r>
        <w:rPr>
          <w:rFonts w:hint="eastAsia" w:ascii="仿宋_GB2312" w:hAnsi="宋体" w:eastAsia="仿宋_GB2312"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宋体" w:eastAsia="仿宋_GB2312" w:cs="宋体"/>
          <w:color w:val="000000" w:themeColor="text1"/>
          <w14:textFill>
            <w14:solidFill>
              <w14:schemeClr w14:val="tx1"/>
            </w14:solidFill>
          </w14:textFill>
        </w:rPr>
        <w:t>。</w:t>
      </w:r>
    </w:p>
    <w:p>
      <w:pPr>
        <w:rPr>
          <w:rFonts w:ascii="仿宋_GB2312" w:hAnsi="宋体" w:eastAsia="仿宋_GB2312" w:cs="宋体"/>
          <w:b/>
          <w:color w:val="000000" w:themeColor="text1"/>
          <w:sz w:val="32"/>
          <w:szCs w:val="20"/>
          <w14:textFill>
            <w14:solidFill>
              <w14:schemeClr w14:val="tx1"/>
            </w14:solidFill>
          </w14:textFill>
        </w:rPr>
      </w:pPr>
      <w:bookmarkStart w:id="66" w:name="_Toc146706827"/>
      <w:r>
        <w:rPr>
          <w:rFonts w:hint="eastAsia" w:ascii="仿宋_GB2312" w:hAnsi="宋体" w:eastAsia="仿宋_GB2312" w:cs="宋体"/>
          <w:b/>
          <w:color w:val="000000" w:themeColor="text1"/>
          <w:sz w:val="32"/>
          <w:szCs w:val="20"/>
          <w14:textFill>
            <w14:solidFill>
              <w14:schemeClr w14:val="tx1"/>
            </w14:solidFill>
          </w14:textFill>
        </w:rPr>
        <w:br w:type="page"/>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67" w:name="_Toc30104"/>
      <w:r>
        <w:rPr>
          <w:rFonts w:hint="eastAsia" w:ascii="仿宋_GB2312" w:hAnsi="宋体" w:eastAsia="仿宋_GB2312" w:cs="宋体"/>
          <w:b/>
          <w:color w:val="000000" w:themeColor="text1"/>
          <w:sz w:val="32"/>
          <w:szCs w:val="20"/>
          <w14:textFill>
            <w14:solidFill>
              <w14:schemeClr w14:val="tx1"/>
            </w14:solidFill>
          </w14:textFill>
        </w:rPr>
        <w:t>五、评审</w:t>
      </w:r>
      <w:bookmarkEnd w:id="66"/>
      <w:bookmarkEnd w:id="67"/>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21.</w:t>
      </w:r>
      <w:r>
        <w:rPr>
          <w:rFonts w:hint="eastAsia" w:ascii="仿宋_GB2312" w:hAnsi="宋体" w:eastAsia="仿宋_GB2312" w:cs="宋体"/>
          <w:color w:val="000000" w:themeColor="text1"/>
          <w:sz w:val="24"/>
          <w14:textFill>
            <w14:solidFill>
              <w14:schemeClr w14:val="tx1"/>
            </w14:solidFill>
          </w14:textFill>
        </w:rPr>
        <w:t>评审小组将根据征集文件和有关规定，履行评审工作职责，并按照评审方法及要求，全面衡量各响应供应商对征集文件的响应情况。见征集文件第四部分确定第一阶段入围供应商的评审方法。</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68" w:name="_Toc26838"/>
      <w:bookmarkStart w:id="69" w:name="_Toc146706828"/>
      <w:r>
        <w:rPr>
          <w:rFonts w:hint="eastAsia" w:ascii="仿宋_GB2312" w:hAnsi="宋体" w:eastAsia="仿宋_GB2312" w:cs="宋体"/>
          <w:b/>
          <w:color w:val="000000" w:themeColor="text1"/>
          <w:sz w:val="32"/>
          <w:szCs w:val="20"/>
          <w14:textFill>
            <w14:solidFill>
              <w14:schemeClr w14:val="tx1"/>
            </w14:solidFill>
          </w14:textFill>
        </w:rPr>
        <w:t>六、确定评审结果</w:t>
      </w:r>
      <w:bookmarkEnd w:id="68"/>
      <w:bookmarkEnd w:id="69"/>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22.确定入围供应商</w:t>
      </w:r>
    </w:p>
    <w:p>
      <w:pPr>
        <w:pStyle w:val="128"/>
        <w:snapToGrid w:val="0"/>
        <w:spacing w:before="0"/>
        <w:ind w:firstLine="480"/>
        <w:rPr>
          <w:rFonts w:ascii="仿宋_GB2312" w:hAnsi="宋体" w:eastAsia="仿宋_GB2312" w:cs="宋体"/>
          <w:color w:val="000000" w:themeColor="text1"/>
          <w:szCs w:val="24"/>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22.1评审小组</w:t>
      </w:r>
      <w:r>
        <w:rPr>
          <w:rFonts w:hint="eastAsia" w:ascii="仿宋_GB2312" w:hAnsi="宋体" w:eastAsia="仿宋_GB2312" w:cs="宋体"/>
          <w:color w:val="000000" w:themeColor="text1"/>
          <w:szCs w:val="24"/>
          <w14:textFill>
            <w14:solidFill>
              <w14:schemeClr w14:val="tx1"/>
            </w14:solidFill>
          </w14:textFill>
        </w:rPr>
        <w:t>对满足采购需求且响应报价不超过最高限价的服务，按照响应报价对应的统一优惠率从高到低排序，根据征集文件规定的入围要求确定入围供应商。</w:t>
      </w:r>
      <w:r>
        <w:rPr>
          <w:rFonts w:hint="eastAsia" w:ascii="仿宋_GB2312" w:hAnsi="宋体" w:eastAsia="仿宋_GB2312" w:cs="宋体"/>
          <w:b/>
          <w:color w:val="000000" w:themeColor="text1"/>
          <w14:textFill>
            <w14:solidFill>
              <w14:schemeClr w14:val="tx1"/>
            </w14:solidFill>
          </w14:textFill>
        </w:rPr>
        <w:t>见征集文件第四部分确定第一阶段入围供应商的评审方法。</w:t>
      </w:r>
    </w:p>
    <w:p>
      <w:pPr>
        <w:pStyle w:val="128"/>
        <w:snapToGrid w:val="0"/>
        <w:spacing w:before="0"/>
        <w:ind w:firstLine="480"/>
        <w:rPr>
          <w:rFonts w:ascii="仿宋_GB2312" w:hAnsi="宋体" w:eastAsia="仿宋_GB2312" w:cs="宋体"/>
          <w:b/>
          <w:color w:val="000000" w:themeColor="text1"/>
          <w:szCs w:val="24"/>
          <w14:textFill>
            <w14:solidFill>
              <w14:schemeClr w14:val="tx1"/>
            </w14:solidFill>
          </w14:textFill>
        </w:rPr>
      </w:pPr>
      <w:r>
        <w:rPr>
          <w:rFonts w:hint="eastAsia" w:ascii="仿宋_GB2312" w:hAnsi="宋体" w:eastAsia="仿宋_GB2312" w:cs="宋体"/>
          <w:color w:val="000000" w:themeColor="text1"/>
          <w:szCs w:val="24"/>
          <w14:textFill>
            <w14:solidFill>
              <w14:schemeClr w14:val="tx1"/>
            </w14:solidFill>
          </w14:textFill>
        </w:rPr>
        <w:t>22.2政府采购项目实行全流程电子化，评审报告送交、采购结果确定和入围结果公告均在线完成。</w:t>
      </w:r>
    </w:p>
    <w:p>
      <w:pPr>
        <w:snapToGrid w:val="0"/>
        <w:spacing w:line="360" w:lineRule="auto"/>
        <w:outlineLvl w:val="2"/>
        <w:rPr>
          <w:rFonts w:ascii="仿宋_GB2312" w:hAnsi="宋体" w:eastAsia="仿宋_GB2312" w:cs="宋体"/>
          <w:b/>
          <w:color w:val="000000" w:themeColor="text1"/>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23.入围通知与入围结果公告</w:t>
      </w:r>
    </w:p>
    <w:p>
      <w:pPr>
        <w:widowControl/>
        <w:spacing w:line="360" w:lineRule="auto"/>
        <w:ind w:firstLine="480"/>
        <w:rPr>
          <w:rFonts w:ascii="仿宋_GB2312" w:hAnsi="宋体" w:eastAsia="仿宋_GB2312" w:cs="宋体"/>
          <w:sz w:val="24"/>
        </w:rPr>
      </w:pPr>
      <w:r>
        <w:rPr>
          <w:rFonts w:hint="eastAsia" w:ascii="仿宋_GB2312" w:hAnsi="宋体" w:eastAsia="仿宋_GB2312" w:cs="宋体"/>
          <w:sz w:val="24"/>
        </w:rPr>
        <w:t>23.1自入围供应商确定之日起2个工作日内，采购机构（征集人）通过电子交易平台向入围供应商发出入围通知书，同时编制发布入围结果公告。</w:t>
      </w:r>
    </w:p>
    <w:p>
      <w:pPr>
        <w:widowControl/>
        <w:spacing w:line="360" w:lineRule="auto"/>
        <w:ind w:firstLine="480"/>
        <w:rPr>
          <w:rFonts w:ascii="仿宋_GB2312" w:hAnsi="宋体" w:eastAsia="仿宋_GB2312" w:cs="宋体"/>
          <w:sz w:val="24"/>
        </w:rPr>
      </w:pPr>
      <w:r>
        <w:rPr>
          <w:rFonts w:hint="eastAsia" w:ascii="仿宋_GB2312" w:hAnsi="宋体" w:eastAsia="仿宋_GB2312" w:cs="宋体"/>
          <w:sz w:val="24"/>
        </w:rPr>
        <w:t>23.2入围结果公告内容包括采购项目名称、编号，征集人的名称、地址、联系人和联系方式，入围供应商名称、地址及排序，最高入围价格或者最低入围分值，入围产品名称、规格型号或者主要服务内容及服务标准，入围单价，评审小组成员名单，采购代理服务收费标准及金额，公告期限，省级以上财政部门规定的其他事项。</w:t>
      </w:r>
    </w:p>
    <w:p>
      <w:pPr>
        <w:widowControl/>
        <w:spacing w:line="360" w:lineRule="auto"/>
        <w:ind w:firstLine="48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23.3公告期限为1个工作日。</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70" w:name="_Hlt68072990"/>
      <w:bookmarkEnd w:id="70"/>
      <w:bookmarkStart w:id="71" w:name="_Hlt75236011"/>
      <w:bookmarkEnd w:id="71"/>
      <w:bookmarkStart w:id="72" w:name="_Hlt74729768"/>
      <w:bookmarkEnd w:id="72"/>
      <w:bookmarkStart w:id="73" w:name="_Hlt74730295"/>
      <w:bookmarkEnd w:id="73"/>
      <w:bookmarkStart w:id="74" w:name="_Hlt74714665"/>
      <w:bookmarkEnd w:id="74"/>
      <w:bookmarkStart w:id="75" w:name="_Hlt75236101"/>
      <w:bookmarkEnd w:id="75"/>
      <w:bookmarkStart w:id="76" w:name="_Hlt68073093"/>
      <w:bookmarkEnd w:id="76"/>
      <w:bookmarkStart w:id="77" w:name="_Hlt68403820"/>
      <w:bookmarkEnd w:id="77"/>
      <w:bookmarkStart w:id="78" w:name="_Hlt74707468"/>
      <w:bookmarkEnd w:id="78"/>
      <w:bookmarkStart w:id="79" w:name="_Hlt75236290"/>
      <w:bookmarkEnd w:id="79"/>
      <w:bookmarkStart w:id="80" w:name="_Hlt68072998"/>
      <w:bookmarkEnd w:id="80"/>
      <w:bookmarkStart w:id="81" w:name="_Hlt68057669"/>
      <w:bookmarkEnd w:id="81"/>
      <w:bookmarkStart w:id="82" w:name="_Toc9181"/>
      <w:bookmarkStart w:id="83" w:name="_Toc146706829"/>
      <w:r>
        <w:rPr>
          <w:rFonts w:hint="eastAsia" w:ascii="仿宋_GB2312" w:hAnsi="宋体" w:eastAsia="仿宋_GB2312" w:cs="宋体"/>
          <w:b/>
          <w:color w:val="000000" w:themeColor="text1"/>
          <w:sz w:val="32"/>
          <w:szCs w:val="20"/>
          <w14:textFill>
            <w14:solidFill>
              <w14:schemeClr w14:val="tx1"/>
            </w14:solidFill>
          </w14:textFill>
        </w:rPr>
        <w:t>七、框架协议、采购合同签订</w:t>
      </w:r>
      <w:bookmarkEnd w:id="82"/>
      <w:bookmarkEnd w:id="83"/>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24.框架协议的签订</w:t>
      </w:r>
    </w:p>
    <w:p>
      <w:pPr>
        <w:widowControl/>
        <w:spacing w:line="360" w:lineRule="auto"/>
        <w:ind w:firstLine="480"/>
        <w:rPr>
          <w:rFonts w:ascii="仿宋_GB2312" w:eastAsia="仿宋_GB2312" w:cs="宋体"/>
          <w:b/>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24.1框架协议主要条款见第五部分拟签订的框架协议文本。</w:t>
      </w:r>
    </w:p>
    <w:p>
      <w:pPr>
        <w:widowControl/>
        <w:spacing w:line="360" w:lineRule="auto"/>
        <w:ind w:firstLine="480"/>
        <w:rPr>
          <w:rFonts w:ascii="仿宋_GB2312" w:hAnsi="宋体" w:eastAsia="仿宋_GB2312" w:cs="宋体"/>
          <w:sz w:val="24"/>
        </w:rPr>
      </w:pPr>
      <w:r>
        <w:rPr>
          <w:rFonts w:hint="eastAsia" w:ascii="仿宋_GB2312" w:hAnsi="宋体" w:eastAsia="仿宋_GB2312" w:cs="宋体"/>
          <w:color w:val="000000" w:themeColor="text1"/>
          <w:sz w:val="24"/>
          <w14:textFill>
            <w14:solidFill>
              <w14:schemeClr w14:val="tx1"/>
            </w14:solidFill>
          </w14:textFill>
        </w:rPr>
        <w:t>24.2</w:t>
      </w:r>
      <w:r>
        <w:rPr>
          <w:rFonts w:hint="eastAsia" w:ascii="仿宋_GB2312" w:hAnsi="宋体" w:eastAsia="仿宋_GB2312" w:cs="宋体"/>
          <w:color w:val="000000" w:themeColor="text1"/>
          <w:kern w:val="0"/>
          <w:sz w:val="24"/>
          <w14:textFill>
            <w14:solidFill>
              <w14:schemeClr w14:val="tx1"/>
            </w14:solidFill>
          </w14:textFill>
        </w:rPr>
        <w:t>征集人应当在入围通知书发出之日起30日内和入围供应商签订框架协议，并在框架协议签订后7个工作日内，</w:t>
      </w:r>
      <w:r>
        <w:rPr>
          <w:rFonts w:hint="eastAsia" w:ascii="仿宋_GB2312" w:hAnsi="宋体" w:eastAsia="仿宋_GB2312" w:cs="宋体"/>
          <w:kern w:val="0"/>
          <w:sz w:val="24"/>
        </w:rPr>
        <w:t>将框架协议副本报本级财政部门备案。</w:t>
      </w:r>
    </w:p>
    <w:p>
      <w:pPr>
        <w:widowControl/>
        <w:spacing w:line="360" w:lineRule="auto"/>
        <w:ind w:firstLine="48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24.3封闭式框架协议入围供应商无正当理由，不得主动放弃入围资格或者退出框架协议。</w:t>
      </w:r>
    </w:p>
    <w:p>
      <w:pPr>
        <w:widowControl/>
        <w:spacing w:line="360" w:lineRule="auto"/>
        <w:ind w:firstLine="480"/>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24.4征集人应当在框架协议签订后3个工作日内通过电子化采购系统将入围信息告知适用框架协议的所有采购人或者服务对象。入围信息应当包括所有入围供应商的名称、地址、联系方式、入围产品信息和协议价格等内容。入围产品信息应当详细列明技术规格或者服务内容、服务标准等能反映产品质量特点的内容。征集人应当确保征集文件和入围信息在整个框架协议有效期内随时可供公众查阅。</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25.采购合同的签订</w:t>
      </w:r>
    </w:p>
    <w:p>
      <w:pPr>
        <w:widowControl/>
        <w:spacing w:line="360" w:lineRule="auto"/>
        <w:ind w:firstLine="48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25.1确定第二阶段成交供应商的方式：由采购人依据入围产品价格、质量以及服务便利性、用户评价等因素，从第一阶段入围供应商中直接选定。</w:t>
      </w:r>
    </w:p>
    <w:p>
      <w:pPr>
        <w:widowControl/>
        <w:spacing w:line="360" w:lineRule="auto"/>
        <w:ind w:firstLine="48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25.2</w:t>
      </w:r>
      <w:r>
        <w:rPr>
          <w:rFonts w:hint="eastAsia" w:ascii="仿宋_GB2312" w:hAnsi="宋体" w:eastAsia="仿宋_GB2312" w:cs="宋体"/>
          <w:color w:val="000000" w:themeColor="text1"/>
          <w:sz w:val="24"/>
          <w14:textFill>
            <w14:solidFill>
              <w14:schemeClr w14:val="tx1"/>
            </w14:solidFill>
          </w14:textFill>
        </w:rPr>
        <w:t>采购合同主要条款见第五部分拟签订的采购合同文本，</w:t>
      </w:r>
      <w:r>
        <w:rPr>
          <w:rFonts w:hint="eastAsia" w:ascii="仿宋_GB2312" w:hAnsi="宋体" w:eastAsia="仿宋_GB2312" w:cs="宋体"/>
          <w:color w:val="000000" w:themeColor="text1"/>
          <w:kern w:val="0"/>
          <w:sz w:val="24"/>
          <w14:textFill>
            <w14:solidFill>
              <w14:schemeClr w14:val="tx1"/>
            </w14:solidFill>
          </w14:textFill>
        </w:rPr>
        <w:t>采购人和供应商不得擅自改变框架协议约定的合同实质性条款。</w:t>
      </w:r>
    </w:p>
    <w:p>
      <w:pPr>
        <w:widowControl/>
        <w:spacing w:line="360" w:lineRule="auto"/>
        <w:ind w:firstLine="48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25.3框架协议采购应当订立固定价格合同。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widowControl/>
        <w:spacing w:line="360" w:lineRule="auto"/>
        <w:ind w:firstLine="48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25.4采购人应当在政府采购合同中约定预付款，对中小企业合同预付款比例原则上不低于合同金额的</w:t>
      </w:r>
      <w:r>
        <w:rPr>
          <w:rFonts w:hint="eastAsia" w:ascii="仿宋_GB2312" w:hAnsi="宋体" w:eastAsia="仿宋_GB2312" w:cs="宋体"/>
          <w:kern w:val="0"/>
          <w:sz w:val="24"/>
        </w:rPr>
        <w:t>40％，不高于合同金额的70%；项目分年安排预算的，每年预付款比例不低于项目年度计划支付资金额的40％，不</w:t>
      </w:r>
      <w:r>
        <w:rPr>
          <w:rFonts w:hint="eastAsia" w:ascii="仿宋_GB2312" w:hAnsi="宋体" w:eastAsia="仿宋_GB2312" w:cs="宋体"/>
          <w:color w:val="000000" w:themeColor="text1"/>
          <w:kern w:val="0"/>
          <w:sz w:val="24"/>
          <w14:textFill>
            <w14:solidFill>
              <w14:schemeClr w14:val="tx1"/>
            </w14:solidFill>
          </w14:textFill>
        </w:rPr>
        <w:t>高于年度计划支付资金额的70%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pPr>
        <w:pStyle w:val="128"/>
        <w:snapToGrid w:val="0"/>
        <w:spacing w:before="0" w:after="120"/>
        <w:ind w:firstLine="480"/>
        <w:rPr>
          <w:rFonts w:ascii="仿宋_GB2312" w:hAnsi="宋体" w:eastAsia="仿宋_GB2312" w:cs="宋体"/>
          <w:color w:val="000000" w:themeColor="text1"/>
          <w:kern w:val="0"/>
          <w14:textFill>
            <w14:solidFill>
              <w14:schemeClr w14:val="tx1"/>
            </w14:solidFill>
          </w14:textFill>
        </w:rPr>
      </w:pPr>
      <w:r>
        <w:rPr>
          <w:rFonts w:hint="eastAsia" w:ascii="仿宋_GB2312" w:hAnsi="宋体" w:eastAsia="仿宋_GB2312" w:cs="宋体"/>
          <w:color w:val="000000" w:themeColor="text1"/>
          <w:kern w:val="0"/>
          <w14:textFill>
            <w14:solidFill>
              <w14:schemeClr w14:val="tx1"/>
            </w14:solidFill>
          </w14:textFill>
        </w:rPr>
        <w:t>25.5采购人和供应商应当约定资金支付的方式、时间和条件，明确逾期支付资金的违约责任。</w:t>
      </w:r>
    </w:p>
    <w:p>
      <w:pPr>
        <w:pStyle w:val="128"/>
        <w:snapToGrid w:val="0"/>
        <w:spacing w:before="0" w:after="120"/>
        <w:ind w:firstLine="480"/>
        <w:rPr>
          <w:rFonts w:ascii="仿宋_GB2312" w:hAnsi="宋体" w:eastAsia="仿宋_GB2312" w:cs="宋体"/>
          <w:color w:val="000000" w:themeColor="text1"/>
          <w:kern w:val="0"/>
          <w14:textFill>
            <w14:solidFill>
              <w14:schemeClr w14:val="tx1"/>
            </w14:solidFill>
          </w14:textFill>
        </w:rPr>
      </w:pPr>
      <w:r>
        <w:rPr>
          <w:rFonts w:hint="eastAsia" w:ascii="仿宋_GB2312" w:hAnsi="宋体" w:eastAsia="仿宋_GB2312" w:cs="宋体"/>
          <w:color w:val="000000" w:themeColor="text1"/>
          <w:kern w:val="0"/>
          <w14:textFill>
            <w14:solidFill>
              <w14:schemeClr w14:val="tx1"/>
            </w14:solidFill>
          </w14:textFill>
        </w:rPr>
        <w:t>25.6</w:t>
      </w:r>
      <w:r>
        <w:rPr>
          <w:rFonts w:hint="eastAsia" w:ascii="仿宋_GB2312" w:hAnsi="宋体" w:eastAsia="仿宋_GB2312" w:cs="宋体"/>
          <w:color w:val="000000" w:themeColor="text1"/>
          <w14:textFill>
            <w14:solidFill>
              <w14:schemeClr w14:val="tx1"/>
            </w14:solidFill>
          </w14:textFill>
        </w:rPr>
        <w:t>采购合同由采购人与成交供应商通过政府采购电子交易平台在线签订，自动备案。</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26.履约保证金</w:t>
      </w:r>
    </w:p>
    <w:p>
      <w:pPr>
        <w:tabs>
          <w:tab w:val="left" w:pos="0"/>
        </w:tabs>
        <w:wordWrap w:val="0"/>
        <w:spacing w:line="360" w:lineRule="auto"/>
        <w:ind w:firstLine="482"/>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鼓励采购人免收履约保证金，政府采购货物和服务项目确需收取履约保证金的，最高比例不超过合同金额的1%，项目验收结束后应及时退还。供应商以银行、保险公司出具保函形式提交履约保证金的，采购人不得拒收。采购人不得收取质量保证金。</w:t>
      </w:r>
    </w:p>
    <w:p>
      <w:pPr>
        <w:tabs>
          <w:tab w:val="left" w:pos="0"/>
        </w:tabs>
        <w:wordWrap w:val="0"/>
        <w:spacing w:line="360" w:lineRule="auto"/>
        <w:ind w:firstLine="482"/>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成交）项目—确认信息—等待保险/保函受理—确认保单—支付保费—成功出单。政采云金融专线400-903-9583。</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84" w:name="_Toc28153"/>
      <w:bookmarkStart w:id="85" w:name="_Toc146706830"/>
      <w:r>
        <w:rPr>
          <w:rFonts w:hint="eastAsia" w:ascii="仿宋_GB2312" w:hAnsi="宋体" w:eastAsia="仿宋_GB2312" w:cs="宋体"/>
          <w:b/>
          <w:color w:val="000000" w:themeColor="text1"/>
          <w:sz w:val="32"/>
          <w:szCs w:val="20"/>
          <w14:textFill>
            <w14:solidFill>
              <w14:schemeClr w14:val="tx1"/>
            </w14:solidFill>
          </w14:textFill>
        </w:rPr>
        <w:t>八、电子交易活动的中止</w:t>
      </w:r>
      <w:bookmarkEnd w:id="84"/>
      <w:bookmarkEnd w:id="85"/>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27. 电子交易活动的中止。</w:t>
      </w:r>
    </w:p>
    <w:p>
      <w:pPr>
        <w:pStyle w:val="128"/>
        <w:snapToGrid w:val="0"/>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采购过程中出现以下情形，导致电子交易平台无法正常运行，或者无法保证电子交易的公平、公正和安全时，采购机构（征集人）可中止电子交易活动：</w:t>
      </w:r>
    </w:p>
    <w:p>
      <w:pPr>
        <w:pStyle w:val="128"/>
        <w:snapToGrid w:val="0"/>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27.1电子交易平台发生故障而无法登录访问的；</w:t>
      </w:r>
    </w:p>
    <w:p>
      <w:pPr>
        <w:pStyle w:val="128"/>
        <w:snapToGrid w:val="0"/>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27.2电子交易平台应用或数据库出现错误，不能进行正常操作的；</w:t>
      </w:r>
    </w:p>
    <w:p>
      <w:pPr>
        <w:pStyle w:val="128"/>
        <w:snapToGrid w:val="0"/>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27.3电子交易平台发现严重安全漏洞，有潜在泄密危险的；</w:t>
      </w:r>
    </w:p>
    <w:p>
      <w:pPr>
        <w:pStyle w:val="128"/>
        <w:snapToGrid w:val="0"/>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27.4病毒发作导致不能进行正常操作的；</w:t>
      </w:r>
    </w:p>
    <w:p>
      <w:pPr>
        <w:pStyle w:val="128"/>
        <w:snapToGrid w:val="0"/>
        <w:spacing w:before="0"/>
        <w:ind w:firstLine="480"/>
        <w:rPr>
          <w:rFonts w:ascii="仿宋_GB2312" w:hAnsi="宋体" w:eastAsia="仿宋_GB2312" w:cs="宋体"/>
          <w:color w:val="000000" w:themeColor="text1"/>
          <w14:textFill>
            <w14:solidFill>
              <w14:schemeClr w14:val="tx1"/>
            </w14:solidFill>
          </w14:textFill>
        </w:rPr>
      </w:pPr>
      <w:r>
        <w:rPr>
          <w:rFonts w:hint="eastAsia" w:ascii="仿宋_GB2312" w:hAnsi="宋体" w:eastAsia="仿宋_GB2312" w:cs="宋体"/>
          <w:color w:val="000000" w:themeColor="text1"/>
          <w14:textFill>
            <w14:solidFill>
              <w14:schemeClr w14:val="tx1"/>
            </w14:solidFill>
          </w14:textFill>
        </w:rPr>
        <w:t>27.5其他无法保证电子交易的公平、公正和安全的情况。</w:t>
      </w:r>
    </w:p>
    <w:p>
      <w:pPr>
        <w:snapToGrid w:val="0"/>
        <w:spacing w:line="360" w:lineRule="auto"/>
        <w:outlineLvl w:val="2"/>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28.</w:t>
      </w:r>
      <w:r>
        <w:rPr>
          <w:rFonts w:hint="eastAsia" w:ascii="仿宋_GB2312" w:hAnsi="宋体" w:eastAsia="仿宋_GB2312" w:cs="宋体"/>
          <w:color w:val="000000" w:themeColor="text1"/>
          <w:sz w:val="24"/>
          <w14:textFill>
            <w14:solidFill>
              <w14:schemeClr w14:val="tx1"/>
            </w14:solidFill>
          </w14:textFill>
        </w:rPr>
        <w:t>出现以上情形，不影响采购公平、公正性的，采购组织机构（征集人）可以待上述情形消除后继续组织电子交易活动，也可以决定某些环节以纸质形式进行；影响或可能影响采购公平、公正性的，应当重新采购。</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86" w:name="_Toc146706831"/>
      <w:bookmarkStart w:id="87" w:name="_Toc12736"/>
      <w:r>
        <w:rPr>
          <w:rFonts w:hint="eastAsia" w:ascii="仿宋_GB2312" w:hAnsi="宋体" w:eastAsia="仿宋_GB2312" w:cs="宋体"/>
          <w:b/>
          <w:color w:val="000000" w:themeColor="text1"/>
          <w:sz w:val="32"/>
          <w:szCs w:val="20"/>
          <w14:textFill>
            <w14:solidFill>
              <w14:schemeClr w14:val="tx1"/>
            </w14:solidFill>
          </w14:textFill>
        </w:rPr>
        <w:t>九、验收和支付</w:t>
      </w:r>
      <w:bookmarkEnd w:id="86"/>
      <w:bookmarkEnd w:id="87"/>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29.验收</w:t>
      </w:r>
    </w:p>
    <w:p>
      <w:pPr>
        <w:tabs>
          <w:tab w:val="left" w:pos="0"/>
        </w:tabs>
        <w:spacing w:line="360" w:lineRule="auto"/>
        <w:ind w:firstLine="48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29.2采购人可以邀请第三方机构参与验收。参与验收的第三方机构的意见作为验收书的参考资料一并存档。</w:t>
      </w:r>
    </w:p>
    <w:p>
      <w:pPr>
        <w:tabs>
          <w:tab w:val="left" w:pos="0"/>
        </w:tabs>
        <w:spacing w:line="360" w:lineRule="auto"/>
        <w:ind w:firstLine="48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eastAsia="仿宋_GB2312" w:cs="宋体"/>
          <w:b/>
          <w:bCs/>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30.支付</w:t>
      </w:r>
    </w:p>
    <w:p>
      <w:pPr>
        <w:pStyle w:val="23"/>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采购人应当及时组织项目验收，不得以政府部门审计作为支付供应商款项的条件。采购人对于满足合同约定支付条件的，自收到发票后7个工作日内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pPr>
        <w:adjustRightInd/>
        <w:spacing w:before="240" w:beforeLines="100" w:after="240" w:afterLines="100" w:line="360" w:lineRule="auto"/>
        <w:outlineLvl w:val="1"/>
        <w:rPr>
          <w:rFonts w:ascii="仿宋_GB2312" w:hAnsi="宋体" w:eastAsia="仿宋_GB2312" w:cs="宋体"/>
          <w:b/>
          <w:color w:val="000000" w:themeColor="text1"/>
          <w:sz w:val="32"/>
          <w:szCs w:val="20"/>
          <w14:textFill>
            <w14:solidFill>
              <w14:schemeClr w14:val="tx1"/>
            </w14:solidFill>
          </w14:textFill>
        </w:rPr>
      </w:pPr>
      <w:bookmarkStart w:id="88" w:name="_Toc146706832"/>
      <w:bookmarkStart w:id="89" w:name="_Toc1286"/>
      <w:r>
        <w:rPr>
          <w:rFonts w:hint="eastAsia" w:ascii="仿宋_GB2312" w:hAnsi="宋体" w:eastAsia="仿宋_GB2312" w:cs="宋体"/>
          <w:b/>
          <w:color w:val="000000" w:themeColor="text1"/>
          <w:sz w:val="32"/>
          <w:szCs w:val="20"/>
          <w14:textFill>
            <w14:solidFill>
              <w14:schemeClr w14:val="tx1"/>
            </w14:solidFill>
          </w14:textFill>
        </w:rPr>
        <w:t>十、协议期内的监督与管理</w:t>
      </w:r>
      <w:bookmarkEnd w:id="88"/>
      <w:bookmarkEnd w:id="89"/>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31.征集人协议期内职责</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征集人应当根据框架协议约定，组织落实框架协议的履行，并履行下列职责：</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31.1为第二阶段合同授予提供工作便利；</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31.2对第二阶段最高限价和需求标准执行情况进行管理；</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31.3对第二阶段确定成交供应商情况进行管理；</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31.4建立用户反馈和评价机制，接受采购人和服务对象对入围供应商履行框架协议和采购合同情况的反馈与评价，并将用户反馈和评价情况向采购人和服务对象公开，作为第二阶段直接选定成交供应商的参考；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31.5公开封闭式框架协议的第二阶段成交结果；</w:t>
      </w:r>
    </w:p>
    <w:p>
      <w:pPr>
        <w:pStyle w:val="23"/>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31.6办理入围供应商清退和补充相关事宜。 </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32.入围供应商信息变更</w:t>
      </w:r>
    </w:p>
    <w:p>
      <w:pPr>
        <w:pStyle w:val="24"/>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32.1 在协议期内，入围供应商如有信息变更（如变更法定代表人、主要负责人、联系人、联系电话、地址等），应及时在政采云系统中更新相关信息并通知征集人，按征集人要求提供相关资料备案。</w:t>
      </w:r>
    </w:p>
    <w:p>
      <w:pPr>
        <w:pStyle w:val="24"/>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32.2在协议期内，入围供应商应遵守和履行本项目征集文件、框架协议的各项规定，遵守电子系统的操作规定和交易规则，积极配合征集人和采购监管部门的工作。</w:t>
      </w:r>
    </w:p>
    <w:p>
      <w:pPr>
        <w:pStyle w:val="24"/>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32.3在协议期内，入围供应商如提供的服务全部由丽水所在地分公司（分支机构）承担，希望以该分公司（分支机构）名义承接业务、开具发票的，可通过政采云系统向征集人提出分公司（分支机构）开启申请，并向征集人提供</w:t>
      </w:r>
      <w:r>
        <w:rPr>
          <w:rFonts w:hint="eastAsia" w:ascii="仿宋_GB2312" w:eastAsia="仿宋_GB2312" w:cs="Calibri"/>
          <w:color w:val="000000" w:themeColor="text1"/>
          <w:lang w:val="en-US"/>
          <w14:textFill>
            <w14:solidFill>
              <w14:schemeClr w14:val="tx1"/>
            </w14:solidFill>
          </w14:textFill>
        </w:rPr>
        <w:t>①</w:t>
      </w:r>
      <w:r>
        <w:rPr>
          <w:rFonts w:hint="eastAsia" w:ascii="仿宋_GB2312" w:eastAsia="仿宋_GB2312"/>
          <w:color w:val="000000" w:themeColor="text1"/>
          <w:lang w:val="en-US"/>
          <w14:textFill>
            <w14:solidFill>
              <w14:schemeClr w14:val="tx1"/>
            </w14:solidFill>
          </w14:textFill>
        </w:rPr>
        <w:t>总公司（总机构）对丽水所在地分公司（分支机构）出具的针对本协议项目的唯一授权书，总公司（总机构）须承诺对丽水所在地分公司（分支机构）在协议期内的服务行为予以认可，且对分公司（分支机构）的民事行为承担责任；</w:t>
      </w:r>
      <w:r>
        <w:rPr>
          <w:rFonts w:hint="eastAsia" w:ascii="仿宋_GB2312" w:eastAsia="仿宋_GB2312" w:cs="Calibri"/>
          <w:color w:val="000000" w:themeColor="text1"/>
          <w:lang w:val="en-US"/>
          <w14:textFill>
            <w14:solidFill>
              <w14:schemeClr w14:val="tx1"/>
            </w14:solidFill>
          </w14:textFill>
        </w:rPr>
        <w:t>②</w:t>
      </w:r>
      <w:r>
        <w:rPr>
          <w:rFonts w:hint="eastAsia" w:ascii="仿宋_GB2312" w:eastAsia="仿宋_GB2312"/>
          <w:color w:val="000000" w:themeColor="text1"/>
          <w:lang w:val="en-US"/>
          <w14:textFill>
            <w14:solidFill>
              <w14:schemeClr w14:val="tx1"/>
            </w14:solidFill>
          </w14:textFill>
        </w:rPr>
        <w:t>丽水所在地分公司（分支机构）的会计师事务所执业证书（扫描件加盖公章）。未按要求提供材料的，申请不予接受和通过。</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33.入围供应商清退规则</w:t>
      </w:r>
    </w:p>
    <w:p>
      <w:pPr>
        <w:pStyle w:val="24"/>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33.1入围供应商有下列情形之一，尚未签订框架协议的，取消其入围资格；已经签订框架协议的，解除与其签订的框架协议： </w:t>
      </w:r>
    </w:p>
    <w:p>
      <w:pPr>
        <w:pStyle w:val="24"/>
        <w:ind w:firstLine="960" w:firstLineChars="4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33.1.1恶意串通谋取入围或者合同成交的； </w:t>
      </w:r>
    </w:p>
    <w:p>
      <w:pPr>
        <w:pStyle w:val="24"/>
        <w:ind w:firstLine="960" w:firstLineChars="4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33.1.2提供虚假材料谋取入围或者合同成交的； </w:t>
      </w:r>
    </w:p>
    <w:p>
      <w:pPr>
        <w:pStyle w:val="24"/>
        <w:ind w:firstLine="960" w:firstLineChars="4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33.1.3无正当理由拒不接受合同授予的； </w:t>
      </w:r>
    </w:p>
    <w:p>
      <w:pPr>
        <w:pStyle w:val="24"/>
        <w:ind w:firstLine="960" w:firstLineChars="4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33.1.4不履行合同义务或者履行合同义务不符合约定，经采购人请求履行后仍不履行或者仍未按约定履行的； </w:t>
      </w:r>
    </w:p>
    <w:p>
      <w:pPr>
        <w:pStyle w:val="24"/>
        <w:ind w:firstLine="960" w:firstLineChars="4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33.1.5框架协议有效期内，因违法行为被禁止或限制参加政府采购活动的；</w:t>
      </w:r>
    </w:p>
    <w:p>
      <w:pPr>
        <w:pStyle w:val="24"/>
        <w:ind w:firstLine="960" w:firstLineChars="4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 xml:space="preserve">33.1.6框架协议约定的其他情形。 </w:t>
      </w:r>
    </w:p>
    <w:p>
      <w:pPr>
        <w:pStyle w:val="24"/>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33.2入围供应商无正当理由拒不与征集人签订框架协议的，取消其入围资格。</w:t>
      </w:r>
    </w:p>
    <w:p>
      <w:pPr>
        <w:pStyle w:val="24"/>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33.3 入围供应商如发生实质性变动（营业执照注销、不再符合本项目资格条件等）的，尚未签订框架协议的，取消其入围资格；已经签订框架协议的，解除与其签订的框架协议。</w:t>
      </w:r>
    </w:p>
    <w:p>
      <w:pPr>
        <w:pStyle w:val="24"/>
        <w:ind w:firstLine="480" w:firstLineChars="200"/>
        <w:rPr>
          <w:rFonts w:ascii="仿宋_GB2312" w:eastAsia="仿宋_GB2312"/>
          <w:color w:val="000000" w:themeColor="text1"/>
          <w:highlight w:val="none"/>
          <w:lang w:val="en-US"/>
          <w14:textFill>
            <w14:solidFill>
              <w14:schemeClr w14:val="tx1"/>
            </w14:solidFill>
          </w14:textFill>
        </w:rPr>
      </w:pPr>
      <w:r>
        <w:rPr>
          <w:rFonts w:hint="eastAsia" w:ascii="仿宋_GB2312" w:eastAsia="仿宋_GB2312"/>
          <w:color w:val="000000" w:themeColor="text1"/>
          <w:highlight w:val="none"/>
          <w:lang w:val="en-US"/>
          <w14:textFill>
            <w14:solidFill>
              <w14:schemeClr w14:val="tx1"/>
            </w14:solidFill>
          </w14:textFill>
        </w:rPr>
        <w:t>33.4入围供应商履行服务未按要求提供服务费明细清单或未按不高于承诺的统一折扣率计算服务费用被发现的，将被提醒一次；入围供应商被提醒三次的，解除与其签订的框架协议。</w:t>
      </w:r>
    </w:p>
    <w:p>
      <w:pPr>
        <w:pStyle w:val="24"/>
        <w:ind w:firstLine="480" w:firstLineChars="200"/>
        <w:rPr>
          <w:rFonts w:ascii="仿宋_GB2312" w:eastAsia="仿宋_GB2312"/>
          <w:color w:val="000000" w:themeColor="text1"/>
          <w:lang w:val="en-US"/>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33.5被取消入围资格或者被解除框架协议的供应商不得参加本封闭式框架协议补充征集。</w:t>
      </w:r>
    </w:p>
    <w:p>
      <w:pPr>
        <w:snapToGrid w:val="0"/>
        <w:spacing w:line="360" w:lineRule="auto"/>
        <w:outlineLvl w:val="2"/>
        <w:rPr>
          <w:rFonts w:ascii="仿宋_GB2312" w:hAnsi="宋体" w:eastAsia="仿宋_GB2312" w:cs="宋体"/>
          <w:b/>
          <w:color w:val="000000" w:themeColor="text1"/>
          <w:sz w:val="24"/>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t>34.入围供应商补充规则</w:t>
      </w:r>
    </w:p>
    <w:p>
      <w:pPr>
        <w:pStyle w:val="24"/>
        <w:ind w:firstLine="480" w:firstLineChars="200"/>
        <w:rPr>
          <w:rFonts w:ascii="仿宋_GB2312" w:hAnsi="宋体" w:eastAsia="仿宋_GB2312" w:cs="宋体"/>
          <w:b/>
          <w:color w:val="000000" w:themeColor="text1"/>
          <w:sz w:val="36"/>
          <w:szCs w:val="36"/>
          <w14:textFill>
            <w14:solidFill>
              <w14:schemeClr w14:val="tx1"/>
            </w14:solidFill>
          </w14:textFill>
        </w:rPr>
      </w:pPr>
      <w:r>
        <w:rPr>
          <w:rFonts w:hint="eastAsia" w:ascii="仿宋_GB2312" w:eastAsia="仿宋_GB2312"/>
          <w:color w:val="000000" w:themeColor="text1"/>
          <w:lang w:val="en-US"/>
          <w14:textFill>
            <w14:solidFill>
              <w14:schemeClr w14:val="tx1"/>
            </w14:solidFill>
          </w14:textFill>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r>
        <w:rPr>
          <w:rFonts w:hint="eastAsia" w:ascii="仿宋_GB2312" w:hAnsi="宋体" w:eastAsia="仿宋_GB2312" w:cs="宋体"/>
          <w:b/>
          <w:color w:val="000000" w:themeColor="text1"/>
          <w:sz w:val="36"/>
          <w:szCs w:val="36"/>
          <w14:textFill>
            <w14:solidFill>
              <w14:schemeClr w14:val="tx1"/>
            </w14:solidFill>
          </w14:textFill>
        </w:rPr>
        <w:br w:type="page"/>
      </w:r>
    </w:p>
    <w:p>
      <w:pPr>
        <w:spacing w:after="240" w:afterLines="100" w:line="360" w:lineRule="auto"/>
        <w:jc w:val="center"/>
        <w:outlineLvl w:val="0"/>
        <w:rPr>
          <w:rFonts w:ascii="仿宋_GB2312" w:hAnsi="宋体" w:eastAsia="仿宋_GB2312" w:cs="宋体"/>
          <w:b/>
          <w:color w:val="000000" w:themeColor="text1"/>
          <w:sz w:val="32"/>
          <w:szCs w:val="32"/>
          <w14:textFill>
            <w14:solidFill>
              <w14:schemeClr w14:val="tx1"/>
            </w14:solidFill>
          </w14:textFill>
        </w:rPr>
      </w:pPr>
      <w:bookmarkStart w:id="90" w:name="_Toc24725"/>
      <w:bookmarkStart w:id="91" w:name="_Toc146706833"/>
      <w:r>
        <w:rPr>
          <w:rFonts w:hint="eastAsia" w:ascii="仿宋_GB2312" w:hAnsi="宋体" w:eastAsia="仿宋_GB2312" w:cs="宋体"/>
          <w:b/>
          <w:color w:val="000000" w:themeColor="text1"/>
          <w:sz w:val="32"/>
          <w:szCs w:val="32"/>
          <w14:textFill>
            <w14:solidFill>
              <w14:schemeClr w14:val="tx1"/>
            </w14:solidFill>
          </w14:textFill>
        </w:rPr>
        <w:t>第三部分   采购需求</w:t>
      </w:r>
      <w:bookmarkEnd w:id="63"/>
      <w:bookmarkEnd w:id="90"/>
      <w:bookmarkEnd w:id="91"/>
    </w:p>
    <w:p>
      <w:pPr>
        <w:pStyle w:val="26"/>
        <w:spacing w:line="360" w:lineRule="auto"/>
        <w:ind w:left="0" w:leftChars="0" w:firstLine="480"/>
        <w:rPr>
          <w:rFonts w:ascii="仿宋_GB2312" w:eastAsia="仿宋_GB2312"/>
          <w:color w:val="FF0000"/>
          <w:sz w:val="24"/>
        </w:rPr>
      </w:pPr>
      <w:r>
        <w:rPr>
          <w:rFonts w:hint="eastAsia" w:ascii="仿宋_GB2312" w:eastAsia="仿宋_GB2312"/>
          <w:sz w:val="24"/>
        </w:rPr>
        <w:t>注：“▲”系指实质性要求条款，不满足征集文件的实质性要求的，响应无效。</w:t>
      </w:r>
    </w:p>
    <w:p>
      <w:pPr>
        <w:adjustRightInd/>
        <w:spacing w:line="360" w:lineRule="auto"/>
        <w:outlineLvl w:val="1"/>
        <w:rPr>
          <w:rFonts w:ascii="仿宋_GB2312" w:hAnsi="仿宋_GB2312" w:eastAsia="仿宋_GB2312" w:cs="仿宋_GB2312"/>
          <w:b/>
          <w:bCs/>
          <w:sz w:val="24"/>
        </w:rPr>
      </w:pPr>
      <w:bookmarkStart w:id="92" w:name="_Toc146706834"/>
      <w:bookmarkStart w:id="93" w:name="_Toc31287"/>
      <w:r>
        <w:rPr>
          <w:rFonts w:hint="eastAsia" w:ascii="仿宋_GB2312" w:hAnsi="仿宋_GB2312" w:eastAsia="仿宋_GB2312" w:cs="仿宋_GB2312"/>
          <w:b/>
          <w:bCs/>
          <w:sz w:val="24"/>
        </w:rPr>
        <w:t>一、项目基本情况</w:t>
      </w:r>
      <w:bookmarkEnd w:id="92"/>
      <w:bookmarkEnd w:id="93"/>
    </w:p>
    <w:p>
      <w:pPr>
        <w:adjustRightInd/>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项目编号：</w:t>
      </w:r>
      <w:r>
        <w:rPr>
          <w:rFonts w:ascii="仿宋_GB2312" w:hAnsi="仿宋_GB2312" w:eastAsia="仿宋_GB2312" w:cs="仿宋_GB2312"/>
          <w:sz w:val="24"/>
        </w:rPr>
        <w:t>LCK2024-003</w:t>
      </w:r>
    </w:p>
    <w:p>
      <w:pPr>
        <w:adjustRightInd/>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项目名称：</w:t>
      </w:r>
      <w:r>
        <w:rPr>
          <w:rFonts w:hint="eastAsia" w:ascii="仿宋_GB2312" w:hAnsi="仿宋_GB2312" w:eastAsia="仿宋_GB2312" w:cs="仿宋_GB2312"/>
          <w:sz w:val="24"/>
        </w:rPr>
        <w:t xml:space="preserve">2025-2026年度丽水市（市本级、莲都区、开发区、缙云县、云和县）审计服务封闭式框架协议采购项目 </w:t>
      </w:r>
    </w:p>
    <w:p>
      <w:pPr>
        <w:adjustRightInd/>
        <w:spacing w:line="360" w:lineRule="auto"/>
        <w:ind w:firstLine="482"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适用服务对象范围：</w:t>
      </w:r>
      <w:r>
        <w:rPr>
          <w:rFonts w:hint="eastAsia" w:ascii="仿宋_GB2312" w:hAnsi="仿宋_GB2312" w:eastAsia="仿宋_GB2312" w:cs="仿宋_GB2312"/>
          <w:sz w:val="24"/>
          <w:shd w:val="clear" w:color="auto" w:fill="FFFFFF"/>
        </w:rPr>
        <w:t>丽水市市本级、莲都区、开发区、缙云县、云和县行政机关、事业单位、团体组织。</w:t>
      </w:r>
    </w:p>
    <w:p>
      <w:pPr>
        <w:adjustRightInd/>
        <w:spacing w:line="360" w:lineRule="auto"/>
        <w:ind w:firstLine="482"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采购内容：</w:t>
      </w:r>
      <w:r>
        <w:rPr>
          <w:rFonts w:hint="eastAsia" w:ascii="仿宋_GB2312" w:hAnsi="仿宋_GB2312" w:eastAsia="仿宋_GB2312" w:cs="仿宋_GB2312"/>
          <w:sz w:val="24"/>
          <w:shd w:val="clear" w:color="auto" w:fill="FFFFFF"/>
        </w:rPr>
        <w:t>确定2025-2026年度丽水市（市本级、莲都区、开发区、缙云县、云和县）审计服务封闭式框架协议采购项目供应商。见下表：</w:t>
      </w:r>
    </w:p>
    <w:tbl>
      <w:tblPr>
        <w:tblStyle w:val="63"/>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1701"/>
        <w:gridCol w:w="5528"/>
        <w:gridCol w:w="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jc w:val="center"/>
        </w:trPr>
        <w:tc>
          <w:tcPr>
            <w:tcW w:w="988" w:type="dxa"/>
            <w:vAlign w:val="center"/>
          </w:tcPr>
          <w:p>
            <w:pPr>
              <w:pStyle w:val="60"/>
              <w:widowControl w:val="0"/>
              <w:overflowPunct/>
              <w:autoSpaceDE/>
              <w:autoSpaceDN/>
              <w:snapToGrid w:val="0"/>
              <w:textAlignment w:val="auto"/>
              <w:rPr>
                <w:rFonts w:ascii="仿宋_GB2312" w:hAnsi="仿宋_GB2312" w:eastAsia="仿宋_GB2312" w:cs="仿宋_GB2312"/>
                <w:szCs w:val="24"/>
              </w:rPr>
            </w:pPr>
            <w:r>
              <w:rPr>
                <w:rFonts w:hint="eastAsia" w:ascii="仿宋_GB2312" w:hAnsi="仿宋_GB2312" w:eastAsia="仿宋_GB2312" w:cs="仿宋_GB2312"/>
                <w:szCs w:val="24"/>
              </w:rPr>
              <w:t>序号</w:t>
            </w:r>
          </w:p>
        </w:tc>
        <w:tc>
          <w:tcPr>
            <w:tcW w:w="1701" w:type="dxa"/>
            <w:vAlign w:val="center"/>
          </w:tcPr>
          <w:p>
            <w:pPr>
              <w:pStyle w:val="60"/>
              <w:widowControl w:val="0"/>
              <w:overflowPunct/>
              <w:autoSpaceDE/>
              <w:autoSpaceDN/>
              <w:snapToGrid w:val="0"/>
              <w:textAlignment w:val="auto"/>
              <w:rPr>
                <w:rFonts w:ascii="仿宋_GB2312" w:hAnsi="仿宋_GB2312" w:eastAsia="仿宋_GB2312" w:cs="仿宋_GB2312"/>
                <w:szCs w:val="24"/>
              </w:rPr>
            </w:pPr>
            <w:r>
              <w:rPr>
                <w:rFonts w:hint="eastAsia" w:ascii="仿宋_GB2312" w:hAnsi="仿宋_GB2312" w:eastAsia="仿宋_GB2312" w:cs="仿宋_GB2312"/>
                <w:szCs w:val="24"/>
              </w:rPr>
              <w:t>服务名称</w:t>
            </w:r>
          </w:p>
        </w:tc>
        <w:tc>
          <w:tcPr>
            <w:tcW w:w="5528" w:type="dxa"/>
            <w:vAlign w:val="center"/>
          </w:tcPr>
          <w:p>
            <w:pPr>
              <w:pStyle w:val="60"/>
              <w:widowControl w:val="0"/>
              <w:overflowPunct/>
              <w:autoSpaceDE/>
              <w:autoSpaceDN/>
              <w:snapToGrid w:val="0"/>
              <w:textAlignment w:val="auto"/>
              <w:rPr>
                <w:rFonts w:ascii="仿宋_GB2312" w:hAnsi="仿宋_GB2312" w:eastAsia="仿宋_GB2312" w:cs="仿宋_GB2312"/>
                <w:szCs w:val="24"/>
              </w:rPr>
            </w:pPr>
            <w:r>
              <w:rPr>
                <w:rFonts w:hint="eastAsia" w:ascii="仿宋_GB2312" w:hAnsi="仿宋_GB2312" w:eastAsia="仿宋_GB2312" w:cs="仿宋_GB2312"/>
                <w:szCs w:val="24"/>
              </w:rPr>
              <w:t>服务范围</w:t>
            </w:r>
          </w:p>
        </w:tc>
        <w:tc>
          <w:tcPr>
            <w:tcW w:w="843" w:type="dxa"/>
            <w:vAlign w:val="center"/>
          </w:tcPr>
          <w:p>
            <w:pPr>
              <w:pStyle w:val="60"/>
              <w:widowControl w:val="0"/>
              <w:overflowPunct/>
              <w:autoSpaceDE/>
              <w:autoSpaceDN/>
              <w:snapToGrid w:val="0"/>
              <w:textAlignment w:val="auto"/>
              <w:rPr>
                <w:rFonts w:ascii="仿宋_GB2312" w:hAnsi="仿宋_GB2312" w:eastAsia="仿宋_GB2312" w:cs="仿宋_GB2312"/>
                <w:szCs w:val="24"/>
              </w:rPr>
            </w:pPr>
            <w:r>
              <w:rPr>
                <w:rFonts w:hint="eastAsia" w:ascii="仿宋_GB2312" w:hAnsi="仿宋_GB2312" w:eastAsia="仿宋_GB2312" w:cs="仿宋_GB2312"/>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jc w:val="center"/>
        </w:trPr>
        <w:tc>
          <w:tcPr>
            <w:tcW w:w="988" w:type="dxa"/>
            <w:vAlign w:val="center"/>
          </w:tcPr>
          <w:p>
            <w:pPr>
              <w:pStyle w:val="60"/>
              <w:widowControl w:val="0"/>
              <w:overflowPunct/>
              <w:autoSpaceDE/>
              <w:autoSpaceDN/>
              <w:snapToGrid w:val="0"/>
              <w:textAlignment w:val="auto"/>
              <w:rPr>
                <w:rFonts w:ascii="仿宋_GB2312" w:hAnsi="仿宋_GB2312" w:eastAsia="仿宋_GB2312" w:cs="仿宋_GB2312"/>
                <w:b w:val="0"/>
                <w:szCs w:val="24"/>
              </w:rPr>
            </w:pPr>
            <w:r>
              <w:rPr>
                <w:rFonts w:hint="eastAsia" w:ascii="仿宋_GB2312" w:hAnsi="仿宋_GB2312" w:eastAsia="仿宋_GB2312" w:cs="仿宋_GB2312"/>
                <w:b w:val="0"/>
                <w:szCs w:val="24"/>
              </w:rPr>
              <w:t>1</w:t>
            </w:r>
          </w:p>
        </w:tc>
        <w:tc>
          <w:tcPr>
            <w:tcW w:w="1701" w:type="dxa"/>
            <w:vAlign w:val="center"/>
          </w:tcPr>
          <w:p>
            <w:pPr>
              <w:pStyle w:val="60"/>
              <w:widowControl w:val="0"/>
              <w:overflowPunct/>
              <w:autoSpaceDE/>
              <w:autoSpaceDN/>
              <w:snapToGrid w:val="0"/>
              <w:textAlignment w:val="auto"/>
              <w:rPr>
                <w:rFonts w:ascii="仿宋_GB2312" w:hAnsi="仿宋_GB2312" w:eastAsia="仿宋_GB2312" w:cs="仿宋_GB2312"/>
                <w:b w:val="0"/>
                <w:szCs w:val="24"/>
              </w:rPr>
            </w:pPr>
            <w:r>
              <w:rPr>
                <w:rFonts w:hint="eastAsia" w:ascii="仿宋_GB2312" w:hAnsi="仿宋_GB2312" w:eastAsia="仿宋_GB2312" w:cs="仿宋_GB2312"/>
                <w:b w:val="0"/>
                <w:bCs/>
                <w:kern w:val="2"/>
                <w:szCs w:val="24"/>
                <w:lang w:val="en-US"/>
              </w:rPr>
              <w:t>审计服务</w:t>
            </w:r>
          </w:p>
        </w:tc>
        <w:tc>
          <w:tcPr>
            <w:tcW w:w="5528" w:type="dxa"/>
            <w:vAlign w:val="center"/>
          </w:tcPr>
          <w:p>
            <w:pPr>
              <w:rPr>
                <w:rFonts w:ascii="仿宋_GB2312" w:eastAsia="仿宋_GB2312"/>
              </w:rPr>
            </w:pPr>
            <w:r>
              <w:rPr>
                <w:rFonts w:hint="eastAsia" w:ascii="仿宋_GB2312" w:hAnsi="仿宋_GB2312" w:eastAsia="仿宋_GB2312" w:cs="仿宋_GB2312"/>
                <w:bCs/>
                <w:spacing w:val="4"/>
                <w:sz w:val="24"/>
              </w:rPr>
              <w:t>按照公认的会计原则，审查某机构的会计账册和其他单据的服务，跟踪审计服务归入此类。</w:t>
            </w:r>
          </w:p>
        </w:tc>
        <w:tc>
          <w:tcPr>
            <w:tcW w:w="843" w:type="dxa"/>
            <w:vAlign w:val="center"/>
          </w:tcPr>
          <w:p>
            <w:pPr>
              <w:pStyle w:val="60"/>
              <w:widowControl w:val="0"/>
              <w:overflowPunct/>
              <w:autoSpaceDE/>
              <w:autoSpaceDN/>
              <w:snapToGrid w:val="0"/>
              <w:textAlignment w:val="auto"/>
              <w:rPr>
                <w:rFonts w:ascii="仿宋_GB2312" w:hAnsi="仿宋_GB2312" w:eastAsia="仿宋_GB2312" w:cs="仿宋_GB2312"/>
                <w:b w:val="0"/>
                <w:szCs w:val="24"/>
              </w:rPr>
            </w:pPr>
          </w:p>
        </w:tc>
      </w:tr>
    </w:tbl>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bCs/>
          <w:sz w:val="24"/>
        </w:rPr>
        <w:t>供应商根据要求进行响应，并提交响应文件。</w:t>
      </w:r>
    </w:p>
    <w:p>
      <w:pPr>
        <w:adjustRightInd/>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框架协议的期限：</w:t>
      </w:r>
      <w:r>
        <w:rPr>
          <w:rFonts w:hint="eastAsia" w:ascii="仿宋_GB2312" w:hAnsi="仿宋_GB2312" w:eastAsia="仿宋_GB2312" w:cs="仿宋_GB2312"/>
          <w:sz w:val="24"/>
        </w:rPr>
        <w:t>框架协议生效之日起—20</w:t>
      </w:r>
      <w:r>
        <w:rPr>
          <w:rFonts w:ascii="仿宋_GB2312" w:hAnsi="仿宋_GB2312" w:eastAsia="仿宋_GB2312" w:cs="仿宋_GB2312"/>
          <w:sz w:val="24"/>
        </w:rPr>
        <w:t>26</w:t>
      </w:r>
      <w:r>
        <w:rPr>
          <w:rFonts w:hint="eastAsia" w:ascii="仿宋_GB2312" w:hAnsi="仿宋_GB2312" w:eastAsia="仿宋_GB2312" w:cs="仿宋_GB2312"/>
          <w:sz w:val="24"/>
        </w:rPr>
        <w:t>年12月31日</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▲供应商响应有效期从提交响应文件的截止之日起，不少于本项目协议采购有效期，在协议期满之前均具有约束力。（▲供应商需在响应文件中承诺）</w:t>
      </w:r>
    </w:p>
    <w:p>
      <w:pPr>
        <w:adjustRightInd/>
        <w:spacing w:line="360" w:lineRule="auto"/>
        <w:outlineLvl w:val="1"/>
        <w:rPr>
          <w:rFonts w:ascii="仿宋_GB2312" w:hAnsi="仿宋_GB2312" w:eastAsia="仿宋_GB2312" w:cs="仿宋_GB2312"/>
          <w:b/>
          <w:bCs/>
          <w:sz w:val="24"/>
        </w:rPr>
      </w:pPr>
      <w:bookmarkStart w:id="94" w:name="_Toc25365"/>
      <w:r>
        <w:rPr>
          <w:rFonts w:hint="eastAsia" w:ascii="仿宋_GB2312" w:hAnsi="仿宋_GB2312" w:eastAsia="仿宋_GB2312" w:cs="仿宋_GB2312"/>
          <w:b/>
          <w:bCs/>
          <w:sz w:val="24"/>
        </w:rPr>
        <w:t>二、资格要求</w:t>
      </w:r>
      <w:bookmarkEnd w:id="94"/>
    </w:p>
    <w:p>
      <w:pPr>
        <w:adjustRightInd/>
        <w:spacing w:line="360" w:lineRule="auto"/>
        <w:ind w:firstLine="480" w:firstLineChars="200"/>
        <w:rPr>
          <w:rFonts w:ascii="仿宋_GB2312" w:hAnsi="仿宋_GB2312" w:eastAsia="仿宋_GB2312" w:cs="仿宋_GB2312"/>
          <w:sz w:val="24"/>
        </w:rPr>
      </w:pPr>
      <w:bookmarkStart w:id="95" w:name="_Toc146706835"/>
      <w:r>
        <w:rPr>
          <w:rFonts w:hint="eastAsia" w:ascii="仿宋_GB2312" w:hAnsi="仿宋_GB2312" w:eastAsia="仿宋_GB2312" w:cs="仿宋_GB2312"/>
          <w:sz w:val="24"/>
        </w:rPr>
        <w:t>（一）具备《中华人民共和国政府采购法》第二十二条第一款规定的条件：</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1.具有独立承担民事责任的能力；</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2.具有良好的商业信誉和健全的财务会计制度；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3.具有履行合同所必需的设备和专业技术能力；</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4.有依法缴纳税收和社会保障资金的良好记录；</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5.参加政府采购活动前三年内，在经营活动中没有重大违法记录；</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6.具有法律、行政法规规定的其他条件。</w:t>
      </w:r>
    </w:p>
    <w:p>
      <w:pPr>
        <w:wordWrap w:val="0"/>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（二）未被“信用中国”（www.creditchina.gov.cn）、“中国政府采购网”（www.ccgp.gov.cn）列入失信被执行人、重大税收违法案件当事人名单、政府采购严重违法失信行为记录名单。</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（三）不存在以下情况：</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单位负责人为同一人或者存在直接控股、管理关系的不同供应商同时参加同一采购包（标项）采购活动。</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（四）特定资格要求：具有财政部门颁发的现行有效的会计师事务所执业证书。</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（五）本项目不接受联合体参与响应；不接受分公司（分支机构）直接参与响应。</w:t>
      </w:r>
    </w:p>
    <w:p>
      <w:pPr>
        <w:adjustRightInd/>
        <w:spacing w:line="360" w:lineRule="auto"/>
        <w:outlineLvl w:val="1"/>
        <w:rPr>
          <w:rFonts w:ascii="仿宋_GB2312" w:hAnsi="仿宋_GB2312" w:eastAsia="仿宋_GB2312" w:cs="仿宋_GB2312"/>
          <w:b/>
          <w:bCs/>
          <w:sz w:val="24"/>
        </w:rPr>
      </w:pPr>
      <w:bookmarkStart w:id="96" w:name="_Toc5921"/>
      <w:r>
        <w:rPr>
          <w:rFonts w:hint="eastAsia" w:ascii="仿宋_GB2312" w:hAnsi="仿宋_GB2312" w:eastAsia="仿宋_GB2312" w:cs="仿宋_GB2312"/>
          <w:b/>
          <w:bCs/>
          <w:sz w:val="24"/>
        </w:rPr>
        <w:t>三、服务要求</w:t>
      </w:r>
      <w:bookmarkEnd w:id="95"/>
      <w:bookmarkEnd w:id="96"/>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（一）供应商需具有完善的审计内部控制制度、人员组织管理制度、审计质量管理制度、保密管理制度、档案管理制度。</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（二）供应商需了解和熟悉行政机关、事业单位、团体组织委托的审计服务业务需求，有一定的服务和实施经验，有完善的服务计划，能够制定明确、规范的实施方案和工作程序。</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（三）供应商需为本项目配备技术能力较强，相关业务经验丰富，有一定的主审经历，人员较为稳定的专业服务团队。</w:t>
      </w:r>
    </w:p>
    <w:p>
      <w:pPr>
        <w:adjustRightInd/>
        <w:spacing w:line="360" w:lineRule="auto"/>
        <w:ind w:firstLine="480" w:firstLineChars="200"/>
        <w:rPr>
          <w:sz w:val="24"/>
        </w:rPr>
      </w:pPr>
      <w:r>
        <w:rPr>
          <w:rFonts w:hint="eastAsia" w:ascii="仿宋_GB2312" w:hAnsi="仿宋_GB2312" w:eastAsia="仿宋_GB2312" w:cs="仿宋_GB2312"/>
          <w:sz w:val="24"/>
        </w:rPr>
        <w:t>▲响应供应商提供注册会计师的执业证书扫描件</w:t>
      </w:r>
      <w:r>
        <w:rPr>
          <w:rFonts w:hint="eastAsia" w:ascii="仿宋_GB2312" w:hAnsi="仿宋_GB2312" w:eastAsia="仿宋_GB2312" w:cs="仿宋_GB2312"/>
          <w:sz w:val="24"/>
          <w:highlight w:val="none"/>
        </w:rPr>
        <w:t>或中国注册会计师协会行业管理信息系统中对应的执业注册会计师人员名单查询截图，</w:t>
      </w:r>
      <w:r>
        <w:rPr>
          <w:rFonts w:hint="eastAsia" w:ascii="仿宋_GB2312" w:hAnsi="仿宋_GB2312" w:eastAsia="仿宋_GB2312" w:cs="仿宋_GB2312"/>
          <w:sz w:val="24"/>
        </w:rPr>
        <w:t>证书页或系统查询截图须体现注册会计师执业所在单位与供应商一致。</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（四）服务依据：</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中华人民共和国审计法》《中华人人民共和国会计法》《中华人民共和国预算法》《中华人民共和国审计法实施条例》《浙江省审计条例》《中华人民共和国国家审计准则》，及其他相关法律、法规、规范性文件，中注协、省注协等行业协会有关执业准则和执业道德规范等；</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2.本项目征集文件各项要求和规定；</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3.采购人相关委托要求。</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（五）服务标准：</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1.自觉遵守相关法律、法规及有关规定，严格执行审计准则，遵守廉政纪律和职业道德，保守采购人、被审计单位、服务对象资料数据的秘密；（▲供应商需在响应文件中承诺）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2.严格按照采购人的有关规定和要求实施审计服务，按采购人的质量和进度要求及时提供结果、报告以及与服务事项相关的资料，按规定的格式、要求起草有关文书和相关材料；（▲供应商需在响应文件中承诺）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3.不得将承接的业务对外转包，不得以任何借口违反审计准则和质量控制准则，降低执业（工作）质量；（▲供应商需在响应文件中承诺）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4.愿意接受相关部门对项目质量的审查考核。（▲供应商需在响应文件中承诺）</w:t>
      </w:r>
    </w:p>
    <w:p>
      <w:pPr>
        <w:adjustRightInd/>
        <w:spacing w:line="360" w:lineRule="auto"/>
        <w:outlineLvl w:val="1"/>
        <w:rPr>
          <w:rFonts w:ascii="仿宋_GB2312" w:hAnsi="仿宋_GB2312" w:eastAsia="仿宋_GB2312" w:cs="仿宋_GB2312"/>
          <w:b/>
          <w:bCs/>
          <w:sz w:val="24"/>
        </w:rPr>
      </w:pPr>
      <w:bookmarkStart w:id="97" w:name="_Toc146706836"/>
      <w:bookmarkStart w:id="98" w:name="_Toc16185"/>
      <w:r>
        <w:rPr>
          <w:rFonts w:hint="eastAsia" w:ascii="仿宋_GB2312" w:hAnsi="仿宋_GB2312" w:eastAsia="仿宋_GB2312" w:cs="仿宋_GB2312"/>
          <w:b/>
          <w:bCs/>
          <w:sz w:val="24"/>
        </w:rPr>
        <w:t>四、最高限价及报价要求：</w:t>
      </w:r>
      <w:bookmarkEnd w:id="97"/>
      <w:bookmarkEnd w:id="98"/>
    </w:p>
    <w:p>
      <w:pPr>
        <w:spacing w:line="360" w:lineRule="auto"/>
        <w:ind w:firstLine="480" w:firstLineChars="200"/>
        <w:jc w:val="left"/>
        <w:rPr>
          <w:rFonts w:ascii="仿宋_GB2312" w:eastAsia="仿宋_GB2312" w:cs="宋体"/>
          <w:bCs/>
          <w:color w:val="000000"/>
          <w:sz w:val="24"/>
          <w:lang w:val="zh-CN"/>
        </w:rPr>
      </w:pPr>
      <w:r>
        <w:rPr>
          <w:rFonts w:hint="eastAsia" w:ascii="仿宋_GB2312" w:eastAsia="仿宋_GB2312"/>
          <w:sz w:val="24"/>
        </w:rPr>
        <w:t>1.审计服务费计费方式：按工作量计时收费方式。</w:t>
      </w:r>
    </w:p>
    <w:tbl>
      <w:tblPr>
        <w:tblStyle w:val="62"/>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4"/>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5914" w:type="dxa"/>
            <w:vAlign w:val="center"/>
          </w:tcPr>
          <w:p>
            <w:pPr>
              <w:rPr>
                <w:rFonts w:ascii="仿宋" w:hAnsi="仿宋" w:eastAsia="仿宋" w:cs="仿宋"/>
                <w:sz w:val="24"/>
              </w:rPr>
            </w:pPr>
            <w:r>
              <w:rPr>
                <w:rFonts w:hint="eastAsia" w:ascii="仿宋" w:hAnsi="仿宋" w:eastAsia="仿宋" w:cs="仿宋"/>
                <w:sz w:val="24"/>
                <w:lang w:val="zh-CN"/>
              </w:rPr>
              <w:t>副高级及以上技术职称（或注册会计师）专业人员单价</w:t>
            </w:r>
          </w:p>
        </w:tc>
        <w:tc>
          <w:tcPr>
            <w:tcW w:w="3045" w:type="dxa"/>
            <w:vAlign w:val="center"/>
          </w:tcPr>
          <w:p>
            <w:pPr>
              <w:rPr>
                <w:rFonts w:ascii="仿宋" w:hAnsi="仿宋" w:eastAsia="仿宋" w:cs="仿宋"/>
                <w:sz w:val="24"/>
              </w:rPr>
            </w:pPr>
            <w:r>
              <w:rPr>
                <w:rFonts w:hint="eastAsia" w:ascii="仿宋" w:hAnsi="仿宋" w:eastAsia="仿宋" w:cs="仿宋"/>
                <w:sz w:val="24"/>
              </w:rPr>
              <w:t>1000元/人</w:t>
            </w:r>
            <w:r>
              <w:rPr>
                <w:rFonts w:hint="eastAsia" w:ascii="仿宋" w:hAnsi="仿宋" w:eastAsia="仿宋" w:cs="仿宋"/>
                <w:bCs/>
                <w:kern w:val="0"/>
                <w:sz w:val="24"/>
              </w:rPr>
              <w:t>•</w:t>
            </w:r>
            <w:r>
              <w:rPr>
                <w:rFonts w:hint="eastAsia" w:ascii="仿宋" w:hAnsi="仿宋" w:eastAsia="仿宋" w:cs="仿宋"/>
                <w:sz w:val="24"/>
              </w:rPr>
              <w:t>天（最高限价）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5914" w:type="dxa"/>
            <w:vAlign w:val="center"/>
          </w:tcPr>
          <w:p>
            <w:pPr>
              <w:rPr>
                <w:rFonts w:ascii="仿宋" w:hAnsi="仿宋" w:eastAsia="仿宋" w:cs="仿宋"/>
                <w:sz w:val="24"/>
              </w:rPr>
            </w:pPr>
            <w:r>
              <w:rPr>
                <w:rFonts w:hint="eastAsia" w:ascii="仿宋" w:hAnsi="仿宋" w:eastAsia="仿宋" w:cs="仿宋"/>
                <w:sz w:val="24"/>
                <w:highlight w:val="none"/>
                <w:lang w:val="zh-CN"/>
              </w:rPr>
              <w:t>助理人员、</w:t>
            </w:r>
            <w:r>
              <w:rPr>
                <w:rFonts w:hint="eastAsia" w:ascii="仿宋" w:hAnsi="仿宋" w:eastAsia="仿宋" w:cs="仿宋"/>
                <w:sz w:val="24"/>
                <w:lang w:val="zh-CN"/>
              </w:rPr>
              <w:t>中级技术职称及以下专业人员单价</w:t>
            </w:r>
          </w:p>
        </w:tc>
        <w:tc>
          <w:tcPr>
            <w:tcW w:w="3045" w:type="dxa"/>
            <w:vAlign w:val="center"/>
          </w:tcPr>
          <w:p>
            <w:pPr>
              <w:rPr>
                <w:rFonts w:ascii="仿宋" w:hAnsi="仿宋" w:eastAsia="仿宋" w:cs="仿宋"/>
                <w:sz w:val="24"/>
              </w:rPr>
            </w:pPr>
            <w:r>
              <w:rPr>
                <w:rFonts w:hint="eastAsia" w:ascii="仿宋" w:hAnsi="仿宋" w:eastAsia="仿宋" w:cs="仿宋"/>
                <w:sz w:val="24"/>
              </w:rPr>
              <w:t>700元/人</w:t>
            </w:r>
            <w:r>
              <w:rPr>
                <w:rFonts w:hint="eastAsia" w:ascii="仿宋" w:hAnsi="仿宋" w:eastAsia="仿宋" w:cs="仿宋"/>
                <w:bCs/>
                <w:kern w:val="0"/>
                <w:sz w:val="24"/>
              </w:rPr>
              <w:t>•</w:t>
            </w:r>
            <w:r>
              <w:rPr>
                <w:rFonts w:hint="eastAsia" w:ascii="仿宋" w:hAnsi="仿宋" w:eastAsia="仿宋" w:cs="仿宋"/>
                <w:sz w:val="24"/>
              </w:rPr>
              <w:t>天（最高限价）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959" w:type="dxa"/>
            <w:gridSpan w:val="2"/>
            <w:vAlign w:val="center"/>
          </w:tcPr>
          <w:p>
            <w:pPr>
              <w:rPr>
                <w:rFonts w:ascii="仿宋" w:hAnsi="仿宋" w:eastAsia="仿宋" w:cs="仿宋"/>
                <w:sz w:val="24"/>
              </w:rPr>
            </w:pPr>
            <w:r>
              <w:rPr>
                <w:rFonts w:hint="eastAsia" w:ascii="仿宋" w:hAnsi="仿宋" w:eastAsia="仿宋" w:cs="仿宋"/>
                <w:sz w:val="24"/>
              </w:rPr>
              <w:t>备注：</w:t>
            </w:r>
          </w:p>
          <w:p>
            <w:pPr>
              <w:rPr>
                <w:rFonts w:ascii="仿宋" w:hAnsi="仿宋" w:eastAsia="仿宋" w:cs="仿宋"/>
                <w:sz w:val="24"/>
              </w:rPr>
            </w:pPr>
            <w:r>
              <w:rPr>
                <w:rFonts w:hint="eastAsia" w:ascii="仿宋" w:hAnsi="仿宋" w:eastAsia="仿宋" w:cs="仿宋"/>
                <w:sz w:val="24"/>
              </w:rPr>
              <w:t>1、一天工作时间按8小时计算。</w:t>
            </w:r>
          </w:p>
          <w:p>
            <w:pPr>
              <w:rPr>
                <w:rFonts w:ascii="仿宋" w:hAnsi="仿宋" w:eastAsia="仿宋" w:cs="仿宋"/>
                <w:sz w:val="24"/>
              </w:rPr>
            </w:pPr>
            <w:r>
              <w:rPr>
                <w:rFonts w:hint="eastAsia" w:ascii="仿宋" w:hAnsi="仿宋" w:eastAsia="仿宋" w:cs="仿宋"/>
                <w:sz w:val="24"/>
              </w:rPr>
              <w:t>2、价格包括项目组人员成本、专家咨询费、交通费、食宿费、税费等完成本项目所需的全部费用。</w:t>
            </w:r>
          </w:p>
        </w:tc>
      </w:tr>
    </w:tbl>
    <w:p>
      <w:pPr>
        <w:adjustRightInd/>
        <w:spacing w:line="360" w:lineRule="auto"/>
        <w:ind w:firstLine="480" w:firstLineChars="20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供应商应在服务费标准最高限价的基础上作出第一阶段响应报价，给予统一优惠率。统一优惠率是唯一的，以百分数表示，所填数值（百分符号前面的数）须为大于0小于100的整数。统一优惠率的数值越大，优惠力度越大。</w:t>
      </w:r>
      <w:r>
        <w:rPr>
          <w:rFonts w:hint="eastAsia" w:ascii="仿宋_GB2312" w:hAnsi="仿宋_GB2312" w:eastAsia="仿宋_GB2312" w:cs="仿宋_GB2312"/>
          <w:b/>
          <w:bCs/>
          <w:sz w:val="24"/>
        </w:rPr>
        <w:t>除根据采购人要求需赴采购人指定的常驻地以外地点的，城市间交通费、食宿费可另行按政府部门有关规定结算报销，其他所有费用（含税费）均计入报价。</w:t>
      </w:r>
      <w:r>
        <w:rPr>
          <w:rFonts w:hint="eastAsia" w:ascii="仿宋_GB2312" w:hAnsi="仿宋_GB2312" w:eastAsia="仿宋_GB2312" w:cs="仿宋_GB2312"/>
          <w:sz w:val="24"/>
        </w:rPr>
        <w:t>（具体要求见征集文件第六部分的▲第一阶段响应报价表）</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▲供应商统一优惠率高于50%的，应当在报价要求响应文件中详细阐述不影响诚信履约的具体原因，否则投标无效。</w:t>
      </w:r>
    </w:p>
    <w:p>
      <w:pPr>
        <w:adjustRightInd/>
        <w:spacing w:line="360" w:lineRule="auto"/>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供应商入围后，第一阶段响应报价（即协议价格）是采购人确定第二阶段成交供应商的最高限价，如采购人在采购服务时还需供应商提供其他服务人员的，服务费也不得超过该最高限价。</w:t>
      </w:r>
      <w:r>
        <w:rPr>
          <w:rFonts w:hint="eastAsia" w:ascii="仿宋_GB2312" w:hAnsi="仿宋_GB2312" w:eastAsia="仿宋_GB2312" w:cs="仿宋_GB2312"/>
          <w:b/>
          <w:bCs/>
          <w:sz w:val="24"/>
        </w:rPr>
        <w:t>采购人还可在该最高限价的基础上与供应商进一步议价，以获得更优惠的价格。</w:t>
      </w:r>
    </w:p>
    <w:p>
      <w:pPr>
        <w:adjustRightInd/>
        <w:spacing w:line="360" w:lineRule="auto"/>
        <w:outlineLvl w:val="1"/>
        <w:rPr>
          <w:rFonts w:ascii="仿宋_GB2312" w:hAnsi="仿宋_GB2312" w:eastAsia="仿宋_GB2312" w:cs="仿宋_GB2312"/>
          <w:b/>
          <w:bCs/>
          <w:sz w:val="24"/>
        </w:rPr>
      </w:pPr>
      <w:bookmarkStart w:id="99" w:name="_Toc146706838"/>
      <w:bookmarkStart w:id="100" w:name="_Toc2473"/>
      <w:r>
        <w:rPr>
          <w:rFonts w:hint="eastAsia" w:ascii="仿宋_GB2312" w:hAnsi="仿宋_GB2312" w:eastAsia="仿宋_GB2312" w:cs="仿宋_GB2312"/>
          <w:b/>
          <w:bCs/>
          <w:sz w:val="24"/>
        </w:rPr>
        <w:t>五、框架协议、采购合同签订要求：</w:t>
      </w:r>
      <w:bookmarkEnd w:id="99"/>
      <w:bookmarkEnd w:id="100"/>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（一）供应商入围后按本项目征集文件的规定和入围通知书的要求及时与征集人签订框架协议，无正当理由不得主动放弃入围资格或者退出框架协议。（▲供应商需在响应文件中承诺）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入围供应商第一阶段的响应报价（协议价格）是采购人确定第二阶段成交供应商的最高限价。供应商在政采云系统中接到采购人订单（采购人合同授予）后，无正当理由不得拖延、拒绝、取消订单，应按本项目征集文件、框架协议规定及时与采购人签订合同。（▲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（三）按征集文件规定的要求和合同文本格式编制合同。（▲供应商需在响应文件中承诺）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（四）供应商与采购人签订合同后应积极履行合同义务，按约定的时间和要求完成审计服务、出具报告，并通过采购人验收。（▲供应商需在响应文件中承诺）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（五）其他要求见“第二部分 七、框架协议、采购合同签订”和“第五部分 拟签订的框架协议文本和采购合同文本”。</w:t>
      </w:r>
    </w:p>
    <w:p>
      <w:pPr>
        <w:adjustRightInd/>
        <w:spacing w:line="360" w:lineRule="auto"/>
        <w:outlineLvl w:val="1"/>
        <w:rPr>
          <w:rFonts w:ascii="仿宋_GB2312" w:hAnsi="仿宋_GB2312" w:eastAsia="仿宋_GB2312" w:cs="仿宋_GB2312"/>
          <w:b/>
          <w:bCs/>
          <w:sz w:val="24"/>
        </w:rPr>
      </w:pPr>
      <w:bookmarkStart w:id="101" w:name="_Toc29662"/>
      <w:bookmarkStart w:id="102" w:name="_Toc146706839"/>
      <w:r>
        <w:rPr>
          <w:rFonts w:hint="eastAsia" w:ascii="仿宋_GB2312" w:hAnsi="仿宋_GB2312" w:eastAsia="仿宋_GB2312" w:cs="仿宋_GB2312"/>
          <w:b/>
          <w:bCs/>
          <w:sz w:val="24"/>
        </w:rPr>
        <w:t>六、用户反馈和评价机制：</w:t>
      </w:r>
      <w:bookmarkEnd w:id="101"/>
      <w:bookmarkEnd w:id="102"/>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征集人将依托政采云平台建立用户反馈和评价机制，接受采购人对入围供应商履行框架协议和采购合同情况的反馈与评价，作为采购人第二阶段直接选定成交供应商的参考。</w:t>
      </w:r>
    </w:p>
    <w:p>
      <w:pPr>
        <w:adjustRightInd/>
        <w:spacing w:line="360" w:lineRule="auto"/>
        <w:outlineLvl w:val="1"/>
        <w:rPr>
          <w:rFonts w:ascii="仿宋_GB2312" w:hAnsi="仿宋_GB2312" w:eastAsia="仿宋_GB2312" w:cs="仿宋_GB2312"/>
          <w:b/>
          <w:bCs/>
          <w:sz w:val="24"/>
        </w:rPr>
      </w:pPr>
      <w:bookmarkStart w:id="103" w:name="_Toc25501"/>
      <w:bookmarkStart w:id="104" w:name="_Toc146706840"/>
      <w:r>
        <w:rPr>
          <w:rFonts w:hint="eastAsia" w:ascii="仿宋_GB2312" w:hAnsi="仿宋_GB2312" w:eastAsia="仿宋_GB2312" w:cs="仿宋_GB2312"/>
          <w:b/>
          <w:bCs/>
          <w:sz w:val="24"/>
        </w:rPr>
        <w:t>七、确定第二阶段成交供应商的方式：</w:t>
      </w:r>
      <w:bookmarkEnd w:id="103"/>
      <w:bookmarkEnd w:id="104"/>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由采购人依据入围产品价格、质量以及服务便利性、用户评价等因素，从第一阶段入围供应商中直接选定。</w:t>
      </w:r>
    </w:p>
    <w:p>
      <w:pPr>
        <w:adjustRightInd/>
        <w:spacing w:line="360" w:lineRule="auto"/>
        <w:outlineLvl w:val="1"/>
        <w:rPr>
          <w:rFonts w:ascii="仿宋_GB2312" w:hAnsi="仿宋_GB2312" w:eastAsia="仿宋_GB2312" w:cs="仿宋_GB2312"/>
          <w:b/>
          <w:bCs/>
          <w:sz w:val="24"/>
        </w:rPr>
      </w:pPr>
      <w:bookmarkStart w:id="105" w:name="_Toc10358"/>
      <w:bookmarkStart w:id="106" w:name="_Toc146706841"/>
      <w:r>
        <w:rPr>
          <w:rFonts w:hint="eastAsia" w:ascii="仿宋_GB2312" w:hAnsi="仿宋_GB2312" w:eastAsia="仿宋_GB2312" w:cs="仿宋_GB2312"/>
          <w:b/>
          <w:bCs/>
          <w:sz w:val="24"/>
        </w:rPr>
        <w:t>八、协议期内日常管理要求：</w:t>
      </w:r>
      <w:bookmarkEnd w:id="105"/>
      <w:bookmarkEnd w:id="106"/>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在协议期内，入围供应商如有信息变更（如变更法定代表人、主要负责人、联系人、联系电话、地址等），应及时在政采云系统中更新相关信息并通知征集人，按征集人要求提供相关资料备案。（▲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（二）在协议期内，供应商应遵守和履行本项目征集文件、框架协议的各项规定，遵守电子系统的操作规定和交易规则，积极配合征集人和采购监管部门的工作。（▲供应商需在响应文件中承诺）</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在协议期内，入围供应商如提供的服务全部由丽水所在地分公司（分支机构）承担，希望以该分公司（分支机构）名义承接业务、开具发票的，可通过政采云系统向征集人提出分公司（分支机构）开启申请，并向征集人提供①总公司（总机构）对丽水所在地分公司（分支机构）出具的针对本协议项目的唯一授权书，总公司（总机构）须承诺对丽水市级所在地分公司（分支机构）在协议期内的服务行为予以认可，且对分公司（分支机构）的民事行为承担责任；②丽水所在地分公司（分支机构）的会计师事务所执业证书（扫描件加盖公章）。未按要求提供材料的，申请不予接受和通过。</w:t>
      </w:r>
    </w:p>
    <w:p>
      <w:pPr>
        <w:adjustRightInd/>
        <w:spacing w:line="360" w:lineRule="auto"/>
        <w:outlineLvl w:val="1"/>
        <w:rPr>
          <w:rFonts w:ascii="仿宋_GB2312" w:hAnsi="仿宋_GB2312" w:eastAsia="仿宋_GB2312" w:cs="仿宋_GB2312"/>
          <w:b/>
          <w:bCs/>
          <w:sz w:val="24"/>
        </w:rPr>
      </w:pPr>
      <w:bookmarkStart w:id="107" w:name="_Toc146706842"/>
      <w:bookmarkStart w:id="108" w:name="_Toc26"/>
      <w:r>
        <w:rPr>
          <w:rFonts w:hint="eastAsia" w:ascii="仿宋_GB2312" w:hAnsi="仿宋_GB2312" w:eastAsia="仿宋_GB2312" w:cs="仿宋_GB2312"/>
          <w:b/>
          <w:bCs/>
          <w:sz w:val="24"/>
        </w:rPr>
        <w:t>九、入围供应商清退规则：</w:t>
      </w:r>
      <w:bookmarkEnd w:id="107"/>
      <w:bookmarkEnd w:id="108"/>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（一）入围供应商有下列情形之一，尚未签订框架协议的，取消其入围资格；已经签订框架协议的，解除与其签订的框架协议：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1.恶意串通谋取入围或者合同成交的；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2.提供虚假材料谋取入围或者合同成交的；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3.无正当理由拒不接受合同授予的；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4.不履行合同义务或者履行合同义务不符合约定，经采购人请求履行后仍不履行或者仍未按约定履行的；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5.框架协议有效期内，因违法行为被禁止或限制参加政府采购活动的；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6.框架协议约定的其他情形。 </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（二）入围供应商无正当理由拒不与征集人签订框架协议的，取消其入围资格。</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（三）入围供应商如发生实质性变动（营业执照注销、不再符合本项目资格条件等）的，尚未签订框架协议的，取消其入围资格；已经签订框架协议的，解除与其签订的框架协议。</w:t>
      </w:r>
    </w:p>
    <w:p>
      <w:pPr>
        <w:adjustRightInd/>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（四）入围供应商履行服务未按要求提供服务费明细清单或未按不高于承诺的统一折扣率计算服务费用被发现的，将被提醒一次；入围供应商被提醒三次的，解除与其签订的框架协议。</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（五）被取消入围资格或者被解除框架协议的供应商不得参加本封闭式框架协议补充征集。</w:t>
      </w:r>
    </w:p>
    <w:p>
      <w:pPr>
        <w:adjustRightInd/>
        <w:spacing w:line="360" w:lineRule="auto"/>
        <w:outlineLvl w:val="1"/>
        <w:rPr>
          <w:rFonts w:ascii="仿宋_GB2312" w:hAnsi="仿宋_GB2312" w:eastAsia="仿宋_GB2312" w:cs="仿宋_GB2312"/>
          <w:b/>
          <w:bCs/>
          <w:sz w:val="24"/>
        </w:rPr>
      </w:pPr>
      <w:bookmarkStart w:id="109" w:name="_Toc146706843"/>
      <w:bookmarkStart w:id="110" w:name="_Toc8020"/>
      <w:r>
        <w:rPr>
          <w:rFonts w:hint="eastAsia" w:ascii="仿宋_GB2312" w:hAnsi="仿宋_GB2312" w:eastAsia="仿宋_GB2312" w:cs="仿宋_GB2312"/>
          <w:b/>
          <w:bCs/>
          <w:sz w:val="24"/>
        </w:rPr>
        <w:t>十、入围供应商补充规则：</w:t>
      </w:r>
      <w:bookmarkEnd w:id="109"/>
      <w:bookmarkEnd w:id="110"/>
    </w:p>
    <w:p>
      <w:pPr>
        <w:adjustRightInd/>
        <w:spacing w:line="360" w:lineRule="auto"/>
        <w:ind w:firstLine="480" w:firstLineChars="200"/>
        <w:rPr>
          <w:rFonts w:ascii="仿宋_GB2312" w:hAnsi="宋体" w:eastAsia="仿宋_GB2312" w:cs="宋体"/>
          <w:snapToGrid w:val="0"/>
          <w:color w:val="000000" w:themeColor="text1"/>
          <w:kern w:val="0"/>
          <w:sz w:val="24"/>
          <w14:textFill>
            <w14:solidFill>
              <w14:schemeClr w14:val="tx1"/>
            </w14:solidFill>
          </w14:textFill>
        </w:rPr>
      </w:pPr>
      <w:r>
        <w:rPr>
          <w:rFonts w:hint="eastAsia" w:ascii="仿宋_GB2312" w:hAnsi="仿宋_GB2312" w:eastAsia="仿宋_GB2312" w:cs="仿宋_GB2312"/>
          <w:sz w:val="24"/>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spacing w:after="240" w:afterLines="100" w:line="360" w:lineRule="auto"/>
        <w:jc w:val="center"/>
        <w:outlineLvl w:val="0"/>
        <w:rPr>
          <w:rFonts w:ascii="仿宋_GB2312" w:hAnsi="宋体" w:eastAsia="仿宋_GB2312" w:cs="宋体"/>
          <w:b/>
          <w:color w:val="000000" w:themeColor="text1"/>
          <w:sz w:val="32"/>
          <w:szCs w:val="32"/>
          <w14:textFill>
            <w14:solidFill>
              <w14:schemeClr w14:val="tx1"/>
            </w14:solidFill>
          </w14:textFill>
        </w:rPr>
      </w:pPr>
      <w:r>
        <w:rPr>
          <w:rFonts w:hint="eastAsia" w:ascii="仿宋_GB2312" w:hAnsi="宋体" w:eastAsia="仿宋_GB2312" w:cs="宋体"/>
          <w:b/>
          <w:color w:val="000000" w:themeColor="text1"/>
          <w:sz w:val="24"/>
          <w14:textFill>
            <w14:solidFill>
              <w14:schemeClr w14:val="tx1"/>
            </w14:solidFill>
          </w14:textFill>
        </w:rPr>
        <w:br w:type="page"/>
      </w:r>
      <w:bookmarkStart w:id="111" w:name="第四部分"/>
      <w:bookmarkStart w:id="112" w:name="_Toc17703"/>
      <w:bookmarkStart w:id="113" w:name="_Toc146706844"/>
      <w:r>
        <w:rPr>
          <w:rFonts w:hint="eastAsia" w:ascii="仿宋_GB2312" w:hAnsi="宋体" w:eastAsia="仿宋_GB2312" w:cs="宋体"/>
          <w:b/>
          <w:color w:val="000000" w:themeColor="text1"/>
          <w:sz w:val="32"/>
          <w:szCs w:val="32"/>
          <w14:textFill>
            <w14:solidFill>
              <w14:schemeClr w14:val="tx1"/>
            </w14:solidFill>
          </w14:textFill>
        </w:rPr>
        <w:t xml:space="preserve">第四部分 </w:t>
      </w:r>
      <w:bookmarkEnd w:id="111"/>
      <w:bookmarkStart w:id="114" w:name="_Toc184312100"/>
      <w:bookmarkEnd w:id="114"/>
      <w:bookmarkStart w:id="115" w:name="_Toc184308108"/>
      <w:bookmarkEnd w:id="115"/>
      <w:bookmarkStart w:id="116" w:name="_Toc184312097"/>
      <w:bookmarkEnd w:id="116"/>
      <w:bookmarkStart w:id="117" w:name="_Toc184313259"/>
      <w:bookmarkEnd w:id="117"/>
      <w:bookmarkStart w:id="118" w:name="_Toc184312101"/>
      <w:bookmarkEnd w:id="118"/>
      <w:bookmarkStart w:id="119" w:name="_Toc184308075"/>
      <w:bookmarkEnd w:id="119"/>
      <w:bookmarkStart w:id="120" w:name="_Toc184313252"/>
      <w:bookmarkEnd w:id="120"/>
      <w:bookmarkStart w:id="121" w:name="_Toc184310285"/>
      <w:bookmarkEnd w:id="121"/>
      <w:bookmarkStart w:id="122" w:name="_Toc184314463"/>
      <w:bookmarkEnd w:id="122"/>
      <w:bookmarkStart w:id="123" w:name="_Toc184313264"/>
      <w:bookmarkEnd w:id="123"/>
      <w:bookmarkStart w:id="124" w:name="_Toc184310312"/>
      <w:bookmarkEnd w:id="124"/>
      <w:bookmarkStart w:id="125" w:name="_Toc184308066"/>
      <w:bookmarkEnd w:id="125"/>
      <w:bookmarkStart w:id="126" w:name="_Toc184313256"/>
      <w:bookmarkEnd w:id="126"/>
      <w:bookmarkStart w:id="127" w:name="_Toc184310288"/>
      <w:bookmarkEnd w:id="127"/>
      <w:bookmarkStart w:id="128" w:name="_Toc184312126"/>
      <w:bookmarkEnd w:id="128"/>
      <w:bookmarkStart w:id="129" w:name="_Toc184312084"/>
      <w:bookmarkEnd w:id="129"/>
      <w:bookmarkStart w:id="130" w:name="_Toc184314434"/>
      <w:bookmarkEnd w:id="130"/>
      <w:bookmarkStart w:id="131" w:name="_Toc184312134"/>
      <w:bookmarkEnd w:id="131"/>
      <w:bookmarkStart w:id="132" w:name="_Toc184310283"/>
      <w:bookmarkEnd w:id="132"/>
      <w:bookmarkStart w:id="133" w:name="_Toc184308082"/>
      <w:bookmarkEnd w:id="133"/>
      <w:bookmarkStart w:id="134" w:name="_Toc184310303"/>
      <w:bookmarkEnd w:id="134"/>
      <w:bookmarkStart w:id="135" w:name="_Toc184313273"/>
      <w:bookmarkEnd w:id="135"/>
      <w:bookmarkStart w:id="136" w:name="_Toc184310275"/>
      <w:bookmarkEnd w:id="136"/>
      <w:bookmarkStart w:id="137" w:name="_Toc184310274"/>
      <w:bookmarkEnd w:id="137"/>
      <w:bookmarkStart w:id="138" w:name="_Toc184308041"/>
      <w:bookmarkEnd w:id="138"/>
      <w:bookmarkStart w:id="139" w:name="_Toc184310286"/>
      <w:bookmarkEnd w:id="139"/>
      <w:bookmarkStart w:id="140" w:name="_Toc184308083"/>
      <w:bookmarkEnd w:id="140"/>
      <w:bookmarkStart w:id="141" w:name="_Toc184313293"/>
      <w:bookmarkEnd w:id="141"/>
      <w:bookmarkStart w:id="142" w:name="_Toc184312079"/>
      <w:bookmarkEnd w:id="142"/>
      <w:bookmarkStart w:id="143" w:name="_Toc184314454"/>
      <w:bookmarkEnd w:id="143"/>
      <w:bookmarkStart w:id="144" w:name="_Toc184310333"/>
      <w:bookmarkEnd w:id="144"/>
      <w:bookmarkStart w:id="145" w:name="_Toc184310320"/>
      <w:bookmarkEnd w:id="145"/>
      <w:bookmarkStart w:id="146" w:name="_Toc184314440"/>
      <w:bookmarkEnd w:id="146"/>
      <w:bookmarkStart w:id="147" w:name="_Toc184312127"/>
      <w:bookmarkEnd w:id="147"/>
      <w:bookmarkStart w:id="148" w:name="_Toc184314430"/>
      <w:bookmarkEnd w:id="148"/>
      <w:bookmarkStart w:id="149" w:name="_Toc184314444"/>
      <w:bookmarkEnd w:id="149"/>
      <w:bookmarkStart w:id="150" w:name="_Toc184310273"/>
      <w:bookmarkEnd w:id="150"/>
      <w:bookmarkStart w:id="151" w:name="_Toc184310323"/>
      <w:bookmarkEnd w:id="151"/>
      <w:bookmarkStart w:id="152" w:name="_Toc184314417"/>
      <w:bookmarkEnd w:id="152"/>
      <w:bookmarkStart w:id="153" w:name="_Toc184314439"/>
      <w:bookmarkEnd w:id="153"/>
      <w:bookmarkStart w:id="154" w:name="_Toc184308070"/>
      <w:bookmarkEnd w:id="154"/>
      <w:bookmarkStart w:id="155" w:name="_Toc184308080"/>
      <w:bookmarkEnd w:id="155"/>
      <w:bookmarkStart w:id="156" w:name="_Toc184308107"/>
      <w:bookmarkEnd w:id="156"/>
      <w:bookmarkStart w:id="157" w:name="_Toc184312115"/>
      <w:bookmarkEnd w:id="157"/>
      <w:bookmarkStart w:id="158" w:name="_Toc184313268"/>
      <w:bookmarkEnd w:id="158"/>
      <w:bookmarkStart w:id="159" w:name="_Toc184310290"/>
      <w:bookmarkEnd w:id="159"/>
      <w:bookmarkStart w:id="160" w:name="_Toc184314447"/>
      <w:bookmarkEnd w:id="160"/>
      <w:bookmarkStart w:id="161" w:name="_Toc184313297"/>
      <w:bookmarkEnd w:id="161"/>
      <w:bookmarkStart w:id="162" w:name="_Toc184310301"/>
      <w:bookmarkEnd w:id="162"/>
      <w:bookmarkStart w:id="163" w:name="_Toc184310324"/>
      <w:bookmarkEnd w:id="163"/>
      <w:bookmarkStart w:id="164" w:name="_Toc184308098"/>
      <w:bookmarkEnd w:id="164"/>
      <w:bookmarkStart w:id="165" w:name="_Toc184310310"/>
      <w:bookmarkEnd w:id="165"/>
      <w:bookmarkStart w:id="166" w:name="_Toc184314476"/>
      <w:bookmarkEnd w:id="166"/>
      <w:bookmarkStart w:id="167" w:name="_Toc184312069"/>
      <w:bookmarkEnd w:id="167"/>
      <w:bookmarkStart w:id="168" w:name="_Toc184314482"/>
      <w:bookmarkEnd w:id="168"/>
      <w:bookmarkStart w:id="169" w:name="_Toc184312067"/>
      <w:bookmarkEnd w:id="169"/>
      <w:bookmarkStart w:id="170" w:name="_Toc184312078"/>
      <w:bookmarkEnd w:id="170"/>
      <w:bookmarkStart w:id="171" w:name="_Toc184310343"/>
      <w:bookmarkEnd w:id="171"/>
      <w:bookmarkStart w:id="172" w:name="_Toc184314448"/>
      <w:bookmarkEnd w:id="172"/>
      <w:bookmarkStart w:id="173" w:name="_Toc184314436"/>
      <w:bookmarkEnd w:id="173"/>
      <w:bookmarkStart w:id="174" w:name="_Toc184312135"/>
      <w:bookmarkEnd w:id="174"/>
      <w:bookmarkStart w:id="175" w:name="_Toc184308050"/>
      <w:bookmarkEnd w:id="175"/>
      <w:bookmarkStart w:id="176" w:name="_Toc184310313"/>
      <w:bookmarkEnd w:id="176"/>
      <w:bookmarkStart w:id="177" w:name="_Toc184313309"/>
      <w:bookmarkEnd w:id="177"/>
      <w:bookmarkStart w:id="178" w:name="_Toc184314429"/>
      <w:bookmarkEnd w:id="178"/>
      <w:bookmarkStart w:id="179" w:name="_Toc184312074"/>
      <w:bookmarkEnd w:id="179"/>
      <w:bookmarkStart w:id="180" w:name="_Toc184313279"/>
      <w:bookmarkEnd w:id="180"/>
      <w:bookmarkStart w:id="181" w:name="_Toc184308061"/>
      <w:bookmarkEnd w:id="181"/>
      <w:bookmarkStart w:id="182" w:name="_Toc184312139"/>
      <w:bookmarkEnd w:id="182"/>
      <w:bookmarkStart w:id="183" w:name="_Toc184314472"/>
      <w:bookmarkEnd w:id="183"/>
      <w:bookmarkStart w:id="184" w:name="_Toc184310294"/>
      <w:bookmarkEnd w:id="184"/>
      <w:bookmarkStart w:id="185" w:name="_Toc184314445"/>
      <w:bookmarkEnd w:id="185"/>
      <w:bookmarkStart w:id="186" w:name="_Toc184314474"/>
      <w:bookmarkEnd w:id="186"/>
      <w:bookmarkStart w:id="187" w:name="_Toc184313307"/>
      <w:bookmarkEnd w:id="187"/>
      <w:bookmarkStart w:id="188" w:name="_Toc184310292"/>
      <w:bookmarkEnd w:id="188"/>
      <w:bookmarkStart w:id="189" w:name="_Toc184314449"/>
      <w:bookmarkEnd w:id="189"/>
      <w:bookmarkStart w:id="190" w:name="_Toc184314468"/>
      <w:bookmarkEnd w:id="190"/>
      <w:bookmarkStart w:id="191" w:name="_Toc184314420"/>
      <w:bookmarkEnd w:id="191"/>
      <w:bookmarkStart w:id="192" w:name="_Toc184310278"/>
      <w:bookmarkEnd w:id="192"/>
      <w:bookmarkStart w:id="193" w:name="_Toc184312087"/>
      <w:bookmarkEnd w:id="193"/>
      <w:bookmarkStart w:id="194" w:name="_Toc184312128"/>
      <w:bookmarkEnd w:id="194"/>
      <w:bookmarkStart w:id="195" w:name="_Toc184313306"/>
      <w:bookmarkEnd w:id="195"/>
      <w:bookmarkStart w:id="196" w:name="_Toc184308069"/>
      <w:bookmarkEnd w:id="196"/>
      <w:bookmarkStart w:id="197" w:name="_Toc184313285"/>
      <w:bookmarkEnd w:id="197"/>
      <w:bookmarkStart w:id="198" w:name="_Toc184310327"/>
      <w:bookmarkEnd w:id="198"/>
      <w:bookmarkStart w:id="199" w:name="_Toc184310287"/>
      <w:bookmarkEnd w:id="199"/>
      <w:bookmarkStart w:id="200" w:name="_Toc184310336"/>
      <w:bookmarkEnd w:id="200"/>
      <w:bookmarkStart w:id="201" w:name="_Toc184308060"/>
      <w:bookmarkEnd w:id="201"/>
      <w:bookmarkStart w:id="202" w:name="_Toc184312071"/>
      <w:bookmarkEnd w:id="202"/>
      <w:bookmarkStart w:id="203" w:name="_Toc184314470"/>
      <w:bookmarkEnd w:id="203"/>
      <w:bookmarkStart w:id="204" w:name="_Toc184313250"/>
      <w:bookmarkEnd w:id="204"/>
      <w:bookmarkStart w:id="205" w:name="_Toc184312129"/>
      <w:bookmarkEnd w:id="205"/>
      <w:bookmarkStart w:id="206" w:name="_Toc184313290"/>
      <w:bookmarkEnd w:id="206"/>
      <w:bookmarkStart w:id="207" w:name="_Toc184313240"/>
      <w:bookmarkEnd w:id="207"/>
      <w:bookmarkStart w:id="208" w:name="_Toc184313247"/>
      <w:bookmarkEnd w:id="208"/>
      <w:bookmarkStart w:id="209" w:name="_Toc184313300"/>
      <w:bookmarkEnd w:id="209"/>
      <w:bookmarkStart w:id="210" w:name="_Toc184310293"/>
      <w:bookmarkEnd w:id="210"/>
      <w:bookmarkStart w:id="211" w:name="_Toc184308062"/>
      <w:bookmarkEnd w:id="211"/>
      <w:bookmarkStart w:id="212" w:name="_Toc184310309"/>
      <w:bookmarkEnd w:id="212"/>
      <w:bookmarkStart w:id="213" w:name="_Toc184308043"/>
      <w:bookmarkEnd w:id="213"/>
      <w:bookmarkStart w:id="214" w:name="_Toc184313253"/>
      <w:bookmarkEnd w:id="214"/>
      <w:bookmarkStart w:id="215" w:name="_Toc184312123"/>
      <w:bookmarkEnd w:id="215"/>
      <w:bookmarkStart w:id="216" w:name="_Toc184310335"/>
      <w:bookmarkEnd w:id="216"/>
      <w:bookmarkStart w:id="217" w:name="_Toc184314469"/>
      <w:bookmarkEnd w:id="217"/>
      <w:bookmarkStart w:id="218" w:name="_Toc184310289"/>
      <w:bookmarkEnd w:id="218"/>
      <w:bookmarkStart w:id="219" w:name="_Toc184312091"/>
      <w:bookmarkEnd w:id="219"/>
      <w:bookmarkStart w:id="220" w:name="_Toc184312086"/>
      <w:bookmarkEnd w:id="220"/>
      <w:bookmarkStart w:id="221" w:name="_Toc184314466"/>
      <w:bookmarkEnd w:id="221"/>
      <w:bookmarkStart w:id="222" w:name="_Toc184313292"/>
      <w:bookmarkEnd w:id="222"/>
      <w:bookmarkStart w:id="223" w:name="_Toc184313283"/>
      <w:bookmarkEnd w:id="223"/>
      <w:bookmarkStart w:id="224" w:name="_Toc184310298"/>
      <w:bookmarkEnd w:id="224"/>
      <w:bookmarkStart w:id="225" w:name="_Toc184314441"/>
      <w:bookmarkEnd w:id="225"/>
      <w:bookmarkStart w:id="226" w:name="_Toc184313241"/>
      <w:bookmarkEnd w:id="226"/>
      <w:bookmarkStart w:id="227" w:name="_Toc184308063"/>
      <w:bookmarkEnd w:id="227"/>
      <w:bookmarkStart w:id="228" w:name="_Toc184313304"/>
      <w:bookmarkEnd w:id="228"/>
      <w:bookmarkStart w:id="229" w:name="_Toc184308064"/>
      <w:bookmarkEnd w:id="229"/>
      <w:bookmarkStart w:id="230" w:name="_Toc184310325"/>
      <w:bookmarkEnd w:id="230"/>
      <w:bookmarkStart w:id="231" w:name="_Toc184313262"/>
      <w:bookmarkEnd w:id="231"/>
      <w:bookmarkStart w:id="232" w:name="_Toc184312076"/>
      <w:bookmarkEnd w:id="232"/>
      <w:bookmarkStart w:id="233" w:name="_Toc184312098"/>
      <w:bookmarkEnd w:id="233"/>
      <w:bookmarkStart w:id="234" w:name="_Toc184310316"/>
      <w:bookmarkEnd w:id="234"/>
      <w:bookmarkStart w:id="235" w:name="_Toc184314415"/>
      <w:bookmarkEnd w:id="235"/>
      <w:bookmarkStart w:id="236" w:name="_Toc184308054"/>
      <w:bookmarkEnd w:id="236"/>
      <w:bookmarkStart w:id="237" w:name="_Toc184314467"/>
      <w:bookmarkEnd w:id="237"/>
      <w:bookmarkStart w:id="238" w:name="_Toc184308093"/>
      <w:bookmarkEnd w:id="238"/>
      <w:bookmarkStart w:id="239" w:name="_Toc184314458"/>
      <w:bookmarkEnd w:id="239"/>
      <w:bookmarkStart w:id="240" w:name="_Toc184308100"/>
      <w:bookmarkEnd w:id="240"/>
      <w:bookmarkStart w:id="241" w:name="_Toc184310329"/>
      <w:bookmarkEnd w:id="241"/>
      <w:bookmarkStart w:id="242" w:name="_Toc184310300"/>
      <w:bookmarkEnd w:id="242"/>
      <w:bookmarkStart w:id="243" w:name="_Toc184308099"/>
      <w:bookmarkEnd w:id="243"/>
      <w:bookmarkStart w:id="244" w:name="_Toc184313255"/>
      <w:bookmarkEnd w:id="244"/>
      <w:bookmarkStart w:id="245" w:name="_Toc184314480"/>
      <w:bookmarkEnd w:id="245"/>
      <w:bookmarkStart w:id="246" w:name="_Toc184310307"/>
      <w:bookmarkEnd w:id="246"/>
      <w:bookmarkStart w:id="247" w:name="_Toc184310331"/>
      <w:bookmarkEnd w:id="247"/>
      <w:bookmarkStart w:id="248" w:name="_Toc184308106"/>
      <w:bookmarkEnd w:id="248"/>
      <w:bookmarkStart w:id="249" w:name="_Toc184312131"/>
      <w:bookmarkEnd w:id="249"/>
      <w:bookmarkStart w:id="250" w:name="_Toc184312122"/>
      <w:bookmarkEnd w:id="250"/>
      <w:bookmarkStart w:id="251" w:name="_Toc184312130"/>
      <w:bookmarkEnd w:id="251"/>
      <w:bookmarkStart w:id="252" w:name="_Toc184312103"/>
      <w:bookmarkEnd w:id="252"/>
      <w:bookmarkStart w:id="253" w:name="_Toc184314410"/>
      <w:bookmarkEnd w:id="253"/>
      <w:bookmarkStart w:id="254" w:name="_Toc184314457"/>
      <w:bookmarkEnd w:id="254"/>
      <w:bookmarkStart w:id="255" w:name="_Toc184314419"/>
      <w:bookmarkEnd w:id="255"/>
      <w:bookmarkStart w:id="256" w:name="_Toc184312081"/>
      <w:bookmarkEnd w:id="256"/>
      <w:bookmarkStart w:id="257" w:name="_Toc184312121"/>
      <w:bookmarkEnd w:id="257"/>
      <w:bookmarkStart w:id="258" w:name="_Toc184314475"/>
      <w:bookmarkEnd w:id="258"/>
      <w:bookmarkStart w:id="259" w:name="_Toc184314414"/>
      <w:bookmarkEnd w:id="259"/>
      <w:bookmarkStart w:id="260" w:name="_Toc184312136"/>
      <w:bookmarkEnd w:id="260"/>
      <w:bookmarkStart w:id="261" w:name="_Toc184310276"/>
      <w:bookmarkEnd w:id="261"/>
      <w:bookmarkStart w:id="262" w:name="_Toc184308051"/>
      <w:bookmarkEnd w:id="262"/>
      <w:bookmarkStart w:id="263" w:name="_Toc184308047"/>
      <w:bookmarkEnd w:id="263"/>
      <w:bookmarkStart w:id="264" w:name="_Toc184312113"/>
      <w:bookmarkEnd w:id="264"/>
      <w:bookmarkStart w:id="265" w:name="_Toc184308095"/>
      <w:bookmarkEnd w:id="265"/>
      <w:bookmarkStart w:id="266" w:name="_Toc184313291"/>
      <w:bookmarkEnd w:id="266"/>
      <w:bookmarkStart w:id="267" w:name="_Toc184314418"/>
      <w:bookmarkEnd w:id="267"/>
      <w:bookmarkStart w:id="268" w:name="_Toc184310296"/>
      <w:bookmarkEnd w:id="268"/>
      <w:bookmarkStart w:id="269" w:name="_Toc184310305"/>
      <w:bookmarkEnd w:id="269"/>
      <w:bookmarkStart w:id="270" w:name="_Toc184308053"/>
      <w:bookmarkEnd w:id="270"/>
      <w:bookmarkStart w:id="271" w:name="_Toc184310280"/>
      <w:bookmarkEnd w:id="271"/>
      <w:bookmarkStart w:id="272" w:name="_Toc184308056"/>
      <w:bookmarkEnd w:id="272"/>
      <w:bookmarkStart w:id="273" w:name="_Toc184310314"/>
      <w:bookmarkEnd w:id="273"/>
      <w:bookmarkStart w:id="274" w:name="_Toc184312110"/>
      <w:bookmarkEnd w:id="274"/>
      <w:bookmarkStart w:id="275" w:name="_Toc184312116"/>
      <w:bookmarkEnd w:id="275"/>
      <w:bookmarkStart w:id="276" w:name="_Toc184308074"/>
      <w:bookmarkEnd w:id="276"/>
      <w:bookmarkStart w:id="277" w:name="_Toc184313286"/>
      <w:bookmarkEnd w:id="277"/>
      <w:bookmarkStart w:id="278" w:name="_Toc184313274"/>
      <w:bookmarkEnd w:id="278"/>
      <w:bookmarkStart w:id="279" w:name="_Toc184314455"/>
      <w:bookmarkEnd w:id="279"/>
      <w:bookmarkStart w:id="280" w:name="_Toc184312089"/>
      <w:bookmarkEnd w:id="280"/>
      <w:bookmarkStart w:id="281" w:name="_Toc184310295"/>
      <w:bookmarkEnd w:id="281"/>
      <w:bookmarkStart w:id="282" w:name="_Toc184308097"/>
      <w:bookmarkEnd w:id="282"/>
      <w:bookmarkStart w:id="283" w:name="_Toc184308037"/>
      <w:bookmarkEnd w:id="283"/>
      <w:bookmarkStart w:id="284" w:name="_Toc184314446"/>
      <w:bookmarkEnd w:id="284"/>
      <w:bookmarkStart w:id="285" w:name="_Toc184310302"/>
      <w:bookmarkEnd w:id="285"/>
      <w:bookmarkStart w:id="286" w:name="_Toc184313305"/>
      <w:bookmarkEnd w:id="286"/>
      <w:bookmarkStart w:id="287" w:name="_Toc184308068"/>
      <w:bookmarkEnd w:id="287"/>
      <w:bookmarkStart w:id="288" w:name="_Toc184312068"/>
      <w:bookmarkEnd w:id="288"/>
      <w:bookmarkStart w:id="289" w:name="_Toc184313243"/>
      <w:bookmarkEnd w:id="289"/>
      <w:bookmarkStart w:id="290" w:name="_Toc184313249"/>
      <w:bookmarkEnd w:id="290"/>
      <w:bookmarkStart w:id="291" w:name="_Toc184308065"/>
      <w:bookmarkEnd w:id="291"/>
      <w:bookmarkStart w:id="292" w:name="_Toc184314477"/>
      <w:bookmarkEnd w:id="292"/>
      <w:bookmarkStart w:id="293" w:name="_Toc184313302"/>
      <w:bookmarkEnd w:id="293"/>
      <w:bookmarkStart w:id="294" w:name="_Toc184310282"/>
      <w:bookmarkEnd w:id="294"/>
      <w:bookmarkStart w:id="295" w:name="_Toc184313244"/>
      <w:bookmarkEnd w:id="295"/>
      <w:bookmarkStart w:id="296" w:name="_Toc184308039"/>
      <w:bookmarkEnd w:id="296"/>
      <w:bookmarkStart w:id="297" w:name="_Toc184312105"/>
      <w:bookmarkEnd w:id="297"/>
      <w:bookmarkStart w:id="298" w:name="_Toc184313242"/>
      <w:bookmarkEnd w:id="298"/>
      <w:bookmarkStart w:id="299" w:name="_Toc184308091"/>
      <w:bookmarkEnd w:id="299"/>
      <w:bookmarkStart w:id="300" w:name="_Toc184313280"/>
      <w:bookmarkEnd w:id="300"/>
      <w:bookmarkStart w:id="301" w:name="_Toc184313275"/>
      <w:bookmarkEnd w:id="301"/>
      <w:bookmarkStart w:id="302" w:name="_Toc184313265"/>
      <w:bookmarkEnd w:id="302"/>
      <w:bookmarkStart w:id="303" w:name="_Toc184310311"/>
      <w:bookmarkEnd w:id="303"/>
      <w:bookmarkStart w:id="304" w:name="_Toc184314423"/>
      <w:bookmarkEnd w:id="304"/>
      <w:bookmarkStart w:id="305" w:name="_Toc184313301"/>
      <w:bookmarkEnd w:id="305"/>
      <w:bookmarkStart w:id="306" w:name="_Toc184313251"/>
      <w:bookmarkEnd w:id="306"/>
      <w:bookmarkStart w:id="307" w:name="_Toc184310328"/>
      <w:bookmarkEnd w:id="307"/>
      <w:bookmarkStart w:id="308" w:name="_Toc184308067"/>
      <w:bookmarkEnd w:id="308"/>
      <w:bookmarkStart w:id="309" w:name="_Toc184308084"/>
      <w:bookmarkEnd w:id="309"/>
      <w:bookmarkStart w:id="310" w:name="_Toc184308105"/>
      <w:bookmarkEnd w:id="310"/>
      <w:bookmarkStart w:id="311" w:name="_Toc184310340"/>
      <w:bookmarkEnd w:id="311"/>
      <w:bookmarkStart w:id="312" w:name="_Toc184312118"/>
      <w:bookmarkEnd w:id="312"/>
      <w:bookmarkStart w:id="313" w:name="_Toc184314460"/>
      <w:bookmarkEnd w:id="313"/>
      <w:bookmarkStart w:id="314" w:name="_Toc184308076"/>
      <w:bookmarkEnd w:id="314"/>
      <w:bookmarkStart w:id="315" w:name="_Toc184314411"/>
      <w:bookmarkEnd w:id="315"/>
      <w:bookmarkStart w:id="316" w:name="_Toc184312137"/>
      <w:bookmarkEnd w:id="316"/>
      <w:bookmarkStart w:id="317" w:name="_Toc184308048"/>
      <w:bookmarkEnd w:id="317"/>
      <w:bookmarkStart w:id="318" w:name="_Toc184310317"/>
      <w:bookmarkEnd w:id="318"/>
      <w:bookmarkStart w:id="319" w:name="_Toc184313298"/>
      <w:bookmarkEnd w:id="319"/>
      <w:bookmarkStart w:id="320" w:name="_Toc184313287"/>
      <w:bookmarkEnd w:id="320"/>
      <w:bookmarkStart w:id="321" w:name="_Toc184313239"/>
      <w:bookmarkEnd w:id="321"/>
      <w:bookmarkStart w:id="322" w:name="_Toc184312111"/>
      <w:bookmarkEnd w:id="322"/>
      <w:bookmarkStart w:id="323" w:name="_Toc184314471"/>
      <w:bookmarkEnd w:id="323"/>
      <w:bookmarkStart w:id="324" w:name="_Toc184308055"/>
      <w:bookmarkEnd w:id="324"/>
      <w:bookmarkStart w:id="325" w:name="_Toc184312075"/>
      <w:bookmarkEnd w:id="325"/>
      <w:bookmarkStart w:id="326" w:name="_Toc184308072"/>
      <w:bookmarkEnd w:id="326"/>
      <w:bookmarkStart w:id="327" w:name="_Toc184314453"/>
      <w:bookmarkEnd w:id="327"/>
      <w:bookmarkStart w:id="328" w:name="_Toc184312120"/>
      <w:bookmarkEnd w:id="328"/>
      <w:bookmarkStart w:id="329" w:name="_Toc184314481"/>
      <w:bookmarkEnd w:id="329"/>
      <w:bookmarkStart w:id="330" w:name="_Toc184312133"/>
      <w:bookmarkEnd w:id="330"/>
      <w:bookmarkStart w:id="331" w:name="_Toc184314459"/>
      <w:bookmarkEnd w:id="331"/>
      <w:bookmarkStart w:id="332" w:name="_Toc184308103"/>
      <w:bookmarkEnd w:id="332"/>
      <w:bookmarkStart w:id="333" w:name="_Toc184313248"/>
      <w:bookmarkEnd w:id="333"/>
      <w:bookmarkStart w:id="334" w:name="_Toc184312138"/>
      <w:bookmarkEnd w:id="334"/>
      <w:bookmarkStart w:id="335" w:name="_Toc184313288"/>
      <w:bookmarkEnd w:id="335"/>
      <w:bookmarkStart w:id="336" w:name="_Toc184314438"/>
      <w:bookmarkEnd w:id="336"/>
      <w:bookmarkStart w:id="337" w:name="_Toc184313258"/>
      <w:bookmarkEnd w:id="337"/>
      <w:bookmarkStart w:id="338" w:name="_Toc184314450"/>
      <w:bookmarkEnd w:id="338"/>
      <w:bookmarkStart w:id="339" w:name="_Toc184308071"/>
      <w:bookmarkEnd w:id="339"/>
      <w:bookmarkStart w:id="340" w:name="_Toc184308087"/>
      <w:bookmarkEnd w:id="340"/>
      <w:bookmarkStart w:id="341" w:name="_Toc184312073"/>
      <w:bookmarkEnd w:id="341"/>
      <w:bookmarkStart w:id="342" w:name="_Toc184312072"/>
      <w:bookmarkEnd w:id="342"/>
      <w:bookmarkStart w:id="343" w:name="_Toc184310330"/>
      <w:bookmarkEnd w:id="343"/>
      <w:bookmarkStart w:id="344" w:name="_Toc184308102"/>
      <w:bookmarkEnd w:id="344"/>
      <w:bookmarkStart w:id="345" w:name="_Toc184313269"/>
      <w:bookmarkEnd w:id="345"/>
      <w:bookmarkStart w:id="346" w:name="_Toc184313295"/>
      <w:bookmarkEnd w:id="346"/>
      <w:bookmarkStart w:id="347" w:name="_Toc184308044"/>
      <w:bookmarkEnd w:id="347"/>
      <w:bookmarkStart w:id="348" w:name="_Toc184313281"/>
      <w:bookmarkEnd w:id="348"/>
      <w:bookmarkStart w:id="349" w:name="_Toc184314426"/>
      <w:bookmarkEnd w:id="349"/>
      <w:bookmarkStart w:id="350" w:name="_Toc184312119"/>
      <w:bookmarkEnd w:id="350"/>
      <w:bookmarkStart w:id="351" w:name="_Toc184313282"/>
      <w:bookmarkEnd w:id="351"/>
      <w:bookmarkStart w:id="352" w:name="_Toc184308092"/>
      <w:bookmarkEnd w:id="352"/>
      <w:bookmarkStart w:id="353" w:name="_Toc184312077"/>
      <w:bookmarkEnd w:id="353"/>
      <w:bookmarkStart w:id="354" w:name="_Toc184308045"/>
      <w:bookmarkEnd w:id="354"/>
      <w:bookmarkStart w:id="355" w:name="_Toc184314412"/>
      <w:bookmarkEnd w:id="355"/>
      <w:bookmarkStart w:id="356" w:name="_Toc184314424"/>
      <w:bookmarkEnd w:id="356"/>
      <w:bookmarkStart w:id="357" w:name="_Toc184312114"/>
      <w:bookmarkEnd w:id="357"/>
      <w:bookmarkStart w:id="358" w:name="_Toc184313284"/>
      <w:bookmarkEnd w:id="358"/>
      <w:bookmarkStart w:id="359" w:name="_Toc184308057"/>
      <w:bookmarkEnd w:id="359"/>
      <w:bookmarkStart w:id="360" w:name="_Toc184310277"/>
      <w:bookmarkEnd w:id="360"/>
      <w:bookmarkStart w:id="361" w:name="_Toc184314413"/>
      <w:bookmarkEnd w:id="361"/>
      <w:bookmarkStart w:id="362" w:name="_Toc184312082"/>
      <w:bookmarkEnd w:id="362"/>
      <w:bookmarkStart w:id="363" w:name="_Toc184312083"/>
      <w:bookmarkEnd w:id="363"/>
      <w:bookmarkStart w:id="364" w:name="_Toc184314465"/>
      <w:bookmarkEnd w:id="364"/>
      <w:bookmarkStart w:id="365" w:name="_Toc184312094"/>
      <w:bookmarkEnd w:id="365"/>
      <w:bookmarkStart w:id="366" w:name="_Toc184310344"/>
      <w:bookmarkEnd w:id="366"/>
      <w:bookmarkStart w:id="367" w:name="_Toc184313254"/>
      <w:bookmarkEnd w:id="367"/>
      <w:bookmarkStart w:id="368" w:name="_Toc184313303"/>
      <w:bookmarkEnd w:id="368"/>
      <w:bookmarkStart w:id="369" w:name="_Toc184308058"/>
      <w:bookmarkEnd w:id="369"/>
      <w:bookmarkStart w:id="370" w:name="_Toc184312090"/>
      <w:bookmarkEnd w:id="370"/>
      <w:bookmarkStart w:id="371" w:name="_Toc184310304"/>
      <w:bookmarkEnd w:id="371"/>
      <w:bookmarkStart w:id="372" w:name="_Toc184314428"/>
      <w:bookmarkEnd w:id="372"/>
      <w:bookmarkStart w:id="373" w:name="_Toc184313266"/>
      <w:bookmarkEnd w:id="373"/>
      <w:bookmarkStart w:id="374" w:name="_Toc184314427"/>
      <w:bookmarkEnd w:id="374"/>
      <w:bookmarkStart w:id="375" w:name="_Toc184308081"/>
      <w:bookmarkEnd w:id="375"/>
      <w:bookmarkStart w:id="376" w:name="_Toc184308101"/>
      <w:bookmarkEnd w:id="376"/>
      <w:bookmarkStart w:id="377" w:name="_Toc184310279"/>
      <w:bookmarkEnd w:id="377"/>
      <w:bookmarkStart w:id="378" w:name="_Toc184308094"/>
      <w:bookmarkEnd w:id="378"/>
      <w:bookmarkStart w:id="379" w:name="_Toc184312124"/>
      <w:bookmarkEnd w:id="379"/>
      <w:bookmarkStart w:id="380" w:name="_Toc184308090"/>
      <w:bookmarkEnd w:id="380"/>
      <w:bookmarkStart w:id="381" w:name="_Toc184312132"/>
      <w:bookmarkEnd w:id="381"/>
      <w:bookmarkStart w:id="382" w:name="_Toc184308089"/>
      <w:bookmarkEnd w:id="382"/>
      <w:bookmarkStart w:id="383" w:name="_Toc184314422"/>
      <w:bookmarkEnd w:id="383"/>
      <w:bookmarkStart w:id="384" w:name="_Toc184312108"/>
      <w:bookmarkEnd w:id="384"/>
      <w:bookmarkStart w:id="385" w:name="_Toc184308104"/>
      <w:bookmarkEnd w:id="385"/>
      <w:bookmarkStart w:id="386" w:name="_Toc184308042"/>
      <w:bookmarkEnd w:id="386"/>
      <w:bookmarkStart w:id="387" w:name="_Toc184310338"/>
      <w:bookmarkEnd w:id="387"/>
      <w:bookmarkStart w:id="388" w:name="_Toc184313238"/>
      <w:bookmarkEnd w:id="388"/>
      <w:bookmarkStart w:id="389" w:name="_Toc184310319"/>
      <w:bookmarkEnd w:id="389"/>
      <w:bookmarkStart w:id="390" w:name="_Toc184313263"/>
      <w:bookmarkEnd w:id="390"/>
      <w:bookmarkStart w:id="391" w:name="_Toc184310321"/>
      <w:bookmarkEnd w:id="391"/>
      <w:bookmarkStart w:id="392" w:name="_Toc184313261"/>
      <w:bookmarkEnd w:id="392"/>
      <w:bookmarkStart w:id="393" w:name="_Toc184310291"/>
      <w:bookmarkEnd w:id="393"/>
      <w:bookmarkStart w:id="394" w:name="_Toc184313257"/>
      <w:bookmarkEnd w:id="394"/>
      <w:bookmarkStart w:id="395" w:name="_Toc184313310"/>
      <w:bookmarkEnd w:id="395"/>
      <w:bookmarkStart w:id="396" w:name="_Toc184312099"/>
      <w:bookmarkEnd w:id="396"/>
      <w:bookmarkStart w:id="397" w:name="_Toc184314464"/>
      <w:bookmarkEnd w:id="397"/>
      <w:bookmarkStart w:id="398" w:name="_Toc184314478"/>
      <w:bookmarkEnd w:id="398"/>
      <w:bookmarkStart w:id="399" w:name="_Toc184312117"/>
      <w:bookmarkEnd w:id="399"/>
      <w:bookmarkStart w:id="400" w:name="_Toc184312088"/>
      <w:bookmarkEnd w:id="400"/>
      <w:bookmarkStart w:id="401" w:name="_Toc184310334"/>
      <w:bookmarkEnd w:id="401"/>
      <w:bookmarkStart w:id="402" w:name="_Toc184314431"/>
      <w:bookmarkEnd w:id="402"/>
      <w:bookmarkStart w:id="403" w:name="_Toc184308049"/>
      <w:bookmarkEnd w:id="403"/>
      <w:bookmarkStart w:id="404" w:name="_Toc184313245"/>
      <w:bookmarkEnd w:id="404"/>
      <w:bookmarkStart w:id="405" w:name="_Toc184312107"/>
      <w:bookmarkEnd w:id="405"/>
      <w:bookmarkStart w:id="406" w:name="_Toc184312080"/>
      <w:bookmarkEnd w:id="406"/>
      <w:bookmarkStart w:id="407" w:name="_Toc184313276"/>
      <w:bookmarkEnd w:id="407"/>
      <w:bookmarkStart w:id="408" w:name="_Toc184310315"/>
      <w:bookmarkEnd w:id="408"/>
      <w:bookmarkStart w:id="409" w:name="_Toc184310308"/>
      <w:bookmarkEnd w:id="409"/>
      <w:bookmarkStart w:id="410" w:name="_Toc184313271"/>
      <w:bookmarkEnd w:id="410"/>
      <w:bookmarkStart w:id="411" w:name="_Toc184314479"/>
      <w:bookmarkEnd w:id="411"/>
      <w:bookmarkStart w:id="412" w:name="_Toc184310299"/>
      <w:bookmarkEnd w:id="412"/>
      <w:bookmarkStart w:id="413" w:name="_Toc184310281"/>
      <w:bookmarkEnd w:id="413"/>
      <w:bookmarkStart w:id="414" w:name="_Toc184310297"/>
      <w:bookmarkEnd w:id="414"/>
      <w:bookmarkStart w:id="415" w:name="_Toc184312102"/>
      <w:bookmarkEnd w:id="415"/>
      <w:bookmarkStart w:id="416" w:name="_Toc184308079"/>
      <w:bookmarkEnd w:id="416"/>
      <w:bookmarkStart w:id="417" w:name="_Toc184312092"/>
      <w:bookmarkEnd w:id="417"/>
      <w:bookmarkStart w:id="418" w:name="_Toc184310339"/>
      <w:bookmarkEnd w:id="418"/>
      <w:bookmarkStart w:id="419" w:name="_Toc184310322"/>
      <w:bookmarkEnd w:id="419"/>
      <w:bookmarkStart w:id="420" w:name="_Toc184308052"/>
      <w:bookmarkEnd w:id="420"/>
      <w:bookmarkStart w:id="421" w:name="_Toc184312096"/>
      <w:bookmarkEnd w:id="421"/>
      <w:bookmarkStart w:id="422" w:name="_Toc184312085"/>
      <w:bookmarkEnd w:id="422"/>
      <w:bookmarkStart w:id="423" w:name="_Toc184310284"/>
      <w:bookmarkEnd w:id="423"/>
      <w:bookmarkStart w:id="424" w:name="_Toc184312070"/>
      <w:bookmarkEnd w:id="424"/>
      <w:bookmarkStart w:id="425" w:name="_Toc184310342"/>
      <w:bookmarkEnd w:id="425"/>
      <w:bookmarkStart w:id="426" w:name="_Toc184312112"/>
      <w:bookmarkEnd w:id="426"/>
      <w:bookmarkStart w:id="427" w:name="_Toc184308088"/>
      <w:bookmarkEnd w:id="427"/>
      <w:bookmarkStart w:id="428" w:name="_Toc184312095"/>
      <w:bookmarkEnd w:id="428"/>
      <w:bookmarkStart w:id="429" w:name="_Toc184314425"/>
      <w:bookmarkEnd w:id="429"/>
      <w:bookmarkStart w:id="430" w:name="_Toc184314462"/>
      <w:bookmarkEnd w:id="430"/>
      <w:bookmarkStart w:id="431" w:name="_Toc184314435"/>
      <w:bookmarkEnd w:id="431"/>
      <w:bookmarkStart w:id="432" w:name="_Toc184314437"/>
      <w:bookmarkEnd w:id="432"/>
      <w:bookmarkStart w:id="433" w:name="_Toc184308040"/>
      <w:bookmarkEnd w:id="433"/>
      <w:bookmarkStart w:id="434" w:name="_Toc184312093"/>
      <w:bookmarkEnd w:id="434"/>
      <w:bookmarkStart w:id="435" w:name="_Toc184313299"/>
      <w:bookmarkEnd w:id="435"/>
      <w:bookmarkStart w:id="436" w:name="_Toc184314452"/>
      <w:bookmarkEnd w:id="436"/>
      <w:bookmarkStart w:id="437" w:name="_Toc184313260"/>
      <w:bookmarkEnd w:id="437"/>
      <w:bookmarkStart w:id="438" w:name="_Toc184308059"/>
      <w:bookmarkEnd w:id="438"/>
      <w:bookmarkStart w:id="439" w:name="_Toc184313294"/>
      <w:bookmarkEnd w:id="439"/>
      <w:bookmarkStart w:id="440" w:name="_Toc184314416"/>
      <w:bookmarkEnd w:id="440"/>
      <w:bookmarkStart w:id="441" w:name="_Toc184308077"/>
      <w:bookmarkEnd w:id="441"/>
      <w:bookmarkStart w:id="442" w:name="_Toc184313308"/>
      <w:bookmarkEnd w:id="442"/>
      <w:bookmarkStart w:id="443" w:name="_Toc184308086"/>
      <w:bookmarkEnd w:id="443"/>
      <w:bookmarkStart w:id="444" w:name="_Toc184312104"/>
      <w:bookmarkEnd w:id="444"/>
      <w:bookmarkStart w:id="445" w:name="_Toc184314432"/>
      <w:bookmarkEnd w:id="445"/>
      <w:bookmarkStart w:id="446" w:name="_Toc184313272"/>
      <w:bookmarkEnd w:id="446"/>
      <w:bookmarkStart w:id="447" w:name="_Toc184314421"/>
      <w:bookmarkEnd w:id="447"/>
      <w:bookmarkStart w:id="448" w:name="_Toc184308078"/>
      <w:bookmarkEnd w:id="448"/>
      <w:bookmarkStart w:id="449" w:name="_Toc184310306"/>
      <w:bookmarkEnd w:id="449"/>
      <w:bookmarkStart w:id="450" w:name="_Toc184310341"/>
      <w:bookmarkEnd w:id="450"/>
      <w:bookmarkStart w:id="451" w:name="_Toc184314461"/>
      <w:bookmarkEnd w:id="451"/>
      <w:bookmarkStart w:id="452" w:name="_Toc184310318"/>
      <w:bookmarkEnd w:id="452"/>
      <w:bookmarkStart w:id="453" w:name="_Toc184313277"/>
      <w:bookmarkEnd w:id="453"/>
      <w:bookmarkStart w:id="454" w:name="_Toc184314442"/>
      <w:bookmarkEnd w:id="454"/>
      <w:bookmarkStart w:id="455" w:name="_Toc184308085"/>
      <w:bookmarkEnd w:id="455"/>
      <w:bookmarkStart w:id="456" w:name="_Toc184308046"/>
      <w:bookmarkEnd w:id="456"/>
      <w:bookmarkStart w:id="457" w:name="_Toc184313270"/>
      <w:bookmarkEnd w:id="457"/>
      <w:bookmarkStart w:id="458" w:name="_Toc184313289"/>
      <w:bookmarkEnd w:id="458"/>
      <w:bookmarkStart w:id="459" w:name="_Toc184310337"/>
      <w:bookmarkEnd w:id="459"/>
      <w:bookmarkStart w:id="460" w:name="_Toc184308096"/>
      <w:bookmarkEnd w:id="460"/>
      <w:bookmarkStart w:id="461" w:name="_Toc184312125"/>
      <w:bookmarkEnd w:id="461"/>
      <w:bookmarkStart w:id="462" w:name="_Toc184308073"/>
      <w:bookmarkEnd w:id="462"/>
      <w:bookmarkStart w:id="463" w:name="_Toc184313246"/>
      <w:bookmarkEnd w:id="463"/>
      <w:bookmarkStart w:id="464" w:name="_Toc184314443"/>
      <w:bookmarkEnd w:id="464"/>
      <w:bookmarkStart w:id="465" w:name="_Toc184308038"/>
      <w:bookmarkEnd w:id="465"/>
      <w:bookmarkStart w:id="466" w:name="_Toc184312106"/>
      <w:bookmarkEnd w:id="466"/>
      <w:bookmarkStart w:id="467" w:name="_Toc184313278"/>
      <w:bookmarkEnd w:id="467"/>
      <w:bookmarkStart w:id="468" w:name="_Toc184314473"/>
      <w:bookmarkEnd w:id="468"/>
      <w:bookmarkStart w:id="469" w:name="_Toc184308036"/>
      <w:bookmarkEnd w:id="469"/>
      <w:bookmarkStart w:id="470" w:name="_Toc184313267"/>
      <w:bookmarkEnd w:id="470"/>
      <w:bookmarkStart w:id="471" w:name="_Toc184314451"/>
      <w:bookmarkEnd w:id="471"/>
      <w:bookmarkStart w:id="472" w:name="_Toc184310326"/>
      <w:bookmarkEnd w:id="472"/>
      <w:bookmarkStart w:id="473" w:name="_Toc184314433"/>
      <w:bookmarkEnd w:id="473"/>
      <w:bookmarkStart w:id="474" w:name="_Toc184313296"/>
      <w:bookmarkEnd w:id="474"/>
      <w:bookmarkStart w:id="475" w:name="_Toc184314456"/>
      <w:bookmarkEnd w:id="475"/>
      <w:bookmarkStart w:id="476" w:name="_Toc184312109"/>
      <w:bookmarkEnd w:id="476"/>
      <w:bookmarkStart w:id="477" w:name="_Toc184310332"/>
      <w:bookmarkEnd w:id="477"/>
      <w:bookmarkStart w:id="478" w:name="_Toc184310272"/>
      <w:bookmarkEnd w:id="478"/>
      <w:r>
        <w:rPr>
          <w:rFonts w:hint="eastAsia" w:ascii="仿宋_GB2312" w:hAnsi="宋体" w:eastAsia="仿宋_GB2312" w:cs="宋体"/>
          <w:b/>
          <w:color w:val="000000" w:themeColor="text1"/>
          <w:sz w:val="32"/>
          <w:szCs w:val="32"/>
          <w14:textFill>
            <w14:solidFill>
              <w14:schemeClr w14:val="tx1"/>
            </w14:solidFill>
          </w14:textFill>
        </w:rPr>
        <w:t>确定第一阶段入围供应商的评审方法</w:t>
      </w:r>
      <w:bookmarkEnd w:id="112"/>
      <w:bookmarkEnd w:id="113"/>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一、本项目采用价格优先法</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本项目提交响应文件和符合资格条件、实质性要求的供应商应当不少于2家。</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对满足采购需求且响应报价不超过最高限价的服务，按照调整后的价格对应的统一优惠率从高到低排序，根据征集文件规定的入围要求确定入围供应商。</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二、入围要求</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2.1价格扣除</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对符合享受政府采购支持政策（提供符合征集文件相应要求的文件）的小型和微型企业、残疾人福利性单位、监狱企业的报价（统一优惠率）给予20%的扣除，用扣除后的价格参与评审和排序。</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参与价格排序的报价=1-（1-响应人报价优惠率）×（1-20%）</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例：响应人报价优惠率为10%，则参与价格排序的报价优惠率为1-（1-10%）×（1-20%）=28%。</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2.2排序</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本项目有效响应供应商按以下顺序排序：</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2.2.1按有效响应供应商的调整后的价格对应的统一优惠率从高到低排序；</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2.2.2若调整后的价格对应的统一优惠率相同的，则根据供应商提供的类似业绩数量（以供应商在响应文件中提供的符合征集文件要求的合同计数）从大到小排序。</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2.3 类似业绩计数要求</w:t>
      </w:r>
    </w:p>
    <w:tbl>
      <w:tblPr>
        <w:tblStyle w:val="63"/>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185"/>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1185"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评审细项</w:t>
            </w:r>
          </w:p>
        </w:tc>
        <w:tc>
          <w:tcPr>
            <w:tcW w:w="6435" w:type="dxa"/>
            <w:vAlign w:val="center"/>
          </w:tcPr>
          <w:p>
            <w:pPr>
              <w:ind w:firstLine="480" w:firstLineChars="200"/>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计数要求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9" w:type="dxa"/>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1185" w:type="dxa"/>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承担类似业绩情况</w:t>
            </w:r>
          </w:p>
        </w:tc>
        <w:tc>
          <w:tcPr>
            <w:tcW w:w="6435" w:type="dxa"/>
            <w:vAlign w:val="center"/>
          </w:tcPr>
          <w:p>
            <w:pPr>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供应商自20</w:t>
            </w:r>
            <w:r>
              <w:rPr>
                <w:rFonts w:ascii="仿宋_GB2312" w:hAnsi="仿宋_GB2312" w:eastAsia="仿宋_GB2312" w:cs="仿宋_GB2312"/>
                <w:color w:val="000000" w:themeColor="text1"/>
                <w:sz w:val="24"/>
                <w14:textFill>
                  <w14:solidFill>
                    <w14:schemeClr w14:val="tx1"/>
                  </w14:solidFill>
                </w14:textFill>
              </w:rPr>
              <w:t>22</w:t>
            </w:r>
            <w:r>
              <w:rPr>
                <w:rFonts w:hint="eastAsia" w:ascii="仿宋_GB2312" w:hAnsi="仿宋_GB2312" w:eastAsia="仿宋_GB2312" w:cs="仿宋_GB2312"/>
                <w:color w:val="000000" w:themeColor="text1"/>
                <w:sz w:val="24"/>
                <w14:textFill>
                  <w14:solidFill>
                    <w14:schemeClr w14:val="tx1"/>
                  </w14:solidFill>
                </w14:textFill>
              </w:rPr>
              <w:t>年1月1日以来（以合同签订日期为准，无签订时间的不予认可）承担过审计服务项目的业绩情况，提供有效的合同扫描件（合同需体现签约双方主体及公章、合同金额、主要服务内容等合同要素的相关内容，否则不予认可），每提供一个符合要求的合同，计1次数。</w:t>
            </w:r>
          </w:p>
        </w:tc>
      </w:tr>
    </w:tbl>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2.4淘汰率</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淘汰率为不低于20%，且至少淘汰一家供应商。排序前80%的有效响应供应商确定为入围供应商（有效供应商数量的80%为非整数时，采用去尾法取整数）。若排序前80%的末位供应商并列，但同时入围将导致淘汰率不足20%的，则该并列供应商均淘汰。</w:t>
      </w:r>
    </w:p>
    <w:p>
      <w:pPr>
        <w:adjustRightInd/>
        <w:spacing w:line="360" w:lineRule="auto"/>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注：采购完成后，如出现因质疑、投诉成立而取消入围供应商的入围资格情况的，不再另行递补入围供应商。</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三、评审程序</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3.1符合性审查。</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评审小组应当对通过资格审查的供应商的响应文件进行符合性审查，以确定其是否满足征集文件的实质性要求。不满足征集文件的实质性要求的，响应无效。</w:t>
      </w:r>
    </w:p>
    <w:p>
      <w:pPr>
        <w:adjustRightInd/>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3.2响应报价评审</w:t>
      </w:r>
      <w:r>
        <w:rPr>
          <w:rFonts w:hint="eastAsia" w:ascii="仿宋_GB2312" w:hAnsi="仿宋_GB2312" w:eastAsia="仿宋_GB2312" w:cs="仿宋_GB2312"/>
          <w:sz w:val="24"/>
        </w:rPr>
        <w:t>。</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3.2.1响应文件报价出现前后不一致的，按照下列规定修正：</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3.2.1.1响应文件中第一阶段响应报价表内容与响应文件中相应内容不一致的，以第一阶段响应报价表为准；</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3.2.1.2大写金额和小写金额不一致的，以大写金额为准；</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3.2.1.3单价金额小数点或者百分比有明显错位的，以第一阶段响应报价表的总价为准，并修改单价；</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3.2.1.4总价金额与按单价汇总金额不一致的，以单价金额计算结果为准。</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3.2.1.5同时出现两种以上不一致的，按照3.2.1规定的顺序修正。修正后的报价按“供应商澄清、说明或者补正”4.1.1的规定经响应供应商确认后产生约束力。</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3.2.2评审小组认为响应供应商的报价明显低于其他通过符合性审查响应供应商的报价，有可能不能诚信履约的，应当要求其在合理的时间内提供书面说明，必要时提交相关证明材料；响应供应商不能证明其报价合理性的，评审小组应当将其作为无效响应处理。</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3.3排序和确定入围供应商。</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评审小组按照入围要求对有效响应供应商进行排序并确定入围供应商。</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3.4编写评审报告。</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评审小组根据全体评审成员签字的评审记录和评审结果编写评审报告。评审小组成员对需要共同认定的事项存在争议的，应当按照少数服从多数的原则作出结论。持不同意见的评审小组成员应当在评审报告上签署不同意见及理由，否则视为同意评审报告。</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四、评审中的其他事项</w:t>
      </w:r>
    </w:p>
    <w:p>
      <w:pPr>
        <w:adjustRightInd/>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4.1供应商澄清、说明或者补正。</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4.1.1对于响应文件中含义不明确、同类问题表述不一致或者有明显文字和计算错误的内容，评审小组应当要求响应供应商作出必要的澄清、说明或者补正。评审小组和响应供应商通过电子交易平台交换数据电文，供应商提交的澄清、说明或补正以使用电子签名的相关数据电文或通过平台上传加盖公章的扫描件为准。给予供应商提交澄清、说明或补正的时间不得少于半小时，供应商已经明确表示澄清、说明或补正完毕的除外。供应商的澄清、说明或者补正不得超出响应文件的范围或者改变响应文件的实质性内容。</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4.1.2 供应商在政采云系统中填报的响应内容与上传的加盖电子签名的响应文件内容有不一致或者矛盾的，以加盖电子签名的响应文件内容为准，并对政采云系统填报的响应内容进行修正。</w:t>
      </w:r>
    </w:p>
    <w:p>
      <w:pPr>
        <w:adjustRightInd/>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4.2响应无效。有下列情形之一的，响应无效：</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4.2.1供应商不具备征集文件中规定的资格要求的（供应商未提供有效的资格响应文件的，视为供应商不具备征集文件中规定的资格要求）；</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4.2.2响应文件未按照征集文件要求签署、盖章的；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4.2.3响应文件含有征集人不能接受的附加条件的；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4.2.4响应文件中承诺的响应有效期少于征集文件中载明的响应有效期的；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4.2.5响应文件出现不是唯一的、有选择性响应报价的；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4.2.6响应报价超过征集文件中规定的最高限价的；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4.2.7响应报价优惠率高于最高限价50%，未在报价要求响应文件中详细阐述不影响诚信履约的具体原因的；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4.2.8报价明显低于其他通过符合性审查响应供应商的报价，有可能不能诚信履约的，未能按要求提供书面说明或者提交相关证明材料，不能证明其报价合理性的；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4.2.9供应商提供虚假材料响应的；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4.2.10供应商有恶意串通、妨碍其他供应商的竞争行为，损害征集人、采购人或者其他供应商的合法权益情形的；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4.2.11供应商仅提交备份响应文件，未在电子交易平台传输递交响应文件的；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4.2.12响应文件不满足征集文件的实质性要求的；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4.2.</w:t>
      </w:r>
      <w:r>
        <w:rPr>
          <w:rFonts w:ascii="仿宋_GB2312" w:hAnsi="仿宋_GB2312" w:eastAsia="仿宋_GB2312" w:cs="仿宋_GB2312"/>
          <w:sz w:val="24"/>
        </w:rPr>
        <w:t>1</w:t>
      </w:r>
      <w:r>
        <w:rPr>
          <w:rFonts w:hint="eastAsia" w:ascii="仿宋_GB2312" w:hAnsi="仿宋_GB2312" w:eastAsia="仿宋_GB2312" w:cs="仿宋_GB2312"/>
          <w:sz w:val="24"/>
        </w:rPr>
        <w:t>3法律、法规、规章及省级以上规范性文件（适用本省级、本市的）规定的其他无效情形。</w:t>
      </w:r>
    </w:p>
    <w:p>
      <w:pPr>
        <w:adjustRightInd/>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4.3征集失败。</w:t>
      </w:r>
      <w:r>
        <w:rPr>
          <w:rFonts w:hint="eastAsia" w:ascii="仿宋_GB2312" w:hAnsi="仿宋_GB2312" w:eastAsia="仿宋_GB2312" w:cs="仿宋_GB2312"/>
          <w:sz w:val="24"/>
        </w:rPr>
        <w:t>出现下列情形之一的，征集失败：</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4.3.1提交响应文件或符合资格条件、实质性要求的供应商不足2家的；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4.3.2出现影响采购公正的违法、违规行为的；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4.3.3因重大变故，采购任务取消的；</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4.3.4法律、法规、规章及省级以上规范性文件（适用本省级、本市的）规定的其他情形。</w:t>
      </w:r>
    </w:p>
    <w:p>
      <w:pPr>
        <w:adjustRightInd/>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征集失败后，征集人应当将失败理由通知所有响应供应商。</w:t>
      </w:r>
    </w:p>
    <w:p>
      <w:pPr>
        <w:adjustRightInd/>
        <w:spacing w:line="360" w:lineRule="auto"/>
        <w:ind w:firstLine="482" w:firstLineChars="200"/>
        <w:rPr>
          <w:rFonts w:ascii="仿宋_GB2312" w:hAnsi="仿宋_GB2312" w:eastAsia="仿宋_GB2312" w:cs="仿宋_GB2312"/>
          <w:sz w:val="28"/>
          <w:szCs w:val="28"/>
        </w:rPr>
      </w:pPr>
      <w:r>
        <w:rPr>
          <w:rFonts w:hint="eastAsia" w:ascii="仿宋_GB2312" w:hAnsi="仿宋_GB2312" w:eastAsia="仿宋_GB2312" w:cs="仿宋_GB2312"/>
          <w:b/>
          <w:bCs/>
          <w:sz w:val="24"/>
        </w:rPr>
        <w:t>4.4重新组织采购活动。</w:t>
      </w:r>
      <w:r>
        <w:rPr>
          <w:rFonts w:hint="eastAsia" w:ascii="仿宋_GB2312" w:hAnsi="仿宋_GB2312" w:eastAsia="仿宋_GB2312" w:cs="仿宋_GB2312"/>
          <w:sz w:val="24"/>
        </w:rPr>
        <w:t>评审小组发现征集文件存在歧义、重大缺陷导致评审工作无法进行，或者征集文件内容违反国家有关强制性规定的，将停止评审工作，与采购机构（征集人）沟通并作书面记录。采购机构（征集人）确认后，将修改征集文件，重新组织采购活动。</w:t>
      </w:r>
    </w:p>
    <w:p>
      <w:pPr>
        <w:pStyle w:val="26"/>
        <w:ind w:firstLine="420"/>
        <w:rPr>
          <w:rFonts w:ascii="仿宋_GB2312" w:eastAsia="仿宋_GB2312"/>
          <w:color w:val="000000" w:themeColor="text1"/>
          <w14:textFill>
            <w14:solidFill>
              <w14:schemeClr w14:val="tx1"/>
            </w14:solidFill>
          </w14:textFill>
        </w:rPr>
      </w:pPr>
    </w:p>
    <w:p>
      <w:pPr>
        <w:pStyle w:val="24"/>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hAnsi="宋体" w:eastAsia="仿宋_GB2312" w:cs="宋体"/>
          <w:b/>
          <w:color w:val="000000" w:themeColor="text1"/>
          <w:sz w:val="36"/>
          <w:szCs w:val="36"/>
          <w14:textFill>
            <w14:solidFill>
              <w14:schemeClr w14:val="tx1"/>
            </w14:solidFill>
          </w14:textFill>
        </w:rPr>
      </w:pPr>
      <w:bookmarkStart w:id="479" w:name="第五部分"/>
      <w:bookmarkStart w:id="480" w:name="_Toc86217003"/>
      <w:r>
        <w:rPr>
          <w:rFonts w:hint="eastAsia" w:ascii="仿宋_GB2312" w:hAnsi="宋体" w:eastAsia="仿宋_GB2312" w:cs="宋体"/>
          <w:b/>
          <w:color w:val="000000" w:themeColor="text1"/>
          <w:sz w:val="36"/>
          <w:szCs w:val="36"/>
          <w14:textFill>
            <w14:solidFill>
              <w14:schemeClr w14:val="tx1"/>
            </w14:solidFill>
          </w14:textFill>
        </w:rPr>
        <w:br w:type="page"/>
      </w:r>
    </w:p>
    <w:p>
      <w:pPr>
        <w:spacing w:after="120" w:afterLines="50" w:line="360" w:lineRule="auto"/>
        <w:jc w:val="center"/>
        <w:outlineLvl w:val="0"/>
        <w:rPr>
          <w:rFonts w:ascii="仿宋_GB2312" w:hAnsi="宋体" w:eastAsia="仿宋_GB2312" w:cs="宋体"/>
          <w:b/>
          <w:color w:val="000000" w:themeColor="text1"/>
          <w:sz w:val="32"/>
          <w:szCs w:val="32"/>
          <w14:textFill>
            <w14:solidFill>
              <w14:schemeClr w14:val="tx1"/>
            </w14:solidFill>
          </w14:textFill>
        </w:rPr>
      </w:pPr>
      <w:bookmarkStart w:id="481" w:name="_Toc146706845"/>
      <w:bookmarkStart w:id="482" w:name="_Toc10074"/>
      <w:r>
        <w:rPr>
          <w:rFonts w:hint="eastAsia" w:ascii="仿宋_GB2312" w:hAnsi="宋体" w:eastAsia="仿宋_GB2312" w:cs="宋体"/>
          <w:b/>
          <w:color w:val="000000" w:themeColor="text1"/>
          <w:sz w:val="32"/>
          <w:szCs w:val="32"/>
          <w14:textFill>
            <w14:solidFill>
              <w14:schemeClr w14:val="tx1"/>
            </w14:solidFill>
          </w14:textFill>
        </w:rPr>
        <w:t xml:space="preserve">第五部分 </w:t>
      </w:r>
      <w:bookmarkEnd w:id="479"/>
      <w:r>
        <w:rPr>
          <w:rFonts w:hint="eastAsia" w:ascii="仿宋_GB2312" w:hAnsi="宋体" w:eastAsia="仿宋_GB2312" w:cs="宋体"/>
          <w:b/>
          <w:color w:val="000000" w:themeColor="text1"/>
          <w:sz w:val="32"/>
          <w:szCs w:val="32"/>
          <w14:textFill>
            <w14:solidFill>
              <w14:schemeClr w14:val="tx1"/>
            </w14:solidFill>
          </w14:textFill>
        </w:rPr>
        <w:t>拟签订的框架协议文本和采购合同文本</w:t>
      </w:r>
      <w:bookmarkEnd w:id="481"/>
      <w:bookmarkEnd w:id="482"/>
    </w:p>
    <w:p>
      <w:pPr>
        <w:spacing w:line="360" w:lineRule="auto"/>
        <w:jc w:val="center"/>
        <w:rPr>
          <w:rFonts w:ascii="仿宋_GB2312" w:eastAsia="仿宋_GB2312"/>
          <w:sz w:val="24"/>
        </w:rPr>
      </w:pPr>
      <w:r>
        <w:rPr>
          <w:rFonts w:hint="eastAsia" w:ascii="仿宋_GB2312" w:eastAsia="仿宋_GB2312"/>
          <w:sz w:val="24"/>
        </w:rPr>
        <w:t>2025-2026年度丽水市（市本级、莲都区、开发区、缙云县、云和县）审计服务封闭式框架协议</w:t>
      </w:r>
    </w:p>
    <w:p>
      <w:pPr>
        <w:spacing w:line="480" w:lineRule="auto"/>
        <w:rPr>
          <w:rFonts w:ascii="仿宋_GB2312" w:hAnsi="宋体" w:eastAsia="仿宋_GB2312" w:cs="宋体"/>
          <w:b/>
          <w:bCs/>
          <w:color w:val="000000" w:themeColor="text1"/>
          <w:sz w:val="24"/>
          <w14:textFill>
            <w14:solidFill>
              <w14:schemeClr w14:val="tx1"/>
            </w14:solidFill>
          </w14:textFill>
        </w:rPr>
      </w:pPr>
    </w:p>
    <w:p>
      <w:pPr>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征集人（甲方）：</w:t>
      </w:r>
      <w:r>
        <w:rPr>
          <w:rFonts w:hint="eastAsia" w:ascii="仿宋_GB2312" w:hAnsi="宋体" w:eastAsia="仿宋_GB2312" w:cs="宋体"/>
          <w:color w:val="000000" w:themeColor="text1"/>
          <w:sz w:val="24"/>
          <w:u w:val="single"/>
          <w14:textFill>
            <w14:solidFill>
              <w14:schemeClr w14:val="tx1"/>
            </w14:solidFill>
          </w14:textFill>
        </w:rPr>
        <w:t>丽水市公共资源交易中心</w:t>
      </w:r>
    </w:p>
    <w:p>
      <w:pPr>
        <w:spacing w:line="360" w:lineRule="auto"/>
        <w:rPr>
          <w:rFonts w:ascii="仿宋_GB2312" w:hAnsi="宋体" w:eastAsia="仿宋_GB2312" w:cs="宋体"/>
          <w:b/>
          <w:bCs/>
          <w:color w:val="000000" w:themeColor="text1"/>
          <w:sz w:val="24"/>
          <w:u w:val="single"/>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入围供应商（乙方）：</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根据</w:t>
      </w:r>
      <w:r>
        <w:rPr>
          <w:rFonts w:hint="eastAsia" w:ascii="仿宋_GB2312" w:hAnsi="宋体" w:eastAsia="仿宋_GB2312" w:cs="宋体"/>
          <w:color w:val="000000" w:themeColor="text1"/>
          <w:sz w:val="24"/>
          <w:u w:val="single"/>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sz w:val="24"/>
          <w:u w:val="single"/>
          <w14:textFill>
            <w14:solidFill>
              <w14:schemeClr w14:val="tx1"/>
            </w14:solidFill>
          </w14:textFill>
        </w:rPr>
        <w:t>LCK2024-003</w:t>
      </w:r>
      <w:r>
        <w:rPr>
          <w:rFonts w:hint="eastAsia" w:ascii="仿宋_GB2312" w:hAnsi="宋体" w:eastAsia="仿宋_GB2312" w:cs="宋体"/>
          <w:color w:val="000000" w:themeColor="text1"/>
          <w:sz w:val="24"/>
          <w:u w:val="single"/>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公开征集文件、入围结果和《中华人民共和国政府采购法》、《中华人民共和国政府采购法实施条例》、《政府采购框架协议采购方式管理暂行办法》等相关法律、法规、规章要求，双方经协商，达成以下条款：</w:t>
      </w:r>
    </w:p>
    <w:p>
      <w:pPr>
        <w:snapToGrid w:val="0"/>
        <w:spacing w:line="360" w:lineRule="auto"/>
        <w:ind w:firstLine="482"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第一条</w:t>
      </w:r>
      <w:r>
        <w:rPr>
          <w:rFonts w:hint="eastAsia" w:ascii="仿宋_GB2312" w:hAnsi="宋体" w:eastAsia="仿宋_GB2312" w:cs="宋体"/>
          <w:color w:val="000000" w:themeColor="text1"/>
          <w:sz w:val="24"/>
          <w14:textFill>
            <w14:solidFill>
              <w14:schemeClr w14:val="tx1"/>
            </w14:solidFill>
          </w14:textFill>
        </w:rPr>
        <w:t xml:space="preserve"> 协议有效期为自框架协议生效之日起至20</w:t>
      </w:r>
      <w:r>
        <w:rPr>
          <w:rFonts w:ascii="仿宋_GB2312" w:hAnsi="宋体" w:eastAsia="仿宋_GB2312" w:cs="宋体"/>
          <w:color w:val="000000" w:themeColor="text1"/>
          <w:sz w:val="24"/>
          <w14:textFill>
            <w14:solidFill>
              <w14:schemeClr w14:val="tx1"/>
            </w14:solidFill>
          </w14:textFill>
        </w:rPr>
        <w:t>26</w:t>
      </w:r>
      <w:r>
        <w:rPr>
          <w:rFonts w:hint="eastAsia" w:ascii="仿宋_GB2312" w:hAnsi="宋体" w:eastAsia="仿宋_GB2312" w:cs="宋体"/>
          <w:color w:val="000000" w:themeColor="text1"/>
          <w:sz w:val="24"/>
          <w14:textFill>
            <w14:solidFill>
              <w14:schemeClr w14:val="tx1"/>
            </w14:solidFill>
          </w14:textFill>
        </w:rPr>
        <w:t xml:space="preserve">年12月31日止。协议期内，乙方应遵守本项目征集文件的要求，履行响应文件的承诺，及时向采购人提供优质服务，不得提出本协议书内容之外的任何不利于采购人的附加条件。 </w:t>
      </w:r>
    </w:p>
    <w:p>
      <w:pPr>
        <w:snapToGrid w:val="0"/>
        <w:spacing w:line="360" w:lineRule="auto"/>
        <w:ind w:firstLine="472"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第二条</w:t>
      </w:r>
      <w:r>
        <w:rPr>
          <w:rFonts w:hint="eastAsia" w:ascii="仿宋_GB2312" w:hAnsi="宋体" w:eastAsia="仿宋_GB2312" w:cs="宋体"/>
          <w:color w:val="000000" w:themeColor="text1"/>
          <w:sz w:val="24"/>
          <w14:textFill>
            <w14:solidFill>
              <w14:schemeClr w14:val="tx1"/>
            </w14:solidFill>
          </w14:textFill>
        </w:rPr>
        <w:t xml:space="preserve"> 采购人范围：</w:t>
      </w:r>
      <w:r>
        <w:rPr>
          <w:rFonts w:hint="eastAsia" w:ascii="仿宋_GB2312" w:hAnsi="仿宋_GB2312" w:eastAsia="仿宋_GB2312" w:cs="仿宋_GB2312"/>
          <w:sz w:val="24"/>
          <w:shd w:val="clear" w:color="auto" w:fill="FFFFFF"/>
        </w:rPr>
        <w:t>丽水市市本级、莲都区、开发区、缙云县、云和县行政机关、事业单位、团体组织</w:t>
      </w:r>
      <w:r>
        <w:rPr>
          <w:rFonts w:hint="eastAsia" w:ascii="仿宋_GB2312" w:hAnsi="宋体" w:eastAsia="仿宋_GB2312" w:cs="宋体"/>
          <w:color w:val="000000" w:themeColor="text1"/>
          <w:sz w:val="24"/>
          <w14:textFill>
            <w14:solidFill>
              <w14:schemeClr w14:val="tx1"/>
            </w14:solidFill>
          </w14:textFill>
        </w:rPr>
        <w:t>。</w:t>
      </w:r>
    </w:p>
    <w:p>
      <w:pPr>
        <w:snapToGrid w:val="0"/>
        <w:spacing w:line="360" w:lineRule="auto"/>
        <w:ind w:firstLine="472" w:firstLineChars="196"/>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 xml:space="preserve">第三条 </w:t>
      </w:r>
      <w:r>
        <w:rPr>
          <w:rFonts w:hint="eastAsia" w:ascii="仿宋_GB2312" w:hAnsi="宋体" w:eastAsia="仿宋_GB2312" w:cs="宋体"/>
          <w:color w:val="000000" w:themeColor="text1"/>
          <w:sz w:val="24"/>
          <w14:textFill>
            <w14:solidFill>
              <w14:schemeClr w14:val="tx1"/>
            </w14:solidFill>
          </w14:textFill>
        </w:rPr>
        <w:t>确定第二阶段成交供应商的方式：由采购人依据入围产品价格、质量以及服务便利性、用户评价等因素，从第一阶段入围供应商中直接选定。</w:t>
      </w:r>
    </w:p>
    <w:p>
      <w:pPr>
        <w:snapToGrid w:val="0"/>
        <w:spacing w:line="360" w:lineRule="auto"/>
        <w:ind w:firstLine="472"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第四条</w:t>
      </w:r>
      <w:r>
        <w:rPr>
          <w:rFonts w:hint="eastAsia" w:ascii="仿宋_GB2312" w:hAnsi="宋体" w:eastAsia="仿宋_GB2312" w:cs="宋体"/>
          <w:color w:val="000000" w:themeColor="text1"/>
          <w:sz w:val="24"/>
          <w14:textFill>
            <w14:solidFill>
              <w14:schemeClr w14:val="tx1"/>
            </w14:solidFill>
          </w14:textFill>
        </w:rPr>
        <w:t xml:space="preserve"> 服务内容：</w:t>
      </w:r>
    </w:p>
    <w:p>
      <w:pPr>
        <w:snapToGrid w:val="0"/>
        <w:spacing w:line="360" w:lineRule="auto"/>
        <w:ind w:firstLine="470" w:firstLineChars="196"/>
        <w:rPr>
          <w:rFonts w:ascii="仿宋_GB2312" w:hAnsi="宋体" w:eastAsia="仿宋_GB2312" w:cs="宋体"/>
          <w:color w:val="000000" w:themeColor="text1"/>
          <w:sz w:val="24"/>
          <w:u w:val="single"/>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服务内容：乙方为采购人提供审计服务，即按照公认的会计原则，审查会计账册和其他单据的服务。</w:t>
      </w:r>
    </w:p>
    <w:p>
      <w:pPr>
        <w:snapToGrid w:val="0"/>
        <w:spacing w:line="360" w:lineRule="auto"/>
        <w:ind w:firstLine="472"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第五条</w:t>
      </w:r>
      <w:r>
        <w:rPr>
          <w:rFonts w:hint="eastAsia" w:ascii="仿宋_GB2312" w:hAnsi="宋体" w:eastAsia="仿宋_GB2312" w:cs="宋体"/>
          <w:color w:val="000000" w:themeColor="text1"/>
          <w:sz w:val="24"/>
          <w14:textFill>
            <w14:solidFill>
              <w14:schemeClr w14:val="tx1"/>
            </w14:solidFill>
          </w14:textFill>
        </w:rPr>
        <w:t xml:space="preserve"> 服务依据：</w:t>
      </w:r>
    </w:p>
    <w:p>
      <w:pPr>
        <w:snapToGrid w:val="0"/>
        <w:spacing w:line="360" w:lineRule="auto"/>
        <w:ind w:firstLine="470"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中华人民共和国审计法》、《中华人民共和国会计法》、《中华人民共和国预算法》、《中华人民共和国审计法实施条例》、《浙江省审计条例》、《中华人民共和国国家审计准则》，及其他相关法律、法规、规范性文件，中注协、省注协等行业协会有关执业准则和执业道德规范等；</w:t>
      </w:r>
    </w:p>
    <w:p>
      <w:pPr>
        <w:snapToGrid w:val="0"/>
        <w:spacing w:line="360" w:lineRule="auto"/>
        <w:ind w:firstLine="470"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2、本项目征集文件各项要求和规定；</w:t>
      </w:r>
    </w:p>
    <w:p>
      <w:pPr>
        <w:snapToGrid w:val="0"/>
        <w:spacing w:line="360" w:lineRule="auto"/>
        <w:ind w:firstLine="470" w:firstLineChars="196"/>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3、采购人相关委托要求。</w:t>
      </w:r>
    </w:p>
    <w:p>
      <w:pPr>
        <w:autoSpaceDE w:val="0"/>
        <w:autoSpaceDN w:val="0"/>
        <w:snapToGrid w:val="0"/>
        <w:spacing w:line="360" w:lineRule="auto"/>
        <w:ind w:firstLine="482"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第六条</w:t>
      </w:r>
      <w:r>
        <w:rPr>
          <w:rFonts w:hint="eastAsia" w:ascii="仿宋_GB2312" w:hAnsi="宋体" w:eastAsia="仿宋_GB2312" w:cs="宋体"/>
          <w:color w:val="000000" w:themeColor="text1"/>
          <w:sz w:val="24"/>
          <w14:textFill>
            <w14:solidFill>
              <w14:schemeClr w14:val="tx1"/>
            </w14:solidFill>
          </w14:textFill>
        </w:rPr>
        <w:t xml:space="preserve"> 乙方应遵守以下服务标准：</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1、自觉遵守相关法律、法规及有关规定，严格执行审计准则，遵守廉政纪律和职业道德，保守采购人、被审计单位、服务对象资料数据的秘密；</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2、严格按照采购人的有关规定和要求实施审计服务，按采购人的质量和进度要求及时提供结果、报告以及与服务事项相关的资料，按规定的格式、要求起草有关文书和相关材料；</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3、不得将承接的业务对外转包，不得以任何借口违反审计准则和质量控制准则，降低执业（工作）质量；</w:t>
      </w:r>
    </w:p>
    <w:p>
      <w:pPr>
        <w:snapToGrid w:val="0"/>
        <w:spacing w:line="360" w:lineRule="auto"/>
        <w:ind w:firstLine="480" w:firstLineChars="200"/>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4、愿意接受相关部门对项目质量的审查考核。</w:t>
      </w:r>
    </w:p>
    <w:p>
      <w:pPr>
        <w:snapToGrid w:val="0"/>
        <w:spacing w:line="360" w:lineRule="auto"/>
        <w:ind w:firstLine="472"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第七条</w:t>
      </w:r>
      <w:r>
        <w:rPr>
          <w:rFonts w:hint="eastAsia" w:ascii="仿宋_GB2312" w:hAnsi="宋体" w:eastAsia="仿宋_GB2312" w:cs="宋体"/>
          <w:color w:val="000000" w:themeColor="text1"/>
          <w:sz w:val="24"/>
          <w14:textFill>
            <w14:solidFill>
              <w14:schemeClr w14:val="tx1"/>
            </w14:solidFill>
          </w14:textFill>
        </w:rPr>
        <w:t xml:space="preserve"> 最高限价及审计服务费计费要求：</w:t>
      </w:r>
    </w:p>
    <w:p>
      <w:pPr>
        <w:snapToGrid w:val="0"/>
        <w:spacing w:line="360" w:lineRule="auto"/>
        <w:ind w:firstLine="470" w:firstLineChars="196"/>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入围供应商第一阶段响应报价（即协议价格）是采购人确定第二阶段成交供应商的最高限价，</w:t>
      </w:r>
      <w:r>
        <w:rPr>
          <w:rFonts w:hint="eastAsia" w:ascii="仿宋_GB2312" w:hAnsi="仿宋_GB2312" w:eastAsia="仿宋_GB2312" w:cs="仿宋_GB2312"/>
          <w:sz w:val="24"/>
        </w:rPr>
        <w:t>除根据采购人要求需赴采购人指定的常驻地以外地点的，城市间交通费、食宿费可另行按政府部门有关规定结算报销</w:t>
      </w:r>
      <w:r>
        <w:rPr>
          <w:rFonts w:hint="eastAsia" w:ascii="仿宋_GB2312" w:hAnsi="宋体" w:eastAsia="仿宋_GB2312" w:cs="宋体"/>
          <w:color w:val="000000" w:themeColor="text1"/>
          <w:sz w:val="24"/>
          <w14:textFill>
            <w14:solidFill>
              <w14:schemeClr w14:val="tx1"/>
            </w14:solidFill>
          </w14:textFill>
        </w:rPr>
        <w:t>，其他所有费用（含税费）均计入审计服务费。如采购人在采购服务时还需供应商提供其他服务人员的，服务费也不得超过该最高限价。采购人还可在该最高限价的基础上与供应商进一步议价，以获得更优惠的价格。</w:t>
      </w:r>
    </w:p>
    <w:p>
      <w:pPr>
        <w:snapToGrid w:val="0"/>
        <w:spacing w:line="360" w:lineRule="auto"/>
        <w:ind w:firstLine="482" w:firstLineChars="200"/>
        <w:rPr>
          <w:rFonts w:ascii="仿宋_GB2312" w:eastAsia="仿宋_GB2312" w:hAnsiTheme="minorEastAsia" w:cstheme="minorEastAsia"/>
          <w:b/>
          <w:bCs/>
          <w:sz w:val="24"/>
        </w:rPr>
      </w:pPr>
      <w:r>
        <w:rPr>
          <w:rFonts w:hint="eastAsia" w:ascii="仿宋_GB2312" w:eastAsia="仿宋_GB2312" w:hAnsiTheme="minorEastAsia" w:cstheme="minorEastAsia"/>
          <w:b/>
          <w:bCs/>
          <w:sz w:val="24"/>
        </w:rPr>
        <w:t>1、审计服务最高限价</w:t>
      </w:r>
    </w:p>
    <w:p>
      <w:pPr>
        <w:snapToGrid w:val="0"/>
        <w:spacing w:line="360" w:lineRule="auto"/>
        <w:ind w:firstLine="482" w:firstLineChars="200"/>
        <w:rPr>
          <w:rFonts w:ascii="仿宋_GB2312" w:eastAsia="仿宋_GB2312" w:hAnsiTheme="minorEastAsia" w:cstheme="minorEastAsia"/>
          <w:bCs/>
          <w:sz w:val="24"/>
          <w:lang w:val="zh-CN"/>
        </w:rPr>
      </w:pPr>
      <w:r>
        <w:rPr>
          <w:rFonts w:hint="eastAsia" w:ascii="仿宋_GB2312" w:eastAsia="仿宋_GB2312" w:hAnsiTheme="minorEastAsia" w:cstheme="minorEastAsia"/>
          <w:b/>
          <w:sz w:val="24"/>
          <w:lang w:val="zh-CN"/>
        </w:rPr>
        <w:t>审计服务费计费方式：按工作量计时收费方式。</w:t>
      </w:r>
    </w:p>
    <w:tbl>
      <w:tblPr>
        <w:tblStyle w:val="62"/>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1"/>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6391" w:type="dxa"/>
            <w:vAlign w:val="center"/>
          </w:tcPr>
          <w:p>
            <w:pPr>
              <w:snapToGrid w:val="0"/>
              <w:jc w:val="left"/>
              <w:rPr>
                <w:rFonts w:ascii="仿宋_GB2312" w:eastAsia="仿宋_GB2312" w:hAnsiTheme="minorEastAsia" w:cstheme="minorEastAsia"/>
                <w:sz w:val="24"/>
              </w:rPr>
            </w:pPr>
            <w:r>
              <w:rPr>
                <w:rFonts w:hint="eastAsia" w:ascii="仿宋_GB2312" w:eastAsia="仿宋_GB2312" w:hAnsiTheme="minorEastAsia" w:cstheme="minorEastAsia"/>
                <w:bCs/>
                <w:sz w:val="24"/>
                <w:lang w:val="zh-CN"/>
              </w:rPr>
              <w:t>副高级及以上技术职称（或注册会计师）专业人员单价</w:t>
            </w:r>
          </w:p>
        </w:tc>
        <w:tc>
          <w:tcPr>
            <w:tcW w:w="2868" w:type="dxa"/>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rPr>
              <w:t>1000元/人</w:t>
            </w:r>
            <w:r>
              <w:rPr>
                <w:rFonts w:hint="eastAsia" w:ascii="微软雅黑" w:hAnsi="微软雅黑" w:eastAsia="微软雅黑" w:cs="微软雅黑"/>
                <w:sz w:val="24"/>
              </w:rPr>
              <w:t>•</w:t>
            </w:r>
            <w:r>
              <w:rPr>
                <w:rFonts w:hint="eastAsia" w:ascii="仿宋_GB2312" w:eastAsia="仿宋_GB2312" w:hAnsiTheme="minorEastAsia" w:cstheme="minorEastAsia"/>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391" w:type="dxa"/>
            <w:vAlign w:val="center"/>
          </w:tcPr>
          <w:p>
            <w:pPr>
              <w:snapToGrid w:val="0"/>
              <w:jc w:val="left"/>
              <w:rPr>
                <w:rFonts w:ascii="仿宋_GB2312" w:eastAsia="仿宋_GB2312" w:hAnsiTheme="minorEastAsia" w:cstheme="minorEastAsia"/>
                <w:sz w:val="24"/>
              </w:rPr>
            </w:pPr>
            <w:r>
              <w:rPr>
                <w:rFonts w:hint="eastAsia" w:ascii="仿宋" w:hAnsi="仿宋" w:eastAsia="仿宋" w:cs="仿宋"/>
                <w:sz w:val="24"/>
                <w:highlight w:val="none"/>
                <w:lang w:val="zh-CN"/>
              </w:rPr>
              <w:t>助理人员、</w:t>
            </w:r>
            <w:r>
              <w:rPr>
                <w:rFonts w:hint="eastAsia" w:ascii="仿宋" w:hAnsi="仿宋" w:eastAsia="仿宋" w:cs="仿宋"/>
                <w:sz w:val="24"/>
                <w:lang w:val="zh-CN"/>
              </w:rPr>
              <w:t>中级技术职称及以下专业人员单价</w:t>
            </w:r>
          </w:p>
        </w:tc>
        <w:tc>
          <w:tcPr>
            <w:tcW w:w="2868" w:type="dxa"/>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rPr>
              <w:t>700元/人</w:t>
            </w:r>
            <w:r>
              <w:rPr>
                <w:rFonts w:hint="eastAsia" w:ascii="微软雅黑" w:hAnsi="微软雅黑" w:eastAsia="微软雅黑" w:cs="微软雅黑"/>
                <w:sz w:val="24"/>
              </w:rPr>
              <w:t>•</w:t>
            </w:r>
            <w:r>
              <w:rPr>
                <w:rFonts w:hint="eastAsia" w:ascii="仿宋_GB2312" w:eastAsia="仿宋_GB2312" w:hAnsiTheme="minorEastAsia" w:cstheme="minorEastAsia"/>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259" w:type="dxa"/>
            <w:gridSpan w:val="2"/>
            <w:vAlign w:val="center"/>
          </w:tcPr>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备注：</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1、一天工作时间按8小时计算。</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2、价格包括项目组人员成本、专家咨询费、交通费、食宿费、税费等完成本项目所需的全部费用。</w:t>
            </w:r>
          </w:p>
        </w:tc>
      </w:tr>
    </w:tbl>
    <w:p>
      <w:pPr>
        <w:wordWrap w:val="0"/>
        <w:adjustRightInd/>
        <w:spacing w:line="360" w:lineRule="auto"/>
        <w:ind w:firstLine="482" w:firstLineChars="200"/>
        <w:rPr>
          <w:rFonts w:ascii="仿宋_GB2312" w:eastAsia="仿宋_GB2312" w:hAnsiTheme="minorEastAsia" w:cstheme="minorEastAsia"/>
          <w:b/>
          <w:bCs/>
          <w:sz w:val="24"/>
        </w:rPr>
      </w:pPr>
      <w:r>
        <w:rPr>
          <w:rFonts w:ascii="仿宋_GB2312" w:eastAsia="仿宋_GB2312" w:hAnsiTheme="minorEastAsia" w:cstheme="minorEastAsia"/>
          <w:b/>
          <w:bCs/>
          <w:sz w:val="24"/>
        </w:rPr>
        <w:t>2</w:t>
      </w:r>
      <w:r>
        <w:rPr>
          <w:rFonts w:hint="eastAsia" w:ascii="仿宋_GB2312" w:eastAsia="仿宋_GB2312" w:hAnsiTheme="minorEastAsia" w:cstheme="minorEastAsia"/>
          <w:b/>
          <w:bCs/>
          <w:sz w:val="24"/>
        </w:rPr>
        <w:t>、</w:t>
      </w:r>
      <w:r>
        <w:rPr>
          <w:rFonts w:hint="eastAsia" w:ascii="仿宋_GB2312" w:eastAsia="仿宋_GB2312" w:hAnsiTheme="minorEastAsia" w:cstheme="minorEastAsia"/>
          <w:b/>
          <w:bCs/>
          <w:sz w:val="24"/>
          <w:lang w:val="zh-CN"/>
        </w:rPr>
        <w:t>协议价格</w:t>
      </w:r>
    </w:p>
    <w:tbl>
      <w:tblPr>
        <w:tblStyle w:val="63"/>
        <w:tblW w:w="94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6"/>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478" w:type="dxa"/>
            <w:gridSpan w:val="2"/>
            <w:shd w:val="clear" w:color="auto" w:fill="F1F1F1" w:themeFill="background1" w:themeFillShade="F2"/>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lang w:val="zh-CN"/>
              </w:rPr>
              <w:t>乙方第一阶段响应报价（</w:t>
            </w:r>
            <w:r>
              <w:rPr>
                <w:rFonts w:hint="eastAsia" w:ascii="仿宋_GB2312" w:eastAsia="仿宋_GB2312" w:hAnsiTheme="minorEastAsia" w:cstheme="minorEastAsia"/>
                <w:sz w:val="24"/>
              </w:rPr>
              <w:t>即</w:t>
            </w:r>
            <w:r>
              <w:rPr>
                <w:rFonts w:hint="eastAsia" w:ascii="仿宋_GB2312" w:eastAsia="仿宋_GB2312" w:hAnsiTheme="minorEastAsia" w:cstheme="minorEastAsia"/>
                <w:sz w:val="24"/>
                <w:lang w:val="zh-CN"/>
              </w:rPr>
              <w:t>协议价格）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716" w:type="dxa"/>
            <w:shd w:val="clear" w:color="auto" w:fill="F1F1F1" w:themeFill="background1" w:themeFillShade="F2"/>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rPr>
              <w:t>▲</w:t>
            </w:r>
            <w:r>
              <w:rPr>
                <w:rFonts w:hint="eastAsia" w:ascii="仿宋_GB2312" w:eastAsia="仿宋_GB2312" w:hAnsiTheme="minorEastAsia" w:cstheme="minorEastAsia"/>
                <w:sz w:val="24"/>
                <w:lang w:val="zh-CN"/>
              </w:rPr>
              <w:t>统一</w:t>
            </w:r>
            <w:r>
              <w:rPr>
                <w:rFonts w:hint="eastAsia" w:ascii="仿宋_GB2312" w:eastAsia="仿宋_GB2312" w:hAnsiTheme="minorEastAsia" w:cstheme="minorEastAsia"/>
                <w:sz w:val="24"/>
              </w:rPr>
              <w:t>优惠</w:t>
            </w:r>
            <w:r>
              <w:rPr>
                <w:rFonts w:hint="eastAsia" w:ascii="仿宋_GB2312" w:eastAsia="仿宋_GB2312" w:hAnsiTheme="minorEastAsia" w:cstheme="minorEastAsia"/>
                <w:sz w:val="24"/>
                <w:lang w:val="zh-CN"/>
              </w:rPr>
              <w:t>率</w:t>
            </w:r>
          </w:p>
        </w:tc>
        <w:tc>
          <w:tcPr>
            <w:tcW w:w="2762" w:type="dxa"/>
            <w:shd w:val="clear" w:color="auto" w:fill="auto"/>
            <w:vAlign w:val="center"/>
          </w:tcPr>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 xml:space="preserve"> </w:t>
            </w:r>
            <w:r>
              <w:rPr>
                <w:rFonts w:hint="eastAsia" w:ascii="仿宋_GB2312" w:eastAsia="仿宋_GB2312" w:hAnsiTheme="minorEastAsia" w:cstheme="minorEastAsia"/>
                <w:sz w:val="24"/>
                <w:u w:val="single"/>
              </w:rPr>
              <w:t xml:space="preserve">     </w:t>
            </w:r>
            <w:r>
              <w:rPr>
                <w:rFonts w:hint="eastAsia" w:ascii="仿宋_GB2312" w:eastAsia="仿宋_GB2312"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478" w:type="dxa"/>
            <w:gridSpan w:val="2"/>
            <w:shd w:val="clear" w:color="auto" w:fill="F1F1F1" w:themeFill="background1" w:themeFillShade="F2"/>
            <w:vAlign w:val="center"/>
          </w:tcPr>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注：</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计费举例：</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按工作量计时价格：如某供应商第一阶段响应报价给予的统一优惠率为10%，则</w:t>
            </w:r>
            <w:r>
              <w:rPr>
                <w:rFonts w:hint="eastAsia" w:ascii="仿宋_GB2312" w:eastAsia="仿宋_GB2312" w:hAnsiTheme="minorEastAsia" w:cstheme="minorEastAsia"/>
                <w:bCs/>
                <w:color w:val="000000"/>
                <w:sz w:val="24"/>
                <w:lang w:val="zh-CN"/>
              </w:rPr>
              <w:t>副高级及以上技术职称（或注册会计师）专业人员</w:t>
            </w:r>
            <w:r>
              <w:rPr>
                <w:rFonts w:hint="eastAsia" w:ascii="仿宋_GB2312" w:eastAsia="仿宋_GB2312" w:hAnsiTheme="minorEastAsia" w:cstheme="minorEastAsia"/>
                <w:sz w:val="24"/>
              </w:rPr>
              <w:t>的第一阶段响应报价为：1000</w:t>
            </w:r>
            <w:r>
              <w:rPr>
                <w:rFonts w:hint="eastAsia" w:ascii="仿宋_GB2312" w:hAnsi="仿宋_GB2312" w:eastAsia="仿宋_GB2312" w:cs="仿宋_GB2312"/>
                <w:sz w:val="24"/>
              </w:rPr>
              <w:t>×</w:t>
            </w:r>
            <w:r>
              <w:rPr>
                <w:rFonts w:hint="eastAsia" w:ascii="仿宋_GB2312" w:eastAsia="仿宋_GB2312" w:hAnsiTheme="minorEastAsia" w:cstheme="minorEastAsia"/>
                <w:sz w:val="24"/>
              </w:rPr>
              <w:t>（1-10%）=900元/天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人，助理人员、</w:t>
            </w:r>
            <w:r>
              <w:rPr>
                <w:rFonts w:hint="eastAsia" w:ascii="仿宋_GB2312" w:eastAsia="仿宋_GB2312" w:hAnsiTheme="minorEastAsia" w:cstheme="minorEastAsia"/>
                <w:bCs/>
                <w:color w:val="000000"/>
                <w:sz w:val="24"/>
                <w:lang w:val="zh-CN"/>
              </w:rPr>
              <w:t>中级技术职称及以下专业人员</w:t>
            </w:r>
            <w:r>
              <w:rPr>
                <w:rFonts w:hint="eastAsia" w:ascii="仿宋_GB2312" w:eastAsia="仿宋_GB2312" w:hAnsiTheme="minorEastAsia" w:cstheme="minorEastAsia"/>
                <w:sz w:val="24"/>
              </w:rPr>
              <w:t>的第一阶段响应报价为：700</w:t>
            </w:r>
            <w:r>
              <w:rPr>
                <w:rFonts w:hint="eastAsia" w:ascii="仿宋_GB2312" w:hAnsi="仿宋_GB2312" w:eastAsia="仿宋_GB2312" w:cs="仿宋_GB2312"/>
                <w:sz w:val="24"/>
              </w:rPr>
              <w:t>×</w:t>
            </w:r>
            <w:r>
              <w:rPr>
                <w:rFonts w:hint="eastAsia" w:ascii="仿宋_GB2312" w:eastAsia="仿宋_GB2312" w:hAnsiTheme="minorEastAsia" w:cstheme="minorEastAsia"/>
                <w:sz w:val="24"/>
              </w:rPr>
              <w:t>（1-10%）=630元/天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人。该供应商入围后，则在第二阶段的最高限价即为副高级及以上技术职称（或注册会计师）专业人员不超过</w:t>
            </w:r>
            <w:r>
              <w:rPr>
                <w:rFonts w:hint="eastAsia" w:ascii="仿宋_GB2312" w:eastAsia="仿宋_GB2312" w:hAnsiTheme="minorEastAsia" w:cstheme="minorEastAsia"/>
                <w:sz w:val="24"/>
              </w:rPr>
              <w:t>900元/天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人，助理人员、中级技术职称及以下专业人员不超过</w:t>
            </w:r>
            <w:r>
              <w:rPr>
                <w:rFonts w:hint="eastAsia" w:ascii="仿宋_GB2312" w:eastAsia="仿宋_GB2312" w:hAnsiTheme="minorEastAsia" w:cstheme="minorEastAsia"/>
                <w:sz w:val="24"/>
              </w:rPr>
              <w:t>630元/天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w:t>
            </w:r>
          </w:p>
        </w:tc>
      </w:tr>
    </w:tbl>
    <w:p>
      <w:pPr>
        <w:wordWrap w:val="0"/>
        <w:snapToGrid w:val="0"/>
        <w:rPr>
          <w:rFonts w:ascii="仿宋_GB2312" w:eastAsia="仿宋_GB2312" w:hAnsiTheme="minorEastAsia" w:cstheme="minorEastAsia"/>
          <w:sz w:val="24"/>
        </w:rPr>
      </w:pPr>
    </w:p>
    <w:p>
      <w:pPr>
        <w:snapToGrid w:val="0"/>
        <w:spacing w:line="360" w:lineRule="auto"/>
        <w:ind w:firstLine="482"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 xml:space="preserve">第八条 </w:t>
      </w:r>
      <w:r>
        <w:rPr>
          <w:rFonts w:hint="eastAsia" w:ascii="仿宋_GB2312" w:hAnsi="宋体" w:eastAsia="仿宋_GB2312" w:cs="宋体"/>
          <w:color w:val="000000" w:themeColor="text1"/>
          <w:sz w:val="24"/>
          <w14:textFill>
            <w14:solidFill>
              <w14:schemeClr w14:val="tx1"/>
            </w14:solidFill>
          </w14:textFill>
        </w:rPr>
        <w:t>合同签订及服务费支付要求：</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1、乙方在政采云系统中接到采购人订单（采购人合同授予）后，无正当理由不得拖延、拒绝、取消订单，应按本项目征集文件、框架协议规定及时与采购人签订合同；</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2、乙方与采购人按征集文件规定的要求和合同文本格式编制合同，不得擅自改变框架协议约定的合同实质性条款；</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乙方与采购人应当订立固定价格合同。根据实际采购数量和协议价格确定合同总价的，合同中应当列明实际采购数量或者计量方式，包括服务项目用于计算合同价的工日数、服务工作量等详细工作量清单。乙方应当提供能证明其按照合同约定数量或者工作量清单履约的相关记录或者凭证，作为验收资料一并存档；</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4、乙方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5、乙方和采购人应当在合同中约定资金支付的方式、时间和条件，明确逾期支付资金的违约责任；</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6、乙方与采购人签订合同后应积极履行合同义务，按约定的时间和要求完成审计服务、出具报告，并通过采购人验收。</w:t>
      </w:r>
    </w:p>
    <w:p>
      <w:pPr>
        <w:snapToGrid w:val="0"/>
        <w:spacing w:line="360" w:lineRule="auto"/>
        <w:ind w:firstLine="482"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 xml:space="preserve">第九条 </w:t>
      </w:r>
      <w:r>
        <w:rPr>
          <w:rFonts w:hint="eastAsia" w:ascii="仿宋_GB2312" w:hAnsi="宋体" w:eastAsia="仿宋_GB2312" w:cs="宋体"/>
          <w:color w:val="000000" w:themeColor="text1"/>
          <w:sz w:val="24"/>
          <w14:textFill>
            <w14:solidFill>
              <w14:schemeClr w14:val="tx1"/>
            </w14:solidFill>
          </w14:textFill>
        </w:rPr>
        <w:t>协议期内日常管理要求：</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1、在协议期内，乙方如有信息变更（如变更法定代表人、主要负责人、联系人、联系电话、地址等），应及时在政采云系统中更新相关信息并通知甲方，按甲方要求提供相关资料备案。</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2、在协议期内，乙方应遵守和履行本项目征集文件、框架协议的各项规定，遵守电子系统的操作规定和交易规则，积极配合甲方和采购监管部门的工作。</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在协议期内，乙方如提供的服务全部由丽水所在地分公司（分支机构）承担，希望以该分公司（分支机构）名义承接业务、开具发票的，可通过政采云系统向甲方提出分公司（分支机构）开启申请，并向甲方提供①总公司（总机构）对丽水所在地分公司（分支机构）出具的针对本协议项目的唯一授权书，总公司（总机构）须承诺对丽水所在地分公司（分支机构）在协议期内的服务行为予以认可，且对分公司（分支机构）的民事行为承担责任；②丽水所在地分公司（分支机构）的会计师事务所执业证书（扫描件加盖公章）。未按要求提供材料的，申请不予接受和通过。</w:t>
      </w:r>
    </w:p>
    <w:p>
      <w:pPr>
        <w:snapToGrid w:val="0"/>
        <w:spacing w:line="360" w:lineRule="auto"/>
        <w:ind w:firstLine="482"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第十条</w:t>
      </w:r>
      <w:r>
        <w:rPr>
          <w:rFonts w:hint="eastAsia" w:ascii="仿宋_GB2312" w:hAnsi="宋体" w:eastAsia="仿宋_GB2312" w:cs="宋体"/>
          <w:color w:val="000000" w:themeColor="text1"/>
          <w:sz w:val="24"/>
          <w14:textFill>
            <w14:solidFill>
              <w14:schemeClr w14:val="tx1"/>
            </w14:solidFill>
          </w14:textFill>
        </w:rPr>
        <w:t xml:space="preserve"> 甲方协议期内职责：</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甲方应当根据框架协议约定，组织落实框架协议的履行，并履行下列职责：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1、为第二阶段合同授予提供工作便利；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2、对第二阶段最高限价和需求标准执行情况进行管理；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3、对第二阶段确定成交供应商情况进行管理；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4、依托政采云平台建立用户反馈和评价机制，接受采购人对入围供应商履行框架协议和采购合同情况的反馈与评价，并将用户反馈和评价情况向采购人公开，作为第二阶段直接选定成交供应商的参考；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5、公开封闭式框架协议的第二阶段成交结果； </w:t>
      </w:r>
    </w:p>
    <w:p>
      <w:pPr>
        <w:snapToGrid w:val="0"/>
        <w:spacing w:line="360" w:lineRule="auto"/>
        <w:ind w:firstLine="480"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6、办理入围供应商清退和补充相关事宜。</w:t>
      </w:r>
    </w:p>
    <w:p>
      <w:pPr>
        <w:snapToGrid w:val="0"/>
        <w:spacing w:line="360" w:lineRule="auto"/>
        <w:ind w:firstLine="482"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 xml:space="preserve">第十一条 </w:t>
      </w:r>
      <w:r>
        <w:rPr>
          <w:rFonts w:hint="eastAsia" w:ascii="仿宋_GB2312" w:hAnsi="宋体" w:eastAsia="仿宋_GB2312" w:cs="宋体"/>
          <w:color w:val="000000" w:themeColor="text1"/>
          <w:sz w:val="24"/>
          <w14:textFill>
            <w14:solidFill>
              <w14:schemeClr w14:val="tx1"/>
            </w14:solidFill>
          </w14:textFill>
        </w:rPr>
        <w:t>乙方无正当理由不得主动放弃入围资格或者退出框架协议。</w:t>
      </w:r>
    </w:p>
    <w:p>
      <w:pPr>
        <w:snapToGrid w:val="0"/>
        <w:spacing w:line="360" w:lineRule="auto"/>
        <w:ind w:firstLine="482"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第十二条</w:t>
      </w:r>
      <w:r>
        <w:rPr>
          <w:rFonts w:hint="eastAsia" w:ascii="仿宋_GB2312" w:hAnsi="宋体" w:eastAsia="仿宋_GB2312" w:cs="宋体"/>
          <w:color w:val="000000" w:themeColor="text1"/>
          <w:sz w:val="24"/>
          <w14:textFill>
            <w14:solidFill>
              <w14:schemeClr w14:val="tx1"/>
            </w14:solidFill>
          </w14:textFill>
        </w:rPr>
        <w:t xml:space="preserve"> 入围供应商清退规则：</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（一）入围供应商有下列情形之一，尚未签订框架协议的，取消其入围资格；已经签订框架协议的，解除与其签订的框架协议：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1、恶意串通谋取入围或者合同成交的；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2、提供虚假材料谋取入围或者合同成交的；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3、无正当理由拒不接受合同授予的；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4、不履行合同义务或者履行合同义务不符合约定，经采购人请求履行后仍不履行或者仍未按约定履行的；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5、框架协议有效期内，因违法行为被禁止或限制参加政府采购活动的；</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6、框架协议约定的其他情形。 </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（二）入围供应商无正当理由拒不与征集人签订框架协议的，取消其入围资格。</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（三）入围供应商如发生实质性变动（营业执照注销、不再符合本项目资格条件等）的，尚未签订框架协议的，取消其入围资格；已经签订框架协议的，解除与其签订的框架协议。</w:t>
      </w:r>
    </w:p>
    <w:p>
      <w:pPr>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（四）入围供应商履行服务未按要求提供服务费明细清单或未按不高于承诺的统一折扣率计算服务费用被发现的，将被提醒一次；入围供应商被提醒三次的，解除与其签订的框架协议。</w:t>
      </w:r>
    </w:p>
    <w:p>
      <w:pPr>
        <w:snapToGrid w:val="0"/>
        <w:spacing w:line="360" w:lineRule="auto"/>
        <w:ind w:firstLine="480"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（五）被取消入围资格或者被解除框架协议的供应商不得参加本封闭式框架协议补充征集。 </w:t>
      </w:r>
    </w:p>
    <w:p>
      <w:pPr>
        <w:snapToGrid w:val="0"/>
        <w:spacing w:line="360" w:lineRule="auto"/>
        <w:ind w:firstLine="525"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 xml:space="preserve">第十三条 </w:t>
      </w:r>
      <w:r>
        <w:rPr>
          <w:rFonts w:hint="eastAsia" w:ascii="仿宋_GB2312" w:hAnsi="宋体" w:eastAsia="仿宋_GB2312" w:cs="宋体"/>
          <w:color w:val="000000" w:themeColor="text1"/>
          <w:sz w:val="24"/>
          <w14:textFill>
            <w14:solidFill>
              <w14:schemeClr w14:val="tx1"/>
            </w14:solidFill>
          </w14:textFill>
        </w:rPr>
        <w:t>入围供应商补充规则：</w:t>
      </w:r>
    </w:p>
    <w:p>
      <w:pPr>
        <w:snapToGrid w:val="0"/>
        <w:spacing w:line="360" w:lineRule="auto"/>
        <w:ind w:firstLine="523"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框架协议有效期内如出现剩余入围供应商不足入围供应商总数70%且影响框架协议执行的情形时，征集人报财政部门审核同意后，将进行补充征集供应商。补充征集的条件、程序、评审方法和淘汰比例与初次征集相同。补充征集遵守原框架协议的有效期。补充征集期间，原框架协议继续履行。</w:t>
      </w:r>
    </w:p>
    <w:p>
      <w:pPr>
        <w:snapToGrid w:val="0"/>
        <w:spacing w:line="360" w:lineRule="auto"/>
        <w:ind w:firstLine="525"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第十四条</w:t>
      </w:r>
      <w:r>
        <w:rPr>
          <w:rFonts w:hint="eastAsia" w:ascii="仿宋_GB2312" w:hAnsi="宋体" w:eastAsia="仿宋_GB2312" w:cs="宋体"/>
          <w:color w:val="000000" w:themeColor="text1"/>
          <w:sz w:val="24"/>
          <w14:textFill>
            <w14:solidFill>
              <w14:schemeClr w14:val="tx1"/>
            </w14:solidFill>
          </w14:textFill>
        </w:rPr>
        <w:t xml:space="preserve"> 乙方和采购人发生争议的处理：</w:t>
      </w:r>
    </w:p>
    <w:p>
      <w:pPr>
        <w:snapToGrid w:val="0"/>
        <w:spacing w:line="360" w:lineRule="auto"/>
        <w:ind w:firstLine="523"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双方如发生合同纠纷，应当友好协商，并按《中华人民共和国民法典》、《中华人民共和国政府采购法》、《中华人民共和国政府采购法实施条例》、《政府采购框架协议采购方式管理暂行办法》等相关法律、法规、规章的规定及本项目征集文件的要求处理。</w:t>
      </w:r>
    </w:p>
    <w:p>
      <w:pPr>
        <w:snapToGrid w:val="0"/>
        <w:spacing w:line="360" w:lineRule="auto"/>
        <w:ind w:firstLine="482"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第十五条</w:t>
      </w:r>
      <w:r>
        <w:rPr>
          <w:rFonts w:hint="eastAsia" w:ascii="仿宋_GB2312" w:hAnsi="宋体" w:eastAsia="仿宋_GB2312" w:cs="宋体"/>
          <w:color w:val="000000" w:themeColor="text1"/>
          <w:sz w:val="24"/>
          <w14:textFill>
            <w14:solidFill>
              <w14:schemeClr w14:val="tx1"/>
            </w14:solidFill>
          </w14:textFill>
        </w:rPr>
        <w:t xml:space="preserve"> 本协议发生争议的处理：</w:t>
      </w:r>
    </w:p>
    <w:p>
      <w:pPr>
        <w:snapToGrid w:val="0"/>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    甲乙双方如发生协议纠纷，应当友好协商，并按《中华人民共和国民法典》、《中华人民共和国政府采购法》、《中华人民共和国政府采购法实施条例》、《政府采购框架协议采购方式管理暂行办法》等相关法律、法规、规章的规定及本项目征集文件的要求处理。</w:t>
      </w:r>
    </w:p>
    <w:p>
      <w:pPr>
        <w:snapToGrid w:val="0"/>
        <w:spacing w:line="360" w:lineRule="auto"/>
        <w:ind w:firstLine="525"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第十六条</w:t>
      </w:r>
      <w:r>
        <w:rPr>
          <w:rFonts w:hint="eastAsia" w:ascii="仿宋_GB2312" w:hAnsi="宋体" w:eastAsia="仿宋_GB2312" w:cs="宋体"/>
          <w:color w:val="000000" w:themeColor="text1"/>
          <w:sz w:val="24"/>
          <w14:textFill>
            <w14:solidFill>
              <w14:schemeClr w14:val="tx1"/>
            </w14:solidFill>
          </w14:textFill>
        </w:rPr>
        <w:t xml:space="preserve"> 违约责任：</w:t>
      </w:r>
    </w:p>
    <w:p>
      <w:pPr>
        <w:snapToGrid w:val="0"/>
        <w:spacing w:line="360" w:lineRule="auto"/>
        <w:ind w:firstLine="523"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1、甲乙双方要严格按协议书履约；</w:t>
      </w:r>
    </w:p>
    <w:p>
      <w:pPr>
        <w:snapToGrid w:val="0"/>
        <w:spacing w:line="360" w:lineRule="auto"/>
        <w:ind w:firstLine="523"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w:t>
      </w:r>
      <w:r>
        <w:rPr>
          <w:rFonts w:hint="eastAsia" w:ascii="仿宋_GB2312" w:eastAsia="仿宋_GB2312" w:cs="宋体"/>
          <w:color w:val="000000" w:themeColor="text1"/>
          <w:sz w:val="24"/>
          <w14:textFill>
            <w14:solidFill>
              <w14:schemeClr w14:val="tx1"/>
            </w14:solidFill>
          </w14:textFill>
        </w:rPr>
        <w:t>如甲方违反</w:t>
      </w:r>
      <w:r>
        <w:rPr>
          <w:rFonts w:hint="eastAsia" w:ascii="仿宋_GB2312" w:hAnsi="宋体" w:eastAsia="仿宋_GB2312" w:cs="宋体"/>
          <w:color w:val="000000" w:themeColor="text1"/>
          <w:sz w:val="24"/>
          <w14:textFill>
            <w14:solidFill>
              <w14:schemeClr w14:val="tx1"/>
            </w14:solidFill>
          </w14:textFill>
        </w:rPr>
        <w:t>本项目征集文件和协议书的有关规定，乙方有权向财政部门反映；</w:t>
      </w:r>
    </w:p>
    <w:p>
      <w:pPr>
        <w:snapToGrid w:val="0"/>
        <w:spacing w:line="360" w:lineRule="auto"/>
        <w:ind w:firstLine="523" w:firstLineChars="218"/>
        <w:jc w:val="left"/>
        <w:rPr>
          <w:rFonts w:ascii="仿宋_GB2312" w:hAnsi="宋体"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3、</w:t>
      </w:r>
      <w:r>
        <w:rPr>
          <w:rFonts w:hint="eastAsia" w:ascii="仿宋_GB2312" w:hAnsi="宋体" w:eastAsia="仿宋_GB2312" w:cs="宋体"/>
          <w:color w:val="000000" w:themeColor="text1"/>
          <w:sz w:val="24"/>
          <w14:textFill>
            <w14:solidFill>
              <w14:schemeClr w14:val="tx1"/>
            </w14:solidFill>
          </w14:textFill>
        </w:rPr>
        <w:t>如乙方违反本项目征集文件和协议书的有关规定，甲方有权根据本项目征集文件、协议书的规定对乙方进行处理，必要时按规定解除协议。</w:t>
      </w:r>
    </w:p>
    <w:p>
      <w:pPr>
        <w:autoSpaceDE w:val="0"/>
        <w:autoSpaceDN w:val="0"/>
        <w:snapToGrid w:val="0"/>
        <w:spacing w:line="360" w:lineRule="auto"/>
        <w:ind w:firstLine="482"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第十七条</w:t>
      </w:r>
      <w:r>
        <w:rPr>
          <w:rFonts w:hint="eastAsia" w:ascii="仿宋_GB2312" w:hAnsi="宋体" w:eastAsia="仿宋_GB2312" w:cs="宋体"/>
          <w:color w:val="000000" w:themeColor="text1"/>
          <w:sz w:val="24"/>
          <w14:textFill>
            <w14:solidFill>
              <w14:schemeClr w14:val="tx1"/>
            </w14:solidFill>
          </w14:textFill>
        </w:rPr>
        <w:t xml:space="preserve"> 协议的生效：</w:t>
      </w:r>
    </w:p>
    <w:p>
      <w:pPr>
        <w:numPr>
          <w:ilvl w:val="255"/>
          <w:numId w:val="0"/>
        </w:numPr>
        <w:autoSpaceDE w:val="0"/>
        <w:autoSpaceDN w:val="0"/>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1、本协议经甲乙双方加盖公章后生效。</w:t>
      </w:r>
    </w:p>
    <w:p>
      <w:pPr>
        <w:autoSpaceDE w:val="0"/>
        <w:autoSpaceDN w:val="0"/>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2、如有最新政策规定，甲乙双方按最新政策规定执行，不再签订补充协议。</w:t>
      </w:r>
    </w:p>
    <w:p>
      <w:pPr>
        <w:autoSpaceDE w:val="0"/>
        <w:autoSpaceDN w:val="0"/>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3、本项目征集文件、乙方响应文件均作为本协议的组成部分，具有同等效力。</w:t>
      </w:r>
    </w:p>
    <w:p>
      <w:pPr>
        <w:autoSpaceDE w:val="0"/>
        <w:autoSpaceDN w:val="0"/>
        <w:snapToGrid w:val="0"/>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4、本协议一式两份</w:t>
      </w:r>
      <w:r>
        <w:rPr>
          <w:rFonts w:hint="eastAsia" w:ascii="仿宋_GB2312" w:hAnsi="宋体" w:eastAsia="仿宋_GB2312" w:cs="宋体"/>
          <w:sz w:val="24"/>
        </w:rPr>
        <w:t>，甲乙双方各</w:t>
      </w:r>
      <w:r>
        <w:rPr>
          <w:rFonts w:hint="eastAsia" w:ascii="仿宋_GB2312" w:hAnsi="宋体" w:eastAsia="仿宋_GB2312" w:cs="宋体"/>
          <w:color w:val="000000" w:themeColor="text1"/>
          <w:sz w:val="24"/>
          <w14:textFill>
            <w14:solidFill>
              <w14:schemeClr w14:val="tx1"/>
            </w14:solidFill>
          </w14:textFill>
        </w:rPr>
        <w:t>执一份。</w:t>
      </w:r>
    </w:p>
    <w:p>
      <w:pPr>
        <w:autoSpaceDE w:val="0"/>
        <w:autoSpaceDN w:val="0"/>
        <w:spacing w:line="440" w:lineRule="exact"/>
        <w:ind w:firstLine="480"/>
        <w:jc w:val="left"/>
        <w:rPr>
          <w:rFonts w:ascii="仿宋_GB2312" w:hAnsi="宋体" w:eastAsia="仿宋_GB2312" w:cs="宋体"/>
          <w:sz w:val="24"/>
        </w:rPr>
      </w:pPr>
    </w:p>
    <w:tbl>
      <w:tblPr>
        <w:tblStyle w:val="62"/>
        <w:tblW w:w="9214" w:type="dxa"/>
        <w:jc w:val="center"/>
        <w:tblInd w:w="0" w:type="dxa"/>
        <w:tblLayout w:type="fixed"/>
        <w:tblCellMar>
          <w:top w:w="0" w:type="dxa"/>
          <w:left w:w="108" w:type="dxa"/>
          <w:bottom w:w="0" w:type="dxa"/>
          <w:right w:w="108" w:type="dxa"/>
        </w:tblCellMar>
      </w:tblPr>
      <w:tblGrid>
        <w:gridCol w:w="4962"/>
        <w:gridCol w:w="4252"/>
      </w:tblGrid>
      <w:tr>
        <w:tblPrEx>
          <w:tblLayout w:type="fixed"/>
          <w:tblCellMar>
            <w:top w:w="0" w:type="dxa"/>
            <w:left w:w="108" w:type="dxa"/>
            <w:bottom w:w="0" w:type="dxa"/>
            <w:right w:w="108" w:type="dxa"/>
          </w:tblCellMar>
        </w:tblPrEx>
        <w:trPr>
          <w:trHeight w:val="567" w:hRule="atLeast"/>
          <w:jc w:val="center"/>
        </w:trPr>
        <w:tc>
          <w:tcPr>
            <w:tcW w:w="496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甲方（盖章）：丽水市公共资源交易中心</w:t>
            </w:r>
          </w:p>
        </w:tc>
        <w:tc>
          <w:tcPr>
            <w:tcW w:w="425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乙方（盖章）：</w:t>
            </w:r>
          </w:p>
        </w:tc>
      </w:tr>
      <w:tr>
        <w:tblPrEx>
          <w:tblLayout w:type="fixed"/>
          <w:tblCellMar>
            <w:top w:w="0" w:type="dxa"/>
            <w:left w:w="108" w:type="dxa"/>
            <w:bottom w:w="0" w:type="dxa"/>
            <w:right w:w="108" w:type="dxa"/>
          </w:tblCellMar>
        </w:tblPrEx>
        <w:trPr>
          <w:trHeight w:val="567" w:hRule="atLeast"/>
          <w:jc w:val="center"/>
        </w:trPr>
        <w:tc>
          <w:tcPr>
            <w:tcW w:w="496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地址：丽水市人民街615号商会大厦5楼</w:t>
            </w:r>
          </w:p>
        </w:tc>
        <w:tc>
          <w:tcPr>
            <w:tcW w:w="425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xml:space="preserve">地址： </w:t>
            </w:r>
          </w:p>
        </w:tc>
      </w:tr>
      <w:tr>
        <w:tblPrEx>
          <w:tblLayout w:type="fixed"/>
          <w:tblCellMar>
            <w:top w:w="0" w:type="dxa"/>
            <w:left w:w="108" w:type="dxa"/>
            <w:bottom w:w="0" w:type="dxa"/>
            <w:right w:w="108" w:type="dxa"/>
          </w:tblCellMar>
        </w:tblPrEx>
        <w:trPr>
          <w:trHeight w:val="567" w:hRule="atLeast"/>
          <w:jc w:val="center"/>
        </w:trPr>
        <w:tc>
          <w:tcPr>
            <w:tcW w:w="496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联系人：</w:t>
            </w:r>
          </w:p>
        </w:tc>
        <w:tc>
          <w:tcPr>
            <w:tcW w:w="425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联系人：</w:t>
            </w:r>
          </w:p>
        </w:tc>
      </w:tr>
      <w:tr>
        <w:tblPrEx>
          <w:tblLayout w:type="fixed"/>
          <w:tblCellMar>
            <w:top w:w="0" w:type="dxa"/>
            <w:left w:w="108" w:type="dxa"/>
            <w:bottom w:w="0" w:type="dxa"/>
            <w:right w:w="108" w:type="dxa"/>
          </w:tblCellMar>
        </w:tblPrEx>
        <w:trPr>
          <w:trHeight w:val="567" w:hRule="atLeast"/>
          <w:jc w:val="center"/>
        </w:trPr>
        <w:tc>
          <w:tcPr>
            <w:tcW w:w="496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联系电话：</w:t>
            </w:r>
          </w:p>
        </w:tc>
        <w:tc>
          <w:tcPr>
            <w:tcW w:w="425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联系电话：</w:t>
            </w:r>
          </w:p>
        </w:tc>
      </w:tr>
      <w:tr>
        <w:tblPrEx>
          <w:tblLayout w:type="fixed"/>
          <w:tblCellMar>
            <w:top w:w="0" w:type="dxa"/>
            <w:left w:w="108" w:type="dxa"/>
            <w:bottom w:w="0" w:type="dxa"/>
            <w:right w:w="108" w:type="dxa"/>
          </w:tblCellMar>
        </w:tblPrEx>
        <w:trPr>
          <w:trHeight w:val="567" w:hRule="atLeast"/>
          <w:jc w:val="center"/>
        </w:trPr>
        <w:tc>
          <w:tcPr>
            <w:tcW w:w="496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签约日期：   年    月    日</w:t>
            </w:r>
          </w:p>
        </w:tc>
        <w:tc>
          <w:tcPr>
            <w:tcW w:w="4252"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签约日期：   年   月    日</w:t>
            </w:r>
          </w:p>
        </w:tc>
      </w:tr>
    </w:tbl>
    <w:p>
      <w:pPr>
        <w:pStyle w:val="26"/>
        <w:ind w:firstLine="420"/>
        <w:rPr>
          <w:rFonts w:ascii="仿宋_GB2312" w:eastAsia="仿宋_GB2312"/>
        </w:rPr>
      </w:pPr>
    </w:p>
    <w:p>
      <w:pPr>
        <w:widowControl/>
        <w:adjustRightInd/>
        <w:jc w:val="left"/>
        <w:rPr>
          <w:rFonts w:ascii="仿宋_GB2312" w:hAnsi="宋体" w:eastAsia="仿宋_GB2312" w:cs="宋体"/>
          <w:b/>
          <w:color w:val="000000" w:themeColor="text1"/>
          <w:sz w:val="36"/>
          <w:szCs w:val="20"/>
          <w14:textFill>
            <w14:solidFill>
              <w14:schemeClr w14:val="tx1"/>
            </w14:solidFill>
          </w14:textFill>
        </w:rPr>
      </w:pPr>
      <w:r>
        <w:rPr>
          <w:rFonts w:hint="eastAsia" w:ascii="仿宋_GB2312" w:hAnsi="宋体" w:eastAsia="仿宋_GB2312" w:cs="宋体"/>
          <w:b/>
          <w:color w:val="000000" w:themeColor="text1"/>
          <w:sz w:val="36"/>
          <w:szCs w:val="20"/>
          <w14:textFill>
            <w14:solidFill>
              <w14:schemeClr w14:val="tx1"/>
            </w14:solidFill>
          </w14:textFill>
        </w:rPr>
        <w:br w:type="page"/>
      </w:r>
    </w:p>
    <w:p>
      <w:pPr>
        <w:pStyle w:val="26"/>
        <w:ind w:left="0" w:leftChars="0" w:firstLine="0" w:firstLineChars="0"/>
        <w:jc w:val="center"/>
        <w:rPr>
          <w:rFonts w:ascii="仿宋_GB2312" w:eastAsia="仿宋_GB2312" w:cs="宋体"/>
          <w:b/>
          <w:color w:val="000000" w:themeColor="text1"/>
          <w:sz w:val="36"/>
          <w:szCs w:val="20"/>
          <w14:textFill>
            <w14:solidFill>
              <w14:schemeClr w14:val="tx1"/>
            </w14:solidFill>
          </w14:textFill>
        </w:rPr>
      </w:pPr>
      <w:r>
        <w:rPr>
          <w:rFonts w:hint="eastAsia" w:ascii="仿宋_GB2312" w:eastAsia="仿宋_GB2312" w:cs="宋体"/>
          <w:b/>
          <w:color w:val="000000" w:themeColor="text1"/>
          <w:sz w:val="32"/>
          <w:szCs w:val="32"/>
          <w14:textFill>
            <w14:solidFill>
              <w14:schemeClr w14:val="tx1"/>
            </w14:solidFill>
          </w14:textFill>
        </w:rPr>
        <w:t>审计服务采购合同</w:t>
      </w:r>
    </w:p>
    <w:p>
      <w:pPr>
        <w:rPr>
          <w:rFonts w:ascii="仿宋_GB2312" w:hAnsi="宋体" w:eastAsia="仿宋_GB2312" w:cs="宋体"/>
          <w:color w:val="000000" w:themeColor="text1"/>
          <w:sz w:val="24"/>
          <w14:textFill>
            <w14:solidFill>
              <w14:schemeClr w14:val="tx1"/>
            </w14:solidFill>
          </w14:textFill>
        </w:rPr>
      </w:pP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采购人（甲方）： </w:t>
      </w: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住所：</w:t>
      </w: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联系人：</w:t>
      </w: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联系方式：</w:t>
      </w:r>
    </w:p>
    <w:p>
      <w:pPr>
        <w:spacing w:line="360" w:lineRule="auto"/>
        <w:jc w:val="left"/>
        <w:rPr>
          <w:rFonts w:ascii="仿宋_GB2312" w:hAnsi="宋体" w:eastAsia="仿宋_GB2312" w:cs="宋体"/>
          <w:color w:val="000000" w:themeColor="text1"/>
          <w:sz w:val="24"/>
          <w14:textFill>
            <w14:solidFill>
              <w14:schemeClr w14:val="tx1"/>
            </w14:solidFill>
          </w14:textFill>
        </w:rPr>
      </w:pP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成交供应商（乙方）：  </w:t>
      </w: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住所：</w:t>
      </w: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联系人：</w:t>
      </w:r>
    </w:p>
    <w:p>
      <w:pPr>
        <w:spacing w:line="360" w:lineRule="auto"/>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联系方式：</w:t>
      </w:r>
    </w:p>
    <w:p>
      <w:pPr>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p>
    <w:p>
      <w:pPr>
        <w:spacing w:line="360" w:lineRule="auto"/>
        <w:ind w:firstLine="480"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根据2025-2026年度丽水市（市本级、莲都区、开发区、缙云县、云和县）审计服务封闭式框架协议采购项目（项目编号：</w:t>
      </w:r>
      <w:r>
        <w:rPr>
          <w:rFonts w:ascii="仿宋_GB2312" w:hAnsi="宋体" w:eastAsia="仿宋_GB2312" w:cs="宋体"/>
          <w:color w:val="000000" w:themeColor="text1"/>
          <w:sz w:val="24"/>
          <w14:textFill>
            <w14:solidFill>
              <w14:schemeClr w14:val="tx1"/>
            </w14:solidFill>
          </w14:textFill>
        </w:rPr>
        <w:t>LCK2024-003</w:t>
      </w:r>
      <w:r>
        <w:rPr>
          <w:rFonts w:hint="eastAsia" w:ascii="仿宋_GB2312" w:hAnsi="宋体" w:eastAsia="仿宋_GB2312" w:cs="宋体"/>
          <w:color w:val="000000" w:themeColor="text1"/>
          <w:sz w:val="24"/>
          <w14:textFill>
            <w14:solidFill>
              <w14:schemeClr w14:val="tx1"/>
            </w14:solidFill>
          </w14:textFill>
        </w:rPr>
        <w:t>）公开征集文件、入围结果、框架协议和《中华人民共和国政府采购法》、《中华人民共和国政府采购法实施条例》、《政府采购框架协议采购方式管理暂行办法》等相关法律、法规、规章要求，双方经协商，达成以下条款：</w:t>
      </w:r>
    </w:p>
    <w:p>
      <w:p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
          <w:sz w:val="24"/>
        </w:rPr>
        <w:t>一、审计的范围、目的、对象</w:t>
      </w:r>
    </w:p>
    <w:p>
      <w:pPr>
        <w:spacing w:line="5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 乙方接受甲方委托，对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进行审计。</w:t>
      </w:r>
    </w:p>
    <w:p>
      <w:pPr>
        <w:pStyle w:val="25"/>
        <w:spacing w:line="500" w:lineRule="exact"/>
        <w:rPr>
          <w:rFonts w:ascii="仿宋_GB2312" w:hAnsi="仿宋_GB2312" w:eastAsia="仿宋_GB2312" w:cs="仿宋_GB2312"/>
        </w:rPr>
      </w:pPr>
      <w:r>
        <w:rPr>
          <w:rFonts w:hint="eastAsia" w:ascii="仿宋_GB2312" w:hAnsi="仿宋_GB2312" w:eastAsia="仿宋_GB2312" w:cs="仿宋_GB2312"/>
        </w:rPr>
        <w:t>2、 乙方通过执行审计工作，对</w:t>
      </w:r>
      <w:r>
        <w:rPr>
          <w:rFonts w:hint="eastAsia" w:ascii="仿宋_GB2312" w:hAnsi="仿宋_GB2312" w:eastAsia="仿宋_GB2312" w:cs="仿宋_GB2312"/>
          <w:u w:val="single"/>
        </w:rPr>
        <w:t xml:space="preserve">              </w:t>
      </w:r>
      <w:r>
        <w:rPr>
          <w:rFonts w:hint="eastAsia" w:ascii="仿宋_GB2312" w:hAnsi="仿宋_GB2312" w:eastAsia="仿宋_GB2312" w:cs="仿宋_GB2312"/>
        </w:rPr>
        <w:t>发表审计意见。</w:t>
      </w:r>
    </w:p>
    <w:p>
      <w:pPr>
        <w:pStyle w:val="25"/>
        <w:spacing w:line="500" w:lineRule="exact"/>
        <w:rPr>
          <w:rFonts w:ascii="仿宋_GB2312" w:hAnsi="仿宋_GB2312" w:eastAsia="仿宋_GB2312" w:cs="仿宋_GB2312"/>
          <w:u w:val="single"/>
        </w:rPr>
      </w:pPr>
      <w:r>
        <w:rPr>
          <w:rFonts w:hint="eastAsia" w:ascii="仿宋_GB2312" w:hAnsi="仿宋_GB2312" w:eastAsia="仿宋_GB2312" w:cs="仿宋_GB2312"/>
        </w:rPr>
        <w:t>3、</w:t>
      </w:r>
      <w:r>
        <w:rPr>
          <w:rFonts w:hint="eastAsia" w:ascii="仿宋_GB2312" w:hAnsi="仿宋_GB2312" w:eastAsia="仿宋_GB2312" w:cs="仿宋_GB2312"/>
          <w:kern w:val="0"/>
        </w:rPr>
        <w:t>审计对象：</w:t>
      </w:r>
      <w:r>
        <w:rPr>
          <w:rFonts w:hint="eastAsia" w:ascii="仿宋_GB2312" w:hAnsi="仿宋_GB2312" w:eastAsia="仿宋_GB2312" w:cs="仿宋_GB2312"/>
          <w:kern w:val="0"/>
          <w:u w:val="single"/>
        </w:rPr>
        <w:t xml:space="preserve">                                       </w:t>
      </w:r>
      <w:r>
        <w:rPr>
          <w:rFonts w:hint="eastAsia" w:ascii="仿宋_GB2312" w:hAnsi="仿宋_GB2312" w:eastAsia="仿宋_GB2312" w:cs="仿宋_GB2312"/>
          <w:kern w:val="0"/>
        </w:rPr>
        <w:t>。</w:t>
      </w:r>
    </w:p>
    <w:p>
      <w:p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
          <w:sz w:val="24"/>
        </w:rPr>
        <w:t>二、委托审计的内容、期间：</w:t>
      </w:r>
    </w:p>
    <w:p>
      <w:pPr>
        <w:spacing w:line="500" w:lineRule="exact"/>
        <w:ind w:firstLine="510"/>
        <w:rPr>
          <w:rFonts w:ascii="仿宋_GB2312" w:hAnsi="仿宋_GB2312" w:eastAsia="仿宋_GB2312" w:cs="仿宋_GB2312"/>
          <w:b/>
          <w:sz w:val="24"/>
          <w:u w:val="single"/>
        </w:rPr>
      </w:pPr>
      <w:r>
        <w:rPr>
          <w:rFonts w:hint="eastAsia" w:ascii="仿宋_GB2312" w:hAnsi="仿宋_GB2312" w:eastAsia="仿宋_GB2312" w:cs="仿宋_GB2312"/>
          <w:b/>
          <w:sz w:val="24"/>
          <w:u w:val="single"/>
        </w:rPr>
        <w:t xml:space="preserve">                                                    </w:t>
      </w:r>
    </w:p>
    <w:p>
      <w:pPr>
        <w:numPr>
          <w:ilvl w:val="0"/>
          <w:numId w:val="3"/>
        </w:num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
          <w:sz w:val="24"/>
        </w:rPr>
        <w:t>完成时间</w:t>
      </w:r>
    </w:p>
    <w:p>
      <w:pPr>
        <w:spacing w:line="50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 xml:space="preserve">1、乙方应于本合同签订后的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个工作日内，向甲方递交审计工作方案。</w:t>
      </w:r>
    </w:p>
    <w:p>
      <w:pPr>
        <w:autoSpaceDE w:val="0"/>
        <w:autoSpaceDN w:val="0"/>
        <w:spacing w:line="50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2、乙方应在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日前，向甲方递交审计报告。</w:t>
      </w:r>
    </w:p>
    <w:p>
      <w:p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
          <w:sz w:val="24"/>
        </w:rPr>
        <w:t>四、审计报告的使用范围和使用责任</w:t>
      </w:r>
    </w:p>
    <w:p>
      <w:p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Cs/>
          <w:sz w:val="24"/>
        </w:rPr>
        <w:t>乙方向甲方出具审计报告</w:t>
      </w:r>
      <w:r>
        <w:rPr>
          <w:rFonts w:hint="eastAsia" w:ascii="仿宋_GB2312" w:hAnsi="仿宋_GB2312" w:eastAsia="仿宋_GB2312" w:cs="仿宋_GB2312"/>
          <w:bCs/>
          <w:sz w:val="24"/>
          <w:u w:val="single"/>
        </w:rPr>
        <w:t>一式      份</w:t>
      </w:r>
      <w:r>
        <w:rPr>
          <w:rFonts w:hint="eastAsia" w:ascii="仿宋_GB2312" w:hAnsi="仿宋_GB2312" w:eastAsia="仿宋_GB2312" w:cs="仿宋_GB2312"/>
          <w:bCs/>
          <w:sz w:val="24"/>
        </w:rPr>
        <w:t>，由甲方分发、使用。恰当使用审计报告是甲方的责任，如出现使用不当的情况与乙方无关。乙方向甲方出具的审计报告的审计责任，并不能替代、减轻或免除有关单位的会计责任。</w:t>
      </w:r>
    </w:p>
    <w:p>
      <w:p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
          <w:sz w:val="24"/>
        </w:rPr>
        <w:t>五、服务要求</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乙方应遵守以下服务标准：</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1、自觉遵守相关法律、法规及有关规定，严格执行审计准则，遵守廉政纪律和职业道德，保守甲方、被审计单位、服务对象资料数据的秘密；</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2、严格按照有关规定和要求实施审计服务，按甲方的质量和进度要求及时提供结果、报告以及与服务事项相关的资料，按规定的格式、要求起草有关文书和相关材料；</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3、不得将承接的业务对外转包，不得以任何借口违反审计准则和质量控制准则，降低执业（工作）质量；</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4、愿意接受相关部门对项目质量的审查考核。</w:t>
      </w:r>
    </w:p>
    <w:p>
      <w:pPr>
        <w:spacing w:line="500" w:lineRule="exact"/>
        <w:ind w:firstLine="510"/>
        <w:rPr>
          <w:rFonts w:ascii="仿宋_GB2312" w:hAnsi="仿宋_GB2312" w:eastAsia="仿宋_GB2312" w:cs="仿宋_GB2312"/>
          <w:b/>
          <w:sz w:val="24"/>
        </w:rPr>
      </w:pPr>
      <w:r>
        <w:rPr>
          <w:rFonts w:hint="eastAsia" w:ascii="仿宋_GB2312" w:hAnsi="仿宋_GB2312" w:eastAsia="仿宋_GB2312" w:cs="仿宋_GB2312"/>
          <w:b/>
          <w:sz w:val="24"/>
        </w:rPr>
        <w:t>六、服务费用支付方式</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（一）收费标准</w:t>
      </w:r>
    </w:p>
    <w:p>
      <w:pPr>
        <w:spacing w:line="500" w:lineRule="exact"/>
        <w:ind w:firstLine="510"/>
        <w:rPr>
          <w:rFonts w:ascii="仿宋_GB2312" w:hAnsi="仿宋_GB2312" w:eastAsia="仿宋_GB2312" w:cs="仿宋_GB2312"/>
          <w:bCs/>
          <w:sz w:val="24"/>
        </w:rPr>
      </w:pPr>
      <w:r>
        <w:rPr>
          <w:rFonts w:hint="eastAsia" w:ascii="仿宋_GB2312" w:hAnsi="仿宋_GB2312" w:eastAsia="仿宋_GB2312" w:cs="仿宋_GB2312"/>
          <w:bCs/>
          <w:sz w:val="24"/>
        </w:rPr>
        <w:t>1、审计服务最高限价</w:t>
      </w:r>
    </w:p>
    <w:p>
      <w:pPr>
        <w:spacing w:line="500" w:lineRule="exact"/>
        <w:ind w:firstLine="510"/>
        <w:rPr>
          <w:rFonts w:ascii="仿宋_GB2312" w:hAnsi="仿宋_GB2312" w:eastAsia="仿宋_GB2312" w:cs="仿宋_GB2312"/>
          <w:b/>
          <w:sz w:val="24"/>
          <w:lang w:val="zh-CN"/>
        </w:rPr>
      </w:pPr>
      <w:r>
        <w:rPr>
          <w:rFonts w:hint="eastAsia" w:ascii="仿宋_GB2312" w:hAnsi="仿宋_GB2312" w:eastAsia="仿宋_GB2312" w:cs="仿宋_GB2312"/>
          <w:b/>
          <w:sz w:val="24"/>
          <w:lang w:val="zh-CN"/>
        </w:rPr>
        <w:t>按工作量计时收费：</w:t>
      </w:r>
    </w:p>
    <w:tbl>
      <w:tblPr>
        <w:tblStyle w:val="62"/>
        <w:tblW w:w="89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1"/>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6091" w:type="dxa"/>
            <w:vAlign w:val="center"/>
          </w:tcPr>
          <w:p>
            <w:pPr>
              <w:snapToGrid w:val="0"/>
              <w:jc w:val="left"/>
              <w:rPr>
                <w:rFonts w:ascii="仿宋_GB2312" w:eastAsia="仿宋_GB2312" w:hAnsiTheme="minorEastAsia" w:cstheme="minorEastAsia"/>
                <w:sz w:val="24"/>
              </w:rPr>
            </w:pPr>
            <w:r>
              <w:rPr>
                <w:rFonts w:hint="eastAsia" w:ascii="仿宋_GB2312" w:eastAsia="仿宋_GB2312" w:hAnsiTheme="minorEastAsia" w:cstheme="minorEastAsia"/>
                <w:bCs/>
                <w:sz w:val="24"/>
                <w:lang w:val="zh-CN"/>
              </w:rPr>
              <w:t>副高级及以上技术职称（或注册会计师）专业人员单价</w:t>
            </w:r>
          </w:p>
        </w:tc>
        <w:tc>
          <w:tcPr>
            <w:tcW w:w="2828" w:type="dxa"/>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rPr>
              <w:t>1000元/人</w:t>
            </w:r>
            <w:r>
              <w:rPr>
                <w:rFonts w:hint="eastAsia" w:ascii="微软雅黑" w:hAnsi="微软雅黑" w:eastAsia="微软雅黑" w:cs="微软雅黑"/>
                <w:sz w:val="24"/>
              </w:rPr>
              <w:t>•</w:t>
            </w:r>
            <w:r>
              <w:rPr>
                <w:rFonts w:hint="eastAsia" w:ascii="仿宋_GB2312" w:eastAsia="仿宋_GB2312" w:hAnsiTheme="minorEastAsia" w:cstheme="minorEastAsia"/>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6091" w:type="dxa"/>
            <w:vAlign w:val="center"/>
          </w:tcPr>
          <w:p>
            <w:pPr>
              <w:snapToGrid w:val="0"/>
              <w:jc w:val="left"/>
              <w:rPr>
                <w:rFonts w:ascii="仿宋_GB2312" w:eastAsia="仿宋_GB2312" w:hAnsiTheme="minorEastAsia" w:cstheme="minorEastAsia"/>
                <w:sz w:val="24"/>
              </w:rPr>
            </w:pPr>
            <w:r>
              <w:rPr>
                <w:rFonts w:hint="eastAsia" w:ascii="仿宋_GB2312" w:eastAsia="仿宋_GB2312" w:hAnsiTheme="minorEastAsia" w:cstheme="minorEastAsia"/>
                <w:bCs/>
                <w:sz w:val="24"/>
              </w:rPr>
              <w:t>助理人员、</w:t>
            </w:r>
            <w:r>
              <w:rPr>
                <w:rFonts w:hint="eastAsia" w:ascii="仿宋_GB2312" w:eastAsia="仿宋_GB2312" w:hAnsiTheme="minorEastAsia" w:cstheme="minorEastAsia"/>
                <w:bCs/>
                <w:sz w:val="24"/>
                <w:lang w:val="zh-CN"/>
              </w:rPr>
              <w:t>中级技术职称及以下专业人员单价</w:t>
            </w:r>
          </w:p>
        </w:tc>
        <w:tc>
          <w:tcPr>
            <w:tcW w:w="2828" w:type="dxa"/>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rPr>
              <w:t>700元/人</w:t>
            </w:r>
            <w:r>
              <w:rPr>
                <w:rFonts w:hint="eastAsia" w:ascii="微软雅黑" w:hAnsi="微软雅黑" w:eastAsia="微软雅黑" w:cs="微软雅黑"/>
                <w:sz w:val="24"/>
              </w:rPr>
              <w:t>•</w:t>
            </w:r>
            <w:r>
              <w:rPr>
                <w:rFonts w:hint="eastAsia" w:ascii="仿宋_GB2312" w:eastAsia="仿宋_GB2312" w:hAnsiTheme="minorEastAsia" w:cstheme="minorEastAsia"/>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919" w:type="dxa"/>
            <w:gridSpan w:val="2"/>
            <w:vAlign w:val="center"/>
          </w:tcPr>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备注：</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1、一天工作时间按8小时计算。</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2、价格包括项目组人员成本、专家咨询费、交通费、食宿费、税费等完成本项目所需的全部费用。</w:t>
            </w:r>
          </w:p>
        </w:tc>
      </w:tr>
    </w:tbl>
    <w:p>
      <w:pPr>
        <w:wordWrap w:val="0"/>
        <w:adjustRightInd/>
        <w:spacing w:line="500" w:lineRule="exact"/>
        <w:ind w:firstLine="480" w:firstLineChars="200"/>
        <w:rPr>
          <w:rFonts w:ascii="仿宋_GB2312" w:eastAsia="仿宋_GB2312" w:hAnsiTheme="minorEastAsia" w:cstheme="minorEastAsia"/>
          <w:sz w:val="24"/>
        </w:rPr>
      </w:pPr>
      <w:r>
        <w:rPr>
          <w:rFonts w:ascii="仿宋_GB2312" w:eastAsia="仿宋_GB2312" w:hAnsiTheme="minorEastAsia" w:cstheme="minorEastAsia"/>
          <w:sz w:val="24"/>
        </w:rPr>
        <w:t>2</w:t>
      </w:r>
      <w:r>
        <w:rPr>
          <w:rFonts w:hint="eastAsia" w:ascii="仿宋_GB2312" w:eastAsia="仿宋_GB2312" w:hAnsiTheme="minorEastAsia" w:cstheme="minorEastAsia"/>
          <w:sz w:val="24"/>
        </w:rPr>
        <w:t>、</w:t>
      </w:r>
      <w:r>
        <w:rPr>
          <w:rFonts w:hint="eastAsia" w:ascii="仿宋_GB2312" w:eastAsia="仿宋_GB2312" w:hAnsiTheme="minorEastAsia" w:cstheme="minorEastAsia"/>
          <w:sz w:val="24"/>
          <w:lang w:val="zh-CN"/>
        </w:rPr>
        <w:t>协议价格</w:t>
      </w:r>
    </w:p>
    <w:tbl>
      <w:tblPr>
        <w:tblStyle w:val="63"/>
        <w:tblW w:w="9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716"/>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202" w:type="dxa"/>
            <w:gridSpan w:val="2"/>
            <w:shd w:val="clear" w:color="auto" w:fill="FFFFFF" w:themeFill="background1"/>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lang w:val="zh-CN"/>
              </w:rPr>
              <w:t>乙方第一阶段响应报价（</w:t>
            </w:r>
            <w:r>
              <w:rPr>
                <w:rFonts w:hint="eastAsia" w:ascii="仿宋_GB2312" w:eastAsia="仿宋_GB2312" w:hAnsiTheme="minorEastAsia" w:cstheme="minorEastAsia"/>
                <w:sz w:val="24"/>
              </w:rPr>
              <w:t>即</w:t>
            </w:r>
            <w:r>
              <w:rPr>
                <w:rFonts w:hint="eastAsia" w:ascii="仿宋_GB2312" w:eastAsia="仿宋_GB2312" w:hAnsiTheme="minorEastAsia" w:cstheme="minorEastAsia"/>
                <w:sz w:val="24"/>
                <w:lang w:val="zh-CN"/>
              </w:rPr>
              <w:t>协议价格）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662" w:hRule="atLeast"/>
          <w:jc w:val="center"/>
        </w:trPr>
        <w:tc>
          <w:tcPr>
            <w:tcW w:w="6716" w:type="dxa"/>
            <w:shd w:val="clear" w:color="auto" w:fill="FFFFFF" w:themeFill="background1"/>
            <w:vAlign w:val="center"/>
          </w:tcPr>
          <w:p>
            <w:pPr>
              <w:snapToGrid w:val="0"/>
              <w:jc w:val="center"/>
              <w:rPr>
                <w:rFonts w:ascii="仿宋_GB2312" w:eastAsia="仿宋_GB2312" w:hAnsiTheme="minorEastAsia" w:cstheme="minorEastAsia"/>
                <w:sz w:val="24"/>
              </w:rPr>
            </w:pPr>
            <w:r>
              <w:rPr>
                <w:rFonts w:hint="eastAsia" w:ascii="仿宋_GB2312" w:eastAsia="仿宋_GB2312" w:hAnsiTheme="minorEastAsia" w:cstheme="minorEastAsia"/>
                <w:sz w:val="24"/>
              </w:rPr>
              <w:t>▲</w:t>
            </w:r>
            <w:r>
              <w:rPr>
                <w:rFonts w:hint="eastAsia" w:ascii="仿宋_GB2312" w:eastAsia="仿宋_GB2312" w:hAnsiTheme="minorEastAsia" w:cstheme="minorEastAsia"/>
                <w:sz w:val="24"/>
                <w:lang w:val="zh-CN"/>
              </w:rPr>
              <w:t>统一</w:t>
            </w:r>
            <w:r>
              <w:rPr>
                <w:rFonts w:hint="eastAsia" w:ascii="仿宋_GB2312" w:eastAsia="仿宋_GB2312" w:hAnsiTheme="minorEastAsia" w:cstheme="minorEastAsia"/>
                <w:sz w:val="24"/>
              </w:rPr>
              <w:t>优惠</w:t>
            </w:r>
            <w:r>
              <w:rPr>
                <w:rFonts w:hint="eastAsia" w:ascii="仿宋_GB2312" w:eastAsia="仿宋_GB2312" w:hAnsiTheme="minorEastAsia" w:cstheme="minorEastAsia"/>
                <w:sz w:val="24"/>
                <w:lang w:val="zh-CN"/>
              </w:rPr>
              <w:t>率</w:t>
            </w:r>
          </w:p>
        </w:tc>
        <w:tc>
          <w:tcPr>
            <w:tcW w:w="2486" w:type="dxa"/>
            <w:shd w:val="clear" w:color="auto" w:fill="FFFFFF" w:themeFill="background1"/>
            <w:vAlign w:val="center"/>
          </w:tcPr>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u w:val="single"/>
              </w:rPr>
              <w:t xml:space="preserve">     </w:t>
            </w:r>
            <w:r>
              <w:rPr>
                <w:rFonts w:hint="eastAsia" w:ascii="仿宋_GB2312" w:eastAsia="仿宋_GB2312" w:hAnsiTheme="minorEastAsia" w:cs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9202" w:type="dxa"/>
            <w:gridSpan w:val="2"/>
            <w:shd w:val="clear" w:color="auto" w:fill="FFFFFF" w:themeFill="background1"/>
            <w:vAlign w:val="center"/>
          </w:tcPr>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注：</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计费举例：</w:t>
            </w:r>
          </w:p>
          <w:p>
            <w:pPr>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按工作量计时价格：如某供应商第一阶段响应报价给予的统一优惠率为10%，则</w:t>
            </w:r>
            <w:r>
              <w:rPr>
                <w:rFonts w:hint="eastAsia" w:ascii="仿宋_GB2312" w:eastAsia="仿宋_GB2312" w:hAnsiTheme="minorEastAsia" w:cstheme="minorEastAsia"/>
                <w:bCs/>
                <w:color w:val="000000"/>
                <w:sz w:val="24"/>
                <w:lang w:val="zh-CN"/>
              </w:rPr>
              <w:t>副高级及以上技术职称（或注册会计师）专业人员</w:t>
            </w:r>
            <w:r>
              <w:rPr>
                <w:rFonts w:hint="eastAsia" w:ascii="仿宋_GB2312" w:eastAsia="仿宋_GB2312" w:hAnsiTheme="minorEastAsia" w:cstheme="minorEastAsia"/>
                <w:sz w:val="24"/>
              </w:rPr>
              <w:t>的第一阶段响应报价为：1000×（1-10%）=900元/天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人，助理人员、</w:t>
            </w:r>
            <w:r>
              <w:rPr>
                <w:rFonts w:hint="eastAsia" w:ascii="仿宋_GB2312" w:eastAsia="仿宋_GB2312" w:hAnsiTheme="minorEastAsia" w:cstheme="minorEastAsia"/>
                <w:bCs/>
                <w:color w:val="000000"/>
                <w:sz w:val="24"/>
                <w:lang w:val="zh-CN"/>
              </w:rPr>
              <w:t>中级技术职称及以下专业人员</w:t>
            </w:r>
            <w:r>
              <w:rPr>
                <w:rFonts w:hint="eastAsia" w:ascii="仿宋_GB2312" w:eastAsia="仿宋_GB2312" w:hAnsiTheme="minorEastAsia" w:cstheme="minorEastAsia"/>
                <w:sz w:val="24"/>
              </w:rPr>
              <w:t>的第一阶段响应报价为：700×（1-10%）=630元/天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人。该供应商入围后，则</w:t>
            </w:r>
            <w:r>
              <w:rPr>
                <w:rFonts w:hint="eastAsia" w:ascii="仿宋_GB2312" w:eastAsia="仿宋_GB2312" w:hAnsiTheme="minorEastAsia" w:cstheme="minorEastAsia"/>
                <w:sz w:val="24"/>
              </w:rPr>
              <w:t>在第二阶段的最高限价即为副高级及以上技术职称（或注册会计师）专业人员不超过900元/天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人，助理人员、中级技术职称及以下专业人员不超过</w:t>
            </w:r>
            <w:r>
              <w:rPr>
                <w:rFonts w:hint="eastAsia" w:ascii="仿宋_GB2312" w:eastAsia="仿宋_GB2312" w:hAnsiTheme="minorEastAsia" w:cstheme="minorEastAsia"/>
                <w:sz w:val="24"/>
              </w:rPr>
              <w:t>630元/天</w:t>
            </w:r>
            <w:r>
              <w:rPr>
                <w:rFonts w:hint="eastAsia" w:cs="微软雅黑" w:asciiTheme="minorEastAsia" w:hAnsiTheme="minorEastAsia" w:eastAsiaTheme="minorEastAsia"/>
                <w:sz w:val="24"/>
              </w:rPr>
              <w:t>•</w:t>
            </w:r>
            <w:r>
              <w:rPr>
                <w:rFonts w:hint="eastAsia" w:ascii="仿宋_GB2312" w:hAnsi="仿宋_GB2312" w:eastAsia="仿宋_GB2312" w:cs="仿宋_GB2312"/>
                <w:sz w:val="24"/>
              </w:rPr>
              <w:t>人。</w:t>
            </w:r>
          </w:p>
        </w:tc>
      </w:tr>
    </w:tbl>
    <w:p>
      <w:pPr>
        <w:adjustRightInd/>
        <w:spacing w:line="360" w:lineRule="auto"/>
        <w:ind w:firstLine="480" w:firstLineChars="200"/>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color w:val="000000" w:themeColor="text1"/>
          <w:sz w:val="24"/>
          <w14:textFill>
            <w14:solidFill>
              <w14:schemeClr w14:val="tx1"/>
            </w14:solidFill>
          </w14:textFill>
        </w:rPr>
        <w:t>（二）本次服务费</w:t>
      </w:r>
    </w:p>
    <w:p>
      <w:pPr>
        <w:adjustRightInd/>
        <w:spacing w:line="360" w:lineRule="auto"/>
        <w:ind w:firstLine="480" w:firstLineChars="200"/>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color w:val="000000" w:themeColor="text1"/>
          <w:sz w:val="24"/>
          <w14:textFill>
            <w14:solidFill>
              <w14:schemeClr w14:val="tx1"/>
            </w14:solidFill>
          </w14:textFill>
        </w:rPr>
        <w:t>按工作量计时收费：（具体服务人员的工日数在验收资料里列明）</w:t>
      </w:r>
    </w:p>
    <w:p>
      <w:pPr>
        <w:adjustRightInd/>
        <w:spacing w:line="360" w:lineRule="auto"/>
        <w:ind w:firstLine="480" w:firstLineChars="200"/>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sz w:val="24"/>
          <w:lang w:val="zh-CN"/>
        </w:rPr>
        <w:t>副高级及以上技术职称专业人员收费</w:t>
      </w:r>
      <w:r>
        <w:rPr>
          <w:rFonts w:hint="eastAsia" w:ascii="仿宋_GB2312" w:eastAsia="仿宋_GB2312" w:hAnsiTheme="minorEastAsia" w:cstheme="minorEastAsia"/>
          <w:bCs/>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bCs/>
          <w:color w:val="000000" w:themeColor="text1"/>
          <w:sz w:val="24"/>
          <w14:textFill>
            <w14:solidFill>
              <w14:schemeClr w14:val="tx1"/>
            </w14:solidFill>
          </w14:textFill>
        </w:rPr>
        <w:t>元/天</w:t>
      </w:r>
      <w:r>
        <w:rPr>
          <w:rFonts w:hint="eastAsia" w:ascii="宋体" w:hAnsi="宋体" w:cs="微软雅黑"/>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人，人数</w:t>
      </w:r>
      <w:r>
        <w:rPr>
          <w:rFonts w:hint="eastAsia" w:ascii="仿宋_GB2312" w:eastAsia="仿宋_GB2312" w:hAnsiTheme="minorEastAsia" w:cstheme="minorEastAsia"/>
          <w:bCs/>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bCs/>
          <w:color w:val="000000" w:themeColor="text1"/>
          <w:sz w:val="24"/>
          <w14:textFill>
            <w14:solidFill>
              <w14:schemeClr w14:val="tx1"/>
            </w14:solidFill>
          </w14:textFill>
        </w:rPr>
        <w:t>；</w:t>
      </w:r>
    </w:p>
    <w:p>
      <w:pPr>
        <w:adjustRightInd/>
        <w:spacing w:line="360" w:lineRule="auto"/>
        <w:ind w:firstLine="480" w:firstLineChars="200"/>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sz w:val="24"/>
          <w:lang w:val="zh-CN"/>
        </w:rPr>
        <w:t>注册会计师收费</w:t>
      </w:r>
      <w:r>
        <w:rPr>
          <w:rFonts w:hint="eastAsia" w:ascii="仿宋_GB2312" w:eastAsia="仿宋_GB2312" w:hAnsiTheme="minorEastAsia" w:cstheme="minorEastAsia"/>
          <w:bCs/>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bCs/>
          <w:color w:val="000000" w:themeColor="text1"/>
          <w:sz w:val="24"/>
          <w14:textFill>
            <w14:solidFill>
              <w14:schemeClr w14:val="tx1"/>
            </w14:solidFill>
          </w14:textFill>
        </w:rPr>
        <w:t>元/天</w:t>
      </w:r>
      <w:r>
        <w:rPr>
          <w:rFonts w:hint="eastAsia" w:ascii="宋体" w:hAnsi="宋体" w:cs="微软雅黑"/>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人，人数</w:t>
      </w:r>
      <w:r>
        <w:rPr>
          <w:rFonts w:hint="eastAsia" w:ascii="仿宋_GB2312" w:eastAsia="仿宋_GB2312" w:hAnsiTheme="minorEastAsia" w:cstheme="minorEastAsia"/>
          <w:bCs/>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bCs/>
          <w:color w:val="000000" w:themeColor="text1"/>
          <w:sz w:val="24"/>
          <w14:textFill>
            <w14:solidFill>
              <w14:schemeClr w14:val="tx1"/>
            </w14:solidFill>
          </w14:textFill>
        </w:rPr>
        <w:t>；</w:t>
      </w:r>
    </w:p>
    <w:p>
      <w:pPr>
        <w:adjustRightInd/>
        <w:spacing w:line="360" w:lineRule="auto"/>
        <w:ind w:firstLine="480" w:firstLineChars="200"/>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sz w:val="24"/>
          <w:lang w:val="zh-CN"/>
        </w:rPr>
        <w:t>中级技术职称及以下专业人员</w:t>
      </w:r>
      <w:r>
        <w:rPr>
          <w:rFonts w:hint="eastAsia" w:ascii="仿宋_GB2312" w:eastAsia="仿宋_GB2312" w:hAnsiTheme="minorEastAsia" w:cstheme="minorEastAsia"/>
          <w:bCs/>
          <w:color w:val="000000" w:themeColor="text1"/>
          <w:sz w:val="24"/>
          <w14:textFill>
            <w14:solidFill>
              <w14:schemeClr w14:val="tx1"/>
            </w14:solidFill>
          </w14:textFill>
        </w:rPr>
        <w:t>收费</w:t>
      </w:r>
      <w:r>
        <w:rPr>
          <w:rFonts w:hint="eastAsia" w:ascii="仿宋_GB2312" w:eastAsia="仿宋_GB2312" w:hAnsiTheme="minorEastAsia" w:cstheme="minorEastAsia"/>
          <w:bCs/>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bCs/>
          <w:color w:val="000000" w:themeColor="text1"/>
          <w:sz w:val="24"/>
          <w14:textFill>
            <w14:solidFill>
              <w14:schemeClr w14:val="tx1"/>
            </w14:solidFill>
          </w14:textFill>
        </w:rPr>
        <w:t>元/天</w:t>
      </w:r>
      <w:r>
        <w:rPr>
          <w:rFonts w:hint="eastAsia" w:ascii="宋体" w:hAnsi="宋体" w:cs="微软雅黑"/>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人，人数</w:t>
      </w:r>
      <w:r>
        <w:rPr>
          <w:rFonts w:hint="eastAsia" w:ascii="仿宋_GB2312" w:eastAsia="仿宋_GB2312" w:hAnsiTheme="minorEastAsia" w:cstheme="minorEastAsia"/>
          <w:bCs/>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bCs/>
          <w:color w:val="000000" w:themeColor="text1"/>
          <w:sz w:val="24"/>
          <w14:textFill>
            <w14:solidFill>
              <w14:schemeClr w14:val="tx1"/>
            </w14:solidFill>
          </w14:textFill>
        </w:rPr>
        <w:t>；</w:t>
      </w:r>
    </w:p>
    <w:p>
      <w:pPr>
        <w:adjustRightInd/>
        <w:spacing w:line="360" w:lineRule="auto"/>
        <w:ind w:firstLine="480" w:firstLineChars="200"/>
        <w:rPr>
          <w:rFonts w:ascii="仿宋_GB2312" w:hAnsi="仿宋_GB2312" w:eastAsia="仿宋_GB2312" w:cs="仿宋_GB2312"/>
          <w:bCs/>
          <w:color w:val="000000" w:themeColor="text1"/>
          <w:sz w:val="24"/>
          <w:highlight w:val="none"/>
          <w14:textFill>
            <w14:solidFill>
              <w14:schemeClr w14:val="tx1"/>
            </w14:solidFill>
          </w14:textFill>
        </w:rPr>
      </w:pPr>
      <w:r>
        <w:rPr>
          <w:rFonts w:hint="eastAsia" w:ascii="仿宋_GB2312" w:hAnsi="仿宋_GB2312" w:eastAsia="仿宋_GB2312" w:cs="仿宋_GB2312"/>
          <w:bCs/>
          <w:sz w:val="24"/>
          <w:highlight w:val="none"/>
        </w:rPr>
        <w:t>助理人员</w:t>
      </w:r>
      <w:r>
        <w:rPr>
          <w:rFonts w:hint="eastAsia" w:ascii="仿宋_GB2312" w:hAnsi="仿宋_GB2312" w:eastAsia="仿宋_GB2312" w:cs="仿宋_GB2312"/>
          <w:bCs/>
          <w:color w:val="000000" w:themeColor="text1"/>
          <w:sz w:val="24"/>
          <w:highlight w:val="none"/>
          <w14:textFill>
            <w14:solidFill>
              <w14:schemeClr w14:val="tx1"/>
            </w14:solidFill>
          </w14:textFill>
        </w:rPr>
        <w:t>收费</w:t>
      </w:r>
      <w:r>
        <w:rPr>
          <w:rFonts w:hint="eastAsia" w:ascii="仿宋_GB2312" w:hAnsi="仿宋_GB2312" w:eastAsia="仿宋_GB2312" w:cs="仿宋_GB2312"/>
          <w:bCs/>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4"/>
          <w:highlight w:val="none"/>
          <w14:textFill>
            <w14:solidFill>
              <w14:schemeClr w14:val="tx1"/>
            </w14:solidFill>
          </w14:textFill>
        </w:rPr>
        <w:t>元/天•人，人数</w:t>
      </w:r>
      <w:r>
        <w:rPr>
          <w:rFonts w:hint="eastAsia" w:ascii="仿宋_GB2312" w:hAnsi="仿宋_GB2312" w:eastAsia="仿宋_GB2312" w:cs="仿宋_GB2312"/>
          <w:bCs/>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4"/>
          <w:highlight w:val="none"/>
          <w14:textFill>
            <w14:solidFill>
              <w14:schemeClr w14:val="tx1"/>
            </w14:solidFill>
          </w14:textFill>
        </w:rPr>
        <w:t>；</w:t>
      </w:r>
    </w:p>
    <w:p>
      <w:pPr>
        <w:adjustRightInd/>
        <w:spacing w:line="360" w:lineRule="auto"/>
        <w:ind w:firstLine="480" w:firstLineChars="200"/>
        <w:rPr>
          <w:rFonts w:eastAsia="仿宋_GB2312"/>
          <w:highlight w:val="yellow"/>
        </w:rPr>
      </w:pPr>
      <w:r>
        <w:rPr>
          <w:rFonts w:hint="eastAsia" w:ascii="仿宋_GB2312" w:hAnsi="仿宋_GB2312" w:eastAsia="仿宋_GB2312" w:cs="仿宋_GB2312"/>
          <w:bCs/>
          <w:color w:val="000000" w:themeColor="text1"/>
          <w:sz w:val="24"/>
          <w:highlight w:val="none"/>
          <w14:textFill>
            <w14:solidFill>
              <w14:schemeClr w14:val="tx1"/>
            </w14:solidFill>
          </w14:textFill>
        </w:rPr>
        <w:t>其他人员收费</w:t>
      </w:r>
      <w:r>
        <w:rPr>
          <w:rFonts w:hint="eastAsia" w:ascii="仿宋_GB2312" w:hAnsi="仿宋_GB2312" w:eastAsia="仿宋_GB2312" w:cs="仿宋_GB2312"/>
          <w:bCs/>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4"/>
          <w:highlight w:val="none"/>
          <w14:textFill>
            <w14:solidFill>
              <w14:schemeClr w14:val="tx1"/>
            </w14:solidFill>
          </w14:textFill>
        </w:rPr>
        <w:t>元/天•人，人数</w:t>
      </w:r>
      <w:r>
        <w:rPr>
          <w:rFonts w:hint="eastAsia" w:ascii="仿宋_GB2312" w:hAnsi="仿宋_GB2312" w:eastAsia="仿宋_GB2312" w:cs="仿宋_GB2312"/>
          <w:bCs/>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bCs/>
          <w:color w:val="000000" w:themeColor="text1"/>
          <w:sz w:val="24"/>
          <w:highlight w:val="none"/>
          <w14:textFill>
            <w14:solidFill>
              <w14:schemeClr w14:val="tx1"/>
            </w14:solidFill>
          </w14:textFill>
        </w:rPr>
        <w:t>。</w:t>
      </w:r>
    </w:p>
    <w:p>
      <w:pPr>
        <w:adjustRightInd/>
        <w:spacing w:line="360" w:lineRule="auto"/>
        <w:ind w:firstLine="480" w:firstLineChars="200"/>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color w:val="000000" w:themeColor="text1"/>
          <w:sz w:val="24"/>
          <w14:textFill>
            <w14:solidFill>
              <w14:schemeClr w14:val="tx1"/>
            </w14:solidFill>
          </w14:textFill>
        </w:rPr>
        <w:t>（三）合同金额：</w:t>
      </w:r>
    </w:p>
    <w:p>
      <w:pPr>
        <w:adjustRightInd/>
        <w:spacing w:line="360" w:lineRule="auto"/>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本次服务费共计：¥</w:t>
      </w:r>
      <w:r>
        <w:rPr>
          <w:rFonts w:hint="eastAsia" w:ascii="仿宋_GB2312" w:eastAsia="仿宋_GB2312" w:hAnsiTheme="minorEastAsia" w:cstheme="minorEastAsia"/>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color w:val="000000" w:themeColor="text1"/>
          <w:sz w:val="24"/>
          <w14:textFill>
            <w14:solidFill>
              <w14:schemeClr w14:val="tx1"/>
            </w14:solidFill>
          </w14:textFill>
        </w:rPr>
        <w:t>（大写金额：</w:t>
      </w:r>
      <w:r>
        <w:rPr>
          <w:rFonts w:hint="eastAsia" w:ascii="仿宋_GB2312" w:eastAsia="仿宋_GB2312" w:hAnsiTheme="minorEastAsia" w:cstheme="minorEastAsia"/>
          <w:color w:val="000000" w:themeColor="text1"/>
          <w:sz w:val="24"/>
          <w:u w:val="single"/>
          <w14:textFill>
            <w14:solidFill>
              <w14:schemeClr w14:val="tx1"/>
            </w14:solidFill>
          </w14:textFill>
        </w:rPr>
        <w:t xml:space="preserve">           </w:t>
      </w:r>
      <w:r>
        <w:rPr>
          <w:rFonts w:hint="eastAsia" w:ascii="仿宋_GB2312" w:eastAsia="仿宋_GB2312" w:hAnsiTheme="minorEastAsia" w:cstheme="minorEastAsia"/>
          <w:color w:val="000000" w:themeColor="text1"/>
          <w:sz w:val="24"/>
          <w14:textFill>
            <w14:solidFill>
              <w14:schemeClr w14:val="tx1"/>
            </w14:solidFill>
          </w14:textFill>
        </w:rPr>
        <w:t>）</w:t>
      </w:r>
    </w:p>
    <w:p>
      <w:pPr>
        <w:adjustRightInd/>
        <w:spacing w:line="360" w:lineRule="auto"/>
        <w:ind w:firstLine="480" w:firstLineChars="200"/>
        <w:rPr>
          <w:rFonts w:ascii="仿宋_GB2312" w:eastAsia="仿宋_GB2312" w:hAnsiTheme="minorEastAsia" w:cstheme="minorEastAsia"/>
          <w:color w:val="000000" w:themeColor="text1"/>
          <w:sz w:val="24"/>
          <w14:textFill>
            <w14:solidFill>
              <w14:schemeClr w14:val="tx1"/>
            </w14:solidFill>
          </w14:textFill>
        </w:rPr>
      </w:pPr>
      <w:r>
        <w:rPr>
          <w:rFonts w:ascii="仿宋_GB2312" w:eastAsia="仿宋_GB2312" w:hAnsiTheme="minorEastAsia" w:cstheme="minorEastAsia"/>
          <w:color w:val="000000" w:themeColor="text1"/>
          <w:sz w:val="24"/>
          <w14:textFill>
            <w14:solidFill>
              <w14:schemeClr w14:val="tx1"/>
            </w14:solidFill>
          </w14:textFill>
        </w:rPr>
        <w:t>（</w:t>
      </w:r>
      <w:r>
        <w:rPr>
          <w:rFonts w:hint="eastAsia" w:ascii="仿宋_GB2312" w:eastAsia="仿宋_GB2312" w:hAnsiTheme="minorEastAsia" w:cstheme="minorEastAsia"/>
          <w:color w:val="000000" w:themeColor="text1"/>
          <w:sz w:val="24"/>
          <w14:textFill>
            <w14:solidFill>
              <w14:schemeClr w14:val="tx1"/>
            </w14:solidFill>
          </w14:textFill>
        </w:rPr>
        <w:t>四</w:t>
      </w:r>
      <w:r>
        <w:rPr>
          <w:rFonts w:ascii="仿宋_GB2312" w:eastAsia="仿宋_GB2312" w:hAnsiTheme="minorEastAsia" w:cstheme="minorEastAsia"/>
          <w:color w:val="000000" w:themeColor="text1"/>
          <w:sz w:val="24"/>
          <w14:textFill>
            <w14:solidFill>
              <w14:schemeClr w14:val="tx1"/>
            </w14:solidFill>
          </w14:textFill>
        </w:rPr>
        <w:t>）</w:t>
      </w:r>
      <w:r>
        <w:rPr>
          <w:rFonts w:hint="eastAsia" w:ascii="仿宋_GB2312" w:eastAsia="仿宋_GB2312" w:hAnsiTheme="minorEastAsia" w:cstheme="minorEastAsia"/>
          <w:color w:val="000000" w:themeColor="text1"/>
          <w:sz w:val="24"/>
          <w14:textFill>
            <w14:solidFill>
              <w14:schemeClr w14:val="tx1"/>
            </w14:solidFill>
          </w14:textFill>
        </w:rPr>
        <w:t>支付方式：</w:t>
      </w:r>
      <w:r>
        <w:rPr>
          <w:rFonts w:hint="eastAsia" w:ascii="仿宋_GB2312" w:eastAsia="仿宋_GB2312" w:hAnsiTheme="minorEastAsia" w:cstheme="minorEastAsia"/>
          <w:color w:val="000000" w:themeColor="text1"/>
          <w:sz w:val="24"/>
          <w14:textFill>
            <w14:solidFill>
              <w14:schemeClr w14:val="tx1"/>
            </w14:solidFill>
          </w14:textFill>
        </w:rPr>
        <w:sym w:font="Wingdings 2" w:char="00A3"/>
      </w:r>
      <w:r>
        <w:rPr>
          <w:rFonts w:hint="eastAsia" w:ascii="仿宋_GB2312" w:eastAsia="仿宋_GB2312" w:hAnsiTheme="minorEastAsia" w:cstheme="minorEastAsia"/>
          <w:color w:val="000000" w:themeColor="text1"/>
          <w:sz w:val="24"/>
          <w14:textFill>
            <w14:solidFill>
              <w14:schemeClr w14:val="tx1"/>
            </w14:solidFill>
          </w14:textFill>
        </w:rPr>
        <w:t xml:space="preserve">无预付款   </w:t>
      </w:r>
      <w:r>
        <w:rPr>
          <w:rFonts w:hint="eastAsia" w:ascii="仿宋_GB2312" w:eastAsia="仿宋_GB2312" w:hAnsiTheme="minorEastAsia" w:cstheme="minorEastAsia"/>
          <w:color w:val="000000" w:themeColor="text1"/>
          <w:sz w:val="24"/>
          <w14:textFill>
            <w14:solidFill>
              <w14:schemeClr w14:val="tx1"/>
            </w14:solidFill>
          </w14:textFill>
        </w:rPr>
        <w:sym w:font="Wingdings 2" w:char="00A3"/>
      </w:r>
      <w:r>
        <w:rPr>
          <w:rFonts w:hint="eastAsia" w:ascii="仿宋_GB2312" w:eastAsia="仿宋_GB2312" w:hAnsiTheme="minorEastAsia" w:cstheme="minorEastAsia"/>
          <w:color w:val="000000" w:themeColor="text1"/>
          <w:sz w:val="24"/>
          <w14:textFill>
            <w14:solidFill>
              <w14:schemeClr w14:val="tx1"/>
            </w14:solidFill>
          </w14:textFill>
        </w:rPr>
        <w:t>有预付款</w:t>
      </w:r>
    </w:p>
    <w:p>
      <w:pPr>
        <w:pStyle w:val="26"/>
        <w:spacing w:after="0" w:line="360" w:lineRule="auto"/>
        <w:ind w:firstLine="0" w:firstLineChars="0"/>
        <w:jc w:val="left"/>
        <w:rPr>
          <w:rFonts w:ascii="仿宋_GB2312" w:eastAsia="仿宋_GB2312" w:hAnsiTheme="minorEastAsia" w:cstheme="minorEastAsia"/>
          <w:color w:val="000000" w:themeColor="text1"/>
          <w:sz w:val="24"/>
          <w14:textFill>
            <w14:solidFill>
              <w14:schemeClr w14:val="tx1"/>
            </w14:solidFill>
          </w14:textFill>
        </w:rPr>
      </w:pPr>
      <w:r>
        <w:rPr>
          <w:rFonts w:hint="eastAsia" w:ascii="仿宋_GB2312" w:eastAsia="仿宋_GB2312" w:hAnsiTheme="minorEastAsia" w:cstheme="minorEastAsia"/>
          <w:color w:val="000000" w:themeColor="text1"/>
          <w:sz w:val="24"/>
          <w14:textFill>
            <w14:solidFill>
              <w14:schemeClr w14:val="tx1"/>
            </w14:solidFill>
          </w14:textFill>
        </w:rPr>
        <w:t>预付款比例为：</w:t>
      </w:r>
      <w:r>
        <w:rPr>
          <w:rFonts w:hint="eastAsia" w:ascii="仿宋_GB2312" w:eastAsia="仿宋_GB2312" w:hAnsiTheme="minorEastAsia" w:cstheme="minorEastAsia"/>
          <w:color w:val="000000" w:themeColor="text1"/>
          <w:sz w:val="24"/>
          <w:u w:val="single"/>
          <w14:textFill>
            <w14:solidFill>
              <w14:schemeClr w14:val="tx1"/>
            </w14:solidFill>
          </w14:textFill>
        </w:rPr>
        <w:t xml:space="preserve">                                        </w:t>
      </w:r>
    </w:p>
    <w:p>
      <w:pPr>
        <w:spacing w:line="360" w:lineRule="auto"/>
        <w:ind w:firstLine="480" w:firstLineChars="200"/>
        <w:jc w:val="left"/>
        <w:rPr>
          <w:rFonts w:ascii="仿宋_GB2312" w:eastAsia="仿宋_GB2312" w:hAnsiTheme="minorEastAsia" w:cstheme="minorEastAsia"/>
          <w:bCs/>
          <w:color w:val="000000" w:themeColor="text1"/>
          <w:sz w:val="24"/>
          <w14:textFill>
            <w14:solidFill>
              <w14:schemeClr w14:val="tx1"/>
            </w14:solidFill>
          </w14:textFill>
        </w:rPr>
      </w:pPr>
      <w:r>
        <w:rPr>
          <w:rFonts w:hint="eastAsia" w:ascii="仿宋_GB2312" w:eastAsia="仿宋_GB2312" w:hAnsiTheme="minorEastAsia" w:cstheme="minorEastAsia"/>
          <w:bCs/>
          <w:color w:val="000000" w:themeColor="text1"/>
          <w:sz w:val="24"/>
          <w14:textFill>
            <w14:solidFill>
              <w14:schemeClr w14:val="tx1"/>
            </w14:solidFill>
          </w14:textFill>
        </w:rPr>
        <w:t>注：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其他担保措施。政府采购预付款应在合同生效以及具备实施条件后7个工作日内支付。</w:t>
      </w:r>
    </w:p>
    <w:p>
      <w:pPr>
        <w:pStyle w:val="26"/>
        <w:spacing w:after="0" w:line="360" w:lineRule="auto"/>
        <w:ind w:left="0" w:leftChars="0" w:firstLine="480"/>
        <w:jc w:val="left"/>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（五）履约保证金：</w:t>
      </w:r>
    </w:p>
    <w:p>
      <w:pPr>
        <w:pStyle w:val="26"/>
        <w:spacing w:after="0" w:line="360" w:lineRule="auto"/>
        <w:ind w:left="0" w:leftChars="0" w:firstLine="48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sym w:font="Wingdings 2" w:char="00A3"/>
      </w:r>
      <w:r>
        <w:rPr>
          <w:rFonts w:hint="eastAsia" w:ascii="仿宋_GB2312" w:eastAsia="仿宋_GB2312"/>
          <w:color w:val="000000" w:themeColor="text1"/>
          <w:sz w:val="24"/>
          <w14:textFill>
            <w14:solidFill>
              <w14:schemeClr w14:val="tx1"/>
            </w14:solidFill>
          </w14:textFill>
        </w:rPr>
        <w:t xml:space="preserve">免收履约保证金    </w:t>
      </w:r>
    </w:p>
    <w:p>
      <w:pPr>
        <w:pStyle w:val="26"/>
        <w:spacing w:after="0" w:line="360" w:lineRule="auto"/>
        <w:ind w:left="0" w:leftChars="0" w:firstLine="480"/>
        <w:jc w:val="left"/>
        <w:rPr>
          <w:rFonts w:ascii="仿宋_GB2312" w:eastAsia="仿宋_GB2312" w:cs="宋体"/>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sym w:font="Wingdings 2" w:char="00A3"/>
      </w:r>
      <w:r>
        <w:rPr>
          <w:rFonts w:hint="eastAsia" w:ascii="仿宋_GB2312" w:eastAsia="仿宋_GB2312"/>
          <w:color w:val="000000" w:themeColor="text1"/>
          <w:sz w:val="24"/>
          <w14:textFill>
            <w14:solidFill>
              <w14:schemeClr w14:val="tx1"/>
            </w14:solidFill>
          </w14:textFill>
        </w:rPr>
        <w:t>甲方向乙方收取合同金额</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的</w:t>
      </w:r>
      <w:r>
        <w:rPr>
          <w:rFonts w:hint="eastAsia" w:ascii="仿宋_GB2312" w:eastAsia="仿宋_GB2312" w:cs="宋体"/>
          <w:color w:val="000000" w:themeColor="text1"/>
          <w:sz w:val="24"/>
          <w14:textFill>
            <w14:solidFill>
              <w14:schemeClr w14:val="tx1"/>
            </w14:solidFill>
          </w14:textFill>
        </w:rPr>
        <w:t>履约保证金，</w:t>
      </w:r>
      <w:r>
        <w:rPr>
          <w:rFonts w:hint="eastAsia" w:ascii="仿宋_GB2312" w:eastAsia="仿宋_GB2312" w:cs="宋体"/>
          <w:color w:val="000000" w:themeColor="text1"/>
          <w:sz w:val="24"/>
          <w:u w:val="single"/>
          <w14:textFill>
            <w14:solidFill>
              <w14:schemeClr w14:val="tx1"/>
            </w14:solidFill>
          </w14:textFill>
        </w:rPr>
        <w:t xml:space="preserve">                           </w:t>
      </w:r>
    </w:p>
    <w:p>
      <w:pPr>
        <w:pStyle w:val="23"/>
        <w:jc w:val="left"/>
        <w:rPr>
          <w:rFonts w:ascii="仿宋_GB2312" w:hAnsi="宋体" w:eastAsia="仿宋_GB2312" w:cs="宋体"/>
          <w:color w:val="000000" w:themeColor="text1"/>
          <w:szCs w:val="24"/>
          <w:u w:val="single"/>
          <w:lang w:val="en-US"/>
          <w14:textFill>
            <w14:solidFill>
              <w14:schemeClr w14:val="tx1"/>
            </w14:solidFill>
          </w14:textFill>
        </w:rPr>
      </w:pPr>
      <w:r>
        <w:rPr>
          <w:rFonts w:hint="eastAsia" w:ascii="仿宋_GB2312" w:hAnsi="宋体" w:eastAsia="仿宋_GB2312" w:cs="宋体"/>
          <w:color w:val="000000" w:themeColor="text1"/>
          <w:szCs w:val="24"/>
          <w:u w:val="single"/>
          <w:lang w:val="en-US"/>
          <w14:textFill>
            <w14:solidFill>
              <w14:schemeClr w14:val="tx1"/>
            </w14:solidFill>
          </w14:textFill>
        </w:rPr>
        <w:t xml:space="preserve">                                                                           </w:t>
      </w:r>
    </w:p>
    <w:p>
      <w:pPr>
        <w:adjustRightInd/>
        <w:spacing w:line="360" w:lineRule="auto"/>
        <w:ind w:firstLine="480" w:firstLineChars="20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鼓励采购人免收履约保证金，确需收取履约保证金的，最高比例不超过合同金额的1%，项目验收结束后应及时退还。供应商以银行、保险公司出具保函形式提交履约保证金的，采购人不得拒收。采购人不得收取质量保证金。</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七、验收要求</w:t>
      </w:r>
    </w:p>
    <w:p>
      <w:pPr>
        <w:pStyle w:val="34"/>
        <w:adjustRightInd/>
        <w:snapToGrid w:val="0"/>
        <w:spacing w:line="360" w:lineRule="auto"/>
        <w:ind w:firstLine="480" w:firstLineChars="200"/>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u w:val="single"/>
          <w14:textFill>
            <w14:solidFill>
              <w14:schemeClr w14:val="tx1"/>
            </w14:solidFill>
          </w14:textFill>
        </w:rPr>
        <w:t xml:space="preserve">                                                     </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八、支付条件</w:t>
      </w:r>
    </w:p>
    <w:p>
      <w:pPr>
        <w:pStyle w:val="26"/>
        <w:spacing w:after="0" w:line="360" w:lineRule="auto"/>
        <w:ind w:left="0" w:leftChars="0" w:firstLine="480"/>
        <w:jc w:val="left"/>
        <w:rPr>
          <w:rFonts w:ascii="仿宋_GB2312" w:eastAsia="仿宋_GB2312"/>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通过甲方验收后支付，验收资料包括：</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1、服务人员登记表（登记表模板见合同附件1）</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2、签到单</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3、相关票据：</w:t>
      </w:r>
      <w:r>
        <w:rPr>
          <w:rFonts w:hint="eastAsia" w:ascii="仿宋_GB2312" w:hAnsi="宋体" w:eastAsia="仿宋_GB2312" w:cs="宋体"/>
          <w:color w:val="000000" w:themeColor="text1"/>
          <w:sz w:val="24"/>
          <w:u w:val="single"/>
          <w14:textFill>
            <w14:solidFill>
              <w14:schemeClr w14:val="tx1"/>
            </w14:solidFill>
          </w14:textFill>
        </w:rPr>
        <w:t xml:space="preserve">                  </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4、工作质量考核证明材料：</w:t>
      </w:r>
      <w:r>
        <w:rPr>
          <w:rFonts w:hint="eastAsia" w:ascii="仿宋_GB2312" w:hAnsi="宋体" w:eastAsia="仿宋_GB2312" w:cs="宋体"/>
          <w:color w:val="000000" w:themeColor="text1"/>
          <w:sz w:val="24"/>
          <w:u w:val="single"/>
          <w14:textFill>
            <w14:solidFill>
              <w14:schemeClr w14:val="tx1"/>
            </w14:solidFill>
          </w14:textFill>
        </w:rPr>
        <w:t xml:space="preserve">                  </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5、工作质量考核评价表（评价表模板见合同附件2）</w:t>
      </w:r>
    </w:p>
    <w:p>
      <w:pPr>
        <w:spacing w:line="360" w:lineRule="auto"/>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6、其他工作量证明材料：</w:t>
      </w:r>
      <w:r>
        <w:rPr>
          <w:rFonts w:hint="eastAsia" w:ascii="仿宋_GB2312" w:hAnsi="宋体" w:eastAsia="仿宋_GB2312" w:cs="宋体"/>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九、支付时间</w:t>
      </w:r>
    </w:p>
    <w:p>
      <w:pPr>
        <w:pStyle w:val="26"/>
        <w:spacing w:after="0" w:line="360" w:lineRule="auto"/>
        <w:ind w:left="0" w:leftChars="0" w:firstLine="480"/>
        <w:jc w:val="left"/>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甲方自收到发票后</w:t>
      </w:r>
      <w:r>
        <w:rPr>
          <w:rFonts w:hint="eastAsia" w:ascii="仿宋_GB2312" w:eastAsia="仿宋_GB2312" w:cs="宋体"/>
          <w:color w:val="000000" w:themeColor="text1"/>
          <w:sz w:val="24"/>
          <w:u w:val="single"/>
          <w14:textFill>
            <w14:solidFill>
              <w14:schemeClr w14:val="tx1"/>
            </w14:solidFill>
          </w14:textFill>
        </w:rPr>
        <w:t xml:space="preserve">     </w:t>
      </w:r>
      <w:r>
        <w:rPr>
          <w:rFonts w:hint="eastAsia" w:ascii="仿宋_GB2312" w:eastAsia="仿宋_GB2312" w:cs="宋体"/>
          <w:color w:val="000000" w:themeColor="text1"/>
          <w:sz w:val="24"/>
          <w14:textFill>
            <w14:solidFill>
              <w14:schemeClr w14:val="tx1"/>
            </w14:solidFill>
          </w14:textFill>
        </w:rPr>
        <w:t>个工作日内将资金支付到乙方账户。</w:t>
      </w:r>
    </w:p>
    <w:p>
      <w:pPr>
        <w:pStyle w:val="34"/>
        <w:adjustRightInd/>
        <w:snapToGrid w:val="0"/>
        <w:spacing w:line="360" w:lineRule="auto"/>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采购人应当及时组织项目验收，不得以政府部门审计作为支付供应商款项的条件。采购人对于满足合同约定支付条件的，自收到发票后7个工作日内将资金支付到合同约定的供应商账户。采购人不得以机构变动、人员更替、政策调整、单位放假、履行内部付款流程，或者在合同未作约定的情况下以等待竣工验收批复、决算审计等为由迟延付款。迟延支付中小企业款项的，供应商可要求采购人支付逾期利息。</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十、权利和义务</w:t>
      </w:r>
    </w:p>
    <w:p>
      <w:pPr>
        <w:pStyle w:val="34"/>
        <w:adjustRightInd/>
        <w:snapToGrid w:val="0"/>
        <w:spacing w:line="360" w:lineRule="auto"/>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（一）甲方的权利和义务：</w:t>
      </w:r>
    </w:p>
    <w:p>
      <w:pPr>
        <w:pStyle w:val="34"/>
        <w:adjustRightInd/>
        <w:snapToGrid w:val="0"/>
        <w:spacing w:line="360" w:lineRule="auto"/>
        <w:ind w:firstLine="480" w:firstLineChars="200"/>
        <w:jc w:val="left"/>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w:t>
      </w:r>
    </w:p>
    <w:p>
      <w:pPr>
        <w:pStyle w:val="34"/>
        <w:adjustRightInd/>
        <w:snapToGrid w:val="0"/>
        <w:spacing w:line="360" w:lineRule="auto"/>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（二）乙方的权利和义务：</w:t>
      </w:r>
    </w:p>
    <w:p>
      <w:pPr>
        <w:pStyle w:val="34"/>
        <w:adjustRightInd/>
        <w:snapToGrid w:val="0"/>
        <w:spacing w:line="360" w:lineRule="auto"/>
        <w:ind w:firstLine="480" w:firstLineChars="200"/>
        <w:jc w:val="left"/>
        <w:rPr>
          <w:rFonts w:ascii="仿宋_GB2312" w:hAnsi="仿宋_GB2312" w:eastAsia="仿宋_GB2312" w:cs="仿宋_GB2312"/>
          <w:color w:val="000000"/>
          <w:sz w:val="24"/>
          <w:szCs w:val="24"/>
          <w:u w:val="single"/>
        </w:rPr>
      </w:pPr>
      <w:r>
        <w:rPr>
          <w:rFonts w:hint="eastAsia" w:ascii="仿宋_GB2312" w:hAnsi="仿宋_GB2312" w:eastAsia="仿宋_GB2312" w:cs="仿宋_GB2312"/>
          <w:color w:val="000000"/>
          <w:sz w:val="24"/>
          <w:szCs w:val="24"/>
          <w:u w:val="single"/>
        </w:rPr>
        <w:t xml:space="preserve">                                                         </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十一、违约责任和争议的解决</w:t>
      </w:r>
    </w:p>
    <w:p>
      <w:pPr>
        <w:spacing w:line="360" w:lineRule="auto"/>
        <w:ind w:firstLine="480" w:firstLineChars="200"/>
        <w:jc w:val="left"/>
        <w:rPr>
          <w:rFonts w:ascii="仿宋_GB2312" w:eastAsia="仿宋_GB2312"/>
          <w:sz w:val="24"/>
          <w:u w:val="single"/>
        </w:rPr>
      </w:pPr>
      <w:r>
        <w:rPr>
          <w:rFonts w:hint="eastAsia" w:ascii="仿宋_GB2312" w:hAnsi="仿宋_GB2312" w:eastAsia="仿宋_GB2312" w:cs="仿宋_GB2312"/>
          <w:color w:val="000000"/>
          <w:sz w:val="24"/>
          <w:u w:val="single"/>
        </w:rPr>
        <w:t xml:space="preserve">                                                               </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十二、其他事项</w:t>
      </w:r>
    </w:p>
    <w:p>
      <w:pPr>
        <w:spacing w:line="360" w:lineRule="auto"/>
        <w:ind w:firstLine="480" w:firstLineChars="200"/>
        <w:jc w:val="left"/>
        <w:rPr>
          <w:rFonts w:ascii="仿宋_GB2312" w:eastAsia="仿宋_GB2312"/>
          <w:sz w:val="24"/>
          <w:u w:val="single"/>
        </w:rPr>
      </w:pPr>
      <w:r>
        <w:rPr>
          <w:rFonts w:hint="eastAsia" w:ascii="仿宋_GB2312" w:hAnsi="仿宋_GB2312" w:eastAsia="仿宋_GB2312" w:cs="仿宋_GB2312"/>
          <w:color w:val="000000"/>
          <w:sz w:val="24"/>
          <w:u w:val="single"/>
        </w:rPr>
        <w:t xml:space="preserve">                                                                </w:t>
      </w:r>
    </w:p>
    <w:p>
      <w:pPr>
        <w:pStyle w:val="34"/>
        <w:adjustRightInd/>
        <w:snapToGrid w:val="0"/>
        <w:spacing w:line="360" w:lineRule="auto"/>
        <w:ind w:firstLine="482" w:firstLineChars="200"/>
        <w:jc w:val="left"/>
        <w:rPr>
          <w:rFonts w:ascii="仿宋_GB2312" w:hAnsi="宋体" w:eastAsia="仿宋_GB2312" w:cs="宋体"/>
          <w:b/>
          <w:bCs/>
          <w:color w:val="000000"/>
          <w:sz w:val="24"/>
          <w:szCs w:val="24"/>
        </w:rPr>
      </w:pPr>
      <w:r>
        <w:rPr>
          <w:rFonts w:hint="eastAsia" w:ascii="仿宋_GB2312" w:hAnsi="宋体" w:eastAsia="仿宋_GB2312" w:cs="宋体"/>
          <w:b/>
          <w:bCs/>
          <w:color w:val="000000"/>
          <w:sz w:val="24"/>
          <w:szCs w:val="24"/>
        </w:rPr>
        <w:t>十三、合同的生效</w:t>
      </w:r>
    </w:p>
    <w:p>
      <w:pPr>
        <w:spacing w:line="360" w:lineRule="auto"/>
        <w:ind w:firstLine="480" w:firstLineChars="200"/>
        <w:jc w:val="left"/>
        <w:rPr>
          <w:rFonts w:ascii="仿宋_GB2312" w:eastAsia="仿宋_GB2312"/>
          <w:sz w:val="24"/>
          <w:u w:val="single"/>
        </w:rPr>
      </w:pPr>
      <w:r>
        <w:rPr>
          <w:rFonts w:hint="eastAsia" w:ascii="仿宋_GB2312" w:hAnsi="仿宋_GB2312" w:eastAsia="仿宋_GB2312" w:cs="仿宋_GB2312"/>
          <w:color w:val="000000"/>
          <w:sz w:val="24"/>
          <w:u w:val="single"/>
        </w:rPr>
        <w:t xml:space="preserve">                                                                </w:t>
      </w:r>
    </w:p>
    <w:p>
      <w:pPr>
        <w:pStyle w:val="26"/>
        <w:ind w:firstLine="420"/>
        <w:rPr>
          <w:rFonts w:ascii="仿宋_GB2312" w:eastAsia="仿宋_GB2312"/>
        </w:rPr>
      </w:pPr>
    </w:p>
    <w:tbl>
      <w:tblPr>
        <w:tblStyle w:val="62"/>
        <w:tblW w:w="8383" w:type="dxa"/>
        <w:jc w:val="center"/>
        <w:tblInd w:w="0" w:type="dxa"/>
        <w:tblLayout w:type="fixed"/>
        <w:tblCellMar>
          <w:top w:w="0" w:type="dxa"/>
          <w:left w:w="108" w:type="dxa"/>
          <w:bottom w:w="0" w:type="dxa"/>
          <w:right w:w="108" w:type="dxa"/>
        </w:tblCellMar>
      </w:tblPr>
      <w:tblGrid>
        <w:gridCol w:w="3789"/>
        <w:gridCol w:w="4594"/>
      </w:tblGrid>
      <w:tr>
        <w:tblPrEx>
          <w:tblLayout w:type="fixed"/>
          <w:tblCellMar>
            <w:top w:w="0" w:type="dxa"/>
            <w:left w:w="108" w:type="dxa"/>
            <w:bottom w:w="0" w:type="dxa"/>
            <w:right w:w="108" w:type="dxa"/>
          </w:tblCellMar>
        </w:tblPrEx>
        <w:trPr>
          <w:trHeight w:val="1134" w:hRule="atLeast"/>
          <w:jc w:val="center"/>
        </w:trPr>
        <w:tc>
          <w:tcPr>
            <w:tcW w:w="3789" w:type="dxa"/>
            <w:vAlign w:val="center"/>
          </w:tcPr>
          <w:p>
            <w:pPr>
              <w:widowControl/>
              <w:ind w:left="1560" w:hanging="1560" w:hangingChars="6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甲方（盖章）：</w:t>
            </w:r>
          </w:p>
        </w:tc>
        <w:tc>
          <w:tcPr>
            <w:tcW w:w="4594" w:type="dxa"/>
            <w:vAlign w:val="center"/>
          </w:tcPr>
          <w:p>
            <w:pPr>
              <w:widowControl/>
              <w:ind w:firstLine="12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乙方（盖章）：</w:t>
            </w:r>
          </w:p>
        </w:tc>
      </w:tr>
      <w:tr>
        <w:tblPrEx>
          <w:tblLayout w:type="fixed"/>
          <w:tblCellMar>
            <w:top w:w="0" w:type="dxa"/>
            <w:left w:w="108" w:type="dxa"/>
            <w:bottom w:w="0" w:type="dxa"/>
            <w:right w:w="108" w:type="dxa"/>
          </w:tblCellMar>
        </w:tblPrEx>
        <w:trPr>
          <w:trHeight w:val="1134" w:hRule="atLeast"/>
          <w:jc w:val="center"/>
        </w:trPr>
        <w:tc>
          <w:tcPr>
            <w:tcW w:w="3789" w:type="dxa"/>
            <w:vAlign w:val="center"/>
          </w:tcPr>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签约日期：   年    月    日</w:t>
            </w:r>
          </w:p>
        </w:tc>
        <w:tc>
          <w:tcPr>
            <w:tcW w:w="4594" w:type="dxa"/>
            <w:vAlign w:val="center"/>
          </w:tcPr>
          <w:p>
            <w:pPr>
              <w:widowControl/>
              <w:ind w:firstLine="12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签约日期：   年   月    日</w:t>
            </w:r>
          </w:p>
        </w:tc>
      </w:tr>
    </w:tbl>
    <w:p>
      <w:pPr>
        <w:rPr>
          <w:rFonts w:ascii="仿宋_GB2312" w:hAnsi="宋体" w:eastAsia="仿宋_GB2312" w:cs="宋体"/>
          <w:color w:val="000000" w:themeColor="text1"/>
          <w:sz w:val="24"/>
          <w14:textFill>
            <w14:solidFill>
              <w14:schemeClr w14:val="tx1"/>
            </w14:solidFill>
          </w14:textFill>
        </w:rPr>
      </w:pPr>
    </w:p>
    <w:p>
      <w:pPr>
        <w:pStyle w:val="5"/>
      </w:pPr>
    </w:p>
    <w:p>
      <w:pP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br w:type="page"/>
      </w:r>
    </w:p>
    <w:p>
      <w:pP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合同附件1：</w:t>
      </w:r>
    </w:p>
    <w:tbl>
      <w:tblPr>
        <w:tblStyle w:val="62"/>
        <w:tblW w:w="9225" w:type="dxa"/>
        <w:jc w:val="center"/>
        <w:tblInd w:w="0" w:type="dxa"/>
        <w:tblLayout w:type="fixed"/>
        <w:tblCellMar>
          <w:top w:w="0" w:type="dxa"/>
          <w:left w:w="108" w:type="dxa"/>
          <w:bottom w:w="0" w:type="dxa"/>
          <w:right w:w="108" w:type="dxa"/>
        </w:tblCellMar>
      </w:tblPr>
      <w:tblGrid>
        <w:gridCol w:w="2085"/>
        <w:gridCol w:w="1785"/>
        <w:gridCol w:w="1785"/>
        <w:gridCol w:w="1785"/>
        <w:gridCol w:w="1785"/>
      </w:tblGrid>
      <w:tr>
        <w:tblPrEx>
          <w:tblLayout w:type="fixed"/>
          <w:tblCellMar>
            <w:top w:w="0" w:type="dxa"/>
            <w:left w:w="108" w:type="dxa"/>
            <w:bottom w:w="0" w:type="dxa"/>
            <w:right w:w="108" w:type="dxa"/>
          </w:tblCellMar>
        </w:tblPrEx>
        <w:trPr>
          <w:trHeight w:val="567" w:hRule="atLeast"/>
          <w:jc w:val="center"/>
        </w:trPr>
        <w:tc>
          <w:tcPr>
            <w:tcW w:w="9225" w:type="dxa"/>
            <w:gridSpan w:val="5"/>
            <w:tcBorders>
              <w:top w:val="nil"/>
              <w:left w:val="nil"/>
              <w:bottom w:val="nil"/>
              <w:right w:val="nil"/>
            </w:tcBorders>
            <w:shd w:val="clear" w:color="auto" w:fill="auto"/>
            <w:vAlign w:val="center"/>
          </w:tcPr>
          <w:p>
            <w:pPr>
              <w:widowControl/>
              <w:jc w:val="center"/>
              <w:textAlignment w:val="center"/>
              <w:rPr>
                <w:rFonts w:ascii="仿宋_GB2312" w:hAnsi="宋体" w:eastAsia="仿宋_GB2312" w:cs="宋体"/>
                <w:b/>
                <w:bCs/>
                <w:color w:val="000000" w:themeColor="text1"/>
                <w:sz w:val="40"/>
                <w:szCs w:val="40"/>
                <w14:textFill>
                  <w14:solidFill>
                    <w14:schemeClr w14:val="tx1"/>
                  </w14:solidFill>
                </w14:textFill>
              </w:rPr>
            </w:pPr>
            <w:r>
              <w:rPr>
                <w:rFonts w:hint="eastAsia" w:ascii="仿宋_GB2312" w:hAnsi="宋体" w:eastAsia="仿宋_GB2312" w:cs="宋体"/>
                <w:b/>
                <w:bCs/>
                <w:color w:val="000000" w:themeColor="text1"/>
                <w:kern w:val="0"/>
                <w:sz w:val="40"/>
                <w:szCs w:val="40"/>
                <w:lang w:bidi="ar"/>
                <w14:textFill>
                  <w14:solidFill>
                    <w14:schemeClr w14:val="tx1"/>
                  </w14:solidFill>
                </w14:textFill>
              </w:rPr>
              <w:t>服务人员登记表</w:t>
            </w:r>
          </w:p>
        </w:tc>
      </w:tr>
      <w:tr>
        <w:tblPrEx>
          <w:tblLayout w:type="fixed"/>
          <w:tblCellMar>
            <w:top w:w="0" w:type="dxa"/>
            <w:left w:w="108" w:type="dxa"/>
            <w:bottom w:w="0" w:type="dxa"/>
            <w:right w:w="108" w:type="dxa"/>
          </w:tblCellMar>
        </w:tblPrEx>
        <w:trPr>
          <w:trHeight w:val="567"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委托方（采购人）</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受托方（供应商）</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受托方（供应商）服务人员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姓名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性别</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职务（职称）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联系电话</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身份证号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项目基本情况</w:t>
            </w:r>
          </w:p>
        </w:tc>
        <w:tc>
          <w:tcPr>
            <w:tcW w:w="7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项目工作情况</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起讫日期</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工作地点</w:t>
            </w: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工作主要内容</w:t>
            </w:r>
          </w:p>
        </w:tc>
      </w:tr>
      <w:tr>
        <w:tblPrEx>
          <w:tblLayout w:type="fixed"/>
          <w:tblCellMar>
            <w:top w:w="0" w:type="dxa"/>
            <w:left w:w="108" w:type="dxa"/>
            <w:bottom w:w="0" w:type="dxa"/>
            <w:right w:w="108" w:type="dxa"/>
          </w:tblCellMar>
        </w:tblPrEx>
        <w:trPr>
          <w:trHeight w:val="567"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3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357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jc w:val="center"/>
        </w:trPr>
        <w:tc>
          <w:tcPr>
            <w:tcW w:w="208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审核意见</w:t>
            </w:r>
          </w:p>
        </w:tc>
        <w:tc>
          <w:tcPr>
            <w:tcW w:w="3570" w:type="dxa"/>
            <w:gridSpan w:val="2"/>
            <w:tcBorders>
              <w:top w:val="single" w:color="000000" w:sz="4" w:space="0"/>
              <w:left w:val="single" w:color="000000" w:sz="4" w:space="0"/>
              <w:bottom w:val="nil"/>
              <w:right w:val="nil"/>
            </w:tcBorders>
            <w:shd w:val="clear" w:color="auto" w:fill="auto"/>
          </w:tcPr>
          <w:p>
            <w:pPr>
              <w:widowControl/>
              <w:jc w:val="left"/>
              <w:textAlignment w:val="top"/>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采购人部门意见：</w:t>
            </w:r>
          </w:p>
        </w:tc>
        <w:tc>
          <w:tcPr>
            <w:tcW w:w="3570" w:type="dxa"/>
            <w:gridSpan w:val="2"/>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采购人意见：</w:t>
            </w:r>
          </w:p>
        </w:tc>
      </w:tr>
      <w:tr>
        <w:tblPrEx>
          <w:tblLayout w:type="fixed"/>
          <w:tblCellMar>
            <w:top w:w="0" w:type="dxa"/>
            <w:left w:w="108" w:type="dxa"/>
            <w:bottom w:w="0" w:type="dxa"/>
            <w:right w:w="108" w:type="dxa"/>
          </w:tblCellMar>
        </w:tblPrEx>
        <w:trPr>
          <w:trHeight w:val="567" w:hRule="atLeast"/>
          <w:jc w:val="center"/>
        </w:trPr>
        <w:tc>
          <w:tcPr>
            <w:tcW w:w="208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785"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签字（章）：</w:t>
            </w:r>
          </w:p>
        </w:tc>
        <w:tc>
          <w:tcPr>
            <w:tcW w:w="1785" w:type="dxa"/>
            <w:tcBorders>
              <w:top w:val="nil"/>
              <w:left w:val="nil"/>
              <w:bottom w:val="single" w:color="000000" w:sz="4" w:space="0"/>
              <w:right w:val="nil"/>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日期：</w:t>
            </w:r>
          </w:p>
        </w:tc>
        <w:tc>
          <w:tcPr>
            <w:tcW w:w="1785"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签字（章）：</w:t>
            </w:r>
          </w:p>
        </w:tc>
        <w:tc>
          <w:tcPr>
            <w:tcW w:w="1785"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日期：</w:t>
            </w:r>
          </w:p>
        </w:tc>
      </w:tr>
    </w:tbl>
    <w:p>
      <w:pP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br w:type="page"/>
      </w:r>
    </w:p>
    <w:p>
      <w:pPr>
        <w:rPr>
          <w:rFonts w:ascii="仿宋_GB2312" w:eastAsia="仿宋_GB2312"/>
          <w:color w:val="000000" w:themeColor="text1"/>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合同附件2：</w:t>
      </w:r>
    </w:p>
    <w:tbl>
      <w:tblPr>
        <w:tblStyle w:val="62"/>
        <w:tblW w:w="9420" w:type="dxa"/>
        <w:tblInd w:w="93" w:type="dxa"/>
        <w:tblLayout w:type="fixed"/>
        <w:tblCellMar>
          <w:top w:w="0" w:type="dxa"/>
          <w:left w:w="108" w:type="dxa"/>
          <w:bottom w:w="0" w:type="dxa"/>
          <w:right w:w="108" w:type="dxa"/>
        </w:tblCellMar>
      </w:tblPr>
      <w:tblGrid>
        <w:gridCol w:w="1395"/>
        <w:gridCol w:w="1860"/>
        <w:gridCol w:w="4920"/>
        <w:gridCol w:w="1245"/>
      </w:tblGrid>
      <w:tr>
        <w:tblPrEx>
          <w:tblLayout w:type="fixed"/>
          <w:tblCellMar>
            <w:top w:w="0" w:type="dxa"/>
            <w:left w:w="108" w:type="dxa"/>
            <w:bottom w:w="0" w:type="dxa"/>
            <w:right w:w="108" w:type="dxa"/>
          </w:tblCellMar>
        </w:tblPrEx>
        <w:trPr>
          <w:trHeight w:val="567" w:hRule="atLeast"/>
        </w:trPr>
        <w:tc>
          <w:tcPr>
            <w:tcW w:w="9420" w:type="dxa"/>
            <w:gridSpan w:val="4"/>
            <w:tcBorders>
              <w:top w:val="nil"/>
              <w:left w:val="nil"/>
              <w:bottom w:val="nil"/>
              <w:right w:val="nil"/>
            </w:tcBorders>
            <w:shd w:val="clear" w:color="auto" w:fill="auto"/>
            <w:vAlign w:val="center"/>
          </w:tcPr>
          <w:p>
            <w:pPr>
              <w:widowControl/>
              <w:jc w:val="center"/>
              <w:textAlignment w:val="center"/>
              <w:rPr>
                <w:rFonts w:ascii="仿宋_GB2312" w:hAnsi="宋体" w:eastAsia="仿宋_GB2312" w:cs="宋体"/>
                <w:b/>
                <w:bCs/>
                <w:color w:val="000000" w:themeColor="text1"/>
                <w:sz w:val="30"/>
                <w:szCs w:val="30"/>
                <w14:textFill>
                  <w14:solidFill>
                    <w14:schemeClr w14:val="tx1"/>
                  </w14:solidFill>
                </w14:textFill>
              </w:rPr>
            </w:pPr>
            <w:r>
              <w:rPr>
                <w:rFonts w:hint="eastAsia" w:ascii="仿宋_GB2312" w:hAnsi="宋体" w:eastAsia="仿宋_GB2312" w:cs="宋体"/>
                <w:b/>
                <w:bCs/>
                <w:color w:val="000000" w:themeColor="text1"/>
                <w:kern w:val="0"/>
                <w:sz w:val="30"/>
                <w:szCs w:val="30"/>
                <w:lang w:bidi="ar"/>
                <w14:textFill>
                  <w14:solidFill>
                    <w14:schemeClr w14:val="tx1"/>
                  </w14:solidFill>
                </w14:textFill>
              </w:rPr>
              <w:t>工作质量考核评价表</w:t>
            </w:r>
          </w:p>
        </w:tc>
      </w:tr>
      <w:tr>
        <w:tblPrEx>
          <w:tblLayout w:type="fixed"/>
          <w:tblCellMar>
            <w:top w:w="0" w:type="dxa"/>
            <w:left w:w="108" w:type="dxa"/>
            <w:bottom w:w="0" w:type="dxa"/>
            <w:right w:w="108" w:type="dxa"/>
          </w:tblCellMar>
        </w:tblPrEx>
        <w:trPr>
          <w:trHeight w:val="567"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考核内容</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考核指标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分值</w:t>
            </w:r>
          </w:p>
        </w:tc>
      </w:tr>
      <w:tr>
        <w:tblPrEx>
          <w:tblLayout w:type="fixed"/>
          <w:tblCellMar>
            <w:top w:w="0" w:type="dxa"/>
            <w:left w:w="108" w:type="dxa"/>
            <w:bottom w:w="0" w:type="dxa"/>
            <w:right w:w="108" w:type="dxa"/>
          </w:tblCellMar>
        </w:tblPrEx>
        <w:trPr>
          <w:trHeight w:val="56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1</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专业能力方面（30分）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是否熟悉相关准则及法规（10分）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专业判断是否准确（10分）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专业结论是否恰当（10分）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2</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工作质量方面（25分）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是否严格执行工作程序（5分）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收集的证据是否充分、适当（5分）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工作底稿整理是否规范（5分）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工作中应发现的问题是否发现（5分）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综合文字材料质量是否符合工作要求（5分）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3</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工作态度方面（15分）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工作是否积极主动（5分）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工作是否认真负责（5分）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与工作团队其他人员是否积极配合（5分）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4</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遵纪守法方面（30分）</w:t>
            </w: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是否遵守工作纪律（10分）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是否遵守保密纪律（10分）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4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是否遵守廉政纪律（10分）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8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395" w:type="dxa"/>
            <w:vMerge w:val="restart"/>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评价意见</w:t>
            </w:r>
          </w:p>
        </w:tc>
        <w:tc>
          <w:tcPr>
            <w:tcW w:w="8025" w:type="dxa"/>
            <w:gridSpan w:val="3"/>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采购人部门意见：</w:t>
            </w: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8025" w:type="dxa"/>
            <w:gridSpan w:val="3"/>
            <w:tcBorders>
              <w:top w:val="nil"/>
              <w:left w:val="single" w:color="000000" w:sz="4" w:space="0"/>
              <w:bottom w:val="nil"/>
              <w:right w:val="single" w:color="000000" w:sz="4" w:space="0"/>
            </w:tcBorders>
            <w:shd w:val="clear" w:color="auto" w:fill="auto"/>
            <w:vAlign w:val="bottom"/>
          </w:tcPr>
          <w:p>
            <w:pPr>
              <w:widowControl/>
              <w:jc w:val="left"/>
              <w:textAlignment w:val="bottom"/>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签字（章）：                      日期：</w:t>
            </w: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8025" w:type="dxa"/>
            <w:gridSpan w:val="3"/>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采购人意见：</w:t>
            </w:r>
          </w:p>
        </w:tc>
      </w:tr>
      <w:tr>
        <w:tblPrEx>
          <w:tblLayout w:type="fixed"/>
          <w:tblCellMar>
            <w:top w:w="0" w:type="dxa"/>
            <w:left w:w="108" w:type="dxa"/>
            <w:bottom w:w="0" w:type="dxa"/>
            <w:right w:w="108" w:type="dxa"/>
          </w:tblCellMar>
        </w:tblPrEx>
        <w:trPr>
          <w:trHeight w:val="567" w:hRule="atLeast"/>
        </w:trPr>
        <w:tc>
          <w:tcPr>
            <w:tcW w:w="139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ascii="仿宋_GB2312" w:hAnsi="宋体" w:eastAsia="仿宋_GB2312" w:cs="宋体"/>
                <w:color w:val="000000" w:themeColor="text1"/>
                <w:sz w:val="22"/>
                <w:szCs w:val="22"/>
                <w14:textFill>
                  <w14:solidFill>
                    <w14:schemeClr w14:val="tx1"/>
                  </w14:solidFill>
                </w14:textFill>
              </w:rPr>
            </w:pPr>
          </w:p>
        </w:tc>
        <w:tc>
          <w:tcPr>
            <w:tcW w:w="8025" w:type="dxa"/>
            <w:gridSpan w:val="3"/>
            <w:tcBorders>
              <w:top w:val="nil"/>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_GB2312" w:hAnsi="宋体" w:eastAsia="仿宋_GB2312" w:cs="宋体"/>
                <w:color w:val="000000" w:themeColor="text1"/>
                <w:sz w:val="22"/>
                <w:szCs w:val="22"/>
                <w14:textFill>
                  <w14:solidFill>
                    <w14:schemeClr w14:val="tx1"/>
                  </w14:solidFill>
                </w14:textFill>
              </w:rPr>
            </w:pPr>
            <w:r>
              <w:rPr>
                <w:rFonts w:hint="eastAsia" w:ascii="仿宋_GB2312" w:hAnsi="宋体" w:eastAsia="仿宋_GB2312" w:cs="宋体"/>
                <w:color w:val="000000" w:themeColor="text1"/>
                <w:kern w:val="0"/>
                <w:sz w:val="22"/>
                <w:szCs w:val="22"/>
                <w:lang w:bidi="ar"/>
                <w14:textFill>
                  <w14:solidFill>
                    <w14:schemeClr w14:val="tx1"/>
                  </w14:solidFill>
                </w14:textFill>
              </w:rPr>
              <w:t>签字（章）：                      日期：</w:t>
            </w:r>
          </w:p>
        </w:tc>
      </w:tr>
    </w:tbl>
    <w:p>
      <w:pPr>
        <w:rPr>
          <w:rFonts w:ascii="宋体" w:hAnsi="宋体" w:cs="宋体"/>
          <w:sz w:val="24"/>
        </w:rPr>
      </w:pPr>
      <w:bookmarkStart w:id="483" w:name="第六部分"/>
      <w:r>
        <w:rPr>
          <w:rFonts w:hint="eastAsia" w:ascii="宋体" w:hAnsi="宋体" w:cs="宋体"/>
          <w:sz w:val="24"/>
        </w:rPr>
        <w:br w:type="page"/>
      </w:r>
    </w:p>
    <w:p>
      <w:pPr>
        <w:pStyle w:val="24"/>
        <w:spacing w:line="500" w:lineRule="exact"/>
        <w:ind w:firstLine="0"/>
        <w:rPr>
          <w:rFonts w:hAnsi="宋体" w:cs="宋体"/>
          <w:b/>
          <w:bCs/>
          <w:szCs w:val="24"/>
          <w:highlight w:val="none"/>
          <w:lang w:val="en-US"/>
        </w:rPr>
      </w:pPr>
      <w:r>
        <w:rPr>
          <w:rFonts w:hint="eastAsia" w:hAnsi="宋体" w:cs="宋体"/>
          <w:highlight w:val="none"/>
          <w:lang w:val="en-US"/>
        </w:rPr>
        <w:t>合同附件3：</w:t>
      </w:r>
    </w:p>
    <w:p>
      <w:pPr>
        <w:spacing w:line="500" w:lineRule="exact"/>
        <w:rPr>
          <w:highlight w:val="none"/>
        </w:rPr>
      </w:pPr>
    </w:p>
    <w:p>
      <w:pPr>
        <w:pStyle w:val="690"/>
        <w:keepNext w:val="0"/>
        <w:pageBreakBefore w:val="0"/>
        <w:tabs>
          <w:tab w:val="clear" w:pos="720"/>
        </w:tabs>
        <w:snapToGrid w:val="0"/>
        <w:spacing w:before="120" w:after="120" w:line="500" w:lineRule="exact"/>
        <w:ind w:firstLine="643"/>
        <w:outlineLvl w:val="9"/>
        <w:rPr>
          <w:rFonts w:ascii="仿宋_GB2312" w:hAnsi="宋体" w:eastAsia="仿宋_GB2312" w:cs="宋体"/>
          <w:bCs/>
          <w:color w:val="000000" w:themeColor="text1"/>
          <w:kern w:val="0"/>
          <w:sz w:val="30"/>
          <w:szCs w:val="30"/>
          <w:highlight w:val="none"/>
          <w:lang w:bidi="ar"/>
          <w14:textFill>
            <w14:solidFill>
              <w14:schemeClr w14:val="tx1"/>
            </w14:solidFill>
          </w14:textFill>
        </w:rPr>
      </w:pPr>
      <w:bookmarkStart w:id="484" w:name="_Toc11055"/>
      <w:r>
        <w:rPr>
          <w:rFonts w:hint="eastAsia" w:ascii="仿宋_GB2312" w:hAnsi="宋体" w:eastAsia="仿宋_GB2312" w:cs="宋体"/>
          <w:bCs/>
          <w:color w:val="000000" w:themeColor="text1"/>
          <w:kern w:val="0"/>
          <w:sz w:val="30"/>
          <w:szCs w:val="30"/>
          <w:highlight w:val="none"/>
          <w:lang w:bidi="ar"/>
          <w14:textFill>
            <w14:solidFill>
              <w14:schemeClr w14:val="tx1"/>
            </w14:solidFill>
          </w14:textFill>
        </w:rPr>
        <w:t>审计服务费明细清单</w:t>
      </w:r>
      <w:bookmarkEnd w:id="484"/>
    </w:p>
    <w:p>
      <w:pPr>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（服务人员费用清单）</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合同名称：</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合同编号：</w:t>
      </w:r>
    </w:p>
    <w:tbl>
      <w:tblPr>
        <w:tblStyle w:val="62"/>
        <w:tblW w:w="9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86"/>
        <w:gridCol w:w="1815"/>
        <w:gridCol w:w="1477"/>
        <w:gridCol w:w="1215"/>
        <w:gridCol w:w="141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4"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序号</w:t>
            </w:r>
          </w:p>
        </w:tc>
        <w:tc>
          <w:tcPr>
            <w:tcW w:w="1586"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服务人员</w:t>
            </w:r>
          </w:p>
        </w:tc>
        <w:tc>
          <w:tcPr>
            <w:tcW w:w="1815"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服务费</w:t>
            </w:r>
          </w:p>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（元</w:t>
            </w:r>
            <w:r>
              <w:rPr>
                <w:rFonts w:hint="eastAsia" w:ascii="仿宋_GB2312" w:hAnsi="仿宋_GB2312" w:eastAsia="仿宋_GB2312" w:cs="仿宋_GB2312"/>
                <w:b/>
                <w:sz w:val="24"/>
                <w:highlight w:val="none"/>
                <w:lang w:val="en"/>
              </w:rPr>
              <w:t>/</w:t>
            </w:r>
            <w:r>
              <w:rPr>
                <w:rFonts w:hint="eastAsia" w:ascii="仿宋_GB2312" w:hAnsi="仿宋_GB2312" w:eastAsia="仿宋_GB2312" w:cs="仿宋_GB2312"/>
                <w:b/>
                <w:sz w:val="24"/>
                <w:highlight w:val="none"/>
              </w:rPr>
              <w:t>天•人）</w:t>
            </w:r>
          </w:p>
        </w:tc>
        <w:tc>
          <w:tcPr>
            <w:tcW w:w="1477"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服务时间</w:t>
            </w:r>
          </w:p>
        </w:tc>
        <w:tc>
          <w:tcPr>
            <w:tcW w:w="1215"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服务人数</w:t>
            </w:r>
          </w:p>
        </w:tc>
        <w:tc>
          <w:tcPr>
            <w:tcW w:w="1414"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服务费</w:t>
            </w:r>
          </w:p>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小计（元）</w:t>
            </w:r>
          </w:p>
        </w:tc>
        <w:tc>
          <w:tcPr>
            <w:tcW w:w="1361" w:type="dxa"/>
            <w:vAlign w:val="center"/>
          </w:tcPr>
          <w:p>
            <w:pPr>
              <w:jc w:val="center"/>
              <w:rPr>
                <w:rFonts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备注</w:t>
            </w:r>
          </w:p>
          <w:p>
            <w:pPr>
              <w:jc w:val="center"/>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4"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rPr>
              <w:t>1</w:t>
            </w:r>
          </w:p>
        </w:tc>
        <w:tc>
          <w:tcPr>
            <w:tcW w:w="1586" w:type="dxa"/>
            <w:vAlign w:val="center"/>
          </w:tcPr>
          <w:p>
            <w:pPr>
              <w:jc w:val="center"/>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lang w:val="zh-CN"/>
              </w:rPr>
              <w:t>副高级及以上技术职称</w:t>
            </w:r>
          </w:p>
        </w:tc>
        <w:tc>
          <w:tcPr>
            <w:tcW w:w="1815" w:type="dxa"/>
            <w:vAlign w:val="center"/>
          </w:tcPr>
          <w:p>
            <w:pPr>
              <w:jc w:val="center"/>
              <w:rPr>
                <w:rFonts w:ascii="仿宋_GB2312" w:hAnsi="仿宋_GB2312" w:eastAsia="仿宋_GB2312" w:cs="仿宋_GB2312"/>
                <w:b/>
                <w:sz w:val="24"/>
                <w:highlight w:val="none"/>
              </w:rPr>
            </w:pPr>
          </w:p>
        </w:tc>
        <w:tc>
          <w:tcPr>
            <w:tcW w:w="1477" w:type="dxa"/>
            <w:vAlign w:val="center"/>
          </w:tcPr>
          <w:p>
            <w:pPr>
              <w:jc w:val="center"/>
              <w:rPr>
                <w:rFonts w:ascii="仿宋_GB2312" w:hAnsi="仿宋_GB2312" w:eastAsia="仿宋_GB2312" w:cs="仿宋_GB2312"/>
                <w:b/>
                <w:sz w:val="24"/>
                <w:highlight w:val="none"/>
              </w:rPr>
            </w:pPr>
          </w:p>
        </w:tc>
        <w:tc>
          <w:tcPr>
            <w:tcW w:w="1215" w:type="dxa"/>
            <w:vAlign w:val="center"/>
          </w:tcPr>
          <w:p>
            <w:pPr>
              <w:jc w:val="center"/>
              <w:rPr>
                <w:rFonts w:ascii="仿宋_GB2312" w:hAnsi="仿宋_GB2312" w:eastAsia="仿宋_GB2312" w:cs="仿宋_GB2312"/>
                <w:b/>
                <w:sz w:val="24"/>
                <w:highlight w:val="none"/>
              </w:rPr>
            </w:pPr>
          </w:p>
        </w:tc>
        <w:tc>
          <w:tcPr>
            <w:tcW w:w="1414" w:type="dxa"/>
            <w:vAlign w:val="center"/>
          </w:tcPr>
          <w:p>
            <w:pPr>
              <w:jc w:val="center"/>
              <w:rPr>
                <w:rFonts w:ascii="仿宋_GB2312" w:hAnsi="仿宋_GB2312" w:eastAsia="仿宋_GB2312" w:cs="仿宋_GB2312"/>
                <w:b/>
                <w:sz w:val="24"/>
                <w:highlight w:val="none"/>
              </w:rPr>
            </w:pPr>
          </w:p>
        </w:tc>
        <w:tc>
          <w:tcPr>
            <w:tcW w:w="1361" w:type="dxa"/>
            <w:vAlign w:val="center"/>
          </w:tcPr>
          <w:p>
            <w:pPr>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1586" w:type="dxa"/>
            <w:vAlign w:val="center"/>
          </w:tcPr>
          <w:p>
            <w:pPr>
              <w:snapToGrid w:val="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注册会计师</w:t>
            </w:r>
          </w:p>
        </w:tc>
        <w:tc>
          <w:tcPr>
            <w:tcW w:w="1815" w:type="dxa"/>
            <w:vAlign w:val="center"/>
          </w:tcPr>
          <w:p>
            <w:pPr>
              <w:snapToGrid w:val="0"/>
              <w:jc w:val="center"/>
              <w:rPr>
                <w:rFonts w:ascii="仿宋_GB2312" w:hAnsi="仿宋_GB2312" w:eastAsia="仿宋_GB2312" w:cs="仿宋_GB2312"/>
                <w:sz w:val="24"/>
                <w:highlight w:val="none"/>
              </w:rPr>
            </w:pPr>
          </w:p>
        </w:tc>
        <w:tc>
          <w:tcPr>
            <w:tcW w:w="1477" w:type="dxa"/>
            <w:vAlign w:val="center"/>
          </w:tcPr>
          <w:p>
            <w:pPr>
              <w:jc w:val="center"/>
              <w:rPr>
                <w:rFonts w:ascii="仿宋_GB2312" w:hAnsi="仿宋_GB2312" w:eastAsia="仿宋_GB2312" w:cs="仿宋_GB2312"/>
                <w:sz w:val="24"/>
                <w:highlight w:val="none"/>
              </w:rPr>
            </w:pPr>
          </w:p>
        </w:tc>
        <w:tc>
          <w:tcPr>
            <w:tcW w:w="1215" w:type="dxa"/>
            <w:vAlign w:val="center"/>
          </w:tcPr>
          <w:p>
            <w:pPr>
              <w:jc w:val="center"/>
              <w:rPr>
                <w:rFonts w:ascii="仿宋_GB2312" w:hAnsi="仿宋_GB2312" w:eastAsia="仿宋_GB2312" w:cs="仿宋_GB2312"/>
                <w:sz w:val="24"/>
                <w:highlight w:val="none"/>
              </w:rPr>
            </w:pPr>
          </w:p>
        </w:tc>
        <w:tc>
          <w:tcPr>
            <w:tcW w:w="1414" w:type="dxa"/>
            <w:vAlign w:val="center"/>
          </w:tcPr>
          <w:p>
            <w:pPr>
              <w:jc w:val="center"/>
              <w:rPr>
                <w:rFonts w:ascii="仿宋_GB2312" w:hAnsi="仿宋_GB2312" w:eastAsia="仿宋_GB2312" w:cs="仿宋_GB2312"/>
                <w:sz w:val="24"/>
                <w:highlight w:val="none"/>
              </w:rPr>
            </w:pPr>
          </w:p>
        </w:tc>
        <w:tc>
          <w:tcPr>
            <w:tcW w:w="1361" w:type="dxa"/>
            <w:vAlign w:val="center"/>
          </w:tcPr>
          <w:p>
            <w:pPr>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w:t>
            </w:r>
          </w:p>
        </w:tc>
        <w:tc>
          <w:tcPr>
            <w:tcW w:w="1586" w:type="dxa"/>
            <w:vAlign w:val="center"/>
          </w:tcPr>
          <w:p>
            <w:pPr>
              <w:snapToGrid w:val="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中级技术职称及以下专业人员</w:t>
            </w:r>
          </w:p>
        </w:tc>
        <w:tc>
          <w:tcPr>
            <w:tcW w:w="1815" w:type="dxa"/>
            <w:vAlign w:val="center"/>
          </w:tcPr>
          <w:p>
            <w:pPr>
              <w:snapToGrid w:val="0"/>
              <w:jc w:val="center"/>
              <w:rPr>
                <w:rFonts w:ascii="仿宋_GB2312" w:hAnsi="仿宋_GB2312" w:eastAsia="仿宋_GB2312" w:cs="仿宋_GB2312"/>
                <w:sz w:val="24"/>
                <w:highlight w:val="none"/>
              </w:rPr>
            </w:pPr>
          </w:p>
        </w:tc>
        <w:tc>
          <w:tcPr>
            <w:tcW w:w="1477" w:type="dxa"/>
            <w:vAlign w:val="center"/>
          </w:tcPr>
          <w:p>
            <w:pPr>
              <w:jc w:val="center"/>
              <w:rPr>
                <w:rFonts w:ascii="仿宋_GB2312" w:hAnsi="仿宋_GB2312" w:eastAsia="仿宋_GB2312" w:cs="仿宋_GB2312"/>
                <w:sz w:val="24"/>
                <w:highlight w:val="none"/>
              </w:rPr>
            </w:pPr>
          </w:p>
        </w:tc>
        <w:tc>
          <w:tcPr>
            <w:tcW w:w="1215" w:type="dxa"/>
            <w:vAlign w:val="center"/>
          </w:tcPr>
          <w:p>
            <w:pPr>
              <w:jc w:val="center"/>
              <w:rPr>
                <w:rFonts w:ascii="仿宋_GB2312" w:hAnsi="仿宋_GB2312" w:eastAsia="仿宋_GB2312" w:cs="仿宋_GB2312"/>
                <w:sz w:val="24"/>
                <w:highlight w:val="none"/>
              </w:rPr>
            </w:pPr>
          </w:p>
        </w:tc>
        <w:tc>
          <w:tcPr>
            <w:tcW w:w="1414" w:type="dxa"/>
            <w:vAlign w:val="center"/>
          </w:tcPr>
          <w:p>
            <w:pPr>
              <w:jc w:val="center"/>
              <w:rPr>
                <w:rFonts w:ascii="仿宋_GB2312" w:hAnsi="仿宋_GB2312" w:eastAsia="仿宋_GB2312" w:cs="仿宋_GB2312"/>
                <w:sz w:val="24"/>
                <w:highlight w:val="none"/>
              </w:rPr>
            </w:pPr>
          </w:p>
        </w:tc>
        <w:tc>
          <w:tcPr>
            <w:tcW w:w="1361" w:type="dxa"/>
            <w:vAlign w:val="center"/>
          </w:tcPr>
          <w:p>
            <w:pPr>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1586" w:type="dxa"/>
            <w:vAlign w:val="center"/>
          </w:tcPr>
          <w:p>
            <w:pPr>
              <w:snapToGrid w:val="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助理人员</w:t>
            </w:r>
          </w:p>
        </w:tc>
        <w:tc>
          <w:tcPr>
            <w:tcW w:w="1815" w:type="dxa"/>
            <w:vAlign w:val="center"/>
          </w:tcPr>
          <w:p>
            <w:pPr>
              <w:snapToGrid w:val="0"/>
              <w:jc w:val="center"/>
              <w:rPr>
                <w:rFonts w:ascii="仿宋_GB2312" w:hAnsi="仿宋_GB2312" w:eastAsia="仿宋_GB2312" w:cs="仿宋_GB2312"/>
                <w:sz w:val="24"/>
                <w:highlight w:val="none"/>
              </w:rPr>
            </w:pPr>
          </w:p>
        </w:tc>
        <w:tc>
          <w:tcPr>
            <w:tcW w:w="1477" w:type="dxa"/>
            <w:vAlign w:val="center"/>
          </w:tcPr>
          <w:p>
            <w:pPr>
              <w:jc w:val="center"/>
              <w:rPr>
                <w:rFonts w:ascii="仿宋_GB2312" w:hAnsi="仿宋_GB2312" w:eastAsia="仿宋_GB2312" w:cs="仿宋_GB2312"/>
                <w:sz w:val="24"/>
                <w:highlight w:val="none"/>
              </w:rPr>
            </w:pPr>
          </w:p>
        </w:tc>
        <w:tc>
          <w:tcPr>
            <w:tcW w:w="1215" w:type="dxa"/>
            <w:vAlign w:val="center"/>
          </w:tcPr>
          <w:p>
            <w:pPr>
              <w:jc w:val="center"/>
              <w:rPr>
                <w:rFonts w:ascii="仿宋_GB2312" w:hAnsi="仿宋_GB2312" w:eastAsia="仿宋_GB2312" w:cs="仿宋_GB2312"/>
                <w:sz w:val="24"/>
                <w:highlight w:val="none"/>
              </w:rPr>
            </w:pPr>
          </w:p>
        </w:tc>
        <w:tc>
          <w:tcPr>
            <w:tcW w:w="1414" w:type="dxa"/>
            <w:vAlign w:val="center"/>
          </w:tcPr>
          <w:p>
            <w:pPr>
              <w:jc w:val="center"/>
              <w:rPr>
                <w:rFonts w:ascii="仿宋_GB2312" w:hAnsi="仿宋_GB2312" w:eastAsia="仿宋_GB2312" w:cs="仿宋_GB2312"/>
                <w:sz w:val="24"/>
                <w:highlight w:val="none"/>
              </w:rPr>
            </w:pPr>
          </w:p>
        </w:tc>
        <w:tc>
          <w:tcPr>
            <w:tcW w:w="1361" w:type="dxa"/>
            <w:vAlign w:val="center"/>
          </w:tcPr>
          <w:p>
            <w:pPr>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24"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1586" w:type="dxa"/>
            <w:vAlign w:val="center"/>
          </w:tcPr>
          <w:p>
            <w:pPr>
              <w:snapToGrid w:val="0"/>
              <w:jc w:val="center"/>
              <w:rPr>
                <w:rFonts w:ascii="仿宋_GB2312" w:hAnsi="仿宋_GB2312" w:eastAsia="仿宋_GB2312" w:cs="仿宋_GB2312"/>
                <w:bCs/>
                <w:kern w:val="0"/>
                <w:sz w:val="24"/>
                <w:highlight w:val="none"/>
              </w:rPr>
            </w:pPr>
            <w:r>
              <w:rPr>
                <w:rFonts w:hint="eastAsia" w:ascii="仿宋_GB2312" w:hAnsi="仿宋_GB2312" w:eastAsia="仿宋_GB2312" w:cs="仿宋_GB2312"/>
                <w:bCs/>
                <w:kern w:val="0"/>
                <w:sz w:val="24"/>
                <w:highlight w:val="none"/>
              </w:rPr>
              <w:t>其他人员</w:t>
            </w:r>
          </w:p>
        </w:tc>
        <w:tc>
          <w:tcPr>
            <w:tcW w:w="1815" w:type="dxa"/>
            <w:vAlign w:val="center"/>
          </w:tcPr>
          <w:p>
            <w:pPr>
              <w:snapToGrid w:val="0"/>
              <w:jc w:val="center"/>
              <w:rPr>
                <w:rFonts w:ascii="仿宋_GB2312" w:hAnsi="仿宋_GB2312" w:eastAsia="仿宋_GB2312" w:cs="仿宋_GB2312"/>
                <w:sz w:val="24"/>
                <w:highlight w:val="none"/>
              </w:rPr>
            </w:pPr>
          </w:p>
        </w:tc>
        <w:tc>
          <w:tcPr>
            <w:tcW w:w="1477" w:type="dxa"/>
            <w:vAlign w:val="center"/>
          </w:tcPr>
          <w:p>
            <w:pPr>
              <w:jc w:val="center"/>
              <w:rPr>
                <w:rFonts w:ascii="仿宋_GB2312" w:hAnsi="仿宋_GB2312" w:eastAsia="仿宋_GB2312" w:cs="仿宋_GB2312"/>
                <w:sz w:val="24"/>
                <w:highlight w:val="none"/>
              </w:rPr>
            </w:pPr>
          </w:p>
        </w:tc>
        <w:tc>
          <w:tcPr>
            <w:tcW w:w="1215" w:type="dxa"/>
            <w:vAlign w:val="center"/>
          </w:tcPr>
          <w:p>
            <w:pPr>
              <w:jc w:val="center"/>
              <w:rPr>
                <w:rFonts w:ascii="仿宋_GB2312" w:hAnsi="仿宋_GB2312" w:eastAsia="仿宋_GB2312" w:cs="仿宋_GB2312"/>
                <w:sz w:val="24"/>
                <w:highlight w:val="none"/>
              </w:rPr>
            </w:pPr>
          </w:p>
        </w:tc>
        <w:tc>
          <w:tcPr>
            <w:tcW w:w="1414" w:type="dxa"/>
            <w:vAlign w:val="center"/>
          </w:tcPr>
          <w:p>
            <w:pPr>
              <w:jc w:val="center"/>
              <w:rPr>
                <w:rFonts w:ascii="仿宋_GB2312" w:hAnsi="仿宋_GB2312" w:eastAsia="仿宋_GB2312" w:cs="仿宋_GB2312"/>
                <w:sz w:val="24"/>
                <w:highlight w:val="none"/>
              </w:rPr>
            </w:pPr>
          </w:p>
        </w:tc>
        <w:tc>
          <w:tcPr>
            <w:tcW w:w="1361" w:type="dxa"/>
            <w:vAlign w:val="center"/>
          </w:tcPr>
          <w:p>
            <w:pPr>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6817" w:type="dxa"/>
            <w:gridSpan w:val="5"/>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b/>
                <w:bCs/>
                <w:sz w:val="24"/>
                <w:highlight w:val="none"/>
              </w:rPr>
              <w:t>服务费合计（元）</w:t>
            </w:r>
          </w:p>
        </w:tc>
        <w:tc>
          <w:tcPr>
            <w:tcW w:w="2775" w:type="dxa"/>
            <w:gridSpan w:val="2"/>
            <w:vAlign w:val="center"/>
          </w:tcPr>
          <w:p>
            <w:pPr>
              <w:jc w:val="center"/>
              <w:rPr>
                <w:rFonts w:ascii="仿宋_GB2312" w:hAnsi="仿宋_GB2312" w:eastAsia="仿宋_GB2312" w:cs="仿宋_GB2312"/>
                <w:sz w:val="24"/>
                <w:highlight w:val="none"/>
              </w:rPr>
            </w:pPr>
          </w:p>
        </w:tc>
      </w:tr>
    </w:tbl>
    <w:p>
      <w:pPr>
        <w:spacing w:line="500" w:lineRule="exact"/>
        <w:rPr>
          <w:highlight w:val="none"/>
        </w:rPr>
      </w:pPr>
    </w:p>
    <w:tbl>
      <w:tblPr>
        <w:tblStyle w:val="62"/>
        <w:tblW w:w="9577" w:type="dxa"/>
        <w:jc w:val="center"/>
        <w:tblInd w:w="0" w:type="dxa"/>
        <w:tblLayout w:type="fixed"/>
        <w:tblCellMar>
          <w:top w:w="0" w:type="dxa"/>
          <w:left w:w="108" w:type="dxa"/>
          <w:bottom w:w="0" w:type="dxa"/>
          <w:right w:w="108" w:type="dxa"/>
        </w:tblCellMar>
      </w:tblPr>
      <w:tblGrid>
        <w:gridCol w:w="4416"/>
        <w:gridCol w:w="5161"/>
      </w:tblGrid>
      <w:tr>
        <w:tblPrEx>
          <w:tblLayout w:type="fixed"/>
          <w:tblCellMar>
            <w:top w:w="0" w:type="dxa"/>
            <w:left w:w="108" w:type="dxa"/>
            <w:bottom w:w="0" w:type="dxa"/>
            <w:right w:w="108" w:type="dxa"/>
          </w:tblCellMar>
        </w:tblPrEx>
        <w:trPr>
          <w:trHeight w:val="1085" w:hRule="atLeast"/>
          <w:jc w:val="center"/>
        </w:trPr>
        <w:tc>
          <w:tcPr>
            <w:tcW w:w="4416" w:type="dxa"/>
            <w:vAlign w:val="center"/>
          </w:tcPr>
          <w:p>
            <w:pPr>
              <w:widowControl/>
              <w:spacing w:line="500" w:lineRule="exact"/>
              <w:ind w:left="1560" w:hanging="1560" w:hangingChars="650"/>
              <w:rPr>
                <w:rFonts w:ascii="宋体" w:hAnsi="宋体" w:cs="宋体"/>
                <w:kern w:val="0"/>
                <w:sz w:val="24"/>
                <w:highlight w:val="none"/>
              </w:rPr>
            </w:pPr>
            <w:r>
              <w:rPr>
                <w:rFonts w:hint="eastAsia" w:ascii="宋体" w:hAnsi="宋体" w:cs="宋体"/>
                <w:kern w:val="0"/>
                <w:sz w:val="24"/>
                <w:highlight w:val="none"/>
              </w:rPr>
              <w:t>采购人（盖章）：</w:t>
            </w:r>
          </w:p>
        </w:tc>
        <w:tc>
          <w:tcPr>
            <w:tcW w:w="5161" w:type="dxa"/>
            <w:vAlign w:val="center"/>
          </w:tcPr>
          <w:p>
            <w:pPr>
              <w:widowControl/>
              <w:spacing w:line="500" w:lineRule="exact"/>
              <w:ind w:firstLine="120"/>
              <w:rPr>
                <w:rFonts w:ascii="宋体" w:hAnsi="宋体" w:cs="宋体"/>
                <w:kern w:val="0"/>
                <w:sz w:val="24"/>
                <w:highlight w:val="none"/>
              </w:rPr>
            </w:pPr>
            <w:r>
              <w:rPr>
                <w:rFonts w:hint="eastAsia" w:ascii="宋体" w:hAnsi="宋体" w:cs="宋体"/>
                <w:kern w:val="0"/>
                <w:sz w:val="24"/>
                <w:highlight w:val="none"/>
              </w:rPr>
              <w:t>供应商（盖章）：</w:t>
            </w:r>
          </w:p>
        </w:tc>
      </w:tr>
      <w:tr>
        <w:tblPrEx>
          <w:tblLayout w:type="fixed"/>
          <w:tblCellMar>
            <w:top w:w="0" w:type="dxa"/>
            <w:left w:w="108" w:type="dxa"/>
            <w:bottom w:w="0" w:type="dxa"/>
            <w:right w:w="108" w:type="dxa"/>
          </w:tblCellMar>
        </w:tblPrEx>
        <w:trPr>
          <w:trHeight w:val="1149" w:hRule="atLeast"/>
          <w:jc w:val="center"/>
        </w:trPr>
        <w:tc>
          <w:tcPr>
            <w:tcW w:w="4416" w:type="dxa"/>
            <w:vAlign w:val="center"/>
          </w:tcPr>
          <w:p>
            <w:pPr>
              <w:widowControl/>
              <w:spacing w:line="500" w:lineRule="exact"/>
              <w:rPr>
                <w:rFonts w:ascii="宋体" w:hAnsi="宋体" w:cs="宋体"/>
                <w:kern w:val="0"/>
                <w:sz w:val="24"/>
                <w:highlight w:val="none"/>
              </w:rPr>
            </w:pPr>
            <w:r>
              <w:rPr>
                <w:rFonts w:hint="eastAsia" w:ascii="宋体" w:hAnsi="宋体" w:cs="宋体"/>
                <w:sz w:val="24"/>
                <w:highlight w:val="none"/>
              </w:rPr>
              <w:t>日期：   年    月    日</w:t>
            </w:r>
          </w:p>
        </w:tc>
        <w:tc>
          <w:tcPr>
            <w:tcW w:w="5161" w:type="dxa"/>
            <w:vAlign w:val="center"/>
          </w:tcPr>
          <w:p>
            <w:pPr>
              <w:widowControl/>
              <w:spacing w:line="500" w:lineRule="exact"/>
              <w:ind w:firstLine="120"/>
              <w:rPr>
                <w:rFonts w:ascii="宋体" w:hAnsi="宋体" w:cs="宋体"/>
                <w:kern w:val="0"/>
                <w:sz w:val="24"/>
                <w:highlight w:val="none"/>
              </w:rPr>
            </w:pPr>
            <w:r>
              <w:rPr>
                <w:rFonts w:hint="eastAsia" w:ascii="宋体" w:hAnsi="宋体" w:cs="宋体"/>
                <w:sz w:val="24"/>
                <w:highlight w:val="none"/>
              </w:rPr>
              <w:t>日期：   年   月    日</w:t>
            </w:r>
          </w:p>
        </w:tc>
      </w:tr>
    </w:tbl>
    <w:p>
      <w:pPr>
        <w:spacing w:after="120" w:afterLines="50" w:line="360" w:lineRule="auto"/>
        <w:jc w:val="center"/>
        <w:outlineLvl w:val="0"/>
        <w:rPr>
          <w:rFonts w:ascii="仿宋_GB2312" w:hAnsi="宋体" w:eastAsia="仿宋_GB2312" w:cs="宋体"/>
          <w:b/>
          <w:color w:val="000000" w:themeColor="text1"/>
          <w:sz w:val="32"/>
          <w:szCs w:val="32"/>
          <w14:textFill>
            <w14:solidFill>
              <w14:schemeClr w14:val="tx1"/>
            </w14:solidFill>
          </w14:textFill>
        </w:rPr>
        <w:sectPr>
          <w:footerReference r:id="rId6" w:type="default"/>
          <w:pgSz w:w="11906" w:h="16838"/>
          <w:pgMar w:top="1418" w:right="1418" w:bottom="1418" w:left="1418" w:header="851" w:footer="851" w:gutter="0"/>
          <w:pgNumType w:start="1" w:chapStyle="1"/>
          <w:cols w:space="720" w:num="1"/>
          <w:docGrid w:linePitch="312" w:charSpace="0"/>
        </w:sectPr>
      </w:pPr>
    </w:p>
    <w:p>
      <w:pPr>
        <w:spacing w:after="120" w:afterLines="50" w:line="360" w:lineRule="auto"/>
        <w:jc w:val="center"/>
        <w:outlineLvl w:val="0"/>
        <w:rPr>
          <w:rFonts w:ascii="仿宋_GB2312" w:hAnsi="宋体" w:eastAsia="仿宋_GB2312" w:cs="宋体"/>
          <w:b/>
          <w:color w:val="000000" w:themeColor="text1"/>
          <w:sz w:val="32"/>
          <w:szCs w:val="32"/>
          <w14:textFill>
            <w14:solidFill>
              <w14:schemeClr w14:val="tx1"/>
            </w14:solidFill>
          </w14:textFill>
        </w:rPr>
      </w:pPr>
      <w:bookmarkStart w:id="485" w:name="_Toc146706846"/>
      <w:bookmarkStart w:id="486" w:name="_Toc28687"/>
      <w:r>
        <w:rPr>
          <w:rFonts w:hint="eastAsia" w:ascii="仿宋_GB2312" w:hAnsi="宋体" w:eastAsia="仿宋_GB2312" w:cs="宋体"/>
          <w:b/>
          <w:color w:val="000000" w:themeColor="text1"/>
          <w:sz w:val="32"/>
          <w:szCs w:val="32"/>
          <w14:textFill>
            <w14:solidFill>
              <w14:schemeClr w14:val="tx1"/>
            </w14:solidFill>
          </w14:textFill>
        </w:rPr>
        <w:t xml:space="preserve">第六部分 </w:t>
      </w:r>
      <w:bookmarkEnd w:id="480"/>
      <w:bookmarkEnd w:id="483"/>
      <w:r>
        <w:rPr>
          <w:rFonts w:hint="eastAsia" w:ascii="仿宋_GB2312" w:hAnsi="宋体" w:eastAsia="仿宋_GB2312" w:cs="宋体"/>
          <w:b/>
          <w:color w:val="000000" w:themeColor="text1"/>
          <w:sz w:val="32"/>
          <w:szCs w:val="32"/>
          <w14:textFill>
            <w14:solidFill>
              <w14:schemeClr w14:val="tx1"/>
            </w14:solidFill>
          </w14:textFill>
        </w:rPr>
        <w:t>响应文件编制格式及规范要求</w:t>
      </w:r>
      <w:bookmarkEnd w:id="485"/>
      <w:bookmarkEnd w:id="486"/>
    </w:p>
    <w:p>
      <w:pPr>
        <w:snapToGrid w:val="0"/>
        <w:spacing w:line="360" w:lineRule="auto"/>
        <w:jc w:val="center"/>
        <w:rPr>
          <w:rFonts w:ascii="仿宋_GB2312" w:hAnsi="宋体" w:eastAsia="仿宋_GB2312" w:cs="宋体"/>
          <w:b/>
          <w:bCs/>
          <w:sz w:val="24"/>
        </w:rPr>
      </w:pPr>
      <w:r>
        <w:rPr>
          <w:rFonts w:hint="eastAsia" w:ascii="仿宋_GB2312" w:hAnsi="宋体" w:eastAsia="仿宋_GB2312" w:cs="宋体"/>
          <w:b/>
          <w:bCs/>
          <w:sz w:val="24"/>
        </w:rPr>
        <w:t>（注：▲供应商应按要求提交相应的响应文件）</w:t>
      </w:r>
    </w:p>
    <w:p>
      <w:pPr>
        <w:pStyle w:val="26"/>
        <w:ind w:firstLine="420"/>
        <w:rPr>
          <w:rFonts w:ascii="仿宋_GB2312" w:eastAsia="仿宋_GB2312"/>
        </w:rPr>
      </w:pPr>
    </w:p>
    <w:p>
      <w:pPr>
        <w:spacing w:line="360" w:lineRule="auto"/>
        <w:jc w:val="center"/>
        <w:outlineLvl w:val="1"/>
        <w:rPr>
          <w:rFonts w:ascii="仿宋_GB2312" w:hAnsi="宋体" w:eastAsia="仿宋_GB2312" w:cs="宋体"/>
          <w:b/>
          <w:color w:val="000000" w:themeColor="text1"/>
          <w:kern w:val="0"/>
          <w:sz w:val="48"/>
          <w:szCs w:val="48"/>
          <w14:textFill>
            <w14:solidFill>
              <w14:schemeClr w14:val="tx1"/>
            </w14:solidFill>
          </w14:textFill>
        </w:rPr>
      </w:pPr>
      <w:bookmarkStart w:id="487" w:name="_Toc146706847"/>
      <w:bookmarkStart w:id="488" w:name="_Toc321"/>
      <w:r>
        <w:rPr>
          <w:rFonts w:hint="eastAsia" w:ascii="仿宋_GB2312" w:hAnsi="宋体" w:eastAsia="仿宋_GB2312" w:cs="宋体"/>
          <w:b/>
          <w:color w:val="000000" w:themeColor="text1"/>
          <w:kern w:val="0"/>
          <w:sz w:val="48"/>
          <w:szCs w:val="48"/>
          <w14:textFill>
            <w14:solidFill>
              <w14:schemeClr w14:val="tx1"/>
            </w14:solidFill>
          </w14:textFill>
        </w:rPr>
        <w:t>响应文件</w:t>
      </w:r>
      <w:bookmarkEnd w:id="487"/>
      <w:bookmarkEnd w:id="488"/>
    </w:p>
    <w:p>
      <w:pPr>
        <w:spacing w:line="360" w:lineRule="auto"/>
        <w:jc w:val="center"/>
        <w:outlineLvl w:val="1"/>
        <w:rPr>
          <w:rFonts w:ascii="仿宋_GB2312" w:hAnsi="宋体" w:eastAsia="仿宋_GB2312" w:cs="宋体"/>
          <w:b/>
          <w:color w:val="000000" w:themeColor="text1"/>
          <w:kern w:val="0"/>
          <w:sz w:val="32"/>
          <w:szCs w:val="32"/>
          <w14:textFill>
            <w14:solidFill>
              <w14:schemeClr w14:val="tx1"/>
            </w14:solidFill>
          </w14:textFill>
        </w:rPr>
      </w:pPr>
      <w:bookmarkStart w:id="489" w:name="_Toc31590"/>
      <w:bookmarkStart w:id="490" w:name="_Toc146706848"/>
      <w:r>
        <w:rPr>
          <w:rFonts w:hint="eastAsia" w:ascii="仿宋_GB2312" w:hAnsi="宋体" w:eastAsia="仿宋_GB2312" w:cs="宋体"/>
          <w:b/>
          <w:color w:val="000000" w:themeColor="text1"/>
          <w:kern w:val="0"/>
          <w:sz w:val="32"/>
          <w:szCs w:val="32"/>
          <w14:textFill>
            <w14:solidFill>
              <w14:schemeClr w14:val="tx1"/>
            </w14:solidFill>
          </w14:textFill>
        </w:rPr>
        <w:t>目录</w:t>
      </w:r>
      <w:bookmarkEnd w:id="489"/>
      <w:bookmarkEnd w:id="490"/>
    </w:p>
    <w:p>
      <w:pPr>
        <w:snapToGrid w:val="0"/>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一、资格响应文件</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符合参加政府采购活动应当具备的一般条件的承诺函…………………（页码）</w:t>
      </w:r>
    </w:p>
    <w:p>
      <w:pPr>
        <w:snapToGrid w:val="0"/>
        <w:spacing w:line="360" w:lineRule="auto"/>
        <w:ind w:firstLine="480" w:firstLineChars="200"/>
        <w:rPr>
          <w:rFonts w:hint="eastAsia"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lang w:val="en-US" w:eastAsia="zh-CN"/>
          <w14:textFill>
            <w14:solidFill>
              <w14:schemeClr w14:val="tx1"/>
            </w14:solidFill>
          </w14:textFill>
        </w:rPr>
        <w:t>2</w:t>
      </w:r>
      <w:r>
        <w:rPr>
          <w:rFonts w:hint="eastAsia" w:ascii="仿宋_GB2312" w:hAnsi="宋体" w:eastAsia="仿宋_GB2312" w:cs="宋体"/>
          <w:color w:val="000000" w:themeColor="text1"/>
          <w:sz w:val="24"/>
          <w14:textFill>
            <w14:solidFill>
              <w14:schemeClr w14:val="tx1"/>
            </w14:solidFill>
          </w14:textFill>
        </w:rPr>
        <w:t>、</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hAnsi="宋体" w:eastAsia="仿宋_GB2312" w:cs="宋体"/>
          <w:b w:val="0"/>
          <w:bCs w:val="0"/>
          <w:color w:val="000000" w:themeColor="text1"/>
          <w:sz w:val="24"/>
          <w14:textFill>
            <w14:solidFill>
              <w14:schemeClr w14:val="tx1"/>
            </w14:solidFill>
          </w14:textFill>
        </w:rPr>
        <w:t>有效营业执照电子文档</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lang w:val="en-US" w:eastAsia="zh-CN"/>
          <w14:textFill>
            <w14:solidFill>
              <w14:schemeClr w14:val="tx1"/>
            </w14:solidFill>
          </w14:textFill>
        </w:rPr>
        <w:t>3</w:t>
      </w:r>
      <w:r>
        <w:rPr>
          <w:rFonts w:hint="eastAsia" w:ascii="仿宋_GB2312" w:hAnsi="宋体" w:eastAsia="仿宋_GB2312" w:cs="宋体"/>
          <w:color w:val="000000" w:themeColor="text1"/>
          <w:sz w:val="24"/>
          <w14:textFill>
            <w14:solidFill>
              <w14:schemeClr w14:val="tx1"/>
            </w14:solidFill>
          </w14:textFill>
        </w:rPr>
        <w:t>、</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特定资格要求证明文件……………………………………………………（页码）</w:t>
      </w:r>
    </w:p>
    <w:p>
      <w:pPr>
        <w:snapToGrid w:val="0"/>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二、商务技术响应文件</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授权委托书或法定代表人（单位负责人、自然人本人）身份证明……（页码）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eastAsia="仿宋_GB2312" w:cs="宋体"/>
          <w:color w:val="000000" w:themeColor="text1"/>
          <w:sz w:val="24"/>
          <w14:textFill>
            <w14:solidFill>
              <w14:schemeClr w14:val="tx1"/>
            </w14:solidFill>
          </w14:textFill>
        </w:rPr>
        <w:t>采购需求承诺函</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eastAsia="仿宋_GB2312" w:cs="宋体"/>
          <w:color w:val="000000" w:themeColor="text1"/>
          <w:sz w:val="24"/>
          <w14:textFill>
            <w14:solidFill>
              <w14:schemeClr w14:val="tx1"/>
            </w14:solidFill>
          </w14:textFill>
        </w:rPr>
        <w:t>管理制度</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4、</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eastAsia="仿宋_GB2312" w:cs="宋体"/>
          <w:color w:val="000000" w:themeColor="text1"/>
          <w:sz w:val="24"/>
          <w14:textFill>
            <w14:solidFill>
              <w14:schemeClr w14:val="tx1"/>
            </w14:solidFill>
          </w14:textFill>
        </w:rPr>
        <w:t>服务方案</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5、</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eastAsia="仿宋_GB2312" w:cs="宋体"/>
          <w:color w:val="000000" w:themeColor="text1"/>
          <w:sz w:val="24"/>
          <w14:textFill>
            <w14:solidFill>
              <w14:schemeClr w14:val="tx1"/>
            </w14:solidFill>
          </w14:textFill>
        </w:rPr>
        <w:t>服务团队配备人员情况表</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6、</w:t>
      </w:r>
      <w:r>
        <w:rPr>
          <w:rFonts w:hint="eastAsia" w:ascii="仿宋_GB2312" w:eastAsia="仿宋_GB2312" w:cs="宋体"/>
          <w:b/>
          <w:bCs/>
          <w:color w:val="000000" w:themeColor="text1"/>
          <w:sz w:val="24"/>
          <w14:textFill>
            <w14:solidFill>
              <w14:schemeClr w14:val="tx1"/>
            </w14:solidFill>
          </w14:textFill>
        </w:rPr>
        <w:t>▲</w:t>
      </w:r>
      <w:r>
        <w:rPr>
          <w:rFonts w:hint="eastAsia" w:ascii="仿宋_GB2312" w:eastAsia="仿宋_GB2312" w:cs="宋体"/>
          <w:color w:val="000000" w:themeColor="text1"/>
          <w:sz w:val="24"/>
          <w14:textFill>
            <w14:solidFill>
              <w14:schemeClr w14:val="tx1"/>
            </w14:solidFill>
          </w14:textFill>
        </w:rPr>
        <w:t>注册会计师执业证书</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ind w:firstLine="480" w:firstLineChars="20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7、承担类似业绩情况（如果有）………………………………………………（页码）</w:t>
      </w:r>
    </w:p>
    <w:p>
      <w:pPr>
        <w:snapToGrid w:val="0"/>
        <w:spacing w:line="360" w:lineRule="auto"/>
        <w:ind w:firstLine="480" w:firstLineChars="200"/>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8、供应商需要说明的其他文件和说明（如果有）</w:t>
      </w:r>
      <w:r>
        <w:rPr>
          <w:rFonts w:hint="eastAsia" w:ascii="仿宋_GB2312" w:hAnsi="宋体" w:eastAsia="仿宋_GB2312" w:cs="宋体"/>
          <w:color w:val="000000" w:themeColor="text1"/>
          <w:sz w:val="24"/>
          <w14:textFill>
            <w14:solidFill>
              <w14:schemeClr w14:val="tx1"/>
            </w14:solidFill>
          </w14:textFill>
        </w:rPr>
        <w:t>……………………………（页码）</w:t>
      </w:r>
    </w:p>
    <w:p>
      <w:pPr>
        <w:snapToGrid w:val="0"/>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三、▲参数响应文件</w:t>
      </w:r>
      <w:r>
        <w:rPr>
          <w:rFonts w:hint="eastAsia" w:ascii="仿宋_GB2312" w:hAnsi="宋体" w:eastAsia="仿宋_GB2312" w:cs="宋体"/>
          <w:color w:val="000000" w:themeColor="text1"/>
          <w:sz w:val="24"/>
          <w14:textFill>
            <w14:solidFill>
              <w14:schemeClr w14:val="tx1"/>
            </w14:solidFill>
          </w14:textFill>
        </w:rPr>
        <w:t>（供应商在政采云投标系统中按要求填报）…………………（页码）</w:t>
      </w:r>
    </w:p>
    <w:p>
      <w:pPr>
        <w:snapToGrid w:val="0"/>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四、报价要求响应文件</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b/>
          <w:bCs/>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第一阶段响应报价表……………………………………………………（页码）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2、报价情况说明（如果有）…………………………………………………（页码）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3、中小企业声明函（如果有）………………………………………………（页码）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4、残疾人福利性单位声明函（如果有）……………………………………（页码）</w:t>
      </w:r>
    </w:p>
    <w:p>
      <w:pPr>
        <w:snapToGrid w:val="0"/>
        <w:spacing w:line="360" w:lineRule="auto"/>
        <w:ind w:firstLine="480" w:firstLineChars="200"/>
        <w:rPr>
          <w:rFonts w:eastAsia="仿宋_GB2312"/>
        </w:rPr>
      </w:pPr>
      <w:r>
        <w:rPr>
          <w:rFonts w:hint="eastAsia" w:ascii="仿宋_GB2312" w:hAnsi="宋体" w:eastAsia="仿宋_GB2312" w:cs="宋体"/>
          <w:color w:val="000000" w:themeColor="text1"/>
          <w:sz w:val="24"/>
          <w14:textFill>
            <w14:solidFill>
              <w14:schemeClr w14:val="tx1"/>
            </w14:solidFill>
          </w14:textFill>
        </w:rPr>
        <w:t>5、监狱企业证明（如果有）…………………………………………………（页码）</w:t>
      </w:r>
    </w:p>
    <w:p>
      <w:pPr>
        <w:snapToGrid w:val="0"/>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p>
    <w:p>
      <w:pPr>
        <w:snapToGrid w:val="0"/>
        <w:spacing w:line="360" w:lineRule="auto"/>
        <w:rPr>
          <w:rFonts w:ascii="仿宋_GB2312" w:hAnsi="宋体" w:eastAsia="仿宋_GB2312" w:cs="宋体"/>
          <w:color w:val="000000" w:themeColor="text1"/>
          <w:sz w:val="24"/>
          <w14:textFill>
            <w14:solidFill>
              <w14:schemeClr w14:val="tx1"/>
            </w14:solidFill>
          </w14:textFill>
        </w:rPr>
      </w:pPr>
    </w:p>
    <w:p>
      <w:pPr>
        <w:spacing w:line="360" w:lineRule="auto"/>
        <w:jc w:val="center"/>
        <w:outlineLvl w:val="1"/>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br w:type="page"/>
      </w:r>
      <w:bookmarkStart w:id="491" w:name="_Toc23605"/>
      <w:bookmarkStart w:id="492" w:name="_Toc146706849"/>
      <w:r>
        <w:rPr>
          <w:rFonts w:hint="eastAsia" w:ascii="仿宋_GB2312" w:hAnsi="宋体" w:eastAsia="仿宋_GB2312" w:cs="宋体"/>
          <w:b/>
          <w:color w:val="000000" w:themeColor="text1"/>
          <w:kern w:val="0"/>
          <w:sz w:val="32"/>
          <w:szCs w:val="32"/>
          <w14:textFill>
            <w14:solidFill>
              <w14:schemeClr w14:val="tx1"/>
            </w14:solidFill>
          </w14:textFill>
        </w:rPr>
        <w:t>一、</w:t>
      </w:r>
      <w:bookmarkStart w:id="493" w:name="资格响应文件"/>
      <w:r>
        <w:rPr>
          <w:rFonts w:hint="eastAsia" w:ascii="仿宋_GB2312" w:hAnsi="宋体" w:eastAsia="仿宋_GB2312" w:cs="宋体"/>
          <w:b/>
          <w:color w:val="000000" w:themeColor="text1"/>
          <w:kern w:val="0"/>
          <w:sz w:val="32"/>
          <w:szCs w:val="32"/>
          <w14:textFill>
            <w14:solidFill>
              <w14:schemeClr w14:val="tx1"/>
            </w14:solidFill>
          </w14:textFill>
        </w:rPr>
        <w:t>资格响应文件</w:t>
      </w:r>
      <w:bookmarkEnd w:id="491"/>
      <w:bookmarkEnd w:id="492"/>
      <w:bookmarkEnd w:id="493"/>
    </w:p>
    <w:p>
      <w:pPr>
        <w:snapToGrid w:val="0"/>
        <w:spacing w:line="360" w:lineRule="auto"/>
        <w:ind w:left="840" w:leftChars="400" w:right="840" w:rightChars="400"/>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1、▲符合参加政府采购活动应当具备的一般条件的承诺函</w:t>
      </w:r>
    </w:p>
    <w:p>
      <w:pPr>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丽水市公共资源交易中心：</w:t>
      </w:r>
    </w:p>
    <w:p>
      <w:pPr>
        <w:snapToGrid w:val="0"/>
        <w:spacing w:line="360" w:lineRule="auto"/>
        <w:ind w:firstLine="48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我单位自愿参与此次</w:t>
      </w:r>
      <w:r>
        <w:rPr>
          <w:rFonts w:hint="eastAsia" w:ascii="仿宋_GB2312" w:hAnsi="宋体" w:eastAsia="仿宋_GB2312" w:cs="宋体"/>
          <w:color w:val="000000" w:themeColor="text1"/>
          <w:kern w:val="0"/>
          <w:sz w:val="24"/>
          <w:u w:val="single"/>
          <w:lang w:val="zh-CN"/>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kern w:val="0"/>
          <w:sz w:val="24"/>
          <w:u w:val="single"/>
          <w:lang w:val="zh-CN"/>
          <w14:textFill>
            <w14:solidFill>
              <w14:schemeClr w14:val="tx1"/>
            </w14:solidFill>
          </w14:textFill>
        </w:rPr>
        <w:t>LCK2024-003</w:t>
      </w:r>
      <w:r>
        <w:rPr>
          <w:rFonts w:hint="eastAsia" w:ascii="仿宋_GB2312" w:hAnsi="宋体" w:eastAsia="仿宋_GB2312" w:cs="宋体"/>
          <w:color w:val="000000" w:themeColor="text1"/>
          <w:kern w:val="0"/>
          <w:sz w:val="24"/>
          <w:u w:val="single"/>
          <w:lang w:val="zh-CN"/>
          <w14:textFill>
            <w14:solidFill>
              <w14:schemeClr w14:val="tx1"/>
            </w14:solidFill>
          </w14:textFill>
        </w:rPr>
        <w:t>）</w:t>
      </w:r>
      <w:r>
        <w:rPr>
          <w:rFonts w:hint="eastAsia" w:ascii="仿宋_GB2312" w:hAnsi="宋体" w:eastAsia="仿宋_GB2312" w:cs="宋体"/>
          <w:color w:val="000000" w:themeColor="text1"/>
          <w:kern w:val="0"/>
          <w:sz w:val="24"/>
          <w:lang w:val="zh-CN"/>
          <w14:textFill>
            <w14:solidFill>
              <w14:schemeClr w14:val="tx1"/>
            </w14:solidFill>
          </w14:textFill>
        </w:rPr>
        <w:t>公开征集的政府采购活动，保证注册供应商资料和本项目响应文件是真实、合法、有效的。我单位已详细阅读本项目征集公告、征集文件全部资料和相关附件，并已了解我单位在参加本项目过程中的权利和义务。我单位郑重声明且承诺满足以下事项和内容：</w:t>
      </w:r>
    </w:p>
    <w:tbl>
      <w:tblPr>
        <w:tblStyle w:val="62"/>
        <w:tblW w:w="9003" w:type="dxa"/>
        <w:jc w:val="center"/>
        <w:tblInd w:w="0" w:type="dxa"/>
        <w:tblLayout w:type="fixed"/>
        <w:tblCellMar>
          <w:top w:w="0" w:type="dxa"/>
          <w:left w:w="0" w:type="dxa"/>
          <w:bottom w:w="0" w:type="dxa"/>
          <w:right w:w="0" w:type="dxa"/>
        </w:tblCellMar>
      </w:tblPr>
      <w:tblGrid>
        <w:gridCol w:w="537"/>
        <w:gridCol w:w="8466"/>
      </w:tblGrid>
      <w:tr>
        <w:tblPrEx>
          <w:tblLayout w:type="fixed"/>
          <w:tblCellMar>
            <w:top w:w="0" w:type="dxa"/>
            <w:left w:w="0" w:type="dxa"/>
            <w:bottom w:w="0" w:type="dxa"/>
            <w:right w:w="0" w:type="dxa"/>
          </w:tblCellMar>
        </w:tblPrEx>
        <w:trPr>
          <w:cantSplit/>
          <w:trHeight w:val="113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8466" w:type="dxa"/>
            <w:tcBorders>
              <w:top w:val="single" w:color="auto" w:sz="8" w:space="0"/>
              <w:left w:val="nil"/>
              <w:bottom w:val="single" w:color="auto" w:sz="8" w:space="0"/>
              <w:right w:val="single" w:color="auto" w:sz="4"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承诺事项</w:t>
            </w:r>
          </w:p>
        </w:tc>
      </w:tr>
      <w:tr>
        <w:tblPrEx>
          <w:tblLayout w:type="fixed"/>
          <w:tblCellMar>
            <w:top w:w="0" w:type="dxa"/>
            <w:left w:w="0" w:type="dxa"/>
            <w:bottom w:w="0" w:type="dxa"/>
            <w:right w:w="0" w:type="dxa"/>
          </w:tblCellMar>
        </w:tblPrEx>
        <w:trPr>
          <w:cantSplit/>
          <w:trHeight w:val="113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w:t>
            </w:r>
          </w:p>
        </w:tc>
        <w:tc>
          <w:tcPr>
            <w:tcW w:w="8466" w:type="dxa"/>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具备《中华人民共和国政府采购法》第二十二条第一款规定的条件：</w:t>
            </w:r>
          </w:p>
          <w:p>
            <w:pPr>
              <w:widowControl/>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1、具有独立承担民事责任的能力；</w:t>
            </w:r>
          </w:p>
          <w:p>
            <w:pPr>
              <w:widowControl/>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2、具有良好的商业信誉和健全的财务会计制度； </w:t>
            </w:r>
          </w:p>
          <w:p>
            <w:pPr>
              <w:widowControl/>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3、具有履行合同所必需的设备和专业技术能力；</w:t>
            </w:r>
          </w:p>
          <w:p>
            <w:pPr>
              <w:widowControl/>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4、有依法缴纳税收和社会保障资金的良好记录；</w:t>
            </w:r>
          </w:p>
          <w:p>
            <w:pPr>
              <w:widowControl/>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5、参加政府采购活动前三年内，在经营活动中没有重大违法记录</w:t>
            </w:r>
            <w:r>
              <w:rPr>
                <w:rFonts w:hint="eastAsia" w:ascii="仿宋_GB2312" w:hAnsi="宋体" w:eastAsia="仿宋_GB2312" w:cs="宋体"/>
                <w:sz w:val="24"/>
                <w:vertAlign w:val="superscript"/>
              </w:rPr>
              <w:t>★</w:t>
            </w:r>
            <w:r>
              <w:rPr>
                <w:rFonts w:hint="eastAsia" w:ascii="仿宋_GB2312" w:hAnsi="宋体" w:eastAsia="仿宋_GB2312" w:cs="宋体"/>
                <w:color w:val="000000" w:themeColor="text1"/>
                <w:sz w:val="24"/>
                <w14:textFill>
                  <w14:solidFill>
                    <w14:schemeClr w14:val="tx1"/>
                  </w14:solidFill>
                </w14:textFill>
              </w:rPr>
              <w:t>；</w:t>
            </w:r>
          </w:p>
          <w:p>
            <w:pPr>
              <w:widowControl/>
              <w:ind w:firstLine="480" w:firstLineChars="200"/>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6、具有法律、行政法规规定的其他条件。</w:t>
            </w:r>
          </w:p>
        </w:tc>
      </w:tr>
      <w:tr>
        <w:tblPrEx>
          <w:tblLayout w:type="fixed"/>
          <w:tblCellMar>
            <w:top w:w="0" w:type="dxa"/>
            <w:left w:w="0" w:type="dxa"/>
            <w:bottom w:w="0" w:type="dxa"/>
            <w:right w:w="0" w:type="dxa"/>
          </w:tblCellMar>
        </w:tblPrEx>
        <w:trPr>
          <w:cantSplit/>
          <w:trHeight w:val="113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w:t>
            </w:r>
          </w:p>
        </w:tc>
        <w:tc>
          <w:tcPr>
            <w:tcW w:w="8466" w:type="dxa"/>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tc>
      </w:tr>
      <w:tr>
        <w:tblPrEx>
          <w:tblLayout w:type="fixed"/>
          <w:tblCellMar>
            <w:top w:w="0" w:type="dxa"/>
            <w:left w:w="0" w:type="dxa"/>
            <w:bottom w:w="0" w:type="dxa"/>
            <w:right w:w="0" w:type="dxa"/>
          </w:tblCellMar>
        </w:tblPrEx>
        <w:trPr>
          <w:cantSplit/>
          <w:trHeight w:val="1134" w:hRule="atLeast"/>
          <w:jc w:val="center"/>
        </w:trPr>
        <w:tc>
          <w:tcPr>
            <w:tcW w:w="53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w:t>
            </w:r>
          </w:p>
        </w:tc>
        <w:tc>
          <w:tcPr>
            <w:tcW w:w="8466" w:type="dxa"/>
            <w:tcBorders>
              <w:top w:val="single" w:color="auto" w:sz="8" w:space="0"/>
              <w:left w:val="nil"/>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不存在以下情况：</w:t>
            </w:r>
          </w:p>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单位负责人为同一人或者存在直接控股、管理关系的不同供应商同时参加</w:t>
            </w:r>
            <w:r>
              <w:rPr>
                <w:rFonts w:hint="eastAsia" w:ascii="仿宋_GB2312" w:hAnsi="宋体" w:eastAsia="仿宋_GB2312" w:cs="宋体"/>
                <w:color w:val="000000" w:themeColor="text1"/>
                <w:kern w:val="0"/>
                <w:sz w:val="24"/>
                <w:lang w:val="zh-CN"/>
                <w14:textFill>
                  <w14:solidFill>
                    <w14:schemeClr w14:val="tx1"/>
                  </w14:solidFill>
                </w14:textFill>
              </w:rPr>
              <w:t>本项目</w:t>
            </w:r>
            <w:r>
              <w:rPr>
                <w:rFonts w:hint="eastAsia" w:ascii="仿宋_GB2312" w:hAnsi="宋体" w:eastAsia="仿宋_GB2312" w:cs="宋体"/>
                <w:color w:val="000000" w:themeColor="text1"/>
                <w:sz w:val="24"/>
                <w14:textFill>
                  <w14:solidFill>
                    <w14:schemeClr w14:val="tx1"/>
                  </w14:solidFill>
                </w14:textFill>
              </w:rPr>
              <w:t>。</w:t>
            </w:r>
          </w:p>
        </w:tc>
      </w:tr>
    </w:tbl>
    <w:p>
      <w:pPr>
        <w:snapToGrid w:val="0"/>
        <w:spacing w:line="360" w:lineRule="auto"/>
        <w:ind w:right="48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（▲注：按本格式和要求提供，否则无效）</w:t>
      </w:r>
    </w:p>
    <w:p>
      <w:pPr>
        <w:pStyle w:val="5"/>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snapToGrid w:val="0"/>
        <w:spacing w:line="360" w:lineRule="auto"/>
        <w:rPr>
          <w:rFonts w:ascii="仿宋_GB2312" w:hAnsi="宋体" w:eastAsia="仿宋_GB2312" w:cs="宋体"/>
          <w:kern w:val="0"/>
          <w:sz w:val="24"/>
        </w:rPr>
      </w:pPr>
      <w:r>
        <w:rPr>
          <w:rFonts w:hint="eastAsia" w:ascii="仿宋_GB2312" w:hAnsi="宋体" w:eastAsia="仿宋_GB2312" w:cs="宋体"/>
          <w:szCs w:val="21"/>
        </w:rPr>
        <w:t>注：重大违法记录</w:t>
      </w:r>
      <w:r>
        <w:rPr>
          <w:rFonts w:hint="eastAsia" w:ascii="仿宋_GB2312" w:hAnsi="宋体" w:eastAsia="仿宋_GB2312" w:cs="宋体"/>
          <w:szCs w:val="21"/>
          <w:vertAlign w:val="superscript"/>
        </w:rPr>
        <w:t>★</w:t>
      </w:r>
      <w:r>
        <w:rPr>
          <w:rFonts w:hint="eastAsia" w:ascii="仿宋_GB2312" w:hAnsi="宋体" w:eastAsia="仿宋_GB2312" w:cs="宋体"/>
          <w:szCs w:val="21"/>
        </w:rPr>
        <w:t>是指供应商因违法经营受到刑事处罚或者责令停产停业、吊销许可证或者执照、较大数额罚款等行政处罚。</w:t>
      </w:r>
      <w:r>
        <w:rPr>
          <w:rFonts w:hint="eastAsia" w:ascii="仿宋_GB2312" w:hAnsi="宋体" w:eastAsia="仿宋_GB2312" w:cs="宋体"/>
          <w:b/>
          <w:bCs/>
          <w:szCs w:val="21"/>
        </w:rPr>
        <w:t>供应商作出的承诺如与实际情况不符的，将按提供虚假材料响应处理。</w:t>
      </w:r>
    </w:p>
    <w:p>
      <w:pPr>
        <w:snapToGrid w:val="0"/>
        <w:spacing w:line="360" w:lineRule="auto"/>
        <w:ind w:right="480"/>
        <w:jc w:val="center"/>
        <w:rPr>
          <w:rFonts w:ascii="仿宋_GB2312" w:hAnsi="宋体" w:eastAsia="仿宋_GB2312" w:cs="宋体"/>
          <w:b/>
          <w:bCs/>
          <w:color w:val="000000" w:themeColor="text1"/>
          <w:sz w:val="32"/>
          <w:szCs w:val="32"/>
          <w14:textFill>
            <w14:solidFill>
              <w14:schemeClr w14:val="tx1"/>
            </w14:solidFill>
          </w14:textFill>
        </w:rPr>
      </w:pPr>
    </w:p>
    <w:p>
      <w:pPr>
        <w:pStyle w:val="26"/>
        <w:ind w:firstLine="420"/>
        <w:rPr>
          <w:rFonts w:ascii="仿宋_GB2312" w:eastAsia="仿宋_GB2312"/>
        </w:rPr>
      </w:pPr>
    </w:p>
    <w:p>
      <w:pPr>
        <w:snapToGrid w:val="0"/>
        <w:spacing w:line="360" w:lineRule="auto"/>
        <w:ind w:right="480"/>
        <w:jc w:val="center"/>
        <w:rPr>
          <w:rFonts w:ascii="仿宋_GB2312" w:hAnsi="宋体" w:eastAsia="仿宋_GB2312" w:cs="宋体"/>
          <w:b/>
          <w:bCs/>
          <w:color w:val="000000" w:themeColor="text1"/>
          <w:sz w:val="32"/>
          <w:szCs w:val="32"/>
          <w14:textFill>
            <w14:solidFill>
              <w14:schemeClr w14:val="tx1"/>
            </w14:solidFill>
          </w14:textFill>
        </w:rPr>
      </w:pPr>
    </w:p>
    <w:p>
      <w:pPr>
        <w:numPr>
          <w:ilvl w:val="0"/>
          <w:numId w:val="4"/>
        </w:numPr>
        <w:snapToGrid w:val="0"/>
        <w:spacing w:line="360" w:lineRule="auto"/>
        <w:ind w:left="840" w:leftChars="400" w:right="840" w:rightChars="400"/>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▲有效营业执照电子文档</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内容要求：</w:t>
      </w:r>
    </w:p>
    <w:p>
      <w:pPr>
        <w:pStyle w:val="26"/>
        <w:ind w:firstLine="482"/>
        <w:rPr>
          <w:rFonts w:ascii="仿宋_GB2312" w:eastAsia="仿宋_GB2312" w:cs="宋体"/>
          <w:b/>
          <w:color w:val="000000" w:themeColor="text1"/>
          <w:kern w:val="0"/>
          <w:sz w:val="24"/>
          <w14:textFill>
            <w14:solidFill>
              <w14:schemeClr w14:val="tx1"/>
            </w14:solidFill>
          </w14:textFill>
        </w:rPr>
      </w:pPr>
      <w:r>
        <w:rPr>
          <w:rFonts w:hint="eastAsia" w:ascii="仿宋_GB2312" w:hAnsi="仿宋_GB2312" w:eastAsia="仿宋_GB2312" w:cs="仿宋_GB2312"/>
          <w:sz w:val="24"/>
        </w:rPr>
        <w:t>提供有效的营业执照电子文档并加盖公司公章；事业单位的，则提供有效的《事业单位法人证书》副本电子文档并加盖单位公章；自然人的，则提供有效的身份证电子文档。</w:t>
      </w: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snapToGrid w:val="0"/>
        <w:spacing w:line="360" w:lineRule="auto"/>
        <w:ind w:right="480"/>
        <w:rPr>
          <w:rFonts w:ascii="仿宋_GB2312" w:hAnsi="宋体" w:eastAsia="仿宋_GB2312" w:cs="宋体"/>
          <w:b/>
          <w:color w:val="000000" w:themeColor="text1"/>
          <w:kern w:val="0"/>
          <w:sz w:val="32"/>
          <w:szCs w:val="32"/>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 xml:space="preserve">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snapToGrid w:val="0"/>
        <w:spacing w:line="360" w:lineRule="auto"/>
        <w:ind w:right="480"/>
        <w:jc w:val="center"/>
        <w:rPr>
          <w:rFonts w:ascii="仿宋_GB2312" w:hAnsi="宋体" w:eastAsia="仿宋_GB2312" w:cs="宋体"/>
          <w:b/>
          <w:color w:val="000000" w:themeColor="text1"/>
          <w:kern w:val="0"/>
          <w:sz w:val="32"/>
          <w:szCs w:val="32"/>
          <w14:textFill>
            <w14:solidFill>
              <w14:schemeClr w14:val="tx1"/>
            </w14:solidFill>
          </w14:textFill>
        </w:rPr>
      </w:pP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pStyle w:val="23"/>
        <w:rPr>
          <w:rFonts w:ascii="仿宋_GB2312" w:eastAsia="仿宋_GB2312"/>
          <w:color w:val="000000" w:themeColor="text1"/>
          <w14:textFill>
            <w14:solidFill>
              <w14:schemeClr w14:val="tx1"/>
            </w14:solidFill>
          </w14:textFill>
        </w:rPr>
      </w:pPr>
    </w:p>
    <w:p>
      <w:pPr>
        <w:numPr>
          <w:ilvl w:val="0"/>
          <w:numId w:val="4"/>
        </w:numPr>
        <w:snapToGrid w:val="0"/>
        <w:spacing w:line="360" w:lineRule="auto"/>
        <w:ind w:left="840" w:leftChars="400" w:right="840" w:rightChars="400"/>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▲特定资格要求证明文件：</w:t>
      </w:r>
    </w:p>
    <w:p>
      <w:pPr>
        <w:snapToGrid w:val="0"/>
        <w:spacing w:line="500" w:lineRule="exact"/>
        <w:ind w:right="480"/>
        <w:jc w:val="center"/>
        <w:rPr>
          <w:rFonts w:ascii="宋体" w:hAnsi="宋体" w:cs="宋体"/>
          <w:b/>
          <w:kern w:val="0"/>
          <w:sz w:val="24"/>
        </w:rPr>
      </w:pPr>
      <w:r>
        <w:rPr>
          <w:rFonts w:hint="eastAsia" w:ascii="宋体" w:hAnsi="宋体" w:cs="宋体"/>
          <w:b/>
          <w:bCs/>
          <w:sz w:val="24"/>
        </w:rPr>
        <w:t>财政部门颁发的现行有效的会计师事务所执业证书（扫描件）</w:t>
      </w:r>
    </w:p>
    <w:p>
      <w:pPr>
        <w:pStyle w:val="26"/>
        <w:ind w:firstLine="482"/>
        <w:rPr>
          <w:rFonts w:ascii="仿宋_GB2312" w:eastAsia="仿宋_GB2312" w:cs="宋体"/>
          <w:b/>
          <w:color w:val="000000" w:themeColor="text1"/>
          <w:kern w:val="0"/>
          <w:sz w:val="24"/>
          <w14:textFill>
            <w14:solidFill>
              <w14:schemeClr w14:val="tx1"/>
            </w14:solidFill>
          </w14:textFill>
        </w:rPr>
      </w:pP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snapToGrid w:val="0"/>
        <w:spacing w:line="360" w:lineRule="auto"/>
        <w:ind w:right="480"/>
        <w:rPr>
          <w:rFonts w:ascii="仿宋_GB2312" w:hAnsi="宋体" w:eastAsia="仿宋_GB2312" w:cs="宋体"/>
          <w:b/>
          <w:color w:val="000000" w:themeColor="text1"/>
          <w:kern w:val="0"/>
          <w:sz w:val="32"/>
          <w:szCs w:val="32"/>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snapToGrid w:val="0"/>
        <w:spacing w:line="360" w:lineRule="auto"/>
        <w:ind w:right="480"/>
        <w:jc w:val="right"/>
        <w:rPr>
          <w:rFonts w:ascii="仿宋_GB2312" w:hAnsi="宋体" w:eastAsia="仿宋_GB2312" w:cs="宋体"/>
          <w:b/>
          <w:bCs/>
          <w:color w:val="000000" w:themeColor="text1"/>
          <w:sz w:val="36"/>
          <w:szCs w:val="36"/>
          <w14:textFill>
            <w14:solidFill>
              <w14:schemeClr w14:val="tx1"/>
            </w14:solidFill>
          </w14:textFill>
        </w:rPr>
        <w:sectPr>
          <w:pgSz w:w="11906" w:h="16838"/>
          <w:pgMar w:top="1418" w:right="1418" w:bottom="1418" w:left="1418" w:header="851" w:footer="851" w:gutter="0"/>
          <w:cols w:space="720" w:num="1"/>
          <w:titlePg/>
          <w:docGrid w:linePitch="312" w:charSpace="0"/>
        </w:sect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 xml:space="preserve">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spacing w:line="360" w:lineRule="auto"/>
        <w:jc w:val="center"/>
        <w:outlineLvl w:val="1"/>
        <w:rPr>
          <w:rFonts w:ascii="仿宋_GB2312" w:hAnsi="宋体" w:eastAsia="仿宋_GB2312" w:cs="宋体"/>
          <w:b/>
          <w:color w:val="000000" w:themeColor="text1"/>
          <w:kern w:val="0"/>
          <w:sz w:val="32"/>
          <w:szCs w:val="32"/>
          <w14:textFill>
            <w14:solidFill>
              <w14:schemeClr w14:val="tx1"/>
            </w14:solidFill>
          </w14:textFill>
        </w:rPr>
      </w:pPr>
      <w:bookmarkStart w:id="494" w:name="_Toc703"/>
      <w:bookmarkStart w:id="495" w:name="_Toc146706850"/>
      <w:r>
        <w:rPr>
          <w:rFonts w:hint="eastAsia" w:ascii="仿宋_GB2312" w:hAnsi="宋体" w:eastAsia="仿宋_GB2312" w:cs="宋体"/>
          <w:b/>
          <w:color w:val="000000" w:themeColor="text1"/>
          <w:kern w:val="0"/>
          <w:sz w:val="32"/>
          <w:szCs w:val="32"/>
          <w14:textFill>
            <w14:solidFill>
              <w14:schemeClr w14:val="tx1"/>
            </w14:solidFill>
          </w14:textFill>
        </w:rPr>
        <w:t>二、</w:t>
      </w:r>
      <w:bookmarkStart w:id="496" w:name="商务技术响应文件"/>
      <w:r>
        <w:rPr>
          <w:rFonts w:hint="eastAsia" w:ascii="仿宋_GB2312" w:hAnsi="宋体" w:eastAsia="仿宋_GB2312" w:cs="宋体"/>
          <w:b/>
          <w:color w:val="000000" w:themeColor="text1"/>
          <w:kern w:val="0"/>
          <w:sz w:val="32"/>
          <w:szCs w:val="32"/>
          <w14:textFill>
            <w14:solidFill>
              <w14:schemeClr w14:val="tx1"/>
            </w14:solidFill>
          </w14:textFill>
        </w:rPr>
        <w:t>商务技术响应文件</w:t>
      </w:r>
      <w:bookmarkEnd w:id="494"/>
      <w:bookmarkEnd w:id="495"/>
      <w:bookmarkEnd w:id="496"/>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1、▲授权委托书或法定代表人（单位负责人、自然人本人）身份证明</w:t>
      </w:r>
    </w:p>
    <w:p>
      <w:pPr>
        <w:pStyle w:val="23"/>
        <w:jc w:val="center"/>
        <w:rPr>
          <w:rFonts w:ascii="仿宋_GB2312" w:eastAsia="仿宋_GB2312"/>
          <w:color w:val="000000" w:themeColor="text1"/>
          <w:lang w:val="en-US"/>
          <w14:textFill>
            <w14:solidFill>
              <w14:schemeClr w14:val="tx1"/>
            </w14:solidFill>
          </w14:textFill>
        </w:rPr>
      </w:pPr>
      <w:r>
        <w:rPr>
          <w:rFonts w:hint="eastAsia" w:ascii="仿宋_GB2312" w:hAnsi="宋体" w:eastAsia="仿宋_GB2312" w:cs="宋体"/>
          <w:b/>
          <w:bCs/>
          <w:color w:val="000000" w:themeColor="text1"/>
          <w:sz w:val="32"/>
          <w:szCs w:val="32"/>
          <w:lang w:val="en-US"/>
          <w14:textFill>
            <w14:solidFill>
              <w14:schemeClr w14:val="tx1"/>
            </w14:solidFill>
          </w14:textFill>
        </w:rPr>
        <w:t>授权委托书</w:t>
      </w:r>
    </w:p>
    <w:p>
      <w:pPr>
        <w:snapToGrid w:val="0"/>
        <w:spacing w:line="360" w:lineRule="auto"/>
        <w:rPr>
          <w:rFonts w:ascii="仿宋_GB2312" w:hAnsi="宋体" w:eastAsia="仿宋_GB2312" w:cs="宋体"/>
          <w:color w:val="000000" w:themeColor="text1"/>
          <w:sz w:val="24"/>
          <w14:textFill>
            <w14:solidFill>
              <w14:schemeClr w14:val="tx1"/>
            </w14:solidFill>
          </w14:textFill>
        </w:rPr>
      </w:pPr>
    </w:p>
    <w:p>
      <w:pPr>
        <w:snapToGrid w:val="0"/>
        <w:spacing w:line="360" w:lineRule="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丽水市公共资源交易中心</w:t>
      </w:r>
      <w:r>
        <w:rPr>
          <w:rFonts w:hint="eastAsia" w:ascii="仿宋_GB2312" w:hAnsi="宋体" w:eastAsia="仿宋_GB2312" w:cs="宋体"/>
          <w:color w:val="000000" w:themeColor="text1"/>
          <w:kern w:val="0"/>
          <w:sz w:val="24"/>
          <w:lang w:val="zh-CN"/>
          <w14:textFill>
            <w14:solidFill>
              <w14:schemeClr w14:val="tx1"/>
            </w14:solidFill>
          </w14:textFill>
        </w:rPr>
        <w:t>：</w:t>
      </w:r>
    </w:p>
    <w:p>
      <w:pPr>
        <w:snapToGrid w:val="0"/>
        <w:spacing w:line="360" w:lineRule="auto"/>
        <w:ind w:firstLine="576"/>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现</w:t>
      </w:r>
      <w:r>
        <w:rPr>
          <w:rFonts w:hint="eastAsia" w:ascii="仿宋_GB2312" w:hAnsi="宋体" w:eastAsia="仿宋_GB2312" w:cs="宋体"/>
          <w:color w:val="000000" w:themeColor="text1"/>
          <w:kern w:val="0"/>
          <w:sz w:val="24"/>
          <w:lang w:val="zh-CN"/>
          <w14:textFill>
            <w14:solidFill>
              <w14:schemeClr w14:val="tx1"/>
            </w14:solidFill>
          </w14:textFill>
        </w:rPr>
        <w:t>委托</w:t>
      </w:r>
      <w:r>
        <w:rPr>
          <w:rFonts w:hint="eastAsia" w:ascii="仿宋_GB2312" w:hAnsi="宋体" w:eastAsia="仿宋_GB2312" w:cs="宋体"/>
          <w:color w:val="000000" w:themeColor="text1"/>
          <w:kern w:val="0"/>
          <w:sz w:val="24"/>
          <w:u w:val="single"/>
          <w:lang w:val="zh-CN"/>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（姓名）为我方代理人（身份证号码：</w:t>
      </w:r>
      <w:r>
        <w:rPr>
          <w:rFonts w:hint="eastAsia" w:ascii="仿宋_GB2312" w:hAnsi="宋体" w:eastAsia="仿宋_GB2312" w:cs="宋体"/>
          <w:color w:val="000000" w:themeColor="text1"/>
          <w:kern w:val="0"/>
          <w:sz w:val="24"/>
          <w:u w:val="single"/>
          <w:lang w:val="zh-CN"/>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，手机：</w:t>
      </w:r>
      <w:r>
        <w:rPr>
          <w:rFonts w:hint="eastAsia" w:ascii="仿宋_GB2312" w:hAnsi="宋体" w:eastAsia="仿宋_GB2312" w:cs="宋体"/>
          <w:color w:val="000000" w:themeColor="text1"/>
          <w:kern w:val="0"/>
          <w:sz w:val="24"/>
          <w:u w:val="single"/>
          <w:lang w:val="zh-CN"/>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），以我方名义处理</w:t>
      </w:r>
      <w:r>
        <w:rPr>
          <w:rFonts w:hint="eastAsia" w:ascii="仿宋_GB2312" w:hAnsi="宋体" w:eastAsia="仿宋_GB2312" w:cs="宋体"/>
          <w:color w:val="000000" w:themeColor="text1"/>
          <w:kern w:val="0"/>
          <w:sz w:val="24"/>
          <w:u w:val="single"/>
          <w:lang w:val="zh-CN"/>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kern w:val="0"/>
          <w:sz w:val="24"/>
          <w:u w:val="single"/>
          <w:lang w:val="zh-CN"/>
          <w14:textFill>
            <w14:solidFill>
              <w14:schemeClr w14:val="tx1"/>
            </w14:solidFill>
          </w14:textFill>
        </w:rPr>
        <w:t>LCK2024-003</w:t>
      </w:r>
      <w:r>
        <w:rPr>
          <w:rFonts w:hint="eastAsia" w:ascii="仿宋_GB2312" w:hAnsi="宋体" w:eastAsia="仿宋_GB2312" w:cs="宋体"/>
          <w:color w:val="000000" w:themeColor="text1"/>
          <w:kern w:val="0"/>
          <w:sz w:val="24"/>
          <w:u w:val="single"/>
          <w:lang w:val="zh-CN"/>
          <w14:textFill>
            <w14:solidFill>
              <w14:schemeClr w14:val="tx1"/>
            </w14:solidFill>
          </w14:textFill>
        </w:rPr>
        <w:t>）</w:t>
      </w:r>
      <w:r>
        <w:rPr>
          <w:rFonts w:hint="eastAsia" w:ascii="仿宋_GB2312" w:hAnsi="宋体" w:eastAsia="仿宋_GB2312" w:cs="宋体"/>
          <w:color w:val="000000" w:themeColor="text1"/>
          <w:kern w:val="0"/>
          <w:sz w:val="24"/>
          <w:lang w:val="zh-CN"/>
          <w14:textFill>
            <w14:solidFill>
              <w14:schemeClr w14:val="tx1"/>
            </w14:solidFill>
          </w14:textFill>
        </w:rPr>
        <w:t>政府采购响应的一切事项，其法律后果由我方承担。</w:t>
      </w:r>
    </w:p>
    <w:p>
      <w:pPr>
        <w:snapToGrid w:val="0"/>
        <w:spacing w:line="360" w:lineRule="auto"/>
        <w:ind w:firstLine="576"/>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委托期限</w:t>
      </w:r>
      <w:r>
        <w:rPr>
          <w:rFonts w:hint="eastAsia" w:ascii="仿宋_GB2312" w:hAnsi="宋体" w:eastAsia="仿宋_GB2312" w:cs="宋体"/>
          <w:color w:val="000000" w:themeColor="text1"/>
          <w:kern w:val="0"/>
          <w:sz w:val="24"/>
          <w14:textFill>
            <w14:solidFill>
              <w14:schemeClr w14:val="tx1"/>
            </w14:solidFill>
          </w14:textFill>
        </w:rPr>
        <w:t>：</w:t>
      </w:r>
      <w:r>
        <w:rPr>
          <w:rFonts w:hint="eastAsia" w:ascii="仿宋_GB2312" w:hAnsi="宋体" w:eastAsia="仿宋_GB2312" w:cs="宋体"/>
          <w:color w:val="000000" w:themeColor="text1"/>
          <w:kern w:val="0"/>
          <w:sz w:val="24"/>
          <w:lang w:val="zh-CN"/>
          <w14:textFill>
            <w14:solidFill>
              <w14:schemeClr w14:val="tx1"/>
            </w14:solidFill>
          </w14:textFill>
        </w:rPr>
        <w:t>自</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年</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日起至</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年</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日止。</w:t>
      </w:r>
    </w:p>
    <w:p>
      <w:pPr>
        <w:snapToGrid w:val="0"/>
        <w:spacing w:line="360" w:lineRule="auto"/>
        <w:ind w:firstLine="480" w:firstLineChars="20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特此告知。</w:t>
      </w:r>
    </w:p>
    <w:p>
      <w:pPr>
        <w:pStyle w:val="5"/>
        <w:rPr>
          <w:lang w:val="zh-CN"/>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snapToGrid w:val="0"/>
        <w:spacing w:line="360" w:lineRule="auto"/>
        <w:rPr>
          <w:rFonts w:ascii="仿宋_GB2312" w:hAnsi="宋体" w:eastAsia="仿宋_GB2312" w:cs="宋体"/>
          <w:color w:val="000000" w:themeColor="text1"/>
          <w:kern w:val="0"/>
          <w:sz w:val="24"/>
          <w:lang w:val="zh-CN"/>
          <w14:textFill>
            <w14:solidFill>
              <w14:schemeClr w14:val="tx1"/>
            </w14:solidFill>
          </w14:textFill>
        </w:rPr>
      </w:pPr>
    </w:p>
    <w:p>
      <w:pPr>
        <w:pStyle w:val="26"/>
        <w:ind w:left="0" w:leftChars="0" w:firstLine="0" w:firstLineChars="0"/>
        <w:jc w:val="left"/>
        <w:rPr>
          <w:rFonts w:ascii="仿宋_GB2312" w:eastAsia="仿宋_GB2312"/>
          <w:color w:val="000000" w:themeColor="text1"/>
          <w:sz w:val="24"/>
          <w14:textFill>
            <w14:solidFill>
              <w14:schemeClr w14:val="tx1"/>
            </w14:solidFill>
          </w14:textFill>
        </w:rPr>
      </w:pPr>
    </w:p>
    <w:p>
      <w:pPr>
        <w:pStyle w:val="147"/>
        <w:spacing w:line="440" w:lineRule="exact"/>
        <w:rPr>
          <w:rFonts w:ascii="仿宋_GB2312" w:eastAsia="仿宋_GB2312"/>
          <w:sz w:val="24"/>
          <w:szCs w:val="21"/>
        </w:rPr>
      </w:pPr>
      <w:r>
        <w:rPr>
          <w:rFonts w:hint="eastAsia" w:ascii="仿宋_GB2312" w:eastAsia="仿宋_GB2312"/>
          <w:sz w:val="24"/>
          <w:szCs w:val="21"/>
        </w:rPr>
        <w:t>附：1、委托代理人工作单位：</w:t>
      </w:r>
      <w:r>
        <w:rPr>
          <w:rFonts w:ascii="仿宋_GB2312" w:eastAsia="仿宋_GB2312"/>
          <w:sz w:val="24"/>
          <w:szCs w:val="21"/>
        </w:rPr>
        <w:t xml:space="preserve">                           </w:t>
      </w:r>
      <w:r>
        <w:rPr>
          <w:rFonts w:hint="eastAsia" w:ascii="仿宋_GB2312" w:eastAsia="仿宋_GB2312"/>
          <w:sz w:val="24"/>
          <w:szCs w:val="21"/>
        </w:rPr>
        <w:t>职务：</w:t>
      </w:r>
    </w:p>
    <w:p>
      <w:pPr>
        <w:pStyle w:val="147"/>
        <w:spacing w:line="440" w:lineRule="exact"/>
        <w:ind w:firstLine="796" w:firstLineChars="332"/>
        <w:rPr>
          <w:rFonts w:ascii="仿宋_GB2312" w:eastAsia="仿宋_GB2312"/>
          <w:sz w:val="24"/>
          <w:szCs w:val="21"/>
        </w:rPr>
      </w:pPr>
      <w:r>
        <w:rPr>
          <w:rFonts w:hint="eastAsia" w:ascii="仿宋_GB2312" w:eastAsia="仿宋_GB2312"/>
          <w:sz w:val="24"/>
          <w:szCs w:val="21"/>
        </w:rPr>
        <w:t xml:space="preserve">身份证号码： </w:t>
      </w:r>
      <w:r>
        <w:rPr>
          <w:rFonts w:ascii="仿宋_GB2312" w:eastAsia="仿宋_GB2312"/>
          <w:sz w:val="24"/>
          <w:szCs w:val="21"/>
        </w:rPr>
        <w:t xml:space="preserve">                                  </w:t>
      </w:r>
      <w:r>
        <w:rPr>
          <w:rFonts w:hint="eastAsia" w:ascii="仿宋_GB2312" w:eastAsia="仿宋_GB2312"/>
          <w:sz w:val="24"/>
          <w:szCs w:val="21"/>
        </w:rPr>
        <w:t xml:space="preserve">性别： </w:t>
      </w:r>
    </w:p>
    <w:p>
      <w:pPr>
        <w:pStyle w:val="147"/>
        <w:spacing w:line="440" w:lineRule="exact"/>
        <w:ind w:firstLine="480"/>
        <w:rPr>
          <w:rFonts w:ascii="仿宋_GB2312" w:eastAsia="仿宋_GB2312"/>
          <w:spacing w:val="20"/>
          <w:sz w:val="24"/>
          <w:u w:val="single"/>
        </w:rPr>
      </w:pPr>
      <w:r>
        <w:rPr>
          <w:rFonts w:hint="eastAsia" w:ascii="仿宋_GB2312" w:eastAsia="仿宋_GB2312"/>
          <w:sz w:val="24"/>
          <w:szCs w:val="21"/>
        </w:rPr>
        <w:t>2、</w:t>
      </w:r>
      <w:r>
        <w:rPr>
          <w:rFonts w:hint="eastAsia" w:ascii="仿宋_GB2312" w:eastAsia="仿宋_GB2312"/>
          <w:bCs/>
          <w:sz w:val="24"/>
        </w:rPr>
        <w:t>委托代理人身份证正、反面电子文档：</w:t>
      </w:r>
    </w:p>
    <w:tbl>
      <w:tblPr>
        <w:tblStyle w:val="62"/>
        <w:tblW w:w="9242" w:type="dxa"/>
        <w:tblInd w:w="0" w:type="dxa"/>
        <w:tblLayout w:type="fixed"/>
        <w:tblCellMar>
          <w:top w:w="0" w:type="dxa"/>
          <w:left w:w="108" w:type="dxa"/>
          <w:bottom w:w="0" w:type="dxa"/>
          <w:right w:w="108" w:type="dxa"/>
        </w:tblCellMar>
      </w:tblPr>
      <w:tblGrid>
        <w:gridCol w:w="4621"/>
        <w:gridCol w:w="4621"/>
      </w:tblGrid>
      <w:tr>
        <w:tblPrEx>
          <w:tblLayout w:type="fixed"/>
          <w:tblCellMar>
            <w:top w:w="0" w:type="dxa"/>
            <w:left w:w="108" w:type="dxa"/>
            <w:bottom w:w="0" w:type="dxa"/>
            <w:right w:w="108" w:type="dxa"/>
          </w:tblCellMar>
        </w:tblPrEx>
        <w:trPr>
          <w:trHeight w:val="2733" w:hRule="atLeast"/>
        </w:trPr>
        <w:tc>
          <w:tcPr>
            <w:tcW w:w="4621" w:type="dxa"/>
          </w:tcPr>
          <w:p>
            <w:pPr>
              <w:pStyle w:val="147"/>
              <w:spacing w:line="440" w:lineRule="exact"/>
              <w:rPr>
                <w:rFonts w:ascii="仿宋_GB2312" w:eastAsia="仿宋_GB2312"/>
                <w:spacing w:val="20"/>
                <w:sz w:val="24"/>
              </w:rPr>
            </w:pPr>
            <w:r>
              <w:rPr>
                <w:rFonts w:hint="eastAsia" w:ascii="仿宋_GB2312" w:eastAsia="仿宋_GB2312"/>
                <w:spacing w:val="20"/>
                <w:sz w:val="24"/>
              </w:rPr>
              <w:t>正面：</w:t>
            </w:r>
          </w:p>
          <w:p>
            <w:pPr>
              <w:pStyle w:val="147"/>
              <w:spacing w:line="440" w:lineRule="exact"/>
              <w:rPr>
                <w:rFonts w:ascii="仿宋_GB2312" w:eastAsia="仿宋_GB2312"/>
                <w:spacing w:val="20"/>
                <w:sz w:val="24"/>
              </w:rPr>
            </w:pPr>
          </w:p>
        </w:tc>
        <w:tc>
          <w:tcPr>
            <w:tcW w:w="4621" w:type="dxa"/>
          </w:tcPr>
          <w:p>
            <w:pPr>
              <w:pStyle w:val="147"/>
              <w:spacing w:line="440" w:lineRule="exact"/>
              <w:rPr>
                <w:rFonts w:ascii="仿宋_GB2312" w:eastAsia="仿宋_GB2312"/>
                <w:spacing w:val="20"/>
                <w:sz w:val="24"/>
              </w:rPr>
            </w:pPr>
            <w:r>
              <w:rPr>
                <w:rFonts w:hint="eastAsia" w:ascii="仿宋_GB2312" w:eastAsia="仿宋_GB2312"/>
                <w:spacing w:val="20"/>
                <w:sz w:val="24"/>
              </w:rPr>
              <w:t>反面：</w:t>
            </w:r>
          </w:p>
          <w:p>
            <w:pPr>
              <w:pStyle w:val="147"/>
              <w:spacing w:line="440" w:lineRule="exact"/>
              <w:rPr>
                <w:rFonts w:ascii="仿宋_GB2312" w:eastAsia="仿宋_GB2312"/>
                <w:spacing w:val="20"/>
                <w:sz w:val="24"/>
                <w:u w:val="single"/>
              </w:rPr>
            </w:pPr>
          </w:p>
        </w:tc>
      </w:tr>
    </w:tbl>
    <w:p>
      <w:pPr>
        <w:pStyle w:val="147"/>
        <w:ind w:left="860" w:leftChars="8" w:hanging="843" w:hangingChars="350"/>
        <w:rPr>
          <w:rFonts w:ascii="仿宋_GB2312" w:hAnsi="Courier New" w:eastAsia="仿宋_GB2312"/>
          <w:sz w:val="24"/>
          <w:szCs w:val="21"/>
        </w:rPr>
      </w:pPr>
      <w:r>
        <w:rPr>
          <w:rFonts w:hint="eastAsia" w:ascii="仿宋_GB2312" w:eastAsia="仿宋_GB2312"/>
          <w:b/>
          <w:sz w:val="24"/>
          <w:szCs w:val="21"/>
        </w:rPr>
        <w:t>注：</w:t>
      </w:r>
      <w:r>
        <w:rPr>
          <w:rFonts w:hint="eastAsia" w:ascii="仿宋_GB2312" w:eastAsia="仿宋_GB2312"/>
          <w:sz w:val="24"/>
          <w:szCs w:val="21"/>
        </w:rPr>
        <w:t>1. 供应商为法人企业的，其负责人为其法定代表人；供应商为</w:t>
      </w:r>
      <w:r>
        <w:rPr>
          <w:rFonts w:hint="eastAsia" w:ascii="仿宋_GB2312" w:hAnsi="Courier New" w:eastAsia="仿宋_GB2312"/>
          <w:sz w:val="24"/>
          <w:szCs w:val="21"/>
        </w:rPr>
        <w:t>其他组织的，其负责人为法律、行政法规规定代表单位行使职权的主要负责人；供应商为自然人的，其负责人为自然人本人。</w:t>
      </w:r>
    </w:p>
    <w:p>
      <w:pPr>
        <w:pStyle w:val="147"/>
        <w:ind w:left="525" w:leftChars="250"/>
        <w:rPr>
          <w:rFonts w:ascii="仿宋_GB2312" w:hAnsi="Courier New" w:eastAsia="仿宋_GB2312"/>
          <w:sz w:val="24"/>
          <w:szCs w:val="21"/>
        </w:rPr>
        <w:sectPr>
          <w:pgSz w:w="11906" w:h="16838"/>
          <w:pgMar w:top="1418" w:right="1418" w:bottom="1418" w:left="1418" w:header="851" w:footer="851" w:gutter="0"/>
          <w:cols w:space="720" w:num="1"/>
          <w:titlePg/>
          <w:docGrid w:linePitch="312" w:charSpace="0"/>
        </w:sectPr>
      </w:pPr>
      <w:r>
        <w:rPr>
          <w:rFonts w:hint="eastAsia" w:ascii="仿宋_GB2312" w:hAnsi="Courier New" w:eastAsia="仿宋_GB2312"/>
          <w:sz w:val="24"/>
          <w:szCs w:val="21"/>
        </w:rPr>
        <w:t>2. 若是负责人参会的，不需要提供此授权委托书。</w:t>
      </w:r>
    </w:p>
    <w:p>
      <w:pPr>
        <w:pStyle w:val="147"/>
        <w:jc w:val="center"/>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法定代表人（单位负责人、自然人本人）身份证明</w:t>
      </w:r>
    </w:p>
    <w:p>
      <w:pPr>
        <w:snapToGrid w:val="0"/>
        <w:spacing w:line="360" w:lineRule="auto"/>
        <w:ind w:right="48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（注：适用于法定代表人（单位负责人、自然人本人）代表供应商参加本项目响应时提供）</w:t>
      </w:r>
    </w:p>
    <w:p>
      <w:pPr>
        <w:pStyle w:val="26"/>
        <w:ind w:firstLine="420"/>
        <w:rPr>
          <w:rFonts w:ascii="仿宋_GB2312" w:eastAsia="仿宋_GB2312"/>
          <w:color w:val="000000" w:themeColor="text1"/>
          <w14:textFill>
            <w14:solidFill>
              <w14:schemeClr w14:val="tx1"/>
            </w14:solidFill>
          </w14:textFill>
        </w:rPr>
      </w:pPr>
    </w:p>
    <w:p>
      <w:pPr>
        <w:pStyle w:val="146"/>
        <w:spacing w:line="360"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身份证件扫描件：</w:t>
      </w:r>
    </w:p>
    <w:tbl>
      <w:tblPr>
        <w:tblStyle w:val="62"/>
        <w:tblW w:w="920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3"/>
        <w:gridCol w:w="46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62" w:hRule="atLeast"/>
          <w:jc w:val="center"/>
        </w:trPr>
        <w:tc>
          <w:tcPr>
            <w:tcW w:w="4603" w:type="dxa"/>
          </w:tcPr>
          <w:p>
            <w:pPr>
              <w:pStyle w:val="146"/>
              <w:adjustRightInd w:val="0"/>
              <w:spacing w:line="360"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正面：</w:t>
            </w:r>
          </w:p>
        </w:tc>
        <w:tc>
          <w:tcPr>
            <w:tcW w:w="4604" w:type="dxa"/>
          </w:tcPr>
          <w:p>
            <w:pPr>
              <w:pStyle w:val="146"/>
              <w:adjustRightInd w:val="0"/>
              <w:spacing w:line="360"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反面：</w:t>
            </w:r>
          </w:p>
        </w:tc>
      </w:tr>
    </w:tbl>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p>
    <w:p>
      <w:pPr>
        <w:pStyle w:val="5"/>
        <w:rPr>
          <w:lang w:val="zh-CN"/>
        </w:rPr>
      </w:pPr>
    </w:p>
    <w:p>
      <w:pPr>
        <w:rPr>
          <w:lang w:val="zh-CN"/>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rPr>
          <w:rFonts w:ascii="仿宋_GB2312" w:hAnsi="宋体" w:eastAsia="仿宋_GB2312" w:cs="宋体"/>
          <w:color w:val="000000" w:themeColor="text1"/>
          <w:kern w:val="0"/>
          <w:sz w:val="24"/>
          <w:lang w:val="zh-CN"/>
          <w14:textFill>
            <w14:solidFill>
              <w14:schemeClr w14:val="tx1"/>
            </w14:solidFill>
          </w14:textFill>
        </w:rPr>
      </w:pPr>
    </w:p>
    <w:p>
      <w:pP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br w:type="page"/>
      </w:r>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2、▲采购需求承诺函</w:t>
      </w:r>
    </w:p>
    <w:p>
      <w:pPr>
        <w:spacing w:line="360" w:lineRule="auto"/>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丽水市公共资源交易中心：</w:t>
      </w:r>
    </w:p>
    <w:p>
      <w:pPr>
        <w:snapToGrid w:val="0"/>
        <w:spacing w:line="360" w:lineRule="auto"/>
        <w:ind w:firstLine="480"/>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我单位自愿参与此次</w:t>
      </w:r>
      <w:r>
        <w:rPr>
          <w:rFonts w:hint="eastAsia" w:ascii="仿宋_GB2312" w:hAnsi="宋体" w:eastAsia="仿宋_GB2312" w:cs="宋体"/>
          <w:color w:val="000000" w:themeColor="text1"/>
          <w:kern w:val="0"/>
          <w:sz w:val="24"/>
          <w:u w:val="single"/>
          <w:lang w:val="zh-CN"/>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kern w:val="0"/>
          <w:sz w:val="24"/>
          <w:u w:val="single"/>
          <w:lang w:val="zh-CN"/>
          <w14:textFill>
            <w14:solidFill>
              <w14:schemeClr w14:val="tx1"/>
            </w14:solidFill>
          </w14:textFill>
        </w:rPr>
        <w:t>LCK2024-003</w:t>
      </w:r>
      <w:r>
        <w:rPr>
          <w:rFonts w:hint="eastAsia" w:ascii="仿宋_GB2312" w:hAnsi="宋体" w:eastAsia="仿宋_GB2312" w:cs="宋体"/>
          <w:color w:val="000000" w:themeColor="text1"/>
          <w:kern w:val="0"/>
          <w:sz w:val="24"/>
          <w:u w:val="single"/>
          <w:lang w:val="zh-CN"/>
          <w14:textFill>
            <w14:solidFill>
              <w14:schemeClr w14:val="tx1"/>
            </w14:solidFill>
          </w14:textFill>
        </w:rPr>
        <w:t>）</w:t>
      </w:r>
      <w:r>
        <w:rPr>
          <w:rFonts w:hint="eastAsia" w:ascii="仿宋_GB2312" w:hAnsi="宋体" w:eastAsia="仿宋_GB2312" w:cs="宋体"/>
          <w:color w:val="000000" w:themeColor="text1"/>
          <w:kern w:val="0"/>
          <w:sz w:val="24"/>
          <w:lang w:val="zh-CN"/>
          <w14:textFill>
            <w14:solidFill>
              <w14:schemeClr w14:val="tx1"/>
            </w14:solidFill>
          </w14:textFill>
        </w:rPr>
        <w:t>公开征集的政府采购活动，郑重声明完全响应采购需求且承诺如下：</w:t>
      </w:r>
    </w:p>
    <w:tbl>
      <w:tblPr>
        <w:tblStyle w:val="62"/>
        <w:tblW w:w="9449" w:type="dxa"/>
        <w:jc w:val="center"/>
        <w:tblInd w:w="0" w:type="dxa"/>
        <w:tblLayout w:type="fixed"/>
        <w:tblCellMar>
          <w:top w:w="0" w:type="dxa"/>
          <w:left w:w="0" w:type="dxa"/>
          <w:bottom w:w="0" w:type="dxa"/>
          <w:right w:w="0" w:type="dxa"/>
        </w:tblCellMar>
      </w:tblPr>
      <w:tblGrid>
        <w:gridCol w:w="416"/>
        <w:gridCol w:w="708"/>
        <w:gridCol w:w="1539"/>
        <w:gridCol w:w="6786"/>
      </w:tblGrid>
      <w:tr>
        <w:tblPrEx>
          <w:tblLayout w:type="fixed"/>
          <w:tblCellMar>
            <w:top w:w="0" w:type="dxa"/>
            <w:left w:w="0" w:type="dxa"/>
            <w:bottom w:w="0" w:type="dxa"/>
            <w:right w:w="0" w:type="dxa"/>
          </w:tblCellMar>
        </w:tblPrEx>
        <w:trPr>
          <w:trHeight w:val="567" w:hRule="atLeast"/>
          <w:tblHeader/>
          <w:jc w:val="center"/>
        </w:trPr>
        <w:tc>
          <w:tcPr>
            <w:tcW w:w="112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8325" w:type="dxa"/>
            <w:gridSpan w:val="2"/>
            <w:tcBorders>
              <w:top w:val="single" w:color="auto" w:sz="8" w:space="0"/>
              <w:left w:val="nil"/>
              <w:bottom w:val="single" w:color="auto" w:sz="8" w:space="0"/>
              <w:right w:val="single" w:color="auto" w:sz="4"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承诺事项及内容</w:t>
            </w:r>
          </w:p>
        </w:tc>
      </w:tr>
      <w:tr>
        <w:tblPrEx>
          <w:tblLayout w:type="fixed"/>
          <w:tblCellMar>
            <w:top w:w="0" w:type="dxa"/>
            <w:left w:w="0" w:type="dxa"/>
            <w:bottom w:w="0" w:type="dxa"/>
            <w:right w:w="0" w:type="dxa"/>
          </w:tblCellMar>
        </w:tblPrEx>
        <w:trPr>
          <w:trHeight w:val="454" w:hRule="atLeast"/>
          <w:jc w:val="center"/>
        </w:trPr>
        <w:tc>
          <w:tcPr>
            <w:tcW w:w="1124" w:type="dxa"/>
            <w:gridSpan w:val="2"/>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w:t>
            </w:r>
          </w:p>
        </w:tc>
        <w:tc>
          <w:tcPr>
            <w:tcW w:w="8325" w:type="dxa"/>
            <w:gridSpan w:val="2"/>
            <w:tcBorders>
              <w:top w:val="nil"/>
              <w:left w:val="nil"/>
              <w:bottom w:val="single" w:color="auto" w:sz="8" w:space="0"/>
              <w:right w:val="single" w:color="auto" w:sz="4" w:space="0"/>
            </w:tcBorders>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响应有效期从提交响应文件的截止之日起，不少于本项目协议采购有效期，在协议期满之前均具有约束力。</w:t>
            </w:r>
          </w:p>
        </w:tc>
      </w:tr>
      <w:tr>
        <w:tblPrEx>
          <w:tblLayout w:type="fixed"/>
          <w:tblCellMar>
            <w:top w:w="0" w:type="dxa"/>
            <w:left w:w="0" w:type="dxa"/>
            <w:bottom w:w="0" w:type="dxa"/>
            <w:right w:w="0" w:type="dxa"/>
          </w:tblCellMar>
        </w:tblPrEx>
        <w:trPr>
          <w:trHeight w:val="454" w:hRule="atLeast"/>
          <w:jc w:val="center"/>
        </w:trPr>
        <w:tc>
          <w:tcPr>
            <w:tcW w:w="416" w:type="dxa"/>
            <w:vMerge w:val="restart"/>
            <w:tcBorders>
              <w:top w:val="nil"/>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w:t>
            </w: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2.1</w:t>
            </w:r>
          </w:p>
        </w:tc>
        <w:tc>
          <w:tcPr>
            <w:tcW w:w="1539" w:type="dxa"/>
            <w:vMerge w:val="restart"/>
            <w:tcBorders>
              <w:top w:val="nil"/>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服务标准</w:t>
            </w: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自觉遵守相关法律、法规及有关规定，严格执行审计准则，遵守廉政纪律和职业道德，保守采购人、被审计单位、服务对象资料数据的秘密；</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2.2</w:t>
            </w:r>
          </w:p>
        </w:tc>
        <w:tc>
          <w:tcPr>
            <w:tcW w:w="1539" w:type="dxa"/>
            <w:vMerge w:val="continue"/>
            <w:tcBorders>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严格按照采购人的有关规定和要求实施审计服务，按采购人的质量和进度要求及时提供结果、报告以及与服务事项相关的资料，按规定的格式、要求起草有关文书和相关材料；</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2.3</w:t>
            </w:r>
          </w:p>
        </w:tc>
        <w:tc>
          <w:tcPr>
            <w:tcW w:w="1539" w:type="dxa"/>
            <w:vMerge w:val="continue"/>
            <w:tcBorders>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不得将承接的业务对外转包，不以任何借口违反审计准则和质量控制准则，降低执业（工作）质量；</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2.4</w:t>
            </w:r>
          </w:p>
        </w:tc>
        <w:tc>
          <w:tcPr>
            <w:tcW w:w="1539" w:type="dxa"/>
            <w:vMerge w:val="continue"/>
            <w:tcBorders>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愿意接受相关部门对项目质量的审查考核。</w:t>
            </w:r>
          </w:p>
        </w:tc>
      </w:tr>
      <w:tr>
        <w:tblPrEx>
          <w:tblLayout w:type="fixed"/>
          <w:tblCellMar>
            <w:top w:w="0" w:type="dxa"/>
            <w:left w:w="0" w:type="dxa"/>
            <w:bottom w:w="0" w:type="dxa"/>
            <w:right w:w="0" w:type="dxa"/>
          </w:tblCellMar>
        </w:tblPrEx>
        <w:trPr>
          <w:trHeight w:val="454" w:hRule="atLeast"/>
          <w:jc w:val="center"/>
        </w:trPr>
        <w:tc>
          <w:tcPr>
            <w:tcW w:w="416" w:type="dxa"/>
            <w:vMerge w:val="restart"/>
            <w:tcBorders>
              <w:top w:val="nil"/>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w:t>
            </w:r>
          </w:p>
        </w:tc>
        <w:tc>
          <w:tcPr>
            <w:tcW w:w="708" w:type="dxa"/>
            <w:tcBorders>
              <w:top w:val="nil"/>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3.1</w:t>
            </w:r>
          </w:p>
        </w:tc>
        <w:tc>
          <w:tcPr>
            <w:tcW w:w="1539" w:type="dxa"/>
            <w:vMerge w:val="restart"/>
            <w:tcBorders>
              <w:top w:val="single" w:color="auto" w:sz="4" w:space="0"/>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框架协议、采购合同签订要求</w:t>
            </w: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入围后按本项目征集文件的规定和入围通知书的要求及时与征集人签订框架协议，无正当理由不得主动放弃入围资格或者退出框架协议。</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single" w:color="auto" w:sz="4"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3.2</w:t>
            </w:r>
          </w:p>
        </w:tc>
        <w:tc>
          <w:tcPr>
            <w:tcW w:w="1539" w:type="dxa"/>
            <w:vMerge w:val="continue"/>
            <w:tcBorders>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第一阶段的响应报价（协议价格）是采购人确定第二阶段成交供应商的最高限价。在政采云系统中接到采购人订单（采购人合同授予）后，无正当理由不得拖延、拒绝、取消订单，应按本项目征集文件、框架协议规定及时与采购人签订合同。</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w:t>
            </w:r>
          </w:p>
        </w:tc>
        <w:tc>
          <w:tcPr>
            <w:tcW w:w="1539" w:type="dxa"/>
            <w:vMerge w:val="continue"/>
            <w:tcBorders>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按征集文件规定的要求和合同文本格式编制合同</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3.4</w:t>
            </w:r>
          </w:p>
        </w:tc>
        <w:tc>
          <w:tcPr>
            <w:tcW w:w="1539" w:type="dxa"/>
            <w:vMerge w:val="continue"/>
            <w:tcBorders>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与采购人签订合同后应积极履行合同义务，按约定的时间和要求完成审计服务、出具报告，并通过采购人验收。</w:t>
            </w:r>
          </w:p>
        </w:tc>
      </w:tr>
      <w:tr>
        <w:tblPrEx>
          <w:tblLayout w:type="fixed"/>
          <w:tblCellMar>
            <w:top w:w="0" w:type="dxa"/>
            <w:left w:w="0" w:type="dxa"/>
            <w:bottom w:w="0" w:type="dxa"/>
            <w:right w:w="0" w:type="dxa"/>
          </w:tblCellMar>
        </w:tblPrEx>
        <w:trPr>
          <w:trHeight w:val="454" w:hRule="atLeast"/>
          <w:jc w:val="center"/>
        </w:trPr>
        <w:tc>
          <w:tcPr>
            <w:tcW w:w="416" w:type="dxa"/>
            <w:vMerge w:val="restart"/>
            <w:tcBorders>
              <w:top w:val="nil"/>
              <w:left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w:t>
            </w: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4.1</w:t>
            </w:r>
          </w:p>
        </w:tc>
        <w:tc>
          <w:tcPr>
            <w:tcW w:w="1539" w:type="dxa"/>
            <w:vMerge w:val="restart"/>
            <w:tcBorders>
              <w:top w:val="single" w:color="auto" w:sz="4" w:space="0"/>
              <w:left w:val="nil"/>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协议期内日常管理要求</w:t>
            </w: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在协议期内，如有信息变更（如变更法定代表人、主要负责人、联系人、联系电话、地址等），应及时在政采云系统中更新相关信息并通知征集人，按征集人要求提供相关资料备案。</w:t>
            </w:r>
          </w:p>
        </w:tc>
      </w:tr>
      <w:tr>
        <w:tblPrEx>
          <w:tblLayout w:type="fixed"/>
          <w:tblCellMar>
            <w:top w:w="0" w:type="dxa"/>
            <w:left w:w="0" w:type="dxa"/>
            <w:bottom w:w="0" w:type="dxa"/>
            <w:right w:w="0" w:type="dxa"/>
          </w:tblCellMar>
        </w:tblPrEx>
        <w:trPr>
          <w:trHeight w:val="454" w:hRule="atLeast"/>
          <w:jc w:val="center"/>
        </w:trPr>
        <w:tc>
          <w:tcPr>
            <w:tcW w:w="416" w:type="dxa"/>
            <w:vMerge w:val="continue"/>
            <w:tcBorders>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p>
        </w:tc>
        <w:tc>
          <w:tcPr>
            <w:tcW w:w="708"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4.2</w:t>
            </w:r>
          </w:p>
        </w:tc>
        <w:tc>
          <w:tcPr>
            <w:tcW w:w="1539" w:type="dxa"/>
            <w:vMerge w:val="continue"/>
            <w:tcBorders>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p>
        </w:tc>
        <w:tc>
          <w:tcPr>
            <w:tcW w:w="6786" w:type="dxa"/>
            <w:tcBorders>
              <w:top w:val="nil"/>
              <w:left w:val="single" w:color="auto" w:sz="4" w:space="0"/>
              <w:bottom w:val="single" w:color="auto" w:sz="8" w:space="0"/>
              <w:right w:val="single" w:color="auto" w:sz="4" w:space="0"/>
            </w:tcBorders>
            <w:vAlign w:val="center"/>
          </w:tcPr>
          <w:p>
            <w:pPr>
              <w:widowControl/>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在协议期内，应遵守和履行本项目征集文件、框架协议的各项规定，遵守电子系统的操作规定和交易规则，积极配合征集人和采购监管部门的工作。</w:t>
            </w:r>
          </w:p>
        </w:tc>
      </w:tr>
    </w:tbl>
    <w:p>
      <w:pPr>
        <w:snapToGrid w:val="0"/>
        <w:spacing w:line="360" w:lineRule="auto"/>
        <w:ind w:right="48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（▲注：按本格式和要求提供，否则无效）</w:t>
      </w:r>
    </w:p>
    <w:p>
      <w:pPr>
        <w:pStyle w:val="26"/>
        <w:ind w:firstLine="420"/>
        <w:rPr>
          <w:rFonts w:hint="eastAsia"/>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pStyle w:val="5"/>
        <w:rPr>
          <w:lang w:val="zh-CN"/>
        </w:rPr>
        <w:sectPr>
          <w:pgSz w:w="11906" w:h="16838"/>
          <w:pgMar w:top="1418" w:right="1418" w:bottom="1418" w:left="1418" w:header="851" w:footer="851" w:gutter="0"/>
          <w:cols w:space="720" w:num="1"/>
          <w:titlePg/>
          <w:docGrid w:linePitch="312" w:charSpace="0"/>
        </w:sectPr>
      </w:pPr>
    </w:p>
    <w:p>
      <w:pPr>
        <w:snapToGrid w:val="0"/>
        <w:spacing w:line="360" w:lineRule="auto"/>
        <w:jc w:val="center"/>
        <w:outlineLvl w:val="2"/>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t>3</w:t>
      </w:r>
      <w:r>
        <w:rPr>
          <w:rFonts w:hint="eastAsia" w:ascii="仿宋_GB2312" w:hAnsi="宋体" w:eastAsia="仿宋_GB2312" w:cs="宋体"/>
          <w:b/>
          <w:bCs/>
          <w:color w:val="000000" w:themeColor="text1"/>
          <w:kern w:val="0"/>
          <w:sz w:val="32"/>
          <w:szCs w:val="32"/>
          <w14:textFill>
            <w14:solidFill>
              <w14:schemeClr w14:val="tx1"/>
            </w14:solidFill>
          </w14:textFill>
        </w:rPr>
        <w:t>、</w:t>
      </w:r>
      <w:r>
        <w:rPr>
          <w:rFonts w:hint="eastAsia" w:ascii="仿宋_GB2312" w:hAnsi="宋体" w:eastAsia="仿宋_GB2312" w:cs="宋体"/>
          <w:b/>
          <w:bCs/>
          <w:color w:val="000000" w:themeColor="text1"/>
          <w:sz w:val="32"/>
          <w:szCs w:val="32"/>
          <w14:textFill>
            <w14:solidFill>
              <w14:schemeClr w14:val="tx1"/>
            </w14:solidFill>
          </w14:textFill>
        </w:rPr>
        <w:t>▲管理</w:t>
      </w:r>
      <w:r>
        <w:rPr>
          <w:rFonts w:hint="eastAsia" w:ascii="仿宋_GB2312" w:hAnsi="宋体" w:eastAsia="仿宋_GB2312" w:cs="宋体"/>
          <w:b/>
          <w:bCs/>
          <w:color w:val="000000" w:themeColor="text1"/>
          <w:kern w:val="0"/>
          <w:sz w:val="32"/>
          <w:szCs w:val="32"/>
          <w14:textFill>
            <w14:solidFill>
              <w14:schemeClr w14:val="tx1"/>
            </w14:solidFill>
          </w14:textFill>
        </w:rPr>
        <w:t>制度</w:t>
      </w:r>
    </w:p>
    <w:p>
      <w:pPr>
        <w:snapToGrid w:val="0"/>
        <w:spacing w:line="360" w:lineRule="auto"/>
        <w:ind w:right="480"/>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（供应商根据采购需求自行编制）</w:t>
      </w:r>
    </w:p>
    <w:p>
      <w:pPr>
        <w:snapToGrid w:val="0"/>
        <w:spacing w:line="360" w:lineRule="auto"/>
        <w:ind w:right="480"/>
        <w:jc w:val="center"/>
        <w:rPr>
          <w:rFonts w:ascii="仿宋_GB2312" w:hAnsi="宋体" w:eastAsia="仿宋_GB2312" w:cs="宋体"/>
          <w:color w:val="000000" w:themeColor="text1"/>
          <w:kern w:val="0"/>
          <w:sz w:val="32"/>
          <w:szCs w:val="32"/>
          <w14:textFill>
            <w14:solidFill>
              <w14:schemeClr w14:val="tx1"/>
            </w14:solidFill>
          </w14:textFill>
        </w:rPr>
      </w:pPr>
    </w:p>
    <w:p>
      <w:pPr>
        <w:pStyle w:val="23"/>
        <w:rPr>
          <w:rFonts w:ascii="仿宋_GB2312" w:hAnsi="宋体" w:eastAsia="仿宋_GB2312" w:cs="宋体"/>
          <w:color w:val="000000" w:themeColor="text1"/>
          <w:kern w:val="0"/>
          <w:sz w:val="32"/>
          <w:szCs w:val="32"/>
          <w14:textFill>
            <w14:solidFill>
              <w14:schemeClr w14:val="tx1"/>
            </w14:solidFill>
          </w14:textFill>
        </w:rPr>
      </w:pPr>
    </w:p>
    <w:p>
      <w:pPr>
        <w:pStyle w:val="24"/>
        <w:rPr>
          <w:rFonts w:ascii="仿宋_GB2312" w:hAnsi="宋体"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snapToGrid w:val="0"/>
        <w:spacing w:line="360" w:lineRule="auto"/>
        <w:rPr>
          <w:rFonts w:ascii="仿宋_GB2312" w:hAnsi="宋体" w:eastAsia="仿宋_GB2312" w:cs="宋体"/>
          <w:b/>
          <w:color w:val="000000" w:themeColor="text1"/>
          <w:kern w:val="0"/>
          <w:sz w:val="32"/>
          <w:szCs w:val="32"/>
          <w14:textFill>
            <w14:solidFill>
              <w14:schemeClr w14:val="tx1"/>
            </w14:solidFill>
          </w14:textFill>
        </w:rPr>
      </w:pPr>
    </w:p>
    <w:p>
      <w:pPr>
        <w:pStyle w:val="26"/>
        <w:ind w:firstLine="640"/>
        <w:rPr>
          <w:rFonts w:ascii="仿宋_GB2312" w:eastAsia="仿宋_GB2312" w:cs="宋体"/>
          <w:color w:val="000000" w:themeColor="text1"/>
          <w:kern w:val="0"/>
          <w:sz w:val="32"/>
          <w:szCs w:val="32"/>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pStyle w:val="26"/>
        <w:ind w:firstLine="640"/>
        <w:rPr>
          <w:rFonts w:ascii="仿宋_GB2312" w:eastAsia="仿宋_GB2312" w:cs="宋体"/>
          <w:color w:val="000000" w:themeColor="text1"/>
          <w:kern w:val="0"/>
          <w:sz w:val="32"/>
          <w:szCs w:val="32"/>
          <w14:textFill>
            <w14:solidFill>
              <w14:schemeClr w14:val="tx1"/>
            </w14:solidFill>
          </w14:textFill>
        </w:rPr>
      </w:pPr>
    </w:p>
    <w:p>
      <w:pPr>
        <w:snapToGrid w:val="0"/>
        <w:spacing w:line="360" w:lineRule="auto"/>
        <w:jc w:val="center"/>
        <w:outlineLvl w:val="2"/>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t>4</w:t>
      </w:r>
      <w:r>
        <w:rPr>
          <w:rFonts w:hint="eastAsia" w:ascii="仿宋_GB2312" w:hAnsi="宋体" w:eastAsia="仿宋_GB2312" w:cs="宋体"/>
          <w:b/>
          <w:bCs/>
          <w:color w:val="000000" w:themeColor="text1"/>
          <w:kern w:val="0"/>
          <w:sz w:val="32"/>
          <w:szCs w:val="32"/>
          <w14:textFill>
            <w14:solidFill>
              <w14:schemeClr w14:val="tx1"/>
            </w14:solidFill>
          </w14:textFill>
        </w:rPr>
        <w:t>、</w:t>
      </w:r>
      <w:r>
        <w:rPr>
          <w:rFonts w:hint="eastAsia" w:ascii="仿宋_GB2312" w:hAnsi="宋体" w:eastAsia="仿宋_GB2312" w:cs="宋体"/>
          <w:b/>
          <w:bCs/>
          <w:color w:val="000000" w:themeColor="text1"/>
          <w:sz w:val="32"/>
          <w:szCs w:val="32"/>
          <w14:textFill>
            <w14:solidFill>
              <w14:schemeClr w14:val="tx1"/>
            </w14:solidFill>
          </w14:textFill>
        </w:rPr>
        <w:t>▲服务</w:t>
      </w:r>
      <w:r>
        <w:rPr>
          <w:rFonts w:hint="eastAsia" w:ascii="仿宋_GB2312" w:hAnsi="宋体" w:eastAsia="仿宋_GB2312" w:cs="宋体"/>
          <w:b/>
          <w:bCs/>
          <w:color w:val="000000" w:themeColor="text1"/>
          <w:kern w:val="0"/>
          <w:sz w:val="32"/>
          <w:szCs w:val="32"/>
          <w14:textFill>
            <w14:solidFill>
              <w14:schemeClr w14:val="tx1"/>
            </w14:solidFill>
          </w14:textFill>
        </w:rPr>
        <w:t>方案</w:t>
      </w:r>
    </w:p>
    <w:p>
      <w:pPr>
        <w:pStyle w:val="26"/>
        <w:ind w:left="0" w:leftChars="0" w:firstLine="0" w:firstLineChars="0"/>
        <w:jc w:val="center"/>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（供应商根据采购需求自行编制）</w:t>
      </w:r>
    </w:p>
    <w:p>
      <w:pPr>
        <w:pStyle w:val="23"/>
        <w:rPr>
          <w:rFonts w:ascii="仿宋_GB2312" w:hAnsi="宋体" w:eastAsia="仿宋_GB2312" w:cs="宋体"/>
          <w:color w:val="000000" w:themeColor="text1"/>
          <w:kern w:val="0"/>
          <w:sz w:val="32"/>
          <w:szCs w:val="32"/>
          <w:lang w:val="en-US"/>
          <w14:textFill>
            <w14:solidFill>
              <w14:schemeClr w14:val="tx1"/>
            </w14:solidFill>
          </w14:textFill>
        </w:rPr>
      </w:pPr>
    </w:p>
    <w:p>
      <w:pPr>
        <w:pStyle w:val="26"/>
        <w:ind w:left="0" w:leftChars="0" w:firstLine="0" w:firstLineChars="0"/>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pStyle w:val="26"/>
        <w:ind w:left="0" w:leftChars="0" w:firstLine="0" w:firstLineChars="0"/>
        <w:rPr>
          <w:rFonts w:ascii="仿宋_GB2312" w:eastAsia="仿宋_GB2312" w:cs="宋体"/>
          <w:color w:val="000000" w:themeColor="text1"/>
          <w:kern w:val="0"/>
          <w:sz w:val="32"/>
          <w:szCs w:val="32"/>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pStyle w:val="24"/>
        <w:ind w:firstLine="0"/>
        <w:rPr>
          <w:rFonts w:ascii="仿宋_GB2312" w:hAnsi="宋体" w:eastAsia="仿宋_GB2312" w:cs="宋体"/>
          <w:color w:val="000000" w:themeColor="text1"/>
          <w:kern w:val="0"/>
          <w:sz w:val="32"/>
          <w:szCs w:val="32"/>
          <w:lang w:val="en-US"/>
          <w14:textFill>
            <w14:solidFill>
              <w14:schemeClr w14:val="tx1"/>
            </w14:solidFill>
          </w14:textFill>
        </w:rPr>
      </w:pPr>
    </w:p>
    <w:p>
      <w:pPr>
        <w:pStyle w:val="23"/>
        <w:rPr>
          <w:rFonts w:ascii="仿宋_GB2312" w:hAnsi="宋体" w:eastAsia="仿宋_GB2312" w:cs="宋体"/>
          <w:color w:val="000000" w:themeColor="text1"/>
          <w:kern w:val="0"/>
          <w:sz w:val="32"/>
          <w:szCs w:val="32"/>
          <w:lang w:val="en-US"/>
          <w14:textFill>
            <w14:solidFill>
              <w14:schemeClr w14:val="tx1"/>
            </w14:solidFill>
          </w14:textFill>
        </w:rPr>
      </w:pPr>
    </w:p>
    <w:p>
      <w:pPr>
        <w:pStyle w:val="24"/>
        <w:ind w:firstLine="0"/>
        <w:rPr>
          <w:rFonts w:ascii="仿宋_GB2312" w:eastAsia="仿宋_GB2312"/>
          <w:lang w:val="en-US"/>
        </w:rPr>
      </w:pPr>
    </w:p>
    <w:p>
      <w:pPr>
        <w:pStyle w:val="24"/>
        <w:ind w:firstLine="0"/>
        <w:rPr>
          <w:rFonts w:ascii="仿宋_GB2312" w:eastAsia="仿宋_GB2312"/>
          <w:color w:val="000000" w:themeColor="text1"/>
          <w:lang w:val="en-US"/>
          <w14:textFill>
            <w14:solidFill>
              <w14:schemeClr w14:val="tx1"/>
            </w14:solidFill>
          </w14:textFill>
        </w:rPr>
      </w:pPr>
    </w:p>
    <w:p>
      <w:pPr>
        <w:snapToGrid w:val="0"/>
        <w:spacing w:line="360" w:lineRule="auto"/>
        <w:ind w:right="480"/>
        <w:jc w:val="center"/>
        <w:rPr>
          <w:rFonts w:ascii="仿宋_GB2312" w:hAnsi="宋体" w:eastAsia="仿宋_GB2312" w:cs="宋体"/>
          <w:b/>
          <w:bCs/>
          <w:color w:val="000000" w:themeColor="text1"/>
          <w:kern w:val="0"/>
          <w:sz w:val="32"/>
          <w:szCs w:val="32"/>
          <w14:textFill>
            <w14:solidFill>
              <w14:schemeClr w14:val="tx1"/>
            </w14:solidFill>
          </w14:textFill>
        </w:rPr>
        <w:sectPr>
          <w:pgSz w:w="11906" w:h="16838"/>
          <w:pgMar w:top="1418" w:right="1418" w:bottom="1418" w:left="1418" w:header="851" w:footer="851" w:gutter="0"/>
          <w:cols w:space="720" w:num="1"/>
          <w:titlePg/>
          <w:docGrid w:linePitch="312" w:charSpace="0"/>
        </w:sectPr>
      </w:pPr>
    </w:p>
    <w:p>
      <w:pPr>
        <w:snapToGrid w:val="0"/>
        <w:spacing w:line="360" w:lineRule="auto"/>
        <w:jc w:val="center"/>
        <w:outlineLvl w:val="2"/>
        <w:rPr>
          <w:rFonts w:ascii="仿宋_GB2312" w:hAnsi="宋体" w:eastAsia="仿宋_GB2312" w:cs="宋体"/>
          <w:b/>
          <w:bCs/>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t>5</w:t>
      </w:r>
      <w:r>
        <w:rPr>
          <w:rFonts w:hint="eastAsia" w:ascii="仿宋_GB2312" w:hAnsi="宋体" w:eastAsia="仿宋_GB2312" w:cs="宋体"/>
          <w:b/>
          <w:bCs/>
          <w:color w:val="000000" w:themeColor="text1"/>
          <w:kern w:val="0"/>
          <w:sz w:val="32"/>
          <w:szCs w:val="32"/>
          <w14:textFill>
            <w14:solidFill>
              <w14:schemeClr w14:val="tx1"/>
            </w14:solidFill>
          </w14:textFill>
        </w:rPr>
        <w:t>、</w:t>
      </w:r>
      <w:r>
        <w:rPr>
          <w:rFonts w:hint="eastAsia" w:ascii="仿宋_GB2312" w:hAnsi="宋体" w:eastAsia="仿宋_GB2312" w:cs="宋体"/>
          <w:b/>
          <w:bCs/>
          <w:color w:val="000000" w:themeColor="text1"/>
          <w:sz w:val="32"/>
          <w:szCs w:val="32"/>
          <w14:textFill>
            <w14:solidFill>
              <w14:schemeClr w14:val="tx1"/>
            </w14:solidFill>
          </w14:textFill>
        </w:rPr>
        <w:t>▲</w:t>
      </w:r>
      <w:r>
        <w:rPr>
          <w:rFonts w:hint="eastAsia" w:ascii="仿宋_GB2312" w:hAnsi="宋体" w:eastAsia="仿宋_GB2312" w:cs="宋体"/>
          <w:b/>
          <w:bCs/>
          <w:color w:val="000000" w:themeColor="text1"/>
          <w:kern w:val="0"/>
          <w:sz w:val="32"/>
          <w:szCs w:val="32"/>
          <w14:textFill>
            <w14:solidFill>
              <w14:schemeClr w14:val="tx1"/>
            </w14:solidFill>
          </w14:textFill>
        </w:rPr>
        <w:t>服务</w:t>
      </w:r>
      <w:r>
        <w:rPr>
          <w:rFonts w:hint="eastAsia" w:ascii="仿宋_GB2312" w:hAnsi="宋体" w:eastAsia="仿宋_GB2312" w:cs="宋体"/>
          <w:b/>
          <w:bCs/>
          <w:color w:val="000000" w:themeColor="text1"/>
          <w:sz w:val="32"/>
          <w:szCs w:val="32"/>
          <w14:textFill>
            <w14:solidFill>
              <w14:schemeClr w14:val="tx1"/>
            </w14:solidFill>
          </w14:textFill>
        </w:rPr>
        <w:t>团队</w:t>
      </w:r>
      <w:r>
        <w:rPr>
          <w:rFonts w:hint="eastAsia" w:ascii="仿宋_GB2312" w:hAnsi="宋体" w:eastAsia="仿宋_GB2312" w:cs="宋体"/>
          <w:b/>
          <w:bCs/>
          <w:color w:val="000000" w:themeColor="text1"/>
          <w:kern w:val="0"/>
          <w:sz w:val="32"/>
          <w:szCs w:val="32"/>
          <w14:textFill>
            <w14:solidFill>
              <w14:schemeClr w14:val="tx1"/>
            </w14:solidFill>
          </w14:textFill>
        </w:rPr>
        <w:t>配备人员情况表</w:t>
      </w:r>
    </w:p>
    <w:p>
      <w:pPr>
        <w:snapToGrid w:val="0"/>
        <w:spacing w:line="360" w:lineRule="auto"/>
        <w:ind w:right="480"/>
        <w:jc w:val="center"/>
        <w:rPr>
          <w:rFonts w:ascii="仿宋_GB2312" w:hAnsi="宋体" w:eastAsia="仿宋_GB2312" w:cs="宋体"/>
          <w:b/>
          <w:color w:val="000000" w:themeColor="text1"/>
          <w:sz w:val="24"/>
          <w14:textFill>
            <w14:solidFill>
              <w14:schemeClr w14:val="tx1"/>
            </w14:solidFill>
          </w14:textFill>
        </w:rPr>
      </w:pPr>
    </w:p>
    <w:tbl>
      <w:tblPr>
        <w:tblStyle w:val="62"/>
        <w:tblW w:w="96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31"/>
        <w:gridCol w:w="707"/>
        <w:gridCol w:w="750"/>
        <w:gridCol w:w="825"/>
        <w:gridCol w:w="1233"/>
        <w:gridCol w:w="1058"/>
        <w:gridCol w:w="1065"/>
        <w:gridCol w:w="12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45" w:type="dxa"/>
          </w:tcPr>
          <w:p>
            <w:pPr>
              <w:spacing w:line="44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序号</w:t>
            </w:r>
          </w:p>
        </w:tc>
        <w:tc>
          <w:tcPr>
            <w:tcW w:w="1231" w:type="dxa"/>
          </w:tcPr>
          <w:p>
            <w:pPr>
              <w:autoSpaceDE w:val="0"/>
              <w:autoSpaceDN w:val="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 xml:space="preserve">姓名 </w:t>
            </w:r>
          </w:p>
        </w:tc>
        <w:tc>
          <w:tcPr>
            <w:tcW w:w="707" w:type="dxa"/>
          </w:tcPr>
          <w:p>
            <w:pPr>
              <w:autoSpaceDE w:val="0"/>
              <w:autoSpaceDN w:val="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性别</w:t>
            </w:r>
          </w:p>
        </w:tc>
        <w:tc>
          <w:tcPr>
            <w:tcW w:w="750" w:type="dxa"/>
          </w:tcPr>
          <w:p>
            <w:pPr>
              <w:autoSpaceDE w:val="0"/>
              <w:autoSpaceDN w:val="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年龄</w:t>
            </w:r>
          </w:p>
        </w:tc>
        <w:tc>
          <w:tcPr>
            <w:tcW w:w="825" w:type="dxa"/>
          </w:tcPr>
          <w:p>
            <w:pPr>
              <w:autoSpaceDE w:val="0"/>
              <w:autoSpaceDN w:val="0"/>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学历</w:t>
            </w:r>
          </w:p>
        </w:tc>
        <w:tc>
          <w:tcPr>
            <w:tcW w:w="1233" w:type="dxa"/>
          </w:tcPr>
          <w:p>
            <w:pPr>
              <w:spacing w:line="44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从事工作年限</w:t>
            </w:r>
          </w:p>
        </w:tc>
        <w:tc>
          <w:tcPr>
            <w:tcW w:w="1058" w:type="dxa"/>
          </w:tcPr>
          <w:p>
            <w:pPr>
              <w:spacing w:line="440" w:lineRule="exact"/>
              <w:jc w:val="center"/>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专业技术职称</w:t>
            </w:r>
          </w:p>
        </w:tc>
        <w:tc>
          <w:tcPr>
            <w:tcW w:w="1065" w:type="dxa"/>
          </w:tcPr>
          <w:p>
            <w:pPr>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执业资格</w:t>
            </w:r>
          </w:p>
        </w:tc>
        <w:tc>
          <w:tcPr>
            <w:tcW w:w="1275" w:type="dxa"/>
          </w:tcPr>
          <w:p>
            <w:pPr>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是否有类似工作经历</w:t>
            </w:r>
          </w:p>
        </w:tc>
        <w:tc>
          <w:tcPr>
            <w:tcW w:w="885" w:type="dxa"/>
          </w:tcPr>
          <w:p>
            <w:pPr>
              <w:spacing w:line="440" w:lineRule="exact"/>
              <w:jc w:val="center"/>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45" w:type="dxa"/>
          </w:tcPr>
          <w:p>
            <w:pPr>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1231" w:type="dxa"/>
          </w:tcPr>
          <w:p>
            <w:pPr>
              <w:autoSpaceDE w:val="0"/>
              <w:autoSpaceDN w:val="0"/>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707" w:type="dxa"/>
          </w:tcPr>
          <w:p>
            <w:pPr>
              <w:autoSpaceDE w:val="0"/>
              <w:autoSpaceDN w:val="0"/>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750" w:type="dxa"/>
          </w:tcPr>
          <w:p>
            <w:pPr>
              <w:autoSpaceDE w:val="0"/>
              <w:autoSpaceDN w:val="0"/>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825" w:type="dxa"/>
          </w:tcPr>
          <w:p>
            <w:pPr>
              <w:autoSpaceDE w:val="0"/>
              <w:autoSpaceDN w:val="0"/>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1233" w:type="dxa"/>
          </w:tcPr>
          <w:p>
            <w:pPr>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1058" w:type="dxa"/>
          </w:tcPr>
          <w:p>
            <w:pPr>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1065" w:type="dxa"/>
          </w:tcPr>
          <w:p>
            <w:pPr>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1275" w:type="dxa"/>
          </w:tcPr>
          <w:p>
            <w:pPr>
              <w:spacing w:line="440" w:lineRule="exact"/>
              <w:jc w:val="center"/>
              <w:rPr>
                <w:rFonts w:ascii="仿宋_GB2312" w:hAnsi="宋体" w:eastAsia="仿宋_GB2312" w:cs="宋体"/>
                <w:color w:val="000000" w:themeColor="text1"/>
                <w:sz w:val="24"/>
                <w14:textFill>
                  <w14:solidFill>
                    <w14:schemeClr w14:val="tx1"/>
                  </w14:solidFill>
                </w14:textFill>
              </w:rPr>
            </w:pPr>
          </w:p>
        </w:tc>
        <w:tc>
          <w:tcPr>
            <w:tcW w:w="885" w:type="dxa"/>
          </w:tcPr>
          <w:p>
            <w:pPr>
              <w:spacing w:line="440" w:lineRule="exact"/>
              <w:jc w:val="center"/>
              <w:rPr>
                <w:rFonts w:ascii="仿宋_GB2312" w:hAnsi="宋体" w:eastAsia="仿宋_GB2312"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4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1"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07"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50"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2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3"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58"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6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7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8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64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1"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07"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50"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2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3"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58"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6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7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8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4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1"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07"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50"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2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3"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58"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6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7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8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4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1"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07"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50"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2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3"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58"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6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7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8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4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1"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07"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750"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2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33"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58"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06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127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c>
          <w:tcPr>
            <w:tcW w:w="885" w:type="dxa"/>
          </w:tcPr>
          <w:p>
            <w:pPr>
              <w:spacing w:line="440" w:lineRule="exact"/>
              <w:jc w:val="center"/>
              <w:rPr>
                <w:rFonts w:ascii="仿宋_GB2312" w:hAnsi="宋体" w:eastAsia="仿宋_GB2312" w:cs="宋体"/>
                <w:bCs/>
                <w:color w:val="000000" w:themeColor="text1"/>
                <w:sz w:val="24"/>
                <w14:textFill>
                  <w14:solidFill>
                    <w14:schemeClr w14:val="tx1"/>
                  </w14:solidFill>
                </w14:textFill>
              </w:rPr>
            </w:pPr>
          </w:p>
        </w:tc>
      </w:tr>
    </w:tbl>
    <w:p>
      <w:pPr>
        <w:spacing w:line="440" w:lineRule="exac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注：1、请供应商按以上表格填写，行数可自行增减。</w:t>
      </w:r>
    </w:p>
    <w:p>
      <w:pPr>
        <w:pStyle w:val="24"/>
        <w:ind w:firstLine="0"/>
        <w:rPr>
          <w:rFonts w:ascii="仿宋_GB2312" w:hAnsi="宋体" w:eastAsia="仿宋_GB2312" w:cs="宋体"/>
          <w:color w:val="000000" w:themeColor="text1"/>
          <w:kern w:val="0"/>
          <w:sz w:val="32"/>
          <w:szCs w:val="32"/>
          <w:lang w:val="en-US"/>
          <w14:textFill>
            <w14:solidFill>
              <w14:schemeClr w14:val="tx1"/>
            </w14:solidFill>
          </w14:textFill>
        </w:rPr>
      </w:pPr>
    </w:p>
    <w:p>
      <w:pPr>
        <w:rPr>
          <w:rFonts w:ascii="仿宋_GB2312" w:hAnsi="宋体" w:eastAsia="仿宋_GB2312" w:cs="宋体"/>
          <w:color w:val="000000" w:themeColor="text1"/>
          <w:kern w:val="0"/>
          <w:sz w:val="32"/>
          <w:szCs w:val="32"/>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br w:type="page"/>
      </w:r>
    </w:p>
    <w:p>
      <w:pPr>
        <w:snapToGrid w:val="0"/>
        <w:spacing w:line="360" w:lineRule="auto"/>
        <w:jc w:val="center"/>
        <w:outlineLvl w:val="2"/>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▲服务人员相关证明材料</w:t>
      </w:r>
    </w:p>
    <w:p>
      <w:pPr>
        <w:snapToGrid w:val="0"/>
        <w:spacing w:line="360" w:lineRule="auto"/>
        <w:ind w:right="480"/>
        <w:jc w:val="left"/>
        <w:rPr>
          <w:rFonts w:ascii="仿宋_GB2312" w:eastAsia="仿宋_GB2312"/>
          <w:color w:val="000000" w:themeColor="text1"/>
          <w14:textFill>
            <w14:solidFill>
              <w14:schemeClr w14:val="tx1"/>
            </w14:solidFill>
          </w14:textFill>
        </w:rPr>
      </w:pPr>
      <w:r>
        <w:rPr>
          <w:rFonts w:hint="eastAsia" w:ascii="仿宋_GB2312" w:eastAsia="仿宋_GB2312" w:cs="宋体"/>
          <w:color w:val="000000" w:themeColor="text1"/>
          <w:kern w:val="0"/>
          <w:sz w:val="24"/>
          <w14:textFill>
            <w14:solidFill>
              <w14:schemeClr w14:val="tx1"/>
            </w14:solidFill>
          </w14:textFill>
        </w:rPr>
        <w:t>（注：根据本项目要求，提供服务团队所配备注册会计师的执业证书扫描件或中国注册会计师协会行业管理信息系统中对应的执业注册会计师人员名单查询截图，</w:t>
      </w:r>
      <w:r>
        <w:rPr>
          <w:rFonts w:hint="eastAsia" w:ascii="仿宋_GB2312" w:eastAsia="仿宋_GB2312" w:cs="宋体"/>
          <w:b/>
          <w:bCs/>
          <w:color w:val="000000" w:themeColor="text1"/>
          <w:kern w:val="0"/>
          <w:sz w:val="24"/>
          <w14:textFill>
            <w14:solidFill>
              <w14:schemeClr w14:val="tx1"/>
            </w14:solidFill>
          </w14:textFill>
        </w:rPr>
        <w:t>证书页或系统查询截图须体现注册会计师执业所在单位与供应商一致</w:t>
      </w:r>
      <w:r>
        <w:rPr>
          <w:rFonts w:hint="eastAsia" w:ascii="仿宋_GB2312" w:eastAsia="仿宋_GB2312" w:cs="宋体"/>
          <w:color w:val="000000" w:themeColor="text1"/>
          <w:kern w:val="0"/>
          <w:sz w:val="24"/>
          <w14:textFill>
            <w14:solidFill>
              <w14:schemeClr w14:val="tx1"/>
            </w14:solidFill>
          </w14:textFill>
        </w:rPr>
        <w:t>。）</w:t>
      </w:r>
    </w:p>
    <w:p>
      <w:pPr>
        <w:snapToGrid w:val="0"/>
        <w:spacing w:line="360" w:lineRule="auto"/>
        <w:ind w:right="480"/>
        <w:jc w:val="left"/>
        <w:rPr>
          <w:rFonts w:ascii="仿宋_GB2312" w:eastAsia="仿宋_GB2312" w:cs="宋体"/>
          <w:color w:val="000000" w:themeColor="text1"/>
          <w:kern w:val="0"/>
          <w:sz w:val="32"/>
          <w:szCs w:val="32"/>
          <w14:textFill>
            <w14:solidFill>
              <w14:schemeClr w14:val="tx1"/>
            </w14:solidFill>
          </w14:textFill>
        </w:rPr>
      </w:pPr>
    </w:p>
    <w:p>
      <w:pPr>
        <w:snapToGrid w:val="0"/>
        <w:spacing w:line="360" w:lineRule="auto"/>
        <w:ind w:right="480"/>
        <w:jc w:val="left"/>
        <w:rPr>
          <w:rFonts w:ascii="仿宋_GB2312" w:eastAsia="仿宋_GB2312" w:cs="宋体"/>
          <w:color w:val="000000" w:themeColor="text1"/>
          <w:kern w:val="0"/>
          <w:sz w:val="32"/>
          <w:szCs w:val="32"/>
          <w:u w:val="single"/>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1、姓名：</w:t>
      </w:r>
      <w:r>
        <w:rPr>
          <w:rFonts w:hint="eastAsia" w:ascii="仿宋_GB2312" w:eastAsia="仿宋_GB2312" w:cs="宋体"/>
          <w:color w:val="000000" w:themeColor="text1"/>
          <w:kern w:val="0"/>
          <w:sz w:val="32"/>
          <w:szCs w:val="32"/>
          <w:u w:val="single"/>
          <w14:textFill>
            <w14:solidFill>
              <w14:schemeClr w14:val="tx1"/>
            </w14:solidFill>
          </w14:textFill>
        </w:rPr>
        <w:t xml:space="preserve">        </w:t>
      </w:r>
    </w:p>
    <w:p>
      <w:pPr>
        <w:pStyle w:val="146"/>
        <w:spacing w:line="360"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注册会计师执业证书扫描件：</w:t>
      </w:r>
    </w:p>
    <w:tbl>
      <w:tblPr>
        <w:tblStyle w:val="62"/>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宋体" w:eastAsia="仿宋_GB2312" w:cs="宋体"/>
                <w:bCs/>
                <w:color w:val="000000" w:themeColor="text1"/>
                <w:sz w:val="24"/>
                <w14:textFill>
                  <w14:solidFill>
                    <w14:schemeClr w14:val="tx1"/>
                  </w14:solidFill>
                </w14:textFill>
              </w:rPr>
            </w:pPr>
            <w:r>
              <w:rPr>
                <w:rFonts w:hint="eastAsia" w:ascii="仿宋_GB2312" w:hAnsi="宋体" w:eastAsia="仿宋_GB2312" w:cs="宋体"/>
                <w:bCs/>
                <w:color w:val="000000" w:themeColor="text1"/>
                <w:sz w:val="24"/>
                <w14:textFill>
                  <w14:solidFill>
                    <w14:schemeClr w14:val="tx1"/>
                  </w14:solidFill>
                </w14:textFill>
              </w:rPr>
              <w:t xml:space="preserve">                                </w:t>
            </w:r>
          </w:p>
          <w:p>
            <w:pPr>
              <w:pStyle w:val="146"/>
              <w:adjustRightInd w:val="0"/>
              <w:spacing w:line="360" w:lineRule="auto"/>
              <w:rPr>
                <w:rFonts w:ascii="仿宋_GB2312" w:hAnsi="宋体" w:eastAsia="仿宋_GB2312" w:cs="宋体"/>
                <w:bCs/>
                <w:color w:val="000000" w:themeColor="text1"/>
                <w:sz w:val="24"/>
                <w14:textFill>
                  <w14:solidFill>
                    <w14:schemeClr w14:val="tx1"/>
                  </w14:solidFill>
                </w14:textFill>
              </w:rPr>
            </w:pPr>
          </w:p>
        </w:tc>
      </w:tr>
    </w:tbl>
    <w:p>
      <w:pPr>
        <w:snapToGrid w:val="0"/>
        <w:ind w:right="48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请供应商按以上格式自行增加。</w:t>
      </w:r>
    </w:p>
    <w:p>
      <w:pPr>
        <w:snapToGrid w:val="0"/>
        <w:spacing w:line="500" w:lineRule="exact"/>
        <w:ind w:right="480"/>
        <w:jc w:val="left"/>
        <w:rPr>
          <w:rFonts w:hAnsi="宋体" w:cs="宋体"/>
          <w:b/>
          <w:bCs/>
          <w:kern w:val="0"/>
          <w:sz w:val="24"/>
        </w:rPr>
      </w:pPr>
      <w:r>
        <w:rPr>
          <w:rFonts w:hint="eastAsia" w:ascii="东文宋体" w:hAnsi="东文宋体" w:eastAsia="东文宋体" w:cs="东文宋体"/>
          <w:b/>
          <w:bCs/>
          <w:kern w:val="0"/>
          <w:sz w:val="24"/>
        </w:rPr>
        <w:t>◆</w:t>
      </w:r>
      <w:r>
        <w:rPr>
          <w:rFonts w:hint="eastAsia" w:hAnsi="宋体" w:cs="宋体"/>
          <w:b/>
          <w:bCs/>
          <w:kern w:val="0"/>
          <w:sz w:val="24"/>
        </w:rPr>
        <w:t>提供中国注册会计师协会行业管理信息系统中对应的执业注册会计师人员名单查询截图的，请供应商在截图中标记对应的执业注册会计师。</w:t>
      </w:r>
    </w:p>
    <w:p>
      <w:pPr>
        <w:snapToGrid w:val="0"/>
        <w:ind w:right="480"/>
        <w:jc w:val="left"/>
        <w:rPr>
          <w:rFonts w:ascii="仿宋_GB2312" w:hAnsi="宋体" w:eastAsia="仿宋_GB2312" w:cs="宋体"/>
          <w:color w:val="000000" w:themeColor="text1"/>
          <w:kern w:val="0"/>
          <w:sz w:val="24"/>
          <w14:textFill>
            <w14:solidFill>
              <w14:schemeClr w14:val="tx1"/>
            </w14:solidFill>
          </w14:textFill>
        </w:rPr>
      </w:pPr>
    </w:p>
    <w:p>
      <w:pPr>
        <w:snapToGrid w:val="0"/>
        <w:ind w:right="480"/>
        <w:jc w:val="left"/>
        <w:rPr>
          <w:rFonts w:ascii="仿宋_GB2312" w:hAnsi="宋体" w:eastAsia="仿宋_GB2312" w:cs="宋体"/>
          <w:color w:val="000000" w:themeColor="text1"/>
          <w:kern w:val="0"/>
          <w:sz w:val="24"/>
          <w14:textFill>
            <w14:solidFill>
              <w14:schemeClr w14:val="tx1"/>
            </w14:solidFill>
          </w14:textFill>
        </w:rPr>
      </w:pPr>
    </w:p>
    <w:p>
      <w:pPr>
        <w:snapToGrid w:val="0"/>
        <w:spacing w:line="360" w:lineRule="auto"/>
        <w:ind w:left="5506" w:leftChars="2622"/>
        <w:jc w:val="left"/>
        <w:rPr>
          <w:rFonts w:ascii="仿宋_GB2312" w:hAnsi="宋体" w:eastAsia="仿宋_GB2312" w:cs="宋体"/>
          <w:color w:val="000000" w:themeColor="text1"/>
          <w:kern w:val="0"/>
          <w:sz w:val="24"/>
          <w:lang w:val="zh-CN"/>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pStyle w:val="24"/>
        <w:ind w:firstLine="0"/>
        <w:jc w:val="center"/>
        <w:rPr>
          <w:rFonts w:ascii="仿宋_GB2312" w:hAnsi="宋体" w:eastAsia="仿宋_GB2312" w:cs="宋体"/>
          <w:b/>
          <w:bCs/>
          <w:color w:val="000000" w:themeColor="text1"/>
          <w:kern w:val="0"/>
          <w:sz w:val="32"/>
          <w:szCs w:val="32"/>
          <w:lang w:val="en-US"/>
          <w14:textFill>
            <w14:solidFill>
              <w14:schemeClr w14:val="tx1"/>
            </w14:solidFill>
          </w14:textFill>
        </w:rPr>
        <w:sectPr>
          <w:pgSz w:w="11906" w:h="16838"/>
          <w:pgMar w:top="1418" w:right="1418" w:bottom="1418" w:left="1418" w:header="851" w:footer="851" w:gutter="0"/>
          <w:cols w:space="720" w:num="1"/>
          <w:titlePg/>
          <w:docGrid w:linePitch="312" w:charSpace="0"/>
        </w:sectPr>
      </w:pPr>
    </w:p>
    <w:p>
      <w:pPr>
        <w:snapToGrid w:val="0"/>
        <w:spacing w:line="360" w:lineRule="auto"/>
        <w:jc w:val="center"/>
        <w:outlineLvl w:val="2"/>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b/>
          <w:bCs/>
          <w:color w:val="000000" w:themeColor="text1"/>
          <w:kern w:val="0"/>
          <w:sz w:val="32"/>
          <w:szCs w:val="32"/>
          <w14:textFill>
            <w14:solidFill>
              <w14:schemeClr w14:val="tx1"/>
            </w14:solidFill>
          </w14:textFill>
        </w:rPr>
        <w:t>7、</w:t>
      </w:r>
      <w:r>
        <w:rPr>
          <w:rFonts w:hint="eastAsia" w:ascii="仿宋_GB2312" w:hAnsi="宋体" w:eastAsia="仿宋_GB2312" w:cs="宋体"/>
          <w:b/>
          <w:bCs/>
          <w:color w:val="000000" w:themeColor="text1"/>
          <w:kern w:val="0"/>
          <w:sz w:val="32"/>
          <w:szCs w:val="32"/>
          <w14:textFill>
            <w14:solidFill>
              <w14:schemeClr w14:val="tx1"/>
            </w14:solidFill>
          </w14:textFill>
        </w:rPr>
        <w:t>承担类似业绩情况</w:t>
      </w:r>
      <w:r>
        <w:rPr>
          <w:rFonts w:hint="eastAsia" w:ascii="仿宋_GB2312" w:hAnsi="宋体" w:eastAsia="仿宋_GB2312" w:cs="宋体"/>
          <w:color w:val="000000" w:themeColor="text1"/>
          <w:kern w:val="0"/>
          <w:sz w:val="32"/>
          <w:szCs w:val="32"/>
          <w14:textFill>
            <w14:solidFill>
              <w14:schemeClr w14:val="tx1"/>
            </w14:solidFill>
          </w14:textFill>
        </w:rPr>
        <w:t>（如果有）</w:t>
      </w:r>
    </w:p>
    <w:tbl>
      <w:tblPr>
        <w:tblStyle w:val="6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10"/>
        <w:gridCol w:w="1680"/>
        <w:gridCol w:w="1455"/>
        <w:gridCol w:w="1515"/>
        <w:gridCol w:w="136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751"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序号</w:t>
            </w:r>
          </w:p>
        </w:tc>
        <w:tc>
          <w:tcPr>
            <w:tcW w:w="2010"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项目（合同）名称</w:t>
            </w:r>
          </w:p>
        </w:tc>
        <w:tc>
          <w:tcPr>
            <w:tcW w:w="1680"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服务内容简述</w:t>
            </w:r>
          </w:p>
        </w:tc>
        <w:tc>
          <w:tcPr>
            <w:tcW w:w="1455"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采购单位</w:t>
            </w:r>
          </w:p>
        </w:tc>
        <w:tc>
          <w:tcPr>
            <w:tcW w:w="1515"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合同金额</w:t>
            </w:r>
          </w:p>
        </w:tc>
        <w:tc>
          <w:tcPr>
            <w:tcW w:w="1365"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签订日期</w:t>
            </w:r>
          </w:p>
        </w:tc>
        <w:tc>
          <w:tcPr>
            <w:tcW w:w="990" w:type="dxa"/>
            <w:vAlign w:val="center"/>
          </w:tcPr>
          <w:p>
            <w:pPr>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备注（所在页码）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51" w:type="dxa"/>
          </w:tcPr>
          <w:p>
            <w:pPr>
              <w:rPr>
                <w:rFonts w:ascii="仿宋_GB2312" w:hAnsi="宋体" w:eastAsia="仿宋_GB2312" w:cs="宋体"/>
                <w:color w:val="000000" w:themeColor="text1"/>
                <w:sz w:val="24"/>
                <w14:textFill>
                  <w14:solidFill>
                    <w14:schemeClr w14:val="tx1"/>
                  </w14:solidFill>
                </w14:textFill>
              </w:rPr>
            </w:pPr>
          </w:p>
        </w:tc>
        <w:tc>
          <w:tcPr>
            <w:tcW w:w="2010" w:type="dxa"/>
          </w:tcPr>
          <w:p>
            <w:pPr>
              <w:rPr>
                <w:rFonts w:ascii="仿宋_GB2312" w:hAnsi="宋体" w:eastAsia="仿宋_GB2312" w:cs="宋体"/>
                <w:color w:val="000000" w:themeColor="text1"/>
                <w:sz w:val="24"/>
                <w14:textFill>
                  <w14:solidFill>
                    <w14:schemeClr w14:val="tx1"/>
                  </w14:solidFill>
                </w14:textFill>
              </w:rPr>
            </w:pPr>
          </w:p>
        </w:tc>
        <w:tc>
          <w:tcPr>
            <w:tcW w:w="1680" w:type="dxa"/>
          </w:tcPr>
          <w:p>
            <w:pPr>
              <w:rPr>
                <w:rFonts w:ascii="仿宋_GB2312" w:hAnsi="宋体" w:eastAsia="仿宋_GB2312" w:cs="宋体"/>
                <w:color w:val="000000" w:themeColor="text1"/>
                <w:sz w:val="24"/>
                <w14:textFill>
                  <w14:solidFill>
                    <w14:schemeClr w14:val="tx1"/>
                  </w14:solidFill>
                </w14:textFill>
              </w:rPr>
            </w:pPr>
          </w:p>
        </w:tc>
        <w:tc>
          <w:tcPr>
            <w:tcW w:w="1455" w:type="dxa"/>
          </w:tcPr>
          <w:p>
            <w:pPr>
              <w:rPr>
                <w:rFonts w:ascii="仿宋_GB2312" w:hAnsi="宋体" w:eastAsia="仿宋_GB2312" w:cs="宋体"/>
                <w:color w:val="000000" w:themeColor="text1"/>
                <w:sz w:val="24"/>
                <w14:textFill>
                  <w14:solidFill>
                    <w14:schemeClr w14:val="tx1"/>
                  </w14:solidFill>
                </w14:textFill>
              </w:rPr>
            </w:pPr>
          </w:p>
        </w:tc>
        <w:tc>
          <w:tcPr>
            <w:tcW w:w="1515" w:type="dxa"/>
          </w:tcPr>
          <w:p>
            <w:pPr>
              <w:rPr>
                <w:rFonts w:ascii="仿宋_GB2312" w:hAnsi="宋体" w:eastAsia="仿宋_GB2312" w:cs="宋体"/>
                <w:color w:val="000000" w:themeColor="text1"/>
                <w:sz w:val="24"/>
                <w14:textFill>
                  <w14:solidFill>
                    <w14:schemeClr w14:val="tx1"/>
                  </w14:solidFill>
                </w14:textFill>
              </w:rPr>
            </w:pPr>
          </w:p>
        </w:tc>
        <w:tc>
          <w:tcPr>
            <w:tcW w:w="1365" w:type="dxa"/>
          </w:tcPr>
          <w:p>
            <w:pPr>
              <w:rPr>
                <w:rFonts w:ascii="仿宋_GB2312" w:hAnsi="宋体" w:eastAsia="仿宋_GB2312" w:cs="宋体"/>
                <w:color w:val="000000" w:themeColor="text1"/>
                <w:sz w:val="24"/>
                <w14:textFill>
                  <w14:solidFill>
                    <w14:schemeClr w14:val="tx1"/>
                  </w14:solidFill>
                </w14:textFill>
              </w:rPr>
            </w:pPr>
          </w:p>
        </w:tc>
        <w:tc>
          <w:tcPr>
            <w:tcW w:w="990" w:type="dxa"/>
          </w:tcPr>
          <w:p>
            <w:pPr>
              <w:rPr>
                <w:rFonts w:ascii="仿宋_GB2312" w:hAnsi="宋体" w:eastAsia="仿宋_GB2312"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51" w:type="dxa"/>
          </w:tcPr>
          <w:p>
            <w:pPr>
              <w:rPr>
                <w:rFonts w:ascii="仿宋_GB2312" w:hAnsi="宋体" w:eastAsia="仿宋_GB2312" w:cs="宋体"/>
                <w:color w:val="000000" w:themeColor="text1"/>
                <w:sz w:val="24"/>
                <w14:textFill>
                  <w14:solidFill>
                    <w14:schemeClr w14:val="tx1"/>
                  </w14:solidFill>
                </w14:textFill>
              </w:rPr>
            </w:pPr>
          </w:p>
        </w:tc>
        <w:tc>
          <w:tcPr>
            <w:tcW w:w="2010" w:type="dxa"/>
          </w:tcPr>
          <w:p>
            <w:pPr>
              <w:rPr>
                <w:rFonts w:ascii="仿宋_GB2312" w:hAnsi="宋体" w:eastAsia="仿宋_GB2312" w:cs="宋体"/>
                <w:color w:val="000000" w:themeColor="text1"/>
                <w:sz w:val="24"/>
                <w14:textFill>
                  <w14:solidFill>
                    <w14:schemeClr w14:val="tx1"/>
                  </w14:solidFill>
                </w14:textFill>
              </w:rPr>
            </w:pPr>
          </w:p>
        </w:tc>
        <w:tc>
          <w:tcPr>
            <w:tcW w:w="1680" w:type="dxa"/>
          </w:tcPr>
          <w:p>
            <w:pPr>
              <w:rPr>
                <w:rFonts w:ascii="仿宋_GB2312" w:hAnsi="宋体" w:eastAsia="仿宋_GB2312" w:cs="宋体"/>
                <w:color w:val="000000" w:themeColor="text1"/>
                <w:sz w:val="24"/>
                <w14:textFill>
                  <w14:solidFill>
                    <w14:schemeClr w14:val="tx1"/>
                  </w14:solidFill>
                </w14:textFill>
              </w:rPr>
            </w:pPr>
          </w:p>
        </w:tc>
        <w:tc>
          <w:tcPr>
            <w:tcW w:w="1455" w:type="dxa"/>
          </w:tcPr>
          <w:p>
            <w:pPr>
              <w:rPr>
                <w:rFonts w:ascii="仿宋_GB2312" w:hAnsi="宋体" w:eastAsia="仿宋_GB2312" w:cs="宋体"/>
                <w:color w:val="000000" w:themeColor="text1"/>
                <w:sz w:val="24"/>
                <w14:textFill>
                  <w14:solidFill>
                    <w14:schemeClr w14:val="tx1"/>
                  </w14:solidFill>
                </w14:textFill>
              </w:rPr>
            </w:pPr>
          </w:p>
        </w:tc>
        <w:tc>
          <w:tcPr>
            <w:tcW w:w="1515" w:type="dxa"/>
          </w:tcPr>
          <w:p>
            <w:pPr>
              <w:rPr>
                <w:rFonts w:ascii="仿宋_GB2312" w:hAnsi="宋体" w:eastAsia="仿宋_GB2312" w:cs="宋体"/>
                <w:color w:val="000000" w:themeColor="text1"/>
                <w:sz w:val="24"/>
                <w14:textFill>
                  <w14:solidFill>
                    <w14:schemeClr w14:val="tx1"/>
                  </w14:solidFill>
                </w14:textFill>
              </w:rPr>
            </w:pPr>
          </w:p>
        </w:tc>
        <w:tc>
          <w:tcPr>
            <w:tcW w:w="1365" w:type="dxa"/>
          </w:tcPr>
          <w:p>
            <w:pPr>
              <w:rPr>
                <w:rFonts w:ascii="仿宋_GB2312" w:hAnsi="宋体" w:eastAsia="仿宋_GB2312" w:cs="宋体"/>
                <w:color w:val="000000" w:themeColor="text1"/>
                <w:sz w:val="24"/>
                <w14:textFill>
                  <w14:solidFill>
                    <w14:schemeClr w14:val="tx1"/>
                  </w14:solidFill>
                </w14:textFill>
              </w:rPr>
            </w:pPr>
          </w:p>
        </w:tc>
        <w:tc>
          <w:tcPr>
            <w:tcW w:w="990" w:type="dxa"/>
          </w:tcPr>
          <w:p>
            <w:pPr>
              <w:rPr>
                <w:rFonts w:ascii="仿宋_GB2312" w:hAnsi="宋体" w:eastAsia="仿宋_GB2312"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51" w:type="dxa"/>
          </w:tcPr>
          <w:p>
            <w:pPr>
              <w:rPr>
                <w:rFonts w:ascii="仿宋_GB2312" w:hAnsi="宋体" w:eastAsia="仿宋_GB2312" w:cs="宋体"/>
                <w:color w:val="000000" w:themeColor="text1"/>
                <w:sz w:val="24"/>
                <w14:textFill>
                  <w14:solidFill>
                    <w14:schemeClr w14:val="tx1"/>
                  </w14:solidFill>
                </w14:textFill>
              </w:rPr>
            </w:pPr>
          </w:p>
        </w:tc>
        <w:tc>
          <w:tcPr>
            <w:tcW w:w="2010" w:type="dxa"/>
          </w:tcPr>
          <w:p>
            <w:pPr>
              <w:rPr>
                <w:rFonts w:ascii="仿宋_GB2312" w:hAnsi="宋体" w:eastAsia="仿宋_GB2312" w:cs="宋体"/>
                <w:color w:val="000000" w:themeColor="text1"/>
                <w:sz w:val="24"/>
                <w14:textFill>
                  <w14:solidFill>
                    <w14:schemeClr w14:val="tx1"/>
                  </w14:solidFill>
                </w14:textFill>
              </w:rPr>
            </w:pPr>
          </w:p>
        </w:tc>
        <w:tc>
          <w:tcPr>
            <w:tcW w:w="1680" w:type="dxa"/>
          </w:tcPr>
          <w:p>
            <w:pPr>
              <w:rPr>
                <w:rFonts w:ascii="仿宋_GB2312" w:hAnsi="宋体" w:eastAsia="仿宋_GB2312" w:cs="宋体"/>
                <w:color w:val="000000" w:themeColor="text1"/>
                <w:sz w:val="24"/>
                <w14:textFill>
                  <w14:solidFill>
                    <w14:schemeClr w14:val="tx1"/>
                  </w14:solidFill>
                </w14:textFill>
              </w:rPr>
            </w:pPr>
          </w:p>
        </w:tc>
        <w:tc>
          <w:tcPr>
            <w:tcW w:w="1455" w:type="dxa"/>
          </w:tcPr>
          <w:p>
            <w:pPr>
              <w:rPr>
                <w:rFonts w:ascii="仿宋_GB2312" w:hAnsi="宋体" w:eastAsia="仿宋_GB2312" w:cs="宋体"/>
                <w:color w:val="000000" w:themeColor="text1"/>
                <w:sz w:val="24"/>
                <w14:textFill>
                  <w14:solidFill>
                    <w14:schemeClr w14:val="tx1"/>
                  </w14:solidFill>
                </w14:textFill>
              </w:rPr>
            </w:pPr>
          </w:p>
        </w:tc>
        <w:tc>
          <w:tcPr>
            <w:tcW w:w="1515" w:type="dxa"/>
          </w:tcPr>
          <w:p>
            <w:pPr>
              <w:rPr>
                <w:rFonts w:ascii="仿宋_GB2312" w:hAnsi="宋体" w:eastAsia="仿宋_GB2312" w:cs="宋体"/>
                <w:color w:val="000000" w:themeColor="text1"/>
                <w:sz w:val="24"/>
                <w14:textFill>
                  <w14:solidFill>
                    <w14:schemeClr w14:val="tx1"/>
                  </w14:solidFill>
                </w14:textFill>
              </w:rPr>
            </w:pPr>
          </w:p>
        </w:tc>
        <w:tc>
          <w:tcPr>
            <w:tcW w:w="1365" w:type="dxa"/>
          </w:tcPr>
          <w:p>
            <w:pPr>
              <w:rPr>
                <w:rFonts w:ascii="仿宋_GB2312" w:hAnsi="宋体" w:eastAsia="仿宋_GB2312" w:cs="宋体"/>
                <w:color w:val="000000" w:themeColor="text1"/>
                <w:sz w:val="24"/>
                <w14:textFill>
                  <w14:solidFill>
                    <w14:schemeClr w14:val="tx1"/>
                  </w14:solidFill>
                </w14:textFill>
              </w:rPr>
            </w:pPr>
          </w:p>
        </w:tc>
        <w:tc>
          <w:tcPr>
            <w:tcW w:w="990" w:type="dxa"/>
          </w:tcPr>
          <w:p>
            <w:pPr>
              <w:rPr>
                <w:rFonts w:ascii="仿宋_GB2312" w:hAnsi="宋体" w:eastAsia="仿宋_GB2312"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51" w:type="dxa"/>
          </w:tcPr>
          <w:p>
            <w:pPr>
              <w:rPr>
                <w:rFonts w:ascii="仿宋_GB2312" w:hAnsi="宋体" w:eastAsia="仿宋_GB2312" w:cs="宋体"/>
                <w:color w:val="000000" w:themeColor="text1"/>
                <w:sz w:val="24"/>
                <w14:textFill>
                  <w14:solidFill>
                    <w14:schemeClr w14:val="tx1"/>
                  </w14:solidFill>
                </w14:textFill>
              </w:rPr>
            </w:pPr>
          </w:p>
        </w:tc>
        <w:tc>
          <w:tcPr>
            <w:tcW w:w="2010" w:type="dxa"/>
          </w:tcPr>
          <w:p>
            <w:pPr>
              <w:rPr>
                <w:rFonts w:ascii="仿宋_GB2312" w:hAnsi="宋体" w:eastAsia="仿宋_GB2312" w:cs="宋体"/>
                <w:color w:val="000000" w:themeColor="text1"/>
                <w:sz w:val="24"/>
                <w14:textFill>
                  <w14:solidFill>
                    <w14:schemeClr w14:val="tx1"/>
                  </w14:solidFill>
                </w14:textFill>
              </w:rPr>
            </w:pPr>
          </w:p>
        </w:tc>
        <w:tc>
          <w:tcPr>
            <w:tcW w:w="1680" w:type="dxa"/>
          </w:tcPr>
          <w:p>
            <w:pPr>
              <w:rPr>
                <w:rFonts w:ascii="仿宋_GB2312" w:hAnsi="宋体" w:eastAsia="仿宋_GB2312" w:cs="宋体"/>
                <w:color w:val="000000" w:themeColor="text1"/>
                <w:sz w:val="24"/>
                <w14:textFill>
                  <w14:solidFill>
                    <w14:schemeClr w14:val="tx1"/>
                  </w14:solidFill>
                </w14:textFill>
              </w:rPr>
            </w:pPr>
          </w:p>
        </w:tc>
        <w:tc>
          <w:tcPr>
            <w:tcW w:w="1455" w:type="dxa"/>
          </w:tcPr>
          <w:p>
            <w:pPr>
              <w:rPr>
                <w:rFonts w:ascii="仿宋_GB2312" w:hAnsi="宋体" w:eastAsia="仿宋_GB2312" w:cs="宋体"/>
                <w:color w:val="000000" w:themeColor="text1"/>
                <w:sz w:val="24"/>
                <w14:textFill>
                  <w14:solidFill>
                    <w14:schemeClr w14:val="tx1"/>
                  </w14:solidFill>
                </w14:textFill>
              </w:rPr>
            </w:pPr>
          </w:p>
        </w:tc>
        <w:tc>
          <w:tcPr>
            <w:tcW w:w="1515" w:type="dxa"/>
          </w:tcPr>
          <w:p>
            <w:pPr>
              <w:rPr>
                <w:rFonts w:ascii="仿宋_GB2312" w:hAnsi="宋体" w:eastAsia="仿宋_GB2312" w:cs="宋体"/>
                <w:color w:val="000000" w:themeColor="text1"/>
                <w:sz w:val="24"/>
                <w14:textFill>
                  <w14:solidFill>
                    <w14:schemeClr w14:val="tx1"/>
                  </w14:solidFill>
                </w14:textFill>
              </w:rPr>
            </w:pPr>
          </w:p>
        </w:tc>
        <w:tc>
          <w:tcPr>
            <w:tcW w:w="1365" w:type="dxa"/>
          </w:tcPr>
          <w:p>
            <w:pPr>
              <w:rPr>
                <w:rFonts w:ascii="仿宋_GB2312" w:hAnsi="宋体" w:eastAsia="仿宋_GB2312" w:cs="宋体"/>
                <w:color w:val="000000" w:themeColor="text1"/>
                <w:sz w:val="24"/>
                <w14:textFill>
                  <w14:solidFill>
                    <w14:schemeClr w14:val="tx1"/>
                  </w14:solidFill>
                </w14:textFill>
              </w:rPr>
            </w:pPr>
          </w:p>
        </w:tc>
        <w:tc>
          <w:tcPr>
            <w:tcW w:w="990" w:type="dxa"/>
          </w:tcPr>
          <w:p>
            <w:pPr>
              <w:rPr>
                <w:rFonts w:ascii="仿宋_GB2312" w:hAnsi="宋体" w:eastAsia="仿宋_GB2312"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51" w:type="dxa"/>
          </w:tcPr>
          <w:p>
            <w:pPr>
              <w:rPr>
                <w:rFonts w:ascii="仿宋_GB2312" w:hAnsi="宋体" w:eastAsia="仿宋_GB2312" w:cs="宋体"/>
                <w:color w:val="000000" w:themeColor="text1"/>
                <w:sz w:val="24"/>
                <w14:textFill>
                  <w14:solidFill>
                    <w14:schemeClr w14:val="tx1"/>
                  </w14:solidFill>
                </w14:textFill>
              </w:rPr>
            </w:pPr>
          </w:p>
        </w:tc>
        <w:tc>
          <w:tcPr>
            <w:tcW w:w="2010" w:type="dxa"/>
          </w:tcPr>
          <w:p>
            <w:pPr>
              <w:rPr>
                <w:rFonts w:ascii="仿宋_GB2312" w:hAnsi="宋体" w:eastAsia="仿宋_GB2312" w:cs="宋体"/>
                <w:color w:val="000000" w:themeColor="text1"/>
                <w:sz w:val="24"/>
                <w14:textFill>
                  <w14:solidFill>
                    <w14:schemeClr w14:val="tx1"/>
                  </w14:solidFill>
                </w14:textFill>
              </w:rPr>
            </w:pPr>
          </w:p>
        </w:tc>
        <w:tc>
          <w:tcPr>
            <w:tcW w:w="1680" w:type="dxa"/>
          </w:tcPr>
          <w:p>
            <w:pPr>
              <w:rPr>
                <w:rFonts w:ascii="仿宋_GB2312" w:hAnsi="宋体" w:eastAsia="仿宋_GB2312" w:cs="宋体"/>
                <w:color w:val="000000" w:themeColor="text1"/>
                <w:sz w:val="24"/>
                <w14:textFill>
                  <w14:solidFill>
                    <w14:schemeClr w14:val="tx1"/>
                  </w14:solidFill>
                </w14:textFill>
              </w:rPr>
            </w:pPr>
          </w:p>
        </w:tc>
        <w:tc>
          <w:tcPr>
            <w:tcW w:w="1455" w:type="dxa"/>
          </w:tcPr>
          <w:p>
            <w:pPr>
              <w:rPr>
                <w:rFonts w:ascii="仿宋_GB2312" w:hAnsi="宋体" w:eastAsia="仿宋_GB2312" w:cs="宋体"/>
                <w:color w:val="000000" w:themeColor="text1"/>
                <w:sz w:val="24"/>
                <w14:textFill>
                  <w14:solidFill>
                    <w14:schemeClr w14:val="tx1"/>
                  </w14:solidFill>
                </w14:textFill>
              </w:rPr>
            </w:pPr>
          </w:p>
        </w:tc>
        <w:tc>
          <w:tcPr>
            <w:tcW w:w="1515" w:type="dxa"/>
          </w:tcPr>
          <w:p>
            <w:pPr>
              <w:rPr>
                <w:rFonts w:ascii="仿宋_GB2312" w:hAnsi="宋体" w:eastAsia="仿宋_GB2312" w:cs="宋体"/>
                <w:color w:val="000000" w:themeColor="text1"/>
                <w:sz w:val="24"/>
                <w14:textFill>
                  <w14:solidFill>
                    <w14:schemeClr w14:val="tx1"/>
                  </w14:solidFill>
                </w14:textFill>
              </w:rPr>
            </w:pPr>
          </w:p>
        </w:tc>
        <w:tc>
          <w:tcPr>
            <w:tcW w:w="1365" w:type="dxa"/>
          </w:tcPr>
          <w:p>
            <w:pPr>
              <w:rPr>
                <w:rFonts w:ascii="仿宋_GB2312" w:hAnsi="宋体" w:eastAsia="仿宋_GB2312" w:cs="宋体"/>
                <w:color w:val="000000" w:themeColor="text1"/>
                <w:sz w:val="24"/>
                <w14:textFill>
                  <w14:solidFill>
                    <w14:schemeClr w14:val="tx1"/>
                  </w14:solidFill>
                </w14:textFill>
              </w:rPr>
            </w:pPr>
          </w:p>
        </w:tc>
        <w:tc>
          <w:tcPr>
            <w:tcW w:w="990" w:type="dxa"/>
          </w:tcPr>
          <w:p>
            <w:pPr>
              <w:rPr>
                <w:rFonts w:ascii="仿宋_GB2312" w:hAnsi="宋体" w:eastAsia="仿宋_GB2312" w:cs="宋体"/>
                <w:color w:val="000000" w:themeColor="text1"/>
                <w:sz w:val="24"/>
                <w14:textFill>
                  <w14:solidFill>
                    <w14:schemeClr w14:val="tx1"/>
                  </w14:solidFill>
                </w14:textFill>
              </w:rPr>
            </w:pPr>
          </w:p>
        </w:tc>
      </w:tr>
    </w:tbl>
    <w:p>
      <w:pPr>
        <w:spacing w:line="440" w:lineRule="exac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注：1、请供应商按以上表格填写，行数可自行增减。</w:t>
      </w:r>
    </w:p>
    <w:p>
      <w:pPr>
        <w:spacing w:line="500" w:lineRule="exact"/>
        <w:ind w:firstLine="482"/>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2、随表附合同扫描件等</w:t>
      </w:r>
      <w:r>
        <w:rPr>
          <w:rFonts w:hint="eastAsia" w:ascii="仿宋_GB2312" w:hAnsi="宋体" w:eastAsia="仿宋_GB2312" w:cs="宋体"/>
          <w:b/>
          <w:bCs/>
          <w:color w:val="000000" w:themeColor="text1"/>
          <w:kern w:val="0"/>
          <w:sz w:val="24"/>
          <w14:textFill>
            <w14:solidFill>
              <w14:schemeClr w14:val="tx1"/>
            </w14:solidFill>
          </w14:textFill>
        </w:rPr>
        <w:t>证明材料</w:t>
      </w:r>
      <w:r>
        <w:rPr>
          <w:rFonts w:hint="eastAsia" w:ascii="仿宋_GB2312" w:hAnsi="宋体" w:eastAsia="仿宋_GB2312" w:cs="宋体"/>
          <w:b/>
          <w:bCs/>
          <w:color w:val="000000" w:themeColor="text1"/>
          <w:sz w:val="24"/>
          <w14:textFill>
            <w14:solidFill>
              <w14:schemeClr w14:val="tx1"/>
            </w14:solidFill>
          </w14:textFill>
        </w:rPr>
        <w:t>（相关要求见征集文件第四部分的“类似业绩要求”）。</w:t>
      </w:r>
    </w:p>
    <w:p>
      <w:pPr>
        <w:pStyle w:val="26"/>
        <w:ind w:firstLine="643"/>
        <w:rPr>
          <w:rFonts w:ascii="仿宋_GB2312" w:eastAsia="仿宋_GB2312" w:cs="宋体"/>
          <w:b/>
          <w:color w:val="000000" w:themeColor="text1"/>
          <w:kern w:val="0"/>
          <w:sz w:val="32"/>
          <w:szCs w:val="32"/>
          <w14:textFill>
            <w14:solidFill>
              <w14:schemeClr w14:val="tx1"/>
            </w14:solidFill>
          </w14:textFill>
        </w:rPr>
      </w:pPr>
    </w:p>
    <w:p>
      <w:pPr>
        <w:pStyle w:val="23"/>
        <w:rPr>
          <w:rFonts w:ascii="仿宋_GB2312" w:hAnsi="宋体" w:eastAsia="仿宋_GB2312" w:cs="宋体"/>
          <w:b/>
          <w:color w:val="000000" w:themeColor="text1"/>
          <w:kern w:val="0"/>
          <w:sz w:val="32"/>
          <w:szCs w:val="32"/>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snapToGrid w:val="0"/>
        <w:spacing w:line="360" w:lineRule="auto"/>
        <w:rPr>
          <w:rFonts w:ascii="仿宋_GB2312" w:hAnsi="宋体" w:eastAsia="仿宋_GB2312" w:cs="宋体"/>
          <w:b/>
          <w:color w:val="000000" w:themeColor="text1"/>
          <w:kern w:val="0"/>
          <w:sz w:val="32"/>
          <w:szCs w:val="32"/>
          <w14:textFill>
            <w14:solidFill>
              <w14:schemeClr w14:val="tx1"/>
            </w14:solidFill>
          </w14:textFill>
        </w:rPr>
      </w:pPr>
    </w:p>
    <w:p>
      <w:pPr>
        <w:snapToGrid w:val="0"/>
        <w:spacing w:line="360" w:lineRule="auto"/>
        <w:rPr>
          <w:rFonts w:ascii="仿宋_GB2312" w:eastAsia="仿宋_GB2312"/>
        </w:rPr>
        <w:sectPr>
          <w:footerReference r:id="rId8" w:type="first"/>
          <w:footerReference r:id="rId7" w:type="default"/>
          <w:pgSz w:w="11906" w:h="16838"/>
          <w:pgMar w:top="1418" w:right="1418" w:bottom="1418" w:left="1418" w:header="851" w:footer="851" w:gutter="0"/>
          <w:cols w:space="720" w:num="1"/>
          <w:titlePg/>
          <w:docGrid w:linePitch="312" w:charSpace="0"/>
        </w:sectPr>
      </w:pPr>
    </w:p>
    <w:p>
      <w:pPr>
        <w:spacing w:line="360" w:lineRule="auto"/>
        <w:jc w:val="center"/>
        <w:outlineLvl w:val="1"/>
        <w:rPr>
          <w:rFonts w:ascii="仿宋_GB2312" w:hAnsi="宋体" w:eastAsia="仿宋_GB2312" w:cs="宋体"/>
          <w:b/>
          <w:color w:val="000000" w:themeColor="text1"/>
          <w:kern w:val="0"/>
          <w:sz w:val="32"/>
          <w:szCs w:val="32"/>
          <w14:textFill>
            <w14:solidFill>
              <w14:schemeClr w14:val="tx1"/>
            </w14:solidFill>
          </w14:textFill>
        </w:rPr>
      </w:pPr>
      <w:bookmarkStart w:id="497" w:name="_Toc146706851"/>
      <w:bookmarkStart w:id="498" w:name="_Toc20528"/>
      <w:bookmarkStart w:id="499" w:name="报价要求响应文件"/>
      <w:r>
        <w:rPr>
          <w:rFonts w:hint="eastAsia" w:ascii="仿宋_GB2312" w:hAnsi="宋体" w:eastAsia="仿宋_GB2312" w:cs="宋体"/>
          <w:b/>
          <w:color w:val="000000" w:themeColor="text1"/>
          <w:kern w:val="0"/>
          <w:sz w:val="32"/>
          <w:szCs w:val="32"/>
          <w14:textFill>
            <w14:solidFill>
              <w14:schemeClr w14:val="tx1"/>
            </w14:solidFill>
          </w14:textFill>
        </w:rPr>
        <w:t>三、▲</w:t>
      </w:r>
      <w:bookmarkStart w:id="500" w:name="参数响应文件"/>
      <w:r>
        <w:rPr>
          <w:rFonts w:hint="eastAsia" w:ascii="仿宋_GB2312" w:hAnsi="宋体" w:eastAsia="仿宋_GB2312" w:cs="宋体"/>
          <w:b/>
          <w:color w:val="000000" w:themeColor="text1"/>
          <w:kern w:val="0"/>
          <w:sz w:val="32"/>
          <w:szCs w:val="32"/>
          <w14:textFill>
            <w14:solidFill>
              <w14:schemeClr w14:val="tx1"/>
            </w14:solidFill>
          </w14:textFill>
        </w:rPr>
        <w:t>参数响应文件</w:t>
      </w:r>
      <w:bookmarkEnd w:id="497"/>
      <w:bookmarkEnd w:id="498"/>
      <w:bookmarkEnd w:id="500"/>
    </w:p>
    <w:p>
      <w:pPr>
        <w:pStyle w:val="26"/>
        <w:ind w:left="0" w:leftChars="0" w:firstLine="0" w:firstLineChars="0"/>
        <w:jc w:val="center"/>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w:t>
      </w:r>
      <w:r>
        <w:rPr>
          <w:rFonts w:hint="eastAsia" w:ascii="仿宋_GB2312" w:eastAsia="仿宋_GB2312" w:cs="宋体"/>
          <w:b/>
          <w:bCs/>
          <w:color w:val="000000" w:themeColor="text1"/>
          <w:sz w:val="24"/>
          <w14:textFill>
            <w14:solidFill>
              <w14:schemeClr w14:val="tx1"/>
            </w14:solidFill>
          </w14:textFill>
        </w:rPr>
        <w:t>注意：</w:t>
      </w:r>
      <w:r>
        <w:rPr>
          <w:rFonts w:hint="eastAsia" w:ascii="仿宋_GB2312" w:eastAsia="仿宋_GB2312" w:cs="宋体"/>
          <w:color w:val="000000" w:themeColor="text1"/>
          <w:sz w:val="24"/>
          <w14:textFill>
            <w14:solidFill>
              <w14:schemeClr w14:val="tx1"/>
            </w14:solidFill>
          </w14:textFill>
        </w:rPr>
        <w:t>参数响应文件由供应商在政采云投标系统中按要求填报。如入围，则所填参数将公开展示在政采云框架协议系统中。）</w:t>
      </w:r>
    </w:p>
    <w:p>
      <w:pPr>
        <w:pStyle w:val="23"/>
        <w:rPr>
          <w:rFonts w:ascii="仿宋_GB2312" w:hAnsi="宋体" w:eastAsia="仿宋_GB2312" w:cs="宋体"/>
          <w:color w:val="000000" w:themeColor="text1"/>
          <w:szCs w:val="24"/>
          <w:lang w:val="en-US"/>
          <w14:textFill>
            <w14:solidFill>
              <w14:schemeClr w14:val="tx1"/>
            </w14:solidFill>
          </w14:textFill>
        </w:rPr>
      </w:pPr>
    </w:p>
    <w:p>
      <w:pPr>
        <w:pStyle w:val="24"/>
        <w:ind w:firstLine="482" w:firstLineChars="200"/>
        <w:rPr>
          <w:rFonts w:ascii="仿宋_GB2312" w:hAnsi="宋体" w:eastAsia="仿宋_GB2312" w:cs="宋体"/>
          <w:b/>
          <w:bCs/>
          <w:color w:val="000000" w:themeColor="text1"/>
          <w:szCs w:val="24"/>
          <w:lang w:val="en-US"/>
          <w14:textFill>
            <w14:solidFill>
              <w14:schemeClr w14:val="tx1"/>
            </w14:solidFill>
          </w14:textFill>
        </w:rPr>
      </w:pPr>
      <w:r>
        <w:rPr>
          <w:rFonts w:hint="eastAsia" w:ascii="仿宋_GB2312" w:hAnsi="宋体" w:eastAsia="仿宋_GB2312" w:cs="宋体"/>
          <w:b/>
          <w:bCs/>
          <w:color w:val="000000" w:themeColor="text1"/>
          <w:szCs w:val="24"/>
          <w:lang w:val="en-US"/>
          <w14:textFill>
            <w14:solidFill>
              <w14:schemeClr w14:val="tx1"/>
            </w14:solidFill>
          </w14:textFill>
        </w:rPr>
        <w:t>参数响应填写要求：</w:t>
      </w:r>
    </w:p>
    <w:p>
      <w:pPr>
        <w:pStyle w:val="24"/>
        <w:numPr>
          <w:ilvl w:val="255"/>
          <w:numId w:val="0"/>
        </w:numPr>
        <w:ind w:firstLine="480" w:firstLineChars="200"/>
        <w:rPr>
          <w:rFonts w:ascii="仿宋_GB2312" w:hAnsi="宋体" w:eastAsia="仿宋_GB2312" w:cs="宋体"/>
          <w:color w:val="000000" w:themeColor="text1"/>
          <w:szCs w:val="24"/>
          <w:lang w:val="en-US"/>
          <w14:textFill>
            <w14:solidFill>
              <w14:schemeClr w14:val="tx1"/>
            </w14:solidFill>
          </w14:textFill>
        </w:rPr>
      </w:pPr>
      <w:r>
        <w:rPr>
          <w:rFonts w:hint="eastAsia" w:ascii="仿宋_GB2312" w:hAnsi="宋体" w:eastAsia="仿宋_GB2312" w:cs="宋体"/>
          <w:color w:val="000000" w:themeColor="text1"/>
          <w:szCs w:val="24"/>
          <w:lang w:val="en-US"/>
          <w14:textFill>
            <w14:solidFill>
              <w14:schemeClr w14:val="tx1"/>
            </w14:solidFill>
          </w14:textFill>
        </w:rPr>
        <w:t>1、商品标题的格式为：</w:t>
      </w:r>
      <w:r>
        <w:rPr>
          <w:rFonts w:hint="eastAsia" w:ascii="仿宋_GB2312" w:hAnsi="宋体" w:eastAsia="仿宋_GB2312" w:cs="宋体"/>
          <w:b/>
          <w:bCs/>
          <w:color w:val="000000" w:themeColor="text1"/>
          <w:szCs w:val="24"/>
          <w:lang w:val="en-US"/>
          <w14:textFill>
            <w14:solidFill>
              <w14:schemeClr w14:val="tx1"/>
            </w14:solidFill>
          </w14:textFill>
        </w:rPr>
        <w:t>供应商名称+所响应采购内容的名称</w:t>
      </w:r>
      <w:r>
        <w:rPr>
          <w:rFonts w:hint="eastAsia" w:ascii="仿宋_GB2312" w:hAnsi="宋体" w:eastAsia="仿宋_GB2312" w:cs="宋体"/>
          <w:color w:val="000000" w:themeColor="text1"/>
          <w:szCs w:val="24"/>
          <w:lang w:val="en-US"/>
          <w14:textFill>
            <w14:solidFill>
              <w14:schemeClr w14:val="tx1"/>
            </w14:solidFill>
          </w14:textFill>
        </w:rPr>
        <w:t>。</w:t>
      </w:r>
    </w:p>
    <w:p>
      <w:pPr>
        <w:pStyle w:val="24"/>
        <w:numPr>
          <w:ilvl w:val="255"/>
          <w:numId w:val="0"/>
        </w:numPr>
        <w:ind w:firstLine="482" w:firstLineChars="200"/>
        <w:rPr>
          <w:rFonts w:ascii="仿宋_GB2312" w:hAnsi="宋体" w:eastAsia="仿宋_GB2312" w:cs="宋体"/>
          <w:b/>
          <w:bCs/>
          <w:color w:val="000000" w:themeColor="text1"/>
          <w:szCs w:val="24"/>
          <w:lang w:val="en-US"/>
          <w14:textFill>
            <w14:solidFill>
              <w14:schemeClr w14:val="tx1"/>
            </w14:solidFill>
          </w14:textFill>
        </w:rPr>
      </w:pPr>
      <w:r>
        <w:rPr>
          <w:rFonts w:hint="eastAsia" w:ascii="仿宋_GB2312" w:hAnsi="宋体" w:eastAsia="仿宋_GB2312" w:cs="宋体"/>
          <w:b/>
          <w:bCs/>
          <w:color w:val="000000" w:themeColor="text1"/>
          <w:szCs w:val="24"/>
          <w:lang w:val="en-US"/>
          <w14:textFill>
            <w14:solidFill>
              <w14:schemeClr w14:val="tx1"/>
            </w14:solidFill>
          </w14:textFill>
        </w:rPr>
        <w:t>举例，如A公司响应本项目，则对应的商品标题应填写为：A公司审计服务。</w:t>
      </w:r>
    </w:p>
    <w:p>
      <w:pPr>
        <w:pStyle w:val="24"/>
        <w:ind w:firstLine="480" w:firstLineChars="200"/>
        <w:rPr>
          <w:rFonts w:ascii="仿宋_GB2312" w:hAnsi="宋体" w:eastAsia="仿宋_GB2312" w:cs="宋体"/>
          <w:color w:val="000000" w:themeColor="text1"/>
          <w:szCs w:val="24"/>
          <w:lang w:val="en-US"/>
          <w14:textFill>
            <w14:solidFill>
              <w14:schemeClr w14:val="tx1"/>
            </w14:solidFill>
          </w14:textFill>
        </w:rPr>
      </w:pPr>
      <w:r>
        <w:rPr>
          <w:rFonts w:hint="eastAsia" w:ascii="仿宋_GB2312" w:hAnsi="宋体" w:eastAsia="仿宋_GB2312" w:cs="宋体"/>
          <w:color w:val="000000" w:themeColor="text1"/>
          <w:szCs w:val="24"/>
          <w:lang w:val="en-US"/>
          <w14:textFill>
            <w14:solidFill>
              <w14:schemeClr w14:val="tx1"/>
            </w14:solidFill>
          </w14:textFill>
        </w:rPr>
        <w:t>2、商品主图：</w:t>
      </w:r>
      <w:r>
        <w:rPr>
          <w:rFonts w:hint="eastAsia" w:ascii="仿宋_GB2312" w:hAnsi="宋体" w:eastAsia="仿宋_GB2312" w:cs="宋体"/>
          <w:b/>
          <w:bCs/>
          <w:color w:val="000000" w:themeColor="text1"/>
          <w:szCs w:val="24"/>
          <w:lang w:val="en-US"/>
          <w14:textFill>
            <w14:solidFill>
              <w14:schemeClr w14:val="tx1"/>
            </w14:solidFill>
          </w14:textFill>
        </w:rPr>
        <w:t>显示供应商名称或者标志标识（logo）的图片1张</w:t>
      </w:r>
      <w:r>
        <w:rPr>
          <w:rFonts w:hint="eastAsia" w:ascii="仿宋_GB2312" w:hAnsi="宋体" w:eastAsia="仿宋_GB2312" w:cs="宋体"/>
          <w:color w:val="000000" w:themeColor="text1"/>
          <w:szCs w:val="24"/>
          <w:lang w:val="en-US"/>
          <w14:textFill>
            <w14:solidFill>
              <w14:schemeClr w14:val="tx1"/>
            </w14:solidFill>
          </w14:textFill>
        </w:rPr>
        <w:t>。</w:t>
      </w:r>
    </w:p>
    <w:p>
      <w:pPr>
        <w:pStyle w:val="24"/>
        <w:ind w:firstLine="480" w:firstLineChars="200"/>
        <w:rPr>
          <w:rFonts w:ascii="仿宋_GB2312" w:hAnsi="宋体" w:eastAsia="仿宋_GB2312" w:cs="宋体"/>
          <w:color w:val="000000" w:themeColor="text1"/>
          <w:sz w:val="32"/>
          <w:szCs w:val="32"/>
          <w:lang w:val="en-US"/>
          <w14:textFill>
            <w14:solidFill>
              <w14:schemeClr w14:val="tx1"/>
            </w14:solidFill>
          </w14:textFill>
        </w:rPr>
      </w:pPr>
      <w:r>
        <w:rPr>
          <w:rFonts w:hint="eastAsia" w:ascii="仿宋_GB2312" w:hAnsi="宋体" w:eastAsia="仿宋_GB2312" w:cs="宋体"/>
          <w:color w:val="000000" w:themeColor="text1"/>
          <w:szCs w:val="24"/>
          <w:lang w:val="en-US"/>
          <w14:textFill>
            <w14:solidFill>
              <w14:schemeClr w14:val="tx1"/>
            </w14:solidFill>
          </w14:textFill>
        </w:rPr>
        <w:t>3、其他项按政采云系统提示要求填写。</w:t>
      </w:r>
    </w:p>
    <w:p>
      <w:pPr>
        <w:pStyle w:val="26"/>
        <w:ind w:left="0" w:leftChars="0" w:firstLine="0" w:firstLineChars="0"/>
        <w:jc w:val="center"/>
        <w:rPr>
          <w:rFonts w:ascii="仿宋_GB2312" w:eastAsia="仿宋_GB2312" w:cs="宋体"/>
          <w:b/>
          <w:bCs/>
          <w:color w:val="000000" w:themeColor="text1"/>
          <w:sz w:val="36"/>
          <w:szCs w:val="36"/>
          <w14:textFill>
            <w14:solidFill>
              <w14:schemeClr w14:val="tx1"/>
            </w14:solidFill>
          </w14:textFill>
        </w:rPr>
        <w:sectPr>
          <w:headerReference r:id="rId10" w:type="first"/>
          <w:footerReference r:id="rId13" w:type="first"/>
          <w:headerReference r:id="rId9" w:type="default"/>
          <w:footerReference r:id="rId11" w:type="default"/>
          <w:footerReference r:id="rId12" w:type="even"/>
          <w:pgSz w:w="11906" w:h="16838"/>
          <w:pgMar w:top="1276" w:right="1417" w:bottom="1247" w:left="1417" w:header="851" w:footer="850" w:gutter="0"/>
          <w:cols w:space="0" w:num="1"/>
          <w:titlePg/>
          <w:docGrid w:linePitch="312" w:charSpace="0"/>
        </w:sectPr>
      </w:pPr>
    </w:p>
    <w:p>
      <w:pPr>
        <w:spacing w:line="360" w:lineRule="auto"/>
        <w:jc w:val="center"/>
        <w:outlineLvl w:val="1"/>
        <w:rPr>
          <w:rFonts w:ascii="仿宋_GB2312" w:hAnsi="宋体" w:eastAsia="仿宋_GB2312" w:cs="宋体"/>
          <w:b/>
          <w:color w:val="000000" w:themeColor="text1"/>
          <w:kern w:val="0"/>
          <w:sz w:val="32"/>
          <w:szCs w:val="32"/>
          <w14:textFill>
            <w14:solidFill>
              <w14:schemeClr w14:val="tx1"/>
            </w14:solidFill>
          </w14:textFill>
        </w:rPr>
      </w:pPr>
      <w:bookmarkStart w:id="501" w:name="_Toc4325"/>
      <w:bookmarkStart w:id="502" w:name="_Toc146706852"/>
      <w:r>
        <w:rPr>
          <w:rFonts w:hint="eastAsia" w:ascii="仿宋_GB2312" w:hAnsi="宋体" w:eastAsia="仿宋_GB2312" w:cs="宋体"/>
          <w:b/>
          <w:color w:val="000000" w:themeColor="text1"/>
          <w:kern w:val="0"/>
          <w:sz w:val="32"/>
          <w:szCs w:val="32"/>
          <w14:textFill>
            <w14:solidFill>
              <w14:schemeClr w14:val="tx1"/>
            </w14:solidFill>
          </w14:textFill>
        </w:rPr>
        <w:t>四、报价要求响应文件</w:t>
      </w:r>
      <w:bookmarkEnd w:id="499"/>
      <w:bookmarkEnd w:id="501"/>
      <w:bookmarkEnd w:id="502"/>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1、▲第一阶段响应报价表</w:t>
      </w:r>
    </w:p>
    <w:p>
      <w:pPr>
        <w:snapToGrid w:val="0"/>
        <w:spacing w:line="360" w:lineRule="auto"/>
        <w:rPr>
          <w:rFonts w:ascii="仿宋_GB2312" w:hAnsi="宋体" w:eastAsia="仿宋_GB2312" w:cs="宋体"/>
          <w:color w:val="000000" w:themeColor="text1"/>
          <w:sz w:val="24"/>
          <w14:textFill>
            <w14:solidFill>
              <w14:schemeClr w14:val="tx1"/>
            </w14:solidFill>
          </w14:textFill>
        </w:rPr>
      </w:pPr>
    </w:p>
    <w:p>
      <w:pPr>
        <w:snapToGrid w:val="0"/>
        <w:spacing w:line="360" w:lineRule="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丽水市公共资源交易中心</w:t>
      </w:r>
      <w:r>
        <w:rPr>
          <w:rFonts w:hint="eastAsia" w:ascii="仿宋_GB2312" w:hAnsi="宋体" w:eastAsia="仿宋_GB2312" w:cs="宋体"/>
          <w:color w:val="000000" w:themeColor="text1"/>
          <w:kern w:val="0"/>
          <w:sz w:val="24"/>
          <w:lang w:val="zh-CN"/>
          <w14:textFill>
            <w14:solidFill>
              <w14:schemeClr w14:val="tx1"/>
            </w14:solidFill>
          </w14:textFill>
        </w:rPr>
        <w:t>：</w:t>
      </w:r>
    </w:p>
    <w:p>
      <w:pPr>
        <w:snapToGrid w:val="0"/>
        <w:spacing w:line="360" w:lineRule="auto"/>
        <w:ind w:firstLine="482"/>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我单位自愿参与此次</w:t>
      </w:r>
      <w:r>
        <w:rPr>
          <w:rFonts w:hint="eastAsia" w:ascii="仿宋_GB2312" w:hAnsi="宋体" w:eastAsia="仿宋_GB2312" w:cs="宋体"/>
          <w:color w:val="000000" w:themeColor="text1"/>
          <w:kern w:val="0"/>
          <w:sz w:val="24"/>
          <w:u w:val="single"/>
          <w:lang w:val="zh-CN"/>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kern w:val="0"/>
          <w:sz w:val="24"/>
          <w:u w:val="single"/>
          <w:lang w:val="zh-CN"/>
          <w14:textFill>
            <w14:solidFill>
              <w14:schemeClr w14:val="tx1"/>
            </w14:solidFill>
          </w14:textFill>
        </w:rPr>
        <w:t>LCK2024-003</w:t>
      </w:r>
      <w:r>
        <w:rPr>
          <w:rFonts w:hint="eastAsia" w:ascii="仿宋_GB2312" w:hAnsi="宋体" w:eastAsia="仿宋_GB2312" w:cs="宋体"/>
          <w:color w:val="000000" w:themeColor="text1"/>
          <w:kern w:val="0"/>
          <w:sz w:val="24"/>
          <w:u w:val="single"/>
          <w:lang w:val="zh-CN"/>
          <w14:textFill>
            <w14:solidFill>
              <w14:schemeClr w14:val="tx1"/>
            </w14:solidFill>
          </w14:textFill>
        </w:rPr>
        <w:t>）</w:t>
      </w:r>
      <w:r>
        <w:rPr>
          <w:rFonts w:hint="eastAsia" w:ascii="仿宋_GB2312" w:hAnsi="宋体" w:eastAsia="仿宋_GB2312" w:cs="宋体"/>
          <w:color w:val="000000" w:themeColor="text1"/>
          <w:kern w:val="0"/>
          <w:sz w:val="24"/>
          <w:lang w:val="zh-CN"/>
          <w14:textFill>
            <w14:solidFill>
              <w14:schemeClr w14:val="tx1"/>
            </w14:solidFill>
          </w14:textFill>
        </w:rPr>
        <w:t>公开征集的政府采购活动，郑重声明且承诺完全响应本框架协议项目报价要求，在服务费标准最高限价的基础上作出第一阶段响应报价，给予统一</w:t>
      </w:r>
      <w:r>
        <w:rPr>
          <w:rFonts w:hint="eastAsia" w:ascii="仿宋_GB2312" w:hAnsi="宋体" w:eastAsia="仿宋_GB2312" w:cs="宋体"/>
          <w:color w:val="000000" w:themeColor="text1"/>
          <w:kern w:val="0"/>
          <w:sz w:val="24"/>
          <w14:textFill>
            <w14:solidFill>
              <w14:schemeClr w14:val="tx1"/>
            </w14:solidFill>
          </w14:textFill>
        </w:rPr>
        <w:t>优惠</w:t>
      </w:r>
      <w:r>
        <w:rPr>
          <w:rFonts w:hint="eastAsia" w:ascii="仿宋_GB2312" w:hAnsi="宋体" w:eastAsia="仿宋_GB2312" w:cs="宋体"/>
          <w:color w:val="000000" w:themeColor="text1"/>
          <w:kern w:val="0"/>
          <w:sz w:val="24"/>
          <w:lang w:val="zh-CN"/>
          <w14:textFill>
            <w14:solidFill>
              <w14:schemeClr w14:val="tx1"/>
            </w14:solidFill>
          </w14:textFill>
        </w:rPr>
        <w:t>率。如入围，承诺按本框架协议项目要求计费。</w:t>
      </w:r>
    </w:p>
    <w:p>
      <w:pPr>
        <w:numPr>
          <w:ilvl w:val="0"/>
          <w:numId w:val="5"/>
        </w:numPr>
        <w:snapToGrid w:val="0"/>
        <w:spacing w:line="360" w:lineRule="auto"/>
        <w:ind w:firstLine="482" w:firstLineChars="200"/>
        <w:rPr>
          <w:rFonts w:ascii="仿宋_GB2312" w:eastAsia="仿宋_GB2312" w:hAnsiTheme="minorEastAsia" w:cstheme="minorEastAsia"/>
          <w:b/>
          <w:bCs/>
          <w:sz w:val="24"/>
        </w:rPr>
      </w:pPr>
      <w:r>
        <w:rPr>
          <w:rFonts w:hint="eastAsia" w:ascii="仿宋_GB2312" w:eastAsia="仿宋_GB2312" w:hAnsiTheme="minorEastAsia" w:cstheme="minorEastAsia"/>
          <w:b/>
          <w:bCs/>
          <w:sz w:val="24"/>
        </w:rPr>
        <w:t>服务费标准最高限价</w:t>
      </w:r>
    </w:p>
    <w:p>
      <w:pPr>
        <w:snapToGrid w:val="0"/>
        <w:spacing w:line="360" w:lineRule="auto"/>
        <w:ind w:firstLine="482" w:firstLineChars="200"/>
        <w:jc w:val="left"/>
        <w:rPr>
          <w:rFonts w:ascii="仿宋_GB2312" w:eastAsia="仿宋_GB2312" w:hAnsiTheme="minorEastAsia" w:cstheme="minorEastAsia"/>
          <w:bCs/>
          <w:sz w:val="24"/>
          <w:lang w:val="zh-CN"/>
        </w:rPr>
      </w:pPr>
      <w:r>
        <w:rPr>
          <w:rFonts w:hint="eastAsia" w:ascii="仿宋_GB2312" w:eastAsia="仿宋_GB2312" w:hAnsiTheme="minorEastAsia" w:cstheme="minorEastAsia"/>
          <w:b/>
          <w:sz w:val="24"/>
        </w:rPr>
        <w:t>按工作量</w:t>
      </w:r>
      <w:r>
        <w:rPr>
          <w:rFonts w:hint="eastAsia" w:ascii="仿宋_GB2312" w:eastAsia="仿宋_GB2312" w:hAnsiTheme="minorEastAsia" w:cstheme="minorEastAsia"/>
          <w:b/>
          <w:sz w:val="24"/>
          <w:lang w:val="zh-CN"/>
        </w:rPr>
        <w:t>计时价格：</w:t>
      </w:r>
    </w:p>
    <w:tbl>
      <w:tblPr>
        <w:tblStyle w:val="62"/>
        <w:tblW w:w="925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5"/>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5905" w:type="dxa"/>
            <w:vAlign w:val="center"/>
          </w:tcPr>
          <w:p>
            <w:pPr>
              <w:snapToGrid w:val="0"/>
              <w:spacing w:line="360" w:lineRule="auto"/>
              <w:jc w:val="left"/>
              <w:rPr>
                <w:rFonts w:ascii="仿宋_GB2312" w:eastAsia="仿宋_GB2312" w:hAnsiTheme="minorEastAsia" w:cstheme="minorEastAsia"/>
                <w:sz w:val="24"/>
              </w:rPr>
            </w:pPr>
            <w:r>
              <w:rPr>
                <w:rFonts w:hint="eastAsia" w:ascii="仿宋_GB2312" w:eastAsia="仿宋_GB2312" w:hAnsiTheme="minorEastAsia" w:cstheme="minorEastAsia"/>
                <w:bCs/>
                <w:sz w:val="24"/>
                <w:lang w:val="zh-CN"/>
              </w:rPr>
              <w:t>副高级及以上技术职称（或注册会计师）专业人员单价</w:t>
            </w:r>
          </w:p>
        </w:tc>
        <w:tc>
          <w:tcPr>
            <w:tcW w:w="3354" w:type="dxa"/>
            <w:vAlign w:val="center"/>
          </w:tcPr>
          <w:p>
            <w:pPr>
              <w:snapToGrid w:val="0"/>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1000元/人.天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5905" w:type="dxa"/>
            <w:vAlign w:val="center"/>
          </w:tcPr>
          <w:p>
            <w:pPr>
              <w:snapToGrid w:val="0"/>
              <w:spacing w:line="360" w:lineRule="auto"/>
              <w:jc w:val="left"/>
              <w:rPr>
                <w:rFonts w:ascii="仿宋_GB2312" w:eastAsia="仿宋_GB2312" w:hAnsiTheme="minorEastAsia" w:cstheme="minorEastAsia"/>
                <w:sz w:val="24"/>
              </w:rPr>
            </w:pPr>
            <w:r>
              <w:rPr>
                <w:rFonts w:hint="eastAsia" w:ascii="仿宋_GB2312" w:eastAsia="仿宋_GB2312" w:hAnsiTheme="minorEastAsia" w:cstheme="minorEastAsia"/>
                <w:bCs/>
                <w:sz w:val="24"/>
              </w:rPr>
              <w:t>助理人员、</w:t>
            </w:r>
            <w:r>
              <w:rPr>
                <w:rFonts w:hint="eastAsia" w:ascii="仿宋_GB2312" w:eastAsia="仿宋_GB2312" w:hAnsiTheme="minorEastAsia" w:cstheme="minorEastAsia"/>
                <w:bCs/>
                <w:sz w:val="24"/>
                <w:lang w:val="zh-CN"/>
              </w:rPr>
              <w:t>中级技术职称及以下专业人员单价</w:t>
            </w:r>
          </w:p>
        </w:tc>
        <w:tc>
          <w:tcPr>
            <w:tcW w:w="3354" w:type="dxa"/>
            <w:vAlign w:val="center"/>
          </w:tcPr>
          <w:p>
            <w:pPr>
              <w:snapToGrid w:val="0"/>
              <w:spacing w:line="360" w:lineRule="auto"/>
              <w:jc w:val="center"/>
              <w:rPr>
                <w:rFonts w:ascii="仿宋_GB2312" w:eastAsia="仿宋_GB2312" w:hAnsiTheme="minorEastAsia" w:cstheme="minorEastAsia"/>
                <w:sz w:val="24"/>
              </w:rPr>
            </w:pPr>
            <w:r>
              <w:rPr>
                <w:rFonts w:hint="eastAsia" w:ascii="仿宋_GB2312" w:eastAsia="仿宋_GB2312" w:hAnsiTheme="minorEastAsia" w:cstheme="minorEastAsia"/>
                <w:sz w:val="24"/>
              </w:rPr>
              <w:t>700元/人.天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259" w:type="dxa"/>
            <w:gridSpan w:val="2"/>
            <w:vAlign w:val="center"/>
          </w:tcPr>
          <w:p>
            <w:pPr>
              <w:wordWrap w:val="0"/>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备注：</w:t>
            </w:r>
          </w:p>
          <w:p>
            <w:pPr>
              <w:wordWrap w:val="0"/>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1、一天工作时间按8小时计算。</w:t>
            </w:r>
          </w:p>
          <w:p>
            <w:pPr>
              <w:wordWrap w:val="0"/>
              <w:snapToGrid w:val="0"/>
              <w:rPr>
                <w:rFonts w:ascii="仿宋_GB2312" w:eastAsia="仿宋_GB2312" w:hAnsiTheme="minorEastAsia" w:cstheme="minorEastAsia"/>
                <w:sz w:val="24"/>
              </w:rPr>
            </w:pPr>
            <w:r>
              <w:rPr>
                <w:rFonts w:hint="eastAsia" w:ascii="仿宋_GB2312" w:eastAsia="仿宋_GB2312" w:hAnsiTheme="minorEastAsia" w:cstheme="minorEastAsia"/>
                <w:sz w:val="24"/>
              </w:rPr>
              <w:t>2、价格包括项目组人员成本、专家咨询费、交通费、食宿费、税费等完成本项目所需的全部费用。</w:t>
            </w:r>
          </w:p>
        </w:tc>
      </w:tr>
    </w:tbl>
    <w:p>
      <w:pPr>
        <w:numPr>
          <w:ilvl w:val="0"/>
          <w:numId w:val="5"/>
        </w:numPr>
        <w:snapToGrid w:val="0"/>
        <w:spacing w:line="360" w:lineRule="auto"/>
        <w:ind w:firstLine="482" w:firstLineChars="200"/>
        <w:rPr>
          <w:rFonts w:ascii="仿宋_GB2312" w:eastAsia="仿宋_GB2312" w:hAnsiTheme="minorEastAsia" w:cstheme="minorEastAsia"/>
          <w:b/>
          <w:bCs/>
          <w:sz w:val="24"/>
          <w:lang w:val="zh-CN"/>
        </w:rPr>
      </w:pPr>
      <w:r>
        <w:rPr>
          <w:rFonts w:hint="eastAsia" w:ascii="仿宋_GB2312" w:eastAsia="仿宋_GB2312" w:hAnsiTheme="minorEastAsia" w:cstheme="minorEastAsia"/>
          <w:b/>
          <w:bCs/>
          <w:sz w:val="24"/>
          <w:lang w:val="zh-CN"/>
        </w:rPr>
        <w:t>第一阶段响应报价</w:t>
      </w:r>
    </w:p>
    <w:tbl>
      <w:tblPr>
        <w:tblStyle w:val="63"/>
        <w:tblW w:w="9359"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245"/>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6245" w:type="dxa"/>
            <w:shd w:val="clear" w:color="auto" w:fill="FFFFFF" w:themeFill="background1"/>
            <w:vAlign w:val="center"/>
          </w:tcPr>
          <w:p>
            <w:pPr>
              <w:widowControl/>
              <w:spacing w:line="360" w:lineRule="auto"/>
              <w:jc w:val="center"/>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w:t>
            </w:r>
            <w:r>
              <w:rPr>
                <w:rFonts w:hint="eastAsia" w:ascii="仿宋_GB2312" w:hAnsi="宋体" w:eastAsia="仿宋_GB2312" w:cs="宋体"/>
                <w:b/>
                <w:color w:val="000000" w:themeColor="text1"/>
                <w:kern w:val="0"/>
                <w:sz w:val="32"/>
                <w:szCs w:val="32"/>
                <w:lang w:val="zh-CN"/>
                <w14:textFill>
                  <w14:solidFill>
                    <w14:schemeClr w14:val="tx1"/>
                  </w14:solidFill>
                </w14:textFill>
              </w:rPr>
              <w:t>统一</w:t>
            </w:r>
            <w:r>
              <w:rPr>
                <w:rFonts w:hint="eastAsia" w:ascii="仿宋_GB2312" w:hAnsi="宋体" w:eastAsia="仿宋_GB2312" w:cs="宋体"/>
                <w:b/>
                <w:color w:val="000000" w:themeColor="text1"/>
                <w:kern w:val="0"/>
                <w:sz w:val="32"/>
                <w:szCs w:val="32"/>
                <w14:textFill>
                  <w14:solidFill>
                    <w14:schemeClr w14:val="tx1"/>
                  </w14:solidFill>
                </w14:textFill>
              </w:rPr>
              <w:t>优惠</w:t>
            </w:r>
            <w:r>
              <w:rPr>
                <w:rFonts w:hint="eastAsia" w:ascii="仿宋_GB2312" w:hAnsi="宋体" w:eastAsia="仿宋_GB2312" w:cs="宋体"/>
                <w:b/>
                <w:color w:val="000000" w:themeColor="text1"/>
                <w:kern w:val="0"/>
                <w:sz w:val="32"/>
                <w:szCs w:val="32"/>
                <w:lang w:val="zh-CN"/>
                <w14:textFill>
                  <w14:solidFill>
                    <w14:schemeClr w14:val="tx1"/>
                  </w14:solidFill>
                </w14:textFill>
              </w:rPr>
              <w:t>率</w:t>
            </w:r>
          </w:p>
        </w:tc>
        <w:tc>
          <w:tcPr>
            <w:tcW w:w="3114" w:type="dxa"/>
            <w:shd w:val="clear" w:color="auto" w:fill="FFFFFF" w:themeFill="background1"/>
            <w:vAlign w:val="center"/>
          </w:tcPr>
          <w:p>
            <w:pPr>
              <w:widowControl/>
              <w:spacing w:line="360" w:lineRule="auto"/>
              <w:jc w:val="center"/>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bCs/>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bCs/>
                <w:color w:val="000000" w:themeColor="text1"/>
                <w:kern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trPr>
        <w:tc>
          <w:tcPr>
            <w:tcW w:w="9359" w:type="dxa"/>
            <w:gridSpan w:val="2"/>
            <w:shd w:val="clear" w:color="auto" w:fill="FFFFFF" w:themeFill="background1"/>
            <w:vAlign w:val="center"/>
          </w:tcPr>
          <w:p>
            <w:pPr>
              <w:pStyle w:val="23"/>
              <w:snapToGrid w:val="0"/>
              <w:spacing w:line="240" w:lineRule="auto"/>
              <w:rPr>
                <w:rFonts w:ascii="仿宋_GB2312" w:hAnsi="宋体" w:eastAsia="仿宋_GB2312" w:cs="宋体"/>
                <w:bCs/>
                <w:color w:val="000000" w:themeColor="text1"/>
                <w:kern w:val="0"/>
                <w:szCs w:val="24"/>
                <w:lang w:val="en-US"/>
                <w14:textFill>
                  <w14:solidFill>
                    <w14:schemeClr w14:val="tx1"/>
                  </w14:solidFill>
                </w14:textFill>
              </w:rPr>
            </w:pPr>
            <w:r>
              <w:rPr>
                <w:rFonts w:hint="eastAsia" w:ascii="仿宋_GB2312" w:hAnsi="宋体" w:eastAsia="仿宋_GB2312" w:cs="宋体"/>
                <w:bCs/>
                <w:color w:val="000000" w:themeColor="text1"/>
                <w:kern w:val="0"/>
                <w:szCs w:val="24"/>
                <w:lang w:val="en-US"/>
                <w14:textFill>
                  <w14:solidFill>
                    <w14:schemeClr w14:val="tx1"/>
                  </w14:solidFill>
                </w14:textFill>
              </w:rPr>
              <w:t>注：</w:t>
            </w:r>
          </w:p>
          <w:p>
            <w:pPr>
              <w:pStyle w:val="23"/>
              <w:snapToGrid w:val="0"/>
              <w:spacing w:line="240" w:lineRule="auto"/>
              <w:rPr>
                <w:rFonts w:ascii="仿宋_GB2312" w:hAnsi="宋体" w:eastAsia="仿宋_GB2312" w:cs="宋体"/>
                <w:bCs/>
                <w:color w:val="000000" w:themeColor="text1"/>
                <w:kern w:val="0"/>
                <w:sz w:val="21"/>
                <w:lang w:val="en-US"/>
                <w14:textFill>
                  <w14:solidFill>
                    <w14:schemeClr w14:val="tx1"/>
                  </w14:solidFill>
                </w14:textFill>
              </w:rPr>
            </w:pPr>
            <w:r>
              <w:rPr>
                <w:rFonts w:hint="eastAsia" w:ascii="仿宋_GB2312" w:hAnsi="宋体" w:eastAsia="仿宋_GB2312" w:cs="宋体"/>
                <w:bCs/>
                <w:color w:val="000000" w:themeColor="text1"/>
                <w:kern w:val="0"/>
                <w:sz w:val="21"/>
                <w:lang w:val="en-US"/>
                <w14:textFill>
                  <w14:solidFill>
                    <w14:schemeClr w14:val="tx1"/>
                  </w14:solidFill>
                </w14:textFill>
              </w:rPr>
              <w:t>①</w:t>
            </w:r>
            <w:r>
              <w:rPr>
                <w:rFonts w:hint="eastAsia" w:ascii="仿宋_GB2312" w:hAnsi="宋体" w:eastAsia="仿宋_GB2312" w:cs="宋体"/>
                <w:color w:val="000000" w:themeColor="text1"/>
                <w:kern w:val="0"/>
                <w:sz w:val="21"/>
                <w14:textFill>
                  <w14:solidFill>
                    <w14:schemeClr w14:val="tx1"/>
                  </w14:solidFill>
                </w14:textFill>
              </w:rPr>
              <w:t>供应商在服务费标准最高限价的基础上作出第一阶段响应报价，给予统一</w:t>
            </w:r>
            <w:r>
              <w:rPr>
                <w:rFonts w:hint="eastAsia" w:ascii="仿宋_GB2312" w:hAnsi="宋体" w:eastAsia="仿宋_GB2312" w:cs="宋体"/>
                <w:color w:val="000000" w:themeColor="text1"/>
                <w:kern w:val="0"/>
                <w:sz w:val="21"/>
                <w:lang w:val="en-US"/>
                <w14:textFill>
                  <w14:solidFill>
                    <w14:schemeClr w14:val="tx1"/>
                  </w14:solidFill>
                </w14:textFill>
              </w:rPr>
              <w:t>优惠</w:t>
            </w:r>
            <w:r>
              <w:rPr>
                <w:rFonts w:hint="eastAsia" w:ascii="仿宋_GB2312" w:hAnsi="宋体" w:eastAsia="仿宋_GB2312" w:cs="宋体"/>
                <w:color w:val="000000" w:themeColor="text1"/>
                <w:kern w:val="0"/>
                <w:sz w:val="21"/>
                <w14:textFill>
                  <w14:solidFill>
                    <w14:schemeClr w14:val="tx1"/>
                  </w14:solidFill>
                </w14:textFill>
              </w:rPr>
              <w:t>率</w:t>
            </w:r>
            <w:r>
              <w:rPr>
                <w:rFonts w:hint="eastAsia" w:ascii="仿宋_GB2312" w:hAnsi="宋体" w:eastAsia="仿宋_GB2312" w:cs="宋体"/>
                <w:b/>
                <w:bCs/>
                <w:color w:val="000000" w:themeColor="text1"/>
                <w:kern w:val="0"/>
                <w:sz w:val="21"/>
                <w:lang w:val="en-US"/>
                <w14:textFill>
                  <w14:solidFill>
                    <w14:schemeClr w14:val="tx1"/>
                  </w14:solidFill>
                </w14:textFill>
              </w:rPr>
              <w:t>。</w:t>
            </w:r>
          </w:p>
          <w:p>
            <w:pPr>
              <w:pStyle w:val="23"/>
              <w:snapToGrid w:val="0"/>
              <w:spacing w:line="240" w:lineRule="auto"/>
              <w:rPr>
                <w:rFonts w:ascii="仿宋_GB2312" w:hAnsi="宋体" w:eastAsia="仿宋_GB2312" w:cs="宋体"/>
                <w:color w:val="000000" w:themeColor="text1"/>
                <w:kern w:val="0"/>
                <w:sz w:val="21"/>
                <w14:textFill>
                  <w14:solidFill>
                    <w14:schemeClr w14:val="tx1"/>
                  </w14:solidFill>
                </w14:textFill>
              </w:rPr>
            </w:pPr>
            <w:r>
              <w:rPr>
                <w:rFonts w:hint="eastAsia" w:ascii="仿宋_GB2312" w:hAnsi="宋体" w:eastAsia="仿宋_GB2312" w:cs="宋体"/>
                <w:color w:val="000000" w:themeColor="text1"/>
                <w:kern w:val="0"/>
                <w:sz w:val="21"/>
                <w14:textFill>
                  <w14:solidFill>
                    <w14:schemeClr w14:val="tx1"/>
                  </w14:solidFill>
                </w14:textFill>
              </w:rPr>
              <w:t>②▲</w:t>
            </w:r>
            <w:r>
              <w:rPr>
                <w:rFonts w:hint="eastAsia" w:ascii="仿宋_GB2312" w:hAnsi="宋体" w:eastAsia="仿宋_GB2312" w:cs="宋体"/>
                <w:b/>
                <w:bCs/>
                <w:color w:val="000000" w:themeColor="text1"/>
                <w:kern w:val="0"/>
                <w:sz w:val="21"/>
                <w14:textFill>
                  <w14:solidFill>
                    <w14:schemeClr w14:val="tx1"/>
                  </w14:solidFill>
                </w14:textFill>
              </w:rPr>
              <w:t>统一</w:t>
            </w:r>
            <w:r>
              <w:rPr>
                <w:rFonts w:hint="eastAsia" w:ascii="仿宋_GB2312" w:hAnsi="宋体" w:eastAsia="仿宋_GB2312" w:cs="宋体"/>
                <w:b/>
                <w:bCs/>
                <w:color w:val="000000" w:themeColor="text1"/>
                <w:kern w:val="0"/>
                <w:sz w:val="21"/>
                <w:lang w:val="en-US"/>
                <w14:textFill>
                  <w14:solidFill>
                    <w14:schemeClr w14:val="tx1"/>
                  </w14:solidFill>
                </w14:textFill>
              </w:rPr>
              <w:t>优惠</w:t>
            </w:r>
            <w:r>
              <w:rPr>
                <w:rFonts w:hint="eastAsia" w:ascii="仿宋_GB2312" w:hAnsi="宋体" w:eastAsia="仿宋_GB2312" w:cs="宋体"/>
                <w:b/>
                <w:bCs/>
                <w:color w:val="000000" w:themeColor="text1"/>
                <w:kern w:val="0"/>
                <w:sz w:val="21"/>
                <w14:textFill>
                  <w14:solidFill>
                    <w14:schemeClr w14:val="tx1"/>
                  </w14:solidFill>
                </w14:textFill>
              </w:rPr>
              <w:t>率是唯一的，以百分数表示，所填数值（百分符号前面的数）须为大于0小于100的整数。</w:t>
            </w:r>
            <w:r>
              <w:rPr>
                <w:rFonts w:hint="eastAsia" w:ascii="仿宋_GB2312" w:hAnsi="宋体" w:eastAsia="仿宋_GB2312" w:cs="宋体"/>
                <w:color w:val="000000" w:themeColor="text1"/>
                <w:kern w:val="0"/>
                <w:sz w:val="21"/>
                <w14:textFill>
                  <w14:solidFill>
                    <w14:schemeClr w14:val="tx1"/>
                  </w14:solidFill>
                </w14:textFill>
              </w:rPr>
              <w:t>比如，统一</w:t>
            </w:r>
            <w:r>
              <w:rPr>
                <w:rFonts w:hint="eastAsia" w:ascii="仿宋_GB2312" w:hAnsi="宋体" w:eastAsia="仿宋_GB2312" w:cs="宋体"/>
                <w:color w:val="000000" w:themeColor="text1"/>
                <w:kern w:val="0"/>
                <w:sz w:val="21"/>
                <w:lang w:val="en-US"/>
                <w14:textFill>
                  <w14:solidFill>
                    <w14:schemeClr w14:val="tx1"/>
                  </w14:solidFill>
                </w14:textFill>
              </w:rPr>
              <w:t>优惠</w:t>
            </w:r>
            <w:r>
              <w:rPr>
                <w:rFonts w:hint="eastAsia" w:ascii="仿宋_GB2312" w:hAnsi="宋体" w:eastAsia="仿宋_GB2312" w:cs="宋体"/>
                <w:color w:val="000000" w:themeColor="text1"/>
                <w:kern w:val="0"/>
                <w:sz w:val="21"/>
                <w14:textFill>
                  <w14:solidFill>
                    <w14:schemeClr w14:val="tx1"/>
                  </w14:solidFill>
                </w14:textFill>
              </w:rPr>
              <w:t>率填</w:t>
            </w:r>
            <w:r>
              <w:rPr>
                <w:rFonts w:hint="eastAsia" w:ascii="仿宋_GB2312" w:hAnsi="宋体" w:eastAsia="仿宋_GB2312" w:cs="宋体"/>
                <w:color w:val="000000" w:themeColor="text1"/>
                <w:kern w:val="0"/>
                <w:sz w:val="21"/>
                <w:lang w:val="en-US"/>
                <w14:textFill>
                  <w14:solidFill>
                    <w14:schemeClr w14:val="tx1"/>
                  </w14:solidFill>
                </w14:textFill>
              </w:rPr>
              <w:t>5%、8</w:t>
            </w:r>
            <w:r>
              <w:rPr>
                <w:rFonts w:hint="eastAsia" w:ascii="仿宋_GB2312" w:hAnsi="宋体" w:eastAsia="仿宋_GB2312" w:cs="宋体"/>
                <w:color w:val="000000" w:themeColor="text1"/>
                <w:kern w:val="0"/>
                <w:sz w:val="21"/>
                <w14:textFill>
                  <w14:solidFill>
                    <w14:schemeClr w14:val="tx1"/>
                  </w14:solidFill>
                </w14:textFill>
              </w:rPr>
              <w:t>%、</w:t>
            </w:r>
            <w:r>
              <w:rPr>
                <w:rFonts w:hint="eastAsia" w:ascii="仿宋_GB2312" w:hAnsi="宋体" w:eastAsia="仿宋_GB2312" w:cs="宋体"/>
                <w:color w:val="000000" w:themeColor="text1"/>
                <w:kern w:val="0"/>
                <w:sz w:val="21"/>
                <w:lang w:val="en-US"/>
                <w14:textFill>
                  <w14:solidFill>
                    <w14:schemeClr w14:val="tx1"/>
                  </w14:solidFill>
                </w14:textFill>
              </w:rPr>
              <w:t>10%</w:t>
            </w:r>
            <w:r>
              <w:rPr>
                <w:rFonts w:hint="eastAsia" w:ascii="仿宋_GB2312" w:hAnsi="宋体" w:eastAsia="仿宋_GB2312" w:cs="宋体"/>
                <w:color w:val="000000" w:themeColor="text1"/>
                <w:kern w:val="0"/>
                <w:sz w:val="21"/>
                <w14:textFill>
                  <w14:solidFill>
                    <w14:schemeClr w14:val="tx1"/>
                  </w14:solidFill>
                </w14:textFill>
              </w:rPr>
              <w:t>有效，填</w:t>
            </w:r>
            <w:r>
              <w:rPr>
                <w:rFonts w:hint="eastAsia" w:ascii="仿宋_GB2312" w:hAnsi="宋体" w:eastAsia="仿宋_GB2312" w:cs="宋体"/>
                <w:color w:val="000000" w:themeColor="text1"/>
                <w:kern w:val="0"/>
                <w:sz w:val="21"/>
                <w:lang w:val="en-US"/>
                <w14:textFill>
                  <w14:solidFill>
                    <w14:schemeClr w14:val="tx1"/>
                  </w14:solidFill>
                </w14:textFill>
              </w:rPr>
              <w:t>2</w:t>
            </w:r>
            <w:r>
              <w:rPr>
                <w:rFonts w:hint="eastAsia" w:ascii="仿宋_GB2312" w:hAnsi="宋体" w:eastAsia="仿宋_GB2312" w:cs="宋体"/>
                <w:color w:val="000000" w:themeColor="text1"/>
                <w:kern w:val="0"/>
                <w:sz w:val="21"/>
                <w14:textFill>
                  <w14:solidFill>
                    <w14:schemeClr w14:val="tx1"/>
                  </w14:solidFill>
                </w14:textFill>
              </w:rPr>
              <w:t>.5%、</w:t>
            </w:r>
            <w:r>
              <w:rPr>
                <w:rFonts w:hint="eastAsia" w:ascii="仿宋_GB2312" w:hAnsi="宋体" w:eastAsia="仿宋_GB2312" w:cs="宋体"/>
                <w:color w:val="000000" w:themeColor="text1"/>
                <w:kern w:val="0"/>
                <w:sz w:val="21"/>
                <w:lang w:val="en-US"/>
                <w14:textFill>
                  <w14:solidFill>
                    <w14:schemeClr w14:val="tx1"/>
                  </w14:solidFill>
                </w14:textFill>
              </w:rPr>
              <w:t>5</w:t>
            </w:r>
            <w:r>
              <w:rPr>
                <w:rFonts w:hint="eastAsia" w:ascii="仿宋_GB2312" w:hAnsi="宋体" w:eastAsia="仿宋_GB2312" w:cs="宋体"/>
                <w:color w:val="000000" w:themeColor="text1"/>
                <w:kern w:val="0"/>
                <w:sz w:val="21"/>
                <w14:textFill>
                  <w14:solidFill>
                    <w14:schemeClr w14:val="tx1"/>
                  </w14:solidFill>
                </w14:textFill>
              </w:rPr>
              <w:t>.15%、0%、100%无效。</w:t>
            </w:r>
          </w:p>
          <w:p>
            <w:pPr>
              <w:pStyle w:val="23"/>
              <w:snapToGrid w:val="0"/>
              <w:spacing w:line="240" w:lineRule="auto"/>
              <w:rPr>
                <w:rFonts w:ascii="仿宋_GB2312" w:hAnsi="宋体" w:eastAsia="仿宋_GB2312" w:cs="宋体"/>
                <w:color w:val="000000" w:themeColor="text1"/>
                <w:kern w:val="0"/>
                <w:sz w:val="21"/>
                <w14:textFill>
                  <w14:solidFill>
                    <w14:schemeClr w14:val="tx1"/>
                  </w14:solidFill>
                </w14:textFill>
              </w:rPr>
            </w:pPr>
            <w:r>
              <w:rPr>
                <w:rFonts w:hint="eastAsia" w:ascii="仿宋_GB2312" w:hAnsi="宋体" w:eastAsia="仿宋_GB2312" w:cs="宋体"/>
                <w:color w:val="000000" w:themeColor="text1"/>
                <w:kern w:val="0"/>
                <w:sz w:val="21"/>
                <w14:textFill>
                  <w14:solidFill>
                    <w14:schemeClr w14:val="tx1"/>
                  </w14:solidFill>
                </w14:textFill>
              </w:rPr>
              <w:t>③</w:t>
            </w:r>
            <w:r>
              <w:rPr>
                <w:rFonts w:hint="eastAsia" w:ascii="仿宋_GB2312" w:hAnsi="宋体" w:eastAsia="仿宋_GB2312" w:cs="宋体"/>
                <w:b/>
                <w:bCs/>
                <w:color w:val="000000" w:themeColor="text1"/>
                <w:kern w:val="0"/>
                <w:sz w:val="21"/>
                <w14:textFill>
                  <w14:solidFill>
                    <w14:schemeClr w14:val="tx1"/>
                  </w14:solidFill>
                </w14:textFill>
              </w:rPr>
              <w:t>统一</w:t>
            </w:r>
            <w:r>
              <w:rPr>
                <w:rFonts w:hint="eastAsia" w:ascii="仿宋_GB2312" w:hAnsi="宋体" w:eastAsia="仿宋_GB2312" w:cs="宋体"/>
                <w:b/>
                <w:bCs/>
                <w:color w:val="000000" w:themeColor="text1"/>
                <w:kern w:val="0"/>
                <w:sz w:val="21"/>
                <w:lang w:val="en-US"/>
                <w14:textFill>
                  <w14:solidFill>
                    <w14:schemeClr w14:val="tx1"/>
                  </w14:solidFill>
                </w14:textFill>
              </w:rPr>
              <w:t>优惠</w:t>
            </w:r>
            <w:r>
              <w:rPr>
                <w:rFonts w:hint="eastAsia" w:ascii="仿宋_GB2312" w:hAnsi="宋体" w:eastAsia="仿宋_GB2312" w:cs="宋体"/>
                <w:b/>
                <w:bCs/>
                <w:color w:val="000000" w:themeColor="text1"/>
                <w:kern w:val="0"/>
                <w:sz w:val="21"/>
                <w14:textFill>
                  <w14:solidFill>
                    <w14:schemeClr w14:val="tx1"/>
                  </w14:solidFill>
                </w14:textFill>
              </w:rPr>
              <w:t>率的数值越</w:t>
            </w:r>
            <w:r>
              <w:rPr>
                <w:rFonts w:hint="eastAsia" w:ascii="仿宋_GB2312" w:hAnsi="宋体" w:eastAsia="仿宋_GB2312" w:cs="宋体"/>
                <w:b/>
                <w:bCs/>
                <w:color w:val="000000" w:themeColor="text1"/>
                <w:kern w:val="0"/>
                <w:sz w:val="21"/>
                <w:lang w:val="en-US"/>
                <w14:textFill>
                  <w14:solidFill>
                    <w14:schemeClr w14:val="tx1"/>
                  </w14:solidFill>
                </w14:textFill>
              </w:rPr>
              <w:t>大</w:t>
            </w:r>
            <w:r>
              <w:rPr>
                <w:rFonts w:hint="eastAsia" w:ascii="仿宋_GB2312" w:hAnsi="宋体" w:eastAsia="仿宋_GB2312" w:cs="宋体"/>
                <w:b/>
                <w:bCs/>
                <w:color w:val="000000" w:themeColor="text1"/>
                <w:kern w:val="0"/>
                <w:sz w:val="21"/>
                <w14:textFill>
                  <w14:solidFill>
                    <w14:schemeClr w14:val="tx1"/>
                  </w14:solidFill>
                </w14:textFill>
              </w:rPr>
              <w:t>，优惠力度越大。</w:t>
            </w:r>
            <w:r>
              <w:rPr>
                <w:rFonts w:hint="eastAsia" w:ascii="仿宋_GB2312" w:hAnsi="宋体" w:eastAsia="仿宋_GB2312" w:cs="宋体"/>
                <w:color w:val="000000" w:themeColor="text1"/>
                <w:kern w:val="0"/>
                <w:sz w:val="21"/>
                <w14:textFill>
                  <w14:solidFill>
                    <w14:schemeClr w14:val="tx1"/>
                  </w14:solidFill>
                </w14:textFill>
              </w:rPr>
              <w:t>比如统一</w:t>
            </w:r>
            <w:r>
              <w:rPr>
                <w:rFonts w:hint="eastAsia" w:ascii="仿宋_GB2312" w:hAnsi="宋体" w:eastAsia="仿宋_GB2312" w:cs="宋体"/>
                <w:color w:val="000000" w:themeColor="text1"/>
                <w:kern w:val="0"/>
                <w:sz w:val="21"/>
                <w:lang w:val="en-US"/>
                <w14:textFill>
                  <w14:solidFill>
                    <w14:schemeClr w14:val="tx1"/>
                  </w14:solidFill>
                </w14:textFill>
              </w:rPr>
              <w:t>优惠</w:t>
            </w:r>
            <w:r>
              <w:rPr>
                <w:rFonts w:hint="eastAsia" w:ascii="仿宋_GB2312" w:hAnsi="宋体" w:eastAsia="仿宋_GB2312" w:cs="宋体"/>
                <w:color w:val="000000" w:themeColor="text1"/>
                <w:kern w:val="0"/>
                <w:sz w:val="21"/>
                <w14:textFill>
                  <w14:solidFill>
                    <w14:schemeClr w14:val="tx1"/>
                  </w14:solidFill>
                </w14:textFill>
              </w:rPr>
              <w:t>率填</w:t>
            </w:r>
            <w:r>
              <w:rPr>
                <w:rFonts w:hint="eastAsia" w:ascii="仿宋_GB2312" w:hAnsi="宋体" w:eastAsia="仿宋_GB2312" w:cs="宋体"/>
                <w:color w:val="000000" w:themeColor="text1"/>
                <w:kern w:val="0"/>
                <w:sz w:val="21"/>
                <w:lang w:val="en-US"/>
                <w14:textFill>
                  <w14:solidFill>
                    <w14:schemeClr w14:val="tx1"/>
                  </w14:solidFill>
                </w14:textFill>
              </w:rPr>
              <w:t>10</w:t>
            </w:r>
            <w:r>
              <w:rPr>
                <w:rFonts w:hint="eastAsia" w:ascii="仿宋_GB2312" w:hAnsi="宋体" w:eastAsia="仿宋_GB2312" w:cs="宋体"/>
                <w:color w:val="000000" w:themeColor="text1"/>
                <w:kern w:val="0"/>
                <w:sz w:val="21"/>
                <w14:textFill>
                  <w14:solidFill>
                    <w14:schemeClr w14:val="tx1"/>
                  </w14:solidFill>
                </w14:textFill>
              </w:rPr>
              <w:t>%，相当于打九折，统一</w:t>
            </w:r>
            <w:r>
              <w:rPr>
                <w:rFonts w:hint="eastAsia" w:ascii="仿宋_GB2312" w:hAnsi="宋体" w:eastAsia="仿宋_GB2312" w:cs="宋体"/>
                <w:color w:val="000000" w:themeColor="text1"/>
                <w:kern w:val="0"/>
                <w:sz w:val="21"/>
                <w:lang w:val="en-US"/>
                <w14:textFill>
                  <w14:solidFill>
                    <w14:schemeClr w14:val="tx1"/>
                  </w14:solidFill>
                </w14:textFill>
              </w:rPr>
              <w:t>优惠</w:t>
            </w:r>
            <w:r>
              <w:rPr>
                <w:rFonts w:hint="eastAsia" w:ascii="仿宋_GB2312" w:hAnsi="宋体" w:eastAsia="仿宋_GB2312" w:cs="宋体"/>
                <w:color w:val="000000" w:themeColor="text1"/>
                <w:kern w:val="0"/>
                <w:sz w:val="21"/>
                <w14:textFill>
                  <w14:solidFill>
                    <w14:schemeClr w14:val="tx1"/>
                  </w14:solidFill>
                </w14:textFill>
              </w:rPr>
              <w:t>率填</w:t>
            </w:r>
            <w:r>
              <w:rPr>
                <w:rFonts w:hint="eastAsia" w:ascii="仿宋_GB2312" w:hAnsi="宋体" w:eastAsia="仿宋_GB2312" w:cs="宋体"/>
                <w:color w:val="000000" w:themeColor="text1"/>
                <w:kern w:val="0"/>
                <w:sz w:val="21"/>
                <w:lang w:val="en-US"/>
                <w14:textFill>
                  <w14:solidFill>
                    <w14:schemeClr w14:val="tx1"/>
                  </w14:solidFill>
                </w14:textFill>
              </w:rPr>
              <w:t>20</w:t>
            </w:r>
            <w:r>
              <w:rPr>
                <w:rFonts w:hint="eastAsia" w:ascii="仿宋_GB2312" w:hAnsi="宋体" w:eastAsia="仿宋_GB2312" w:cs="宋体"/>
                <w:color w:val="000000" w:themeColor="text1"/>
                <w:kern w:val="0"/>
                <w:sz w:val="21"/>
                <w14:textFill>
                  <w14:solidFill>
                    <w14:schemeClr w14:val="tx1"/>
                  </w14:solidFill>
                </w14:textFill>
              </w:rPr>
              <w:t>%，相当于打八折。</w:t>
            </w:r>
          </w:p>
          <w:p>
            <w:pPr>
              <w:pStyle w:val="23"/>
              <w:snapToGrid w:val="0"/>
              <w:spacing w:line="240" w:lineRule="auto"/>
              <w:rPr>
                <w:rFonts w:ascii="仿宋_GB2312" w:hAnsi="宋体" w:eastAsia="仿宋_GB2312" w:cs="宋体"/>
                <w:b/>
                <w:bCs/>
                <w:color w:val="000000" w:themeColor="text1"/>
                <w:sz w:val="21"/>
                <w14:textFill>
                  <w14:solidFill>
                    <w14:schemeClr w14:val="tx1"/>
                  </w14:solidFill>
                </w14:textFill>
              </w:rPr>
            </w:pPr>
            <w:r>
              <w:rPr>
                <w:rFonts w:hint="eastAsia" w:ascii="仿宋_GB2312" w:hAnsi="宋体" w:eastAsia="仿宋_GB2312" w:cs="宋体"/>
                <w:color w:val="000000" w:themeColor="text1"/>
                <w:kern w:val="0"/>
                <w:sz w:val="21"/>
                <w14:textFill>
                  <w14:solidFill>
                    <w14:schemeClr w14:val="tx1"/>
                  </w14:solidFill>
                </w14:textFill>
              </w:rPr>
              <w:t>④</w:t>
            </w:r>
            <w:r>
              <w:rPr>
                <w:rFonts w:hint="eastAsia" w:ascii="仿宋_GB2312" w:hAnsi="宋体" w:eastAsia="仿宋_GB2312" w:cs="宋体"/>
                <w:b/>
                <w:bCs/>
                <w:color w:val="000000" w:themeColor="text1"/>
                <w:kern w:val="0"/>
                <w:sz w:val="21"/>
                <w14:textFill>
                  <w14:solidFill>
                    <w14:schemeClr w14:val="tx1"/>
                  </w14:solidFill>
                </w14:textFill>
              </w:rPr>
              <w:t>▲</w:t>
            </w:r>
            <w:r>
              <w:rPr>
                <w:rFonts w:hint="eastAsia" w:ascii="仿宋_GB2312" w:hAnsi="宋体" w:eastAsia="仿宋_GB2312" w:cs="宋体"/>
                <w:b/>
                <w:bCs/>
                <w:color w:val="auto"/>
                <w:kern w:val="0"/>
                <w:sz w:val="21"/>
              </w:rPr>
              <w:t>供应商统一</w:t>
            </w:r>
            <w:r>
              <w:rPr>
                <w:rFonts w:hint="eastAsia" w:ascii="仿宋_GB2312" w:hAnsi="宋体" w:eastAsia="仿宋_GB2312" w:cs="宋体"/>
                <w:b/>
                <w:bCs/>
                <w:color w:val="auto"/>
                <w:kern w:val="0"/>
                <w:sz w:val="21"/>
                <w:lang w:val="en-US"/>
              </w:rPr>
              <w:t>优惠</w:t>
            </w:r>
            <w:r>
              <w:rPr>
                <w:rFonts w:hint="eastAsia" w:ascii="仿宋_GB2312" w:hAnsi="宋体" w:eastAsia="仿宋_GB2312" w:cs="宋体"/>
                <w:b/>
                <w:bCs/>
                <w:color w:val="auto"/>
                <w:kern w:val="0"/>
                <w:sz w:val="21"/>
              </w:rPr>
              <w:t>率</w:t>
            </w:r>
            <w:r>
              <w:rPr>
                <w:rFonts w:hint="eastAsia" w:ascii="仿宋_GB2312" w:hAnsi="宋体" w:eastAsia="仿宋_GB2312" w:cs="宋体"/>
                <w:b/>
                <w:bCs/>
                <w:color w:val="auto"/>
                <w:kern w:val="0"/>
                <w:sz w:val="21"/>
                <w:lang w:val="en-US"/>
              </w:rPr>
              <w:t>高</w:t>
            </w:r>
            <w:r>
              <w:rPr>
                <w:rFonts w:hint="eastAsia" w:ascii="仿宋_GB2312" w:hAnsi="宋体" w:eastAsia="仿宋_GB2312" w:cs="宋体"/>
                <w:b/>
                <w:bCs/>
                <w:color w:val="auto"/>
                <w:kern w:val="0"/>
                <w:sz w:val="21"/>
              </w:rPr>
              <w:t>于50%的，应当在报价要求响应文件中详细阐述不影响诚信履约的具体原因，否则投标无效。</w:t>
            </w:r>
          </w:p>
          <w:p>
            <w:pPr>
              <w:pStyle w:val="23"/>
              <w:snapToGrid w:val="0"/>
              <w:spacing w:line="240" w:lineRule="auto"/>
              <w:rPr>
                <w:rFonts w:ascii="仿宋_GB2312" w:hAnsi="宋体" w:eastAsia="仿宋_GB2312" w:cs="宋体"/>
                <w:color w:val="000000" w:themeColor="text1"/>
                <w:kern w:val="0"/>
                <w:sz w:val="21"/>
                <w14:textFill>
                  <w14:solidFill>
                    <w14:schemeClr w14:val="tx1"/>
                  </w14:solidFill>
                </w14:textFill>
              </w:rPr>
            </w:pPr>
            <w:r>
              <w:rPr>
                <w:rFonts w:hint="eastAsia" w:ascii="仿宋_GB2312" w:hAnsi="宋体" w:eastAsia="仿宋_GB2312" w:cs="宋体"/>
                <w:color w:val="000000" w:themeColor="text1"/>
                <w:kern w:val="0"/>
                <w:sz w:val="21"/>
                <w14:textFill>
                  <w14:solidFill>
                    <w14:schemeClr w14:val="tx1"/>
                  </w14:solidFill>
                </w14:textFill>
              </w:rPr>
              <w:t>⑤</w:t>
            </w:r>
            <w:r>
              <w:rPr>
                <w:rFonts w:hint="eastAsia" w:ascii="仿宋_GB2312" w:hAnsi="宋体" w:eastAsia="仿宋_GB2312" w:cs="宋体"/>
                <w:b/>
                <w:bCs/>
                <w:kern w:val="0"/>
                <w:sz w:val="21"/>
              </w:rPr>
              <w:t>评审小组认为响应供应商的报价明显低于其他通过符合性审查响应供应商的报价，有可能不能诚信履约的，应当要求其在合理的时间内提供书面说明，必要时提交相关证明材料；响应供应商不能证明其报价合理性的，评审小组应当将其作为无效响应处理。</w:t>
            </w:r>
          </w:p>
          <w:p>
            <w:pPr>
              <w:pStyle w:val="23"/>
              <w:snapToGrid w:val="0"/>
              <w:spacing w:line="240" w:lineRule="auto"/>
              <w:rPr>
                <w:rFonts w:ascii="仿宋_GB2312" w:hAnsi="宋体" w:eastAsia="仿宋_GB2312" w:cs="宋体"/>
                <w:bCs/>
                <w:color w:val="000000" w:themeColor="text1"/>
                <w:kern w:val="0"/>
                <w:sz w:val="21"/>
                <w:lang w:val="en-US"/>
                <w14:textFill>
                  <w14:solidFill>
                    <w14:schemeClr w14:val="tx1"/>
                  </w14:solidFill>
                </w14:textFill>
              </w:rPr>
            </w:pPr>
            <w:r>
              <w:rPr>
                <w:rFonts w:hint="eastAsia" w:ascii="仿宋_GB2312" w:hAnsi="宋体" w:eastAsia="仿宋_GB2312" w:cs="宋体"/>
                <w:snapToGrid/>
                <w:color w:val="000000" w:themeColor="text1"/>
                <w:kern w:val="0"/>
                <w:sz w:val="21"/>
                <w14:textFill>
                  <w14:solidFill>
                    <w14:schemeClr w14:val="tx1"/>
                  </w14:solidFill>
                </w14:textFill>
              </w:rPr>
              <w:t>⑥</w:t>
            </w:r>
            <w:r>
              <w:rPr>
                <w:rFonts w:hint="eastAsia" w:ascii="仿宋_GB2312" w:hAnsi="宋体" w:eastAsia="仿宋_GB2312" w:cs="宋体"/>
                <w:b/>
                <w:color w:val="000000" w:themeColor="text1"/>
                <w:kern w:val="0"/>
                <w:sz w:val="21"/>
                <w:lang w:val="en-US"/>
                <w14:textFill>
                  <w14:solidFill>
                    <w14:schemeClr w14:val="tx1"/>
                  </w14:solidFill>
                </w14:textFill>
              </w:rPr>
              <w:t>服务费计费方式</w:t>
            </w:r>
            <w:r>
              <w:rPr>
                <w:rFonts w:hint="eastAsia" w:ascii="仿宋_GB2312" w:hAnsi="宋体" w:eastAsia="仿宋_GB2312" w:cs="宋体"/>
                <w:bCs/>
                <w:color w:val="000000" w:themeColor="text1"/>
                <w:kern w:val="0"/>
                <w:sz w:val="21"/>
                <w:lang w:val="en-US"/>
                <w14:textFill>
                  <w14:solidFill>
                    <w14:schemeClr w14:val="tx1"/>
                  </w14:solidFill>
                </w14:textFill>
              </w:rPr>
              <w:t>：按工作量计时收费方式。</w:t>
            </w:r>
          </w:p>
          <w:p>
            <w:pPr>
              <w:pStyle w:val="23"/>
              <w:snapToGrid w:val="0"/>
              <w:spacing w:line="240" w:lineRule="auto"/>
              <w:rPr>
                <w:rFonts w:ascii="仿宋_GB2312" w:hAnsi="宋体" w:eastAsia="仿宋_GB2312" w:cs="宋体"/>
                <w:color w:val="000000" w:themeColor="text1"/>
                <w:kern w:val="0"/>
                <w:sz w:val="21"/>
                <w14:textFill>
                  <w14:solidFill>
                    <w14:schemeClr w14:val="tx1"/>
                  </w14:solidFill>
                </w14:textFill>
              </w:rPr>
            </w:pPr>
            <w:r>
              <w:rPr>
                <w:rFonts w:hint="eastAsia" w:ascii="仿宋_GB2312" w:hAnsi="宋体" w:eastAsia="仿宋_GB2312" w:cs="宋体"/>
                <w:snapToGrid/>
                <w:color w:val="000000" w:themeColor="text1"/>
                <w:kern w:val="0"/>
                <w:sz w:val="21"/>
                <w14:textFill>
                  <w14:solidFill>
                    <w14:schemeClr w14:val="tx1"/>
                  </w14:solidFill>
                </w14:textFill>
              </w:rPr>
              <w:t>⑦除根据采购人要求需赴采购人指定的常驻地以外地点的，</w:t>
            </w:r>
            <w:r>
              <w:rPr>
                <w:rFonts w:hint="eastAsia" w:ascii="仿宋_GB2312" w:hAnsi="宋体" w:eastAsia="仿宋_GB2312" w:cs="宋体"/>
                <w:color w:val="000000" w:themeColor="text1"/>
                <w:kern w:val="0"/>
                <w:sz w:val="21"/>
                <w14:textFill>
                  <w14:solidFill>
                    <w14:schemeClr w14:val="tx1"/>
                  </w14:solidFill>
                </w14:textFill>
              </w:rPr>
              <w:t>城市间交通费、食宿费可另行按政府部门有关规定结算报销，其他所有费用（含税费）均计入报价。</w:t>
            </w:r>
          </w:p>
          <w:p>
            <w:pPr>
              <w:pStyle w:val="23"/>
              <w:snapToGrid w:val="0"/>
              <w:spacing w:line="240" w:lineRule="auto"/>
              <w:rPr>
                <w:rFonts w:ascii="仿宋_GB2312" w:hAnsi="宋体" w:eastAsia="仿宋_GB2312" w:cs="宋体"/>
                <w:color w:val="000000" w:themeColor="text1"/>
                <w:kern w:val="0"/>
                <w:sz w:val="21"/>
                <w14:textFill>
                  <w14:solidFill>
                    <w14:schemeClr w14:val="tx1"/>
                  </w14:solidFill>
                </w14:textFill>
              </w:rPr>
            </w:pPr>
            <w:r>
              <w:rPr>
                <w:rFonts w:hint="eastAsia" w:ascii="仿宋_GB2312" w:hAnsi="宋体" w:eastAsia="仿宋_GB2312" w:cs="宋体"/>
                <w:snapToGrid/>
                <w:color w:val="000000" w:themeColor="text1"/>
                <w:kern w:val="0"/>
                <w:sz w:val="21"/>
                <w14:textFill>
                  <w14:solidFill>
                    <w14:schemeClr w14:val="tx1"/>
                  </w14:solidFill>
                </w14:textFill>
              </w:rPr>
              <w:t>⑧</w:t>
            </w:r>
            <w:r>
              <w:rPr>
                <w:rFonts w:hint="eastAsia" w:ascii="仿宋_GB2312" w:hAnsi="宋体" w:eastAsia="仿宋_GB2312" w:cs="宋体"/>
                <w:color w:val="000000" w:themeColor="text1"/>
                <w:kern w:val="0"/>
                <w:sz w:val="21"/>
                <w14:textFill>
                  <w14:solidFill>
                    <w14:schemeClr w14:val="tx1"/>
                  </w14:solidFill>
                </w14:textFill>
              </w:rPr>
              <w:t>供应商入围后，第一阶段响应报价（即协议价格）是采购人确定第二阶段成交供应商的最高限价，如采购人在采购服务时还需供应商提供其他服务人员的，服务费也不得超过该最高限价。采购人还可在该最高限价的基础上与供应商进一步议价，以获得更优惠的价格。</w:t>
            </w:r>
          </w:p>
          <w:p>
            <w:pPr>
              <w:pStyle w:val="26"/>
              <w:adjustRightInd w:val="0"/>
              <w:snapToGrid w:val="0"/>
              <w:spacing w:after="0"/>
              <w:ind w:left="0" w:leftChars="0" w:firstLine="0" w:firstLineChars="0"/>
              <w:rPr>
                <w:rFonts w:ascii="仿宋_GB2312" w:eastAsia="仿宋_GB2312" w:cs="宋体"/>
                <w:snapToGrid w:val="0"/>
                <w:color w:val="000000" w:themeColor="text1"/>
                <w:kern w:val="0"/>
                <w:szCs w:val="21"/>
                <w14:textFill>
                  <w14:solidFill>
                    <w14:schemeClr w14:val="tx1"/>
                  </w14:solidFill>
                </w14:textFill>
              </w:rPr>
            </w:pPr>
            <w:r>
              <w:rPr>
                <w:rFonts w:hint="eastAsia" w:ascii="仿宋_GB2312" w:eastAsia="仿宋_GB2312" w:cs="宋体"/>
                <w:b/>
                <w:bCs/>
                <w:color w:val="000000" w:themeColor="text1"/>
                <w:kern w:val="0"/>
                <w:szCs w:val="21"/>
                <w14:textFill>
                  <w14:solidFill>
                    <w14:schemeClr w14:val="tx1"/>
                  </w14:solidFill>
                </w14:textFill>
              </w:rPr>
              <w:t>⑨计费举例：</w:t>
            </w:r>
            <w:r>
              <w:rPr>
                <w:rFonts w:hint="eastAsia" w:ascii="仿宋_GB2312" w:eastAsia="仿宋_GB2312" w:cs="宋体"/>
                <w:color w:val="000000" w:themeColor="text1"/>
                <w:kern w:val="0"/>
                <w:szCs w:val="21"/>
                <w14:textFill>
                  <w14:solidFill>
                    <w14:schemeClr w14:val="tx1"/>
                  </w14:solidFill>
                </w14:textFill>
              </w:rPr>
              <w:t>按工作量</w:t>
            </w:r>
            <w:r>
              <w:rPr>
                <w:rFonts w:hint="eastAsia" w:ascii="仿宋_GB2312" w:eastAsia="仿宋_GB2312" w:cs="宋体"/>
                <w:snapToGrid w:val="0"/>
                <w:color w:val="000000" w:themeColor="text1"/>
                <w:kern w:val="0"/>
                <w:szCs w:val="21"/>
                <w14:textFill>
                  <w14:solidFill>
                    <w14:schemeClr w14:val="tx1"/>
                  </w14:solidFill>
                </w14:textFill>
              </w:rPr>
              <w:t>计时价格：</w:t>
            </w:r>
            <w:r>
              <w:rPr>
                <w:rFonts w:hint="eastAsia" w:ascii="仿宋_GB2312" w:eastAsia="仿宋_GB2312" w:cs="宋体"/>
                <w:snapToGrid w:val="0"/>
                <w:color w:val="000000" w:themeColor="text1"/>
                <w:kern w:val="0"/>
                <w:szCs w:val="21"/>
                <w:lang w:val="zh-CN"/>
                <w14:textFill>
                  <w14:solidFill>
                    <w14:schemeClr w14:val="tx1"/>
                  </w14:solidFill>
                </w14:textFill>
              </w:rPr>
              <w:t>如某供应商第一阶段响应报价给予的统一</w:t>
            </w:r>
            <w:r>
              <w:rPr>
                <w:rFonts w:hint="eastAsia" w:ascii="仿宋_GB2312" w:eastAsia="仿宋_GB2312" w:cs="宋体"/>
                <w:snapToGrid w:val="0"/>
                <w:color w:val="000000" w:themeColor="text1"/>
                <w:kern w:val="0"/>
                <w:szCs w:val="21"/>
                <w14:textFill>
                  <w14:solidFill>
                    <w14:schemeClr w14:val="tx1"/>
                  </w14:solidFill>
                </w14:textFill>
              </w:rPr>
              <w:t>优惠</w:t>
            </w:r>
            <w:r>
              <w:rPr>
                <w:rFonts w:hint="eastAsia" w:ascii="仿宋_GB2312" w:eastAsia="仿宋_GB2312" w:cs="宋体"/>
                <w:snapToGrid w:val="0"/>
                <w:color w:val="000000" w:themeColor="text1"/>
                <w:kern w:val="0"/>
                <w:szCs w:val="21"/>
                <w:lang w:val="zh-CN"/>
                <w14:textFill>
                  <w14:solidFill>
                    <w14:schemeClr w14:val="tx1"/>
                  </w14:solidFill>
                </w14:textFill>
              </w:rPr>
              <w:t>率为</w:t>
            </w:r>
            <w:r>
              <w:rPr>
                <w:rFonts w:hint="eastAsia" w:ascii="仿宋_GB2312" w:eastAsia="仿宋_GB2312" w:cs="宋体"/>
                <w:snapToGrid w:val="0"/>
                <w:color w:val="000000" w:themeColor="text1"/>
                <w:kern w:val="0"/>
                <w:szCs w:val="21"/>
                <w14:textFill>
                  <w14:solidFill>
                    <w14:schemeClr w14:val="tx1"/>
                  </w14:solidFill>
                </w14:textFill>
              </w:rPr>
              <w:t>1</w:t>
            </w:r>
            <w:r>
              <w:rPr>
                <w:rFonts w:hint="eastAsia" w:ascii="仿宋_GB2312" w:eastAsia="仿宋_GB2312" w:cs="宋体"/>
                <w:snapToGrid w:val="0"/>
                <w:color w:val="000000" w:themeColor="text1"/>
                <w:kern w:val="0"/>
                <w:szCs w:val="21"/>
                <w:lang w:val="zh-CN"/>
                <w14:textFill>
                  <w14:solidFill>
                    <w14:schemeClr w14:val="tx1"/>
                  </w14:solidFill>
                </w14:textFill>
              </w:rPr>
              <w:t>0%，则副高级及以上技术职称（或注册会计师）专业人员的第一阶段响应报价为：</w:t>
            </w:r>
            <w:r>
              <w:rPr>
                <w:rFonts w:hint="eastAsia" w:ascii="仿宋_GB2312" w:eastAsia="仿宋_GB2312" w:cs="宋体"/>
                <w:snapToGrid w:val="0"/>
                <w:color w:val="000000" w:themeColor="text1"/>
                <w:kern w:val="0"/>
                <w:szCs w:val="21"/>
                <w14:textFill>
                  <w14:solidFill>
                    <w14:schemeClr w14:val="tx1"/>
                  </w14:solidFill>
                </w14:textFill>
              </w:rPr>
              <w:t>1000</w:t>
            </w:r>
            <w:r>
              <w:rPr>
                <w:rFonts w:hint="eastAsia" w:ascii="仿宋_GB2312" w:eastAsia="仿宋_GB2312" w:cs="宋体"/>
                <w:snapToGrid w:val="0"/>
                <w:color w:val="000000" w:themeColor="text1"/>
                <w:kern w:val="0"/>
                <w:szCs w:val="21"/>
                <w:lang w:val="zh-CN"/>
                <w14:textFill>
                  <w14:solidFill>
                    <w14:schemeClr w14:val="tx1"/>
                  </w14:solidFill>
                </w14:textFill>
              </w:rPr>
              <w:t>*</w:t>
            </w:r>
            <w:r>
              <w:rPr>
                <w:rFonts w:hint="eastAsia" w:ascii="仿宋_GB2312" w:eastAsia="仿宋_GB2312" w:hAnsiTheme="minorEastAsia" w:cstheme="minorEastAsia"/>
                <w:szCs w:val="21"/>
              </w:rPr>
              <w:t>（1-10%）</w:t>
            </w:r>
            <w:r>
              <w:rPr>
                <w:rFonts w:hint="eastAsia" w:ascii="仿宋_GB2312" w:eastAsia="仿宋_GB2312" w:cs="宋体"/>
                <w:snapToGrid w:val="0"/>
                <w:color w:val="000000" w:themeColor="text1"/>
                <w:kern w:val="0"/>
                <w:szCs w:val="21"/>
                <w:lang w:val="zh-CN"/>
                <w14:textFill>
                  <w14:solidFill>
                    <w14:schemeClr w14:val="tx1"/>
                  </w14:solidFill>
                </w14:textFill>
              </w:rPr>
              <w:t>=</w:t>
            </w:r>
            <w:r>
              <w:rPr>
                <w:rFonts w:hint="eastAsia" w:ascii="仿宋_GB2312" w:eastAsia="仿宋_GB2312" w:cs="宋体"/>
                <w:snapToGrid w:val="0"/>
                <w:color w:val="000000" w:themeColor="text1"/>
                <w:kern w:val="0"/>
                <w:szCs w:val="21"/>
                <w14:textFill>
                  <w14:solidFill>
                    <w14:schemeClr w14:val="tx1"/>
                  </w14:solidFill>
                </w14:textFill>
              </w:rPr>
              <w:t>900</w:t>
            </w:r>
            <w:r>
              <w:rPr>
                <w:rFonts w:hint="eastAsia" w:ascii="仿宋_GB2312" w:eastAsia="仿宋_GB2312" w:cs="宋体"/>
                <w:snapToGrid w:val="0"/>
                <w:color w:val="000000" w:themeColor="text1"/>
                <w:kern w:val="0"/>
                <w:szCs w:val="21"/>
                <w:lang w:val="zh-CN"/>
                <w14:textFill>
                  <w14:solidFill>
                    <w14:schemeClr w14:val="tx1"/>
                  </w14:solidFill>
                </w14:textFill>
              </w:rPr>
              <w:t>元/天</w:t>
            </w:r>
            <w:r>
              <w:rPr>
                <w:rFonts w:hint="eastAsia" w:ascii="微软雅黑" w:hAnsi="微软雅黑" w:eastAsia="微软雅黑" w:cs="微软雅黑"/>
                <w:snapToGrid w:val="0"/>
                <w:color w:val="000000" w:themeColor="text1"/>
                <w:kern w:val="0"/>
                <w:szCs w:val="21"/>
                <w:lang w:val="zh-CN"/>
                <w14:textFill>
                  <w14:solidFill>
                    <w14:schemeClr w14:val="tx1"/>
                  </w14:solidFill>
                </w14:textFill>
              </w:rPr>
              <w:t>•</w:t>
            </w:r>
            <w:r>
              <w:rPr>
                <w:rFonts w:hint="eastAsia" w:ascii="仿宋_GB2312" w:hAnsi="仿宋_GB2312" w:eastAsia="仿宋_GB2312" w:cs="仿宋_GB2312"/>
                <w:snapToGrid w:val="0"/>
                <w:color w:val="000000" w:themeColor="text1"/>
                <w:kern w:val="0"/>
                <w:szCs w:val="21"/>
                <w:lang w:val="zh-CN"/>
                <w14:textFill>
                  <w14:solidFill>
                    <w14:schemeClr w14:val="tx1"/>
                  </w14:solidFill>
                </w14:textFill>
              </w:rPr>
              <w:t>人，</w:t>
            </w:r>
            <w:r>
              <w:rPr>
                <w:rFonts w:hint="eastAsia" w:ascii="仿宋_GB2312" w:hAnsi="仿宋_GB2312" w:eastAsia="仿宋_GB2312" w:cs="仿宋_GB2312"/>
                <w:snapToGrid w:val="0"/>
                <w:color w:val="000000" w:themeColor="text1"/>
                <w:kern w:val="0"/>
                <w:szCs w:val="21"/>
                <w14:textFill>
                  <w14:solidFill>
                    <w14:schemeClr w14:val="tx1"/>
                  </w14:solidFill>
                </w14:textFill>
              </w:rPr>
              <w:t>助理人员、</w:t>
            </w:r>
            <w:r>
              <w:rPr>
                <w:rFonts w:hint="eastAsia" w:ascii="仿宋_GB2312" w:hAnsi="仿宋_GB2312" w:eastAsia="仿宋_GB2312" w:cs="仿宋_GB2312"/>
                <w:snapToGrid w:val="0"/>
                <w:color w:val="000000" w:themeColor="text1"/>
                <w:kern w:val="0"/>
                <w:szCs w:val="21"/>
                <w:lang w:val="zh-CN"/>
                <w14:textFill>
                  <w14:solidFill>
                    <w14:schemeClr w14:val="tx1"/>
                  </w14:solidFill>
                </w14:textFill>
              </w:rPr>
              <w:t>中级技术职称及以下专业人员的第一阶段响应报价为：</w:t>
            </w:r>
            <w:r>
              <w:rPr>
                <w:rFonts w:hint="eastAsia" w:ascii="仿宋_GB2312" w:eastAsia="仿宋_GB2312" w:cs="宋体"/>
                <w:snapToGrid w:val="0"/>
                <w:color w:val="000000" w:themeColor="text1"/>
                <w:kern w:val="0"/>
                <w:szCs w:val="21"/>
                <w14:textFill>
                  <w14:solidFill>
                    <w14:schemeClr w14:val="tx1"/>
                  </w14:solidFill>
                </w14:textFill>
              </w:rPr>
              <w:t>700</w:t>
            </w:r>
            <w:r>
              <w:rPr>
                <w:rFonts w:hint="eastAsia" w:ascii="仿宋_GB2312" w:eastAsia="仿宋_GB2312" w:cs="宋体"/>
                <w:snapToGrid w:val="0"/>
                <w:color w:val="000000" w:themeColor="text1"/>
                <w:kern w:val="0"/>
                <w:szCs w:val="21"/>
                <w:lang w:val="zh-CN"/>
                <w14:textFill>
                  <w14:solidFill>
                    <w14:schemeClr w14:val="tx1"/>
                  </w14:solidFill>
                </w14:textFill>
              </w:rPr>
              <w:t>*</w:t>
            </w:r>
            <w:r>
              <w:rPr>
                <w:rFonts w:hint="eastAsia" w:ascii="仿宋_GB2312" w:eastAsia="仿宋_GB2312" w:hAnsiTheme="minorEastAsia" w:cstheme="minorEastAsia"/>
                <w:szCs w:val="21"/>
              </w:rPr>
              <w:t>（1-10%）</w:t>
            </w:r>
            <w:r>
              <w:rPr>
                <w:rFonts w:hint="eastAsia" w:ascii="仿宋_GB2312" w:eastAsia="仿宋_GB2312" w:cs="宋体"/>
                <w:snapToGrid w:val="0"/>
                <w:color w:val="000000" w:themeColor="text1"/>
                <w:kern w:val="0"/>
                <w:szCs w:val="21"/>
                <w:lang w:val="zh-CN"/>
                <w14:textFill>
                  <w14:solidFill>
                    <w14:schemeClr w14:val="tx1"/>
                  </w14:solidFill>
                </w14:textFill>
              </w:rPr>
              <w:t>=</w:t>
            </w:r>
            <w:r>
              <w:rPr>
                <w:rFonts w:hint="eastAsia" w:ascii="仿宋_GB2312" w:eastAsia="仿宋_GB2312" w:cs="宋体"/>
                <w:snapToGrid w:val="0"/>
                <w:color w:val="000000" w:themeColor="text1"/>
                <w:kern w:val="0"/>
                <w:szCs w:val="21"/>
                <w14:textFill>
                  <w14:solidFill>
                    <w14:schemeClr w14:val="tx1"/>
                  </w14:solidFill>
                </w14:textFill>
              </w:rPr>
              <w:t>630</w:t>
            </w:r>
            <w:r>
              <w:rPr>
                <w:rFonts w:hint="eastAsia" w:ascii="仿宋_GB2312" w:eastAsia="仿宋_GB2312" w:cs="宋体"/>
                <w:snapToGrid w:val="0"/>
                <w:color w:val="000000" w:themeColor="text1"/>
                <w:kern w:val="0"/>
                <w:szCs w:val="21"/>
                <w:lang w:val="zh-CN"/>
                <w14:textFill>
                  <w14:solidFill>
                    <w14:schemeClr w14:val="tx1"/>
                  </w14:solidFill>
                </w14:textFill>
              </w:rPr>
              <w:t>元/天</w:t>
            </w:r>
            <w:r>
              <w:rPr>
                <w:rFonts w:hint="eastAsia" w:ascii="微软雅黑" w:hAnsi="微软雅黑" w:eastAsia="微软雅黑" w:cs="微软雅黑"/>
                <w:snapToGrid w:val="0"/>
                <w:color w:val="000000" w:themeColor="text1"/>
                <w:kern w:val="0"/>
                <w:szCs w:val="21"/>
                <w:lang w:val="zh-CN"/>
                <w14:textFill>
                  <w14:solidFill>
                    <w14:schemeClr w14:val="tx1"/>
                  </w14:solidFill>
                </w14:textFill>
              </w:rPr>
              <w:t>•</w:t>
            </w:r>
            <w:r>
              <w:rPr>
                <w:rFonts w:hint="eastAsia" w:ascii="仿宋_GB2312" w:hAnsi="仿宋_GB2312" w:eastAsia="仿宋_GB2312" w:cs="仿宋_GB2312"/>
                <w:snapToGrid w:val="0"/>
                <w:color w:val="000000" w:themeColor="text1"/>
                <w:kern w:val="0"/>
                <w:szCs w:val="21"/>
                <w:lang w:val="zh-CN"/>
                <w14:textFill>
                  <w14:solidFill>
                    <w14:schemeClr w14:val="tx1"/>
                  </w14:solidFill>
                </w14:textFill>
              </w:rPr>
              <w:t>人。该供应商入围后，则</w:t>
            </w:r>
            <w:r>
              <w:rPr>
                <w:rFonts w:hint="eastAsia" w:ascii="仿宋_GB2312" w:eastAsia="仿宋_GB2312" w:cs="宋体"/>
                <w:snapToGrid w:val="0"/>
                <w:color w:val="000000" w:themeColor="text1"/>
                <w:kern w:val="0"/>
                <w:szCs w:val="21"/>
                <w:lang w:val="zh-CN"/>
                <w14:textFill>
                  <w14:solidFill>
                    <w14:schemeClr w14:val="tx1"/>
                  </w14:solidFill>
                </w14:textFill>
              </w:rPr>
              <w:t>在第二阶段的最高限价即为副高级及以上技术职称（或注册会计师）专业人员不超过</w:t>
            </w:r>
            <w:r>
              <w:rPr>
                <w:rFonts w:hint="eastAsia" w:ascii="仿宋_GB2312" w:eastAsia="仿宋_GB2312" w:cs="宋体"/>
                <w:snapToGrid w:val="0"/>
                <w:color w:val="000000" w:themeColor="text1"/>
                <w:kern w:val="0"/>
                <w:szCs w:val="21"/>
                <w14:textFill>
                  <w14:solidFill>
                    <w14:schemeClr w14:val="tx1"/>
                  </w14:solidFill>
                </w14:textFill>
              </w:rPr>
              <w:t>900</w:t>
            </w:r>
            <w:r>
              <w:rPr>
                <w:rFonts w:hint="eastAsia" w:ascii="仿宋_GB2312" w:eastAsia="仿宋_GB2312" w:cs="宋体"/>
                <w:snapToGrid w:val="0"/>
                <w:color w:val="000000" w:themeColor="text1"/>
                <w:kern w:val="0"/>
                <w:szCs w:val="21"/>
                <w:lang w:val="zh-CN"/>
                <w14:textFill>
                  <w14:solidFill>
                    <w14:schemeClr w14:val="tx1"/>
                  </w14:solidFill>
                </w14:textFill>
              </w:rPr>
              <w:t>元/天</w:t>
            </w:r>
            <w:r>
              <w:rPr>
                <w:rFonts w:hint="eastAsia" w:ascii="微软雅黑" w:hAnsi="微软雅黑" w:eastAsia="微软雅黑" w:cs="微软雅黑"/>
                <w:snapToGrid w:val="0"/>
                <w:color w:val="000000" w:themeColor="text1"/>
                <w:kern w:val="0"/>
                <w:szCs w:val="21"/>
                <w:lang w:val="zh-CN"/>
                <w14:textFill>
                  <w14:solidFill>
                    <w14:schemeClr w14:val="tx1"/>
                  </w14:solidFill>
                </w14:textFill>
              </w:rPr>
              <w:t>•</w:t>
            </w:r>
            <w:r>
              <w:rPr>
                <w:rFonts w:hint="eastAsia" w:ascii="仿宋_GB2312" w:hAnsi="仿宋_GB2312" w:eastAsia="仿宋_GB2312" w:cs="仿宋_GB2312"/>
                <w:snapToGrid w:val="0"/>
                <w:color w:val="000000" w:themeColor="text1"/>
                <w:kern w:val="0"/>
                <w:szCs w:val="21"/>
                <w:lang w:val="zh-CN"/>
                <w14:textFill>
                  <w14:solidFill>
                    <w14:schemeClr w14:val="tx1"/>
                  </w14:solidFill>
                </w14:textFill>
              </w:rPr>
              <w:t>人，</w:t>
            </w:r>
            <w:r>
              <w:rPr>
                <w:rFonts w:hint="eastAsia" w:ascii="仿宋_GB2312" w:hAnsi="仿宋_GB2312" w:eastAsia="仿宋_GB2312" w:cs="仿宋_GB2312"/>
                <w:snapToGrid w:val="0"/>
                <w:color w:val="000000" w:themeColor="text1"/>
                <w:kern w:val="0"/>
                <w:szCs w:val="21"/>
                <w14:textFill>
                  <w14:solidFill>
                    <w14:schemeClr w14:val="tx1"/>
                  </w14:solidFill>
                </w14:textFill>
              </w:rPr>
              <w:t>助理人员、</w:t>
            </w:r>
            <w:r>
              <w:rPr>
                <w:rFonts w:hint="eastAsia" w:ascii="仿宋_GB2312" w:hAnsi="仿宋_GB2312" w:eastAsia="仿宋_GB2312" w:cs="仿宋_GB2312"/>
                <w:snapToGrid w:val="0"/>
                <w:color w:val="000000" w:themeColor="text1"/>
                <w:kern w:val="0"/>
                <w:szCs w:val="21"/>
                <w:lang w:val="zh-CN"/>
                <w14:textFill>
                  <w14:solidFill>
                    <w14:schemeClr w14:val="tx1"/>
                  </w14:solidFill>
                </w14:textFill>
              </w:rPr>
              <w:t>中级技术职称及以下专业人员不超过</w:t>
            </w:r>
            <w:r>
              <w:rPr>
                <w:rFonts w:hint="eastAsia" w:ascii="仿宋_GB2312" w:eastAsia="仿宋_GB2312" w:cs="宋体"/>
                <w:snapToGrid w:val="0"/>
                <w:color w:val="000000" w:themeColor="text1"/>
                <w:kern w:val="0"/>
                <w:szCs w:val="21"/>
                <w14:textFill>
                  <w14:solidFill>
                    <w14:schemeClr w14:val="tx1"/>
                  </w14:solidFill>
                </w14:textFill>
              </w:rPr>
              <w:t>630</w:t>
            </w:r>
            <w:r>
              <w:rPr>
                <w:rFonts w:hint="eastAsia" w:ascii="仿宋_GB2312" w:eastAsia="仿宋_GB2312" w:cs="宋体"/>
                <w:snapToGrid w:val="0"/>
                <w:color w:val="000000" w:themeColor="text1"/>
                <w:kern w:val="0"/>
                <w:szCs w:val="21"/>
                <w:lang w:val="zh-CN"/>
                <w14:textFill>
                  <w14:solidFill>
                    <w14:schemeClr w14:val="tx1"/>
                  </w14:solidFill>
                </w14:textFill>
              </w:rPr>
              <w:t>元/天</w:t>
            </w:r>
            <w:r>
              <w:rPr>
                <w:rFonts w:hint="eastAsia" w:ascii="微软雅黑" w:hAnsi="微软雅黑" w:eastAsia="微软雅黑" w:cs="微软雅黑"/>
                <w:snapToGrid w:val="0"/>
                <w:color w:val="000000" w:themeColor="text1"/>
                <w:kern w:val="0"/>
                <w:szCs w:val="21"/>
                <w:lang w:val="zh-CN"/>
                <w14:textFill>
                  <w14:solidFill>
                    <w14:schemeClr w14:val="tx1"/>
                  </w14:solidFill>
                </w14:textFill>
              </w:rPr>
              <w:t>•</w:t>
            </w:r>
            <w:r>
              <w:rPr>
                <w:rFonts w:hint="eastAsia" w:ascii="仿宋_GB2312" w:hAnsi="仿宋_GB2312" w:eastAsia="仿宋_GB2312" w:cs="仿宋_GB2312"/>
                <w:snapToGrid w:val="0"/>
                <w:color w:val="000000" w:themeColor="text1"/>
                <w:kern w:val="0"/>
                <w:szCs w:val="21"/>
                <w:lang w:val="zh-CN"/>
                <w14:textFill>
                  <w14:solidFill>
                    <w14:schemeClr w14:val="tx1"/>
                  </w14:solidFill>
                </w14:textFill>
              </w:rPr>
              <w:t>人。</w:t>
            </w:r>
          </w:p>
        </w:tc>
      </w:tr>
    </w:tbl>
    <w:p>
      <w:pPr>
        <w:pStyle w:val="23"/>
        <w:rPr>
          <w:rFonts w:ascii="仿宋_GB2312" w:eastAsia="仿宋_GB2312"/>
          <w:color w:val="000000" w:themeColor="text1"/>
          <w14:textFill>
            <w14:solidFill>
              <w14:schemeClr w14:val="tx1"/>
            </w14:solidFill>
          </w14:textFill>
        </w:rPr>
      </w:pPr>
    </w:p>
    <w:p>
      <w:pPr>
        <w:pStyle w:val="23"/>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（▲注：按本格式和要求提供，否则无效）</w:t>
      </w:r>
    </w:p>
    <w:p>
      <w:pPr>
        <w:pStyle w:val="24"/>
        <w:rPr>
          <w:rFonts w:ascii="仿宋_GB2312" w:eastAsia="仿宋_GB2312"/>
          <w:color w:val="000000" w:themeColor="text1"/>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pStyle w:val="26"/>
        <w:ind w:left="0" w:leftChars="0" w:firstLine="0" w:firstLineChars="0"/>
        <w:jc w:val="center"/>
        <w:rPr>
          <w:rFonts w:ascii="仿宋_GB2312" w:eastAsia="仿宋_GB2312" w:cs="宋体"/>
          <w:b/>
          <w:bCs/>
          <w:color w:val="000000" w:themeColor="text1"/>
          <w:sz w:val="32"/>
          <w:szCs w:val="32"/>
          <w14:textFill>
            <w14:solidFill>
              <w14:schemeClr w14:val="tx1"/>
            </w14:solidFill>
          </w14:textFill>
        </w:rPr>
        <w:sectPr>
          <w:footerReference r:id="rId15" w:type="first"/>
          <w:footerReference r:id="rId14" w:type="default"/>
          <w:pgSz w:w="11906" w:h="16838"/>
          <w:pgMar w:top="1276" w:right="1417" w:bottom="1247" w:left="1417" w:header="851" w:footer="850" w:gutter="0"/>
          <w:cols w:space="0" w:num="1"/>
          <w:docGrid w:linePitch="312" w:charSpace="0"/>
        </w:sectPr>
      </w:pPr>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2、报价情况说明（如果有）</w:t>
      </w:r>
    </w:p>
    <w:p>
      <w:pPr>
        <w:pStyle w:val="24"/>
        <w:spacing w:line="500" w:lineRule="exact"/>
        <w:rPr>
          <w:rFonts w:ascii="仿宋_GB2312" w:hAnsi="仿宋_GB2312" w:eastAsia="仿宋_GB2312" w:cs="仿宋_GB2312"/>
        </w:rPr>
      </w:pPr>
      <w:r>
        <w:rPr>
          <w:rFonts w:hint="eastAsia" w:ascii="仿宋_GB2312" w:hAnsi="仿宋_GB2312" w:eastAsia="仿宋_GB2312" w:cs="仿宋_GB2312"/>
        </w:rPr>
        <w:t>（供应商统一</w:t>
      </w:r>
      <w:r>
        <w:rPr>
          <w:rFonts w:hint="eastAsia" w:ascii="仿宋_GB2312" w:hAnsi="仿宋_GB2312" w:eastAsia="仿宋_GB2312" w:cs="仿宋_GB2312"/>
          <w:lang w:val="en-US"/>
        </w:rPr>
        <w:t>优惠</w:t>
      </w:r>
      <w:r>
        <w:rPr>
          <w:rFonts w:hint="eastAsia" w:ascii="仿宋_GB2312" w:hAnsi="仿宋_GB2312" w:eastAsia="仿宋_GB2312" w:cs="仿宋_GB2312"/>
        </w:rPr>
        <w:t>率</w:t>
      </w:r>
      <w:r>
        <w:rPr>
          <w:rFonts w:hint="eastAsia" w:ascii="仿宋_GB2312" w:hAnsi="仿宋_GB2312" w:eastAsia="仿宋_GB2312" w:cs="仿宋_GB2312"/>
          <w:lang w:val="en-US"/>
        </w:rPr>
        <w:t>高</w:t>
      </w:r>
      <w:r>
        <w:rPr>
          <w:rFonts w:hint="eastAsia" w:ascii="仿宋_GB2312" w:hAnsi="仿宋_GB2312" w:eastAsia="仿宋_GB2312" w:cs="仿宋_GB2312"/>
        </w:rPr>
        <w:t>于50%的，应当提交本文档，详细阐述不影响诚信履约的具体原因，</w:t>
      </w:r>
      <w:r>
        <w:rPr>
          <w:rFonts w:hint="eastAsia" w:ascii="仿宋_GB2312" w:hAnsi="仿宋_GB2312" w:eastAsia="仿宋_GB2312" w:cs="仿宋_GB2312"/>
          <w:b/>
          <w:bCs/>
        </w:rPr>
        <w:t>否则投标（响应）无效</w:t>
      </w:r>
      <w:r>
        <w:rPr>
          <w:rFonts w:hint="eastAsia" w:ascii="仿宋_GB2312" w:hAnsi="仿宋_GB2312" w:eastAsia="仿宋_GB2312" w:cs="仿宋_GB2312"/>
        </w:rPr>
        <w:t>。）</w:t>
      </w:r>
    </w:p>
    <w:p>
      <w:pPr>
        <w:spacing w:line="500" w:lineRule="exact"/>
        <w:jc w:val="left"/>
        <w:rPr>
          <w:rFonts w:ascii="仿宋_GB2312" w:hAnsi="仿宋_GB2312" w:eastAsia="仿宋_GB2312" w:cs="仿宋_GB2312"/>
          <w:b/>
          <w:spacing w:val="6"/>
          <w:sz w:val="32"/>
          <w:szCs w:val="32"/>
        </w:rPr>
      </w:pPr>
    </w:p>
    <w:p>
      <w:pPr>
        <w:pStyle w:val="26"/>
        <w:spacing w:line="500" w:lineRule="exact"/>
        <w:ind w:firstLine="667"/>
        <w:rPr>
          <w:rFonts w:ascii="仿宋_GB2312" w:hAnsi="仿宋_GB2312" w:eastAsia="仿宋_GB2312" w:cs="仿宋_GB2312"/>
          <w:b/>
          <w:spacing w:val="6"/>
          <w:sz w:val="32"/>
          <w:szCs w:val="32"/>
        </w:rPr>
      </w:pPr>
    </w:p>
    <w:p>
      <w:pPr>
        <w:pStyle w:val="23"/>
        <w:spacing w:line="500" w:lineRule="exact"/>
        <w:rPr>
          <w:rFonts w:ascii="仿宋_GB2312" w:hAnsi="仿宋_GB2312" w:eastAsia="仿宋_GB2312" w:cs="仿宋_GB2312"/>
          <w:b/>
          <w:spacing w:val="6"/>
          <w:sz w:val="32"/>
          <w:szCs w:val="32"/>
        </w:rPr>
      </w:pPr>
    </w:p>
    <w:p>
      <w:pPr>
        <w:pStyle w:val="24"/>
        <w:spacing w:line="500" w:lineRule="exact"/>
        <w:rPr>
          <w:rFonts w:ascii="仿宋_GB2312" w:hAnsi="仿宋_GB2312" w:eastAsia="仿宋_GB2312" w:cs="仿宋_GB2312"/>
        </w:rPr>
      </w:pPr>
    </w:p>
    <w:p>
      <w:pPr>
        <w:pStyle w:val="26"/>
        <w:spacing w:line="500" w:lineRule="exact"/>
        <w:ind w:firstLine="667"/>
        <w:rPr>
          <w:rFonts w:ascii="仿宋_GB2312" w:hAnsi="仿宋_GB2312" w:eastAsia="仿宋_GB2312" w:cs="仿宋_GB2312"/>
          <w:b/>
          <w:spacing w:val="6"/>
          <w:sz w:val="32"/>
          <w:szCs w:val="32"/>
        </w:rPr>
      </w:pPr>
    </w:p>
    <w:p>
      <w:pPr>
        <w:adjustRightInd/>
        <w:snapToGrid w:val="0"/>
        <w:spacing w:after="120" w:line="500" w:lineRule="exact"/>
        <w:ind w:left="5506" w:leftChars="2622"/>
        <w:jc w:val="left"/>
        <w:rPr>
          <w:rFonts w:ascii="仿宋_GB2312" w:hAnsi="仿宋_GB2312" w:eastAsia="仿宋_GB2312" w:cs="仿宋_GB2312"/>
          <w:b/>
          <w:bCs/>
          <w:sz w:val="36"/>
          <w:szCs w:val="36"/>
        </w:rPr>
      </w:pPr>
      <w:r>
        <w:rPr>
          <w:rFonts w:hint="eastAsia" w:ascii="仿宋_GB2312" w:hAnsi="仿宋_GB2312" w:eastAsia="仿宋_GB2312" w:cs="仿宋_GB2312"/>
          <w:kern w:val="0"/>
          <w:sz w:val="24"/>
          <w:lang w:val="zh-CN"/>
        </w:rPr>
        <w:t xml:space="preserve">响应供应商名称(电子签名)：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rPr>
          <w:rFonts w:ascii="仿宋_GB2312" w:hAnsi="宋体" w:eastAsia="仿宋_GB2312" w:cs="宋体"/>
          <w:b/>
          <w:bCs/>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br w:type="page"/>
      </w:r>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3、中小企业声明函（服务）（如果有）</w:t>
      </w:r>
    </w:p>
    <w:p>
      <w:pPr>
        <w:spacing w:line="360" w:lineRule="auto"/>
        <w:ind w:firstLine="360" w:firstLineChars="15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本公司郑重声明，根据《政府采购促进中小企业发展管理办法》（财库</w:t>
      </w:r>
      <w:r>
        <w:rPr>
          <w:rFonts w:hint="eastAsia" w:ascii="微软雅黑" w:hAnsi="微软雅黑" w:eastAsia="微软雅黑" w:cs="微软雅黑"/>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2020</w:t>
      </w:r>
      <w:r>
        <w:rPr>
          <w:rFonts w:hint="eastAsia" w:ascii="微软雅黑" w:hAnsi="微软雅黑" w:eastAsia="微软雅黑" w:cs="微软雅黑"/>
          <w:color w:val="000000" w:themeColor="text1"/>
          <w:sz w:val="24"/>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46号）的规定，本公司参加丽水市公共资源交易中心的</w:t>
      </w:r>
      <w:r>
        <w:rPr>
          <w:rFonts w:hint="eastAsia" w:ascii="仿宋_GB2312" w:hAnsi="宋体" w:eastAsia="仿宋_GB2312" w:cs="宋体"/>
          <w:color w:val="000000" w:themeColor="text1"/>
          <w:kern w:val="0"/>
          <w:sz w:val="24"/>
          <w:u w:val="single"/>
          <w:lang w:val="zh-CN"/>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kern w:val="0"/>
          <w:sz w:val="24"/>
          <w:u w:val="single"/>
          <w:lang w:val="zh-CN"/>
          <w14:textFill>
            <w14:solidFill>
              <w14:schemeClr w14:val="tx1"/>
            </w14:solidFill>
          </w14:textFill>
        </w:rPr>
        <w:t>LCK2024-003</w:t>
      </w:r>
      <w:r>
        <w:rPr>
          <w:rFonts w:hint="eastAsia" w:ascii="仿宋_GB2312" w:hAnsi="宋体" w:eastAsia="仿宋_GB2312" w:cs="宋体"/>
          <w:color w:val="000000" w:themeColor="text1"/>
          <w:kern w:val="0"/>
          <w:sz w:val="24"/>
          <w:u w:val="single"/>
          <w:lang w:val="zh-CN"/>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采购活动，服务全部由符合政策要求的中小企业承接。相关企业的具体情况如下：</w:t>
      </w:r>
    </w:p>
    <w:p>
      <w:pPr>
        <w:numPr>
          <w:ilvl w:val="0"/>
          <w:numId w:val="6"/>
        </w:numPr>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u w:val="single"/>
          <w14:textFill>
            <w14:solidFill>
              <w14:schemeClr w14:val="tx1"/>
            </w14:solidFill>
          </w14:textFill>
        </w:rPr>
        <w:t xml:space="preserve">  审计服务  </w:t>
      </w:r>
      <w:r>
        <w:rPr>
          <w:rFonts w:hint="eastAsia" w:ascii="仿宋_GB2312" w:hAnsi="宋体" w:eastAsia="仿宋_GB2312" w:cs="宋体"/>
          <w:color w:val="000000" w:themeColor="text1"/>
          <w:sz w:val="24"/>
          <w14:textFill>
            <w14:solidFill>
              <w14:schemeClr w14:val="tx1"/>
            </w14:solidFill>
          </w14:textFill>
        </w:rPr>
        <w:t>，属于</w:t>
      </w:r>
      <w:r>
        <w:rPr>
          <w:rFonts w:hint="eastAsia" w:ascii="仿宋_GB2312" w:hAnsi="宋体" w:eastAsia="仿宋_GB2312" w:cs="宋体"/>
          <w:color w:val="000000" w:themeColor="text1"/>
          <w:sz w:val="24"/>
          <w:u w:val="single"/>
          <w14:textFill>
            <w14:solidFill>
              <w14:schemeClr w14:val="tx1"/>
            </w14:solidFill>
          </w14:textFill>
        </w:rPr>
        <w:t>租赁和商务服务业</w:t>
      </w:r>
      <w:r>
        <w:rPr>
          <w:rFonts w:hint="eastAsia" w:ascii="仿宋_GB2312" w:hAnsi="宋体" w:eastAsia="仿宋_GB2312" w:cs="宋体"/>
          <w:color w:val="000000" w:themeColor="text1"/>
          <w:sz w:val="24"/>
          <w14:textFill>
            <w14:solidFill>
              <w14:schemeClr w14:val="tx1"/>
            </w14:solidFill>
          </w14:textFill>
        </w:rPr>
        <w:t xml:space="preserve">；承接企业为 </w:t>
      </w:r>
      <w:r>
        <w:rPr>
          <w:rFonts w:hint="eastAsia" w:ascii="仿宋_GB2312" w:hAnsi="宋体" w:eastAsia="仿宋_GB2312" w:cs="宋体"/>
          <w:color w:val="000000" w:themeColor="text1"/>
          <w:sz w:val="24"/>
          <w:u w:val="single"/>
          <w14:textFill>
            <w14:solidFill>
              <w14:schemeClr w14:val="tx1"/>
            </w14:solidFill>
          </w14:textFill>
        </w:rPr>
        <w:t>（企业名称）</w:t>
      </w:r>
      <w:r>
        <w:rPr>
          <w:rFonts w:hint="eastAsia" w:ascii="仿宋_GB2312" w:hAnsi="宋体" w:eastAsia="仿宋_GB2312" w:cs="宋体"/>
          <w:color w:val="000000" w:themeColor="text1"/>
          <w:sz w:val="24"/>
          <w14:textFill>
            <w14:solidFill>
              <w14:schemeClr w14:val="tx1"/>
            </w14:solidFill>
          </w14:textFill>
        </w:rPr>
        <w:t xml:space="preserve"> ，从业人员</w:t>
      </w:r>
      <w:r>
        <w:rPr>
          <w:rFonts w:hint="eastAsia" w:ascii="仿宋_GB2312" w:hAnsi="宋体" w:eastAsia="仿宋_GB2312" w:cs="宋体"/>
          <w:color w:val="000000" w:themeColor="text1"/>
          <w:sz w:val="24"/>
          <w:u w:val="single"/>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人，营业收入为</w:t>
      </w:r>
      <w:r>
        <w:rPr>
          <w:rFonts w:hint="eastAsia" w:ascii="仿宋_GB2312" w:hAnsi="宋体" w:eastAsia="仿宋_GB2312" w:cs="宋体"/>
          <w:color w:val="000000" w:themeColor="text1"/>
          <w:sz w:val="24"/>
          <w:u w:val="single"/>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万元，资产总额为</w:t>
      </w:r>
      <w:r>
        <w:rPr>
          <w:rFonts w:hint="eastAsia" w:ascii="仿宋_GB2312" w:hAnsi="宋体" w:eastAsia="仿宋_GB2312" w:cs="宋体"/>
          <w:color w:val="000000" w:themeColor="text1"/>
          <w:sz w:val="24"/>
          <w:u w:val="single"/>
          <w14:textFill>
            <w14:solidFill>
              <w14:schemeClr w14:val="tx1"/>
            </w14:solidFill>
          </w14:textFill>
        </w:rPr>
        <w:t xml:space="preserve">    </w:t>
      </w:r>
      <w:r>
        <w:rPr>
          <w:rFonts w:hint="eastAsia" w:ascii="仿宋_GB2312" w:hAnsi="宋体" w:eastAsia="仿宋_GB2312" w:cs="宋体"/>
          <w:color w:val="000000" w:themeColor="text1"/>
          <w:sz w:val="24"/>
          <w14:textFill>
            <w14:solidFill>
              <w14:schemeClr w14:val="tx1"/>
            </w14:solidFill>
          </w14:textFill>
        </w:rPr>
        <w:t>万元，属于</w:t>
      </w:r>
      <w:r>
        <w:rPr>
          <w:rFonts w:hint="eastAsia" w:ascii="仿宋_GB2312" w:hAnsi="宋体" w:eastAsia="仿宋_GB2312" w:cs="宋体"/>
          <w:color w:val="000000" w:themeColor="text1"/>
          <w:sz w:val="24"/>
          <w:u w:val="single"/>
          <w14:textFill>
            <w14:solidFill>
              <w14:schemeClr w14:val="tx1"/>
            </w14:solidFill>
          </w14:textFill>
        </w:rPr>
        <w:t xml:space="preserve">   （中型企业、小型企业、微型企业三选一） </w:t>
      </w:r>
      <w:r>
        <w:rPr>
          <w:rFonts w:hint="eastAsia" w:ascii="仿宋_GB2312" w:hAnsi="宋体" w:eastAsia="仿宋_GB2312" w:cs="宋体"/>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本企业对上述声明内容的真实性负责。如有虚假，将依法承担相应责任。</w:t>
      </w:r>
    </w:p>
    <w:p>
      <w:pPr>
        <w:pStyle w:val="24"/>
        <w:rPr>
          <w:rFonts w:ascii="仿宋_GB2312" w:eastAsia="仿宋_GB2312"/>
          <w:color w:val="000000" w:themeColor="text1"/>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pStyle w:val="24"/>
        <w:rPr>
          <w:rFonts w:ascii="仿宋_GB2312" w:eastAsia="仿宋_GB2312"/>
          <w:color w:val="000000" w:themeColor="text1"/>
          <w14:textFill>
            <w14:solidFill>
              <w14:schemeClr w14:val="tx1"/>
            </w14:solidFill>
          </w14:textFill>
        </w:rPr>
      </w:pPr>
    </w:p>
    <w:p>
      <w:pPr>
        <w:spacing w:line="360" w:lineRule="auto"/>
        <w:jc w:val="left"/>
        <w:rPr>
          <w:rFonts w:ascii="仿宋_GB2312" w:hAnsi="宋体" w:eastAsia="仿宋_GB2312" w:cs="宋体"/>
          <w:b/>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rPr>
          <w:rFonts w:ascii="仿宋_GB2312" w:hAnsi="宋体" w:eastAsia="仿宋_GB2312" w:cs="宋体"/>
          <w:color w:val="000000" w:themeColor="text1"/>
          <w:szCs w:val="21"/>
          <w14:textFill>
            <w14:solidFill>
              <w14:schemeClr w14:val="tx1"/>
            </w14:solidFill>
          </w14:textFill>
        </w:rPr>
      </w:pPr>
      <w:r>
        <w:rPr>
          <w:rFonts w:hint="eastAsia" w:ascii="仿宋_GB2312" w:hAnsi="宋体" w:eastAsia="仿宋_GB2312" w:cs="宋体"/>
          <w:color w:val="000000" w:themeColor="text1"/>
          <w:szCs w:val="21"/>
          <w14:textFill>
            <w14:solidFill>
              <w14:schemeClr w14:val="tx1"/>
            </w14:solidFill>
          </w14:textFill>
        </w:rPr>
        <w:t>注：</w:t>
      </w:r>
    </w:p>
    <w:p>
      <w:pPr>
        <w:jc w:val="left"/>
        <w:rPr>
          <w:rFonts w:ascii="仿宋_GB2312" w:hAnsi="宋体" w:eastAsia="仿宋_GB2312" w:cs="宋体"/>
          <w:bCs/>
          <w:color w:val="000000" w:themeColor="text1"/>
          <w:szCs w:val="21"/>
          <w14:textFill>
            <w14:solidFill>
              <w14:schemeClr w14:val="tx1"/>
            </w14:solidFill>
          </w14:textFill>
        </w:rPr>
      </w:pPr>
      <w:bookmarkStart w:id="503" w:name="OLE_LINK14"/>
      <w:bookmarkStart w:id="504" w:name="OLE_LINK13"/>
      <w:r>
        <w:rPr>
          <w:rFonts w:hint="eastAsia" w:ascii="仿宋_GB2312" w:hAnsi="宋体" w:eastAsia="仿宋_GB2312" w:cs="宋体"/>
          <w:bCs/>
          <w:color w:val="000000" w:themeColor="text1"/>
          <w:szCs w:val="21"/>
          <w14:textFill>
            <w14:solidFill>
              <w14:schemeClr w14:val="tx1"/>
            </w14:solidFill>
          </w14:textFill>
        </w:rPr>
        <w:t>（1）响应供应商应按本格式提供并按要求填写，不得缺漏，其中①从业人员、营业收入、资产总额填报上一年度数据，无上一年度数据的新成立企业可不填报；②结合以上数据，依据《中小企业划型标准规定》（工信部联企业〔2011〕300号），在中型企业、小型企业、微型企业3种企业类型中确定其中一种企业类型填写。</w:t>
      </w:r>
    </w:p>
    <w:p>
      <w:pPr>
        <w:jc w:val="left"/>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2）依据《中小企业划型标准规定》（工信部联企业〔2011〕300号），租赁和商务服务业划型标准为：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w:t>
      </w:r>
    </w:p>
    <w:p>
      <w:pPr>
        <w:jc w:val="left"/>
        <w:rPr>
          <w:rFonts w:ascii="仿宋_GB2312" w:hAnsi="宋体" w:eastAsia="仿宋_GB2312" w:cs="宋体"/>
          <w:bCs/>
          <w:color w:val="000000" w:themeColor="text1"/>
          <w:szCs w:val="21"/>
          <w14:textFill>
            <w14:solidFill>
              <w14:schemeClr w14:val="tx1"/>
            </w14:solidFill>
          </w14:textFill>
        </w:rPr>
      </w:pPr>
      <w:r>
        <w:rPr>
          <w:rFonts w:hint="eastAsia" w:ascii="仿宋_GB2312" w:hAnsi="宋体" w:eastAsia="仿宋_GB2312" w:cs="宋体"/>
          <w:bCs/>
          <w:color w:val="000000" w:themeColor="text1"/>
          <w:szCs w:val="21"/>
          <w14:textFill>
            <w14:solidFill>
              <w14:schemeClr w14:val="tx1"/>
            </w14:solidFill>
          </w14:textFill>
        </w:rPr>
        <w:t>（3）符合《关于促进残疾人就业政府采购政策的通知》（财库〔2017〕141号）规定的条件并提供《残疾人福利性单位声明函》的残疾人福利性单位视同小型、微型企业；根据《关于政府采购支持监狱企业发展有关问题的通知》（财库[2014]68号）的规定，响应人提供由省级以上监狱管理局、戒毒管理局（含新疆生产建设兵团）出具的属于监狱企业证明文件的，视同为小型和微型企业。</w:t>
      </w:r>
    </w:p>
    <w:p>
      <w:pPr>
        <w:rPr>
          <w:rFonts w:ascii="仿宋_GB2312" w:hAnsi="宋体" w:eastAsia="仿宋_GB2312" w:cs="宋体"/>
          <w:b/>
          <w:color w:val="000000" w:themeColor="text1"/>
          <w:spacing w:val="6"/>
          <w:sz w:val="32"/>
          <w:szCs w:val="32"/>
          <w14:textFill>
            <w14:solidFill>
              <w14:schemeClr w14:val="tx1"/>
            </w14:solidFill>
          </w14:textFill>
        </w:rPr>
      </w:pPr>
      <w:r>
        <w:rPr>
          <w:rFonts w:hint="eastAsia" w:ascii="仿宋_GB2312" w:hAnsi="宋体" w:eastAsia="仿宋_GB2312" w:cs="宋体"/>
          <w:b/>
          <w:color w:val="000000" w:themeColor="text1"/>
          <w:spacing w:val="6"/>
          <w:sz w:val="32"/>
          <w:szCs w:val="32"/>
          <w14:textFill>
            <w14:solidFill>
              <w14:schemeClr w14:val="tx1"/>
            </w14:solidFill>
          </w14:textFill>
        </w:rPr>
        <w:br w:type="page"/>
      </w:r>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4、残疾人福利性单位声明函（如果有）</w:t>
      </w:r>
    </w:p>
    <w:bookmarkEnd w:id="503"/>
    <w:bookmarkEnd w:id="504"/>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141号）的规定，本单位为符合条件的残疾人福利性单位，且本单位参加丽水市公共资源交易中心的</w:t>
      </w:r>
      <w:r>
        <w:rPr>
          <w:rFonts w:hint="eastAsia" w:ascii="仿宋_GB2312" w:hAnsi="宋体" w:eastAsia="仿宋_GB2312" w:cs="宋体"/>
          <w:color w:val="000000" w:themeColor="text1"/>
          <w:kern w:val="0"/>
          <w:sz w:val="24"/>
          <w:u w:val="single"/>
          <w:lang w:val="zh-CN"/>
          <w14:textFill>
            <w14:solidFill>
              <w14:schemeClr w14:val="tx1"/>
            </w14:solidFill>
          </w14:textFill>
        </w:rPr>
        <w:t>2025-2026年度丽水市（市本级、莲都区、开发区、缙云县、云和县）审计服务封闭式框架协议采购项目（项目编号：</w:t>
      </w:r>
      <w:r>
        <w:rPr>
          <w:rFonts w:ascii="仿宋_GB2312" w:hAnsi="宋体" w:eastAsia="仿宋_GB2312" w:cs="宋体"/>
          <w:color w:val="000000" w:themeColor="text1"/>
          <w:kern w:val="0"/>
          <w:sz w:val="24"/>
          <w:u w:val="single"/>
          <w:lang w:val="zh-CN"/>
          <w14:textFill>
            <w14:solidFill>
              <w14:schemeClr w14:val="tx1"/>
            </w14:solidFill>
          </w14:textFill>
        </w:rPr>
        <w:t>LCK2024-003</w:t>
      </w:r>
      <w:r>
        <w:rPr>
          <w:rFonts w:hint="eastAsia" w:ascii="仿宋_GB2312" w:hAnsi="宋体" w:eastAsia="仿宋_GB2312" w:cs="宋体"/>
          <w:color w:val="000000" w:themeColor="text1"/>
          <w:kern w:val="0"/>
          <w:sz w:val="24"/>
          <w:u w:val="single"/>
          <w:lang w:val="zh-CN"/>
          <w14:textFill>
            <w14:solidFill>
              <w14:schemeClr w14:val="tx1"/>
            </w14:solidFill>
          </w14:textFill>
        </w:rPr>
        <w:t>）</w:t>
      </w:r>
      <w:r>
        <w:rPr>
          <w:rFonts w:hint="eastAsia" w:ascii="仿宋_GB2312" w:hAnsi="宋体" w:eastAsia="仿宋_GB2312" w:cs="宋体"/>
          <w:color w:val="000000" w:themeColor="text1"/>
          <w:sz w:val="24"/>
          <w14:textFill>
            <w14:solidFill>
              <w14:schemeClr w14:val="tx1"/>
            </w14:solidFill>
          </w14:textFill>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宋体" w:eastAsia="仿宋_GB2312" w:cs="宋体"/>
          <w:color w:val="000000" w:themeColor="text1"/>
          <w:sz w:val="24"/>
          <w14:textFill>
            <w14:solidFill>
              <w14:schemeClr w14:val="tx1"/>
            </w14:solidFill>
          </w14:textFill>
        </w:rPr>
      </w:pPr>
    </w:p>
    <w:p>
      <w:pPr>
        <w:spacing w:line="360" w:lineRule="auto"/>
        <w:ind w:firstLine="480" w:firstLineChars="200"/>
        <w:jc w:val="left"/>
        <w:rPr>
          <w:rFonts w:ascii="仿宋_GB2312" w:hAnsi="宋体" w:eastAsia="仿宋_GB2312" w:cs="宋体"/>
          <w:color w:val="000000" w:themeColor="text1"/>
          <w:sz w:val="24"/>
          <w14:textFill>
            <w14:solidFill>
              <w14:schemeClr w14:val="tx1"/>
            </w14:solidFill>
          </w14:textFill>
        </w:rPr>
      </w:pPr>
    </w:p>
    <w:p>
      <w:pPr>
        <w:wordWrap w:val="0"/>
        <w:snapToGrid w:val="0"/>
        <w:spacing w:line="360" w:lineRule="auto"/>
        <w:ind w:right="-1"/>
        <w:jc w:val="right"/>
        <w:rPr>
          <w:rFonts w:ascii="仿宋_GB2312" w:hAnsi="宋体" w:eastAsia="仿宋_GB2312" w:cs="宋体"/>
          <w:color w:val="000000" w:themeColor="text1"/>
          <w:kern w:val="0"/>
          <w:sz w:val="24"/>
          <w:lang w:val="zh-CN"/>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响应供应商名称(电子签名)： </w:t>
      </w:r>
      <w:r>
        <w:rPr>
          <w:rFonts w:ascii="仿宋_GB2312" w:hAnsi="宋体" w:eastAsia="仿宋_GB2312" w:cs="宋体"/>
          <w:color w:val="000000" w:themeColor="text1"/>
          <w:kern w:val="0"/>
          <w:sz w:val="24"/>
          <w:lang w:val="zh-CN"/>
          <w14:textFill>
            <w14:solidFill>
              <w14:schemeClr w14:val="tx1"/>
            </w14:solidFill>
          </w14:textFill>
        </w:rPr>
        <w:t xml:space="preserve">        </w:t>
      </w:r>
    </w:p>
    <w:p>
      <w:pPr>
        <w:wordWrap w:val="0"/>
        <w:snapToGrid w:val="0"/>
        <w:spacing w:line="360" w:lineRule="auto"/>
        <w:ind w:right="-1"/>
        <w:jc w:val="righ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lang w:val="zh-CN"/>
          <w14:textFill>
            <w14:solidFill>
              <w14:schemeClr w14:val="tx1"/>
            </w14:solidFill>
          </w14:textFill>
        </w:rPr>
        <w:t>日期</w:t>
      </w:r>
      <w:r>
        <w:rPr>
          <w:rFonts w:hint="eastAsia" w:ascii="仿宋_GB2312" w:hAnsi="宋体" w:eastAsia="仿宋_GB2312" w:cs="宋体"/>
          <w:color w:val="000000" w:themeColor="text1"/>
          <w:kern w:val="0"/>
          <w:sz w:val="24"/>
          <w14:textFill>
            <w14:solidFill>
              <w14:schemeClr w14:val="tx1"/>
            </w14:solidFill>
          </w14:textFill>
        </w:rPr>
        <w:t xml:space="preserve">：  年  </w:t>
      </w:r>
      <w:r>
        <w:rPr>
          <w:rFonts w:hint="eastAsia" w:ascii="仿宋_GB2312" w:hAnsi="宋体" w:eastAsia="仿宋_GB2312" w:cs="宋体"/>
          <w:color w:val="000000" w:themeColor="text1"/>
          <w:kern w:val="0"/>
          <w:sz w:val="24"/>
          <w:lang w:val="zh-CN"/>
          <w14:textFill>
            <w14:solidFill>
              <w14:schemeClr w14:val="tx1"/>
            </w14:solidFill>
          </w14:textFill>
        </w:rPr>
        <w:t>月</w:t>
      </w:r>
      <w:r>
        <w:rPr>
          <w:rFonts w:hint="eastAsia"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lang w:val="zh-CN"/>
          <w14:textFill>
            <w14:solidFill>
              <w14:schemeClr w14:val="tx1"/>
            </w14:solidFill>
          </w14:textFill>
        </w:rPr>
        <w:t xml:space="preserve">日 </w:t>
      </w:r>
      <w:r>
        <w:rPr>
          <w:rFonts w:ascii="仿宋_GB2312" w:hAnsi="宋体" w:eastAsia="仿宋_GB2312" w:cs="宋体"/>
          <w:color w:val="000000" w:themeColor="text1"/>
          <w:kern w:val="0"/>
          <w:sz w:val="24"/>
          <w:lang w:val="zh-CN"/>
          <w14:textFill>
            <w14:solidFill>
              <w14:schemeClr w14:val="tx1"/>
            </w14:solidFill>
          </w14:textFill>
        </w:rPr>
        <w:t xml:space="preserve">          </w:t>
      </w:r>
    </w:p>
    <w:p>
      <w:pPr>
        <w:pStyle w:val="26"/>
        <w:ind w:firstLine="420"/>
        <w:rPr>
          <w:rFonts w:ascii="仿宋_GB2312" w:eastAsia="仿宋_GB2312"/>
          <w:color w:val="000000" w:themeColor="text1"/>
          <w14:textFill>
            <w14:solidFill>
              <w14:schemeClr w14:val="tx1"/>
            </w14:solidFill>
          </w14:textFill>
        </w:rPr>
      </w:pPr>
    </w:p>
    <w:p>
      <w:pPr>
        <w:spacing w:line="360" w:lineRule="auto"/>
        <w:jc w:val="center"/>
        <w:rPr>
          <w:rFonts w:ascii="仿宋_GB2312" w:hAnsi="宋体" w:eastAsia="仿宋_GB2312" w:cs="宋体"/>
          <w:b/>
          <w:color w:val="000000" w:themeColor="text1"/>
          <w:spacing w:val="6"/>
          <w:sz w:val="32"/>
          <w:szCs w:val="32"/>
          <w14:textFill>
            <w14:solidFill>
              <w14:schemeClr w14:val="tx1"/>
            </w14:solidFill>
          </w14:textFill>
        </w:rPr>
      </w:pPr>
    </w:p>
    <w:p>
      <w:pPr>
        <w:snapToGrid w:val="0"/>
        <w:spacing w:line="360" w:lineRule="auto"/>
        <w:jc w:val="center"/>
        <w:outlineLvl w:val="1"/>
        <w:rPr>
          <w:rFonts w:ascii="仿宋_GB2312" w:hAnsi="宋体" w:eastAsia="仿宋_GB2312" w:cs="宋体"/>
          <w:b/>
          <w:color w:val="000000" w:themeColor="text1"/>
          <w:spacing w:val="6"/>
          <w:sz w:val="32"/>
          <w:szCs w:val="32"/>
          <w14:textFill>
            <w14:solidFill>
              <w14:schemeClr w14:val="tx1"/>
            </w14:solidFill>
          </w14:textFill>
        </w:rPr>
        <w:sectPr>
          <w:footerReference r:id="rId17" w:type="first"/>
          <w:footerReference r:id="rId16" w:type="default"/>
          <w:pgSz w:w="11906" w:h="16838"/>
          <w:pgMar w:top="1276" w:right="1417" w:bottom="1247" w:left="1417" w:header="851" w:footer="992" w:gutter="0"/>
          <w:cols w:space="0" w:num="1"/>
          <w:titlePg/>
          <w:docGrid w:linePitch="312" w:charSpace="0"/>
        </w:sectPr>
      </w:pPr>
    </w:p>
    <w:p>
      <w:pPr>
        <w:snapToGrid w:val="0"/>
        <w:spacing w:line="360" w:lineRule="auto"/>
        <w:jc w:val="center"/>
        <w:outlineLvl w:val="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5、监狱企业证明（如果有）</w:t>
      </w:r>
    </w:p>
    <w:p>
      <w:pPr>
        <w:pStyle w:val="5"/>
        <w:spacing w:line="360" w:lineRule="auto"/>
        <w:ind w:firstLine="0"/>
        <w:jc w:val="center"/>
        <w:rPr>
          <w:rFonts w:ascii="仿宋_GB2312" w:eastAsia="仿宋_GB2312"/>
          <w:color w:val="auto"/>
          <w:sz w:val="24"/>
          <w:szCs w:val="24"/>
        </w:rPr>
      </w:pPr>
    </w:p>
    <w:p>
      <w:pPr>
        <w:pStyle w:val="5"/>
        <w:spacing w:line="360" w:lineRule="auto"/>
        <w:ind w:firstLine="562" w:firstLineChars="200"/>
        <w:jc w:val="left"/>
        <w:rPr>
          <w:rFonts w:ascii="仿宋_GB2312" w:eastAsia="仿宋_GB2312"/>
          <w:color w:val="auto"/>
          <w:szCs w:val="28"/>
        </w:rPr>
      </w:pPr>
      <w:r>
        <w:rPr>
          <w:rFonts w:hint="eastAsia" w:ascii="仿宋_GB2312" w:eastAsia="仿宋_GB2312"/>
          <w:b/>
          <w:color w:val="auto"/>
          <w:szCs w:val="28"/>
        </w:rPr>
        <w:t>注：</w:t>
      </w:r>
      <w:r>
        <w:rPr>
          <w:rFonts w:hint="eastAsia" w:ascii="仿宋_GB2312" w:eastAsia="仿宋_GB2312"/>
          <w:color w:val="auto"/>
          <w:szCs w:val="28"/>
        </w:rPr>
        <w:t>须提供省级以上监狱管理局、戒毒管理局（含新疆生产建设兵团）出具的属于监狱企业的证明文件</w:t>
      </w:r>
    </w:p>
    <w:p>
      <w:pPr>
        <w:rPr>
          <w:rFonts w:ascii="仿宋_GB2312" w:eastAsia="仿宋_GB2312"/>
          <w:color w:val="000000" w:themeColor="text1"/>
          <w14:textFill>
            <w14:solidFill>
              <w14:schemeClr w14:val="tx1"/>
            </w14:solidFill>
          </w14:textFill>
        </w:rPr>
      </w:pPr>
    </w:p>
    <w:sectPr>
      <w:footerReference r:id="rId19" w:type="first"/>
      <w:footerReference r:id="rId18" w:type="default"/>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41"/>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mziA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kmziAPAgAACQQAAA4AAAAAAAAAAQAgAAAA&#10;HwEAAGRycy9lMm9Eb2MueG1sUEsFBgAAAAAGAAYAWQEAAKAFA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rnWAR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YWudYBECAAAJBAAADgAAAAAAAAABACAA&#10;AAAfAQAAZHJzL2Uyb0RvYy54bWxQSwUGAAAAAAYABgBZAQAAogU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5ip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gR7NFHZ0+vH99PP36dc3Ah8Iaq2fIW9jkRm6d6bDoge/hzPO&#10;3VVOxS8mIogD63ihV3SB8HhpOplOc4Q4YsMP8LOn69b58F4YRaJRUIf9JVrZYe1DnzqkxGrarBop&#10;0w6lJm1Br6/e5unCJQJwqVEjDtE3G63QbbvzZFtTHjGYM702vOWrBsXXzIcH5iAGNAyBh3sclTQo&#10;Ys4WJbVxX//mj/nYEaKUtBBXQTXUT4n8oLE7AIbBcIOxHQy9V7cGah3j4Vie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OYqXEAIAAAkEAAAOAAAAAAAAAAEAIAAA&#10;AB8BAABkcnMvZTJvRG9jLnhtbFBLBQYAAAAABgAGAFkBAAChBQ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02dc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1dNnXEAIAAAkEAAAOAAAAAAAAAAEAIAAA&#10;AB8BAABkcnMvZTJvRG9jLnhtbFBLBQYAAAAABgAGAFkBAAChBQ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59264" behindDoc="0" locked="0" layoutInCell="1" allowOverlap="1">
              <wp:simplePos x="0" y="0"/>
              <wp:positionH relativeFrom="margin">
                <wp:posOffset>1988820</wp:posOffset>
              </wp:positionH>
              <wp:positionV relativeFrom="paragraph">
                <wp:posOffset>3175</wp:posOffset>
              </wp:positionV>
              <wp:extent cx="1828800" cy="1828800"/>
              <wp:effectExtent l="0" t="0" r="0" b="5715"/>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0257344"/>
                          </w:sdtPr>
                          <w:sdtEndPr>
                            <w:rPr>
                              <w:rFonts w:hint="eastAsia" w:ascii="仿宋_GB2312" w:eastAsia="仿宋_GB2312"/>
                              <w:sz w:val="24"/>
                              <w:szCs w:val="24"/>
                            </w:rPr>
                          </w:sdtEndPr>
                          <w:sdtContent>
                            <w:p>
                              <w:pPr>
                                <w:pStyle w:val="41"/>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54</w:t>
                              </w:r>
                              <w:r>
                                <w:rPr>
                                  <w:rFonts w:hint="eastAsia" w:ascii="仿宋_GB2312" w:eastAsia="仿宋_GB2312"/>
                                  <w:sz w:val="24"/>
                                  <w:szCs w:val="24"/>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6.6pt;margin-top:0.25pt;height:144pt;width:144pt;mso-position-horizontal-relative:margin;z-index:251659264;mso-width-relative:page;mso-height-relative:page;" filled="f" stroked="f" coordsize="21600,21600" o:gfxdata="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SR7LDXAAAACAEAAA8AAAAAAAAA&#10;AQAgAAAAIgAAAGRycy9kb3ducmV2LnhtbFBLAQIUABQAAAAIAIdO4kDPAV8DEgIAAAkEAAAOAAAA&#10;AAAAAAEAIAAAACYBAABkcnMvZTJvRG9jLnhtbFBLBQYAAAAABgAGAFkBAACqBQAAAAA=&#10;">
              <v:fill on="f" focussize="0,0"/>
              <v:stroke on="f" weight="0.5pt"/>
              <v:imagedata o:title=""/>
              <o:lock v:ext="edit" aspectratio="f"/>
              <v:textbox inset="0mm,0mm,0mm,0mm" style="mso-fit-shape-to-text:t;">
                <w:txbxContent>
                  <w:sdt>
                    <w:sdtPr>
                      <w:id w:val="650257344"/>
                    </w:sdtPr>
                    <w:sdtEndPr>
                      <w:rPr>
                        <w:rFonts w:hint="eastAsia" w:ascii="仿宋_GB2312" w:eastAsia="仿宋_GB2312"/>
                        <w:sz w:val="24"/>
                        <w:szCs w:val="24"/>
                      </w:rPr>
                    </w:sdtEndPr>
                    <w:sdtContent>
                      <w:p>
                        <w:pPr>
                          <w:pStyle w:val="41"/>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54</w:t>
                        </w:r>
                        <w:r>
                          <w:rPr>
                            <w:rFonts w:hint="eastAsia" w:ascii="仿宋_GB2312" w:eastAsia="仿宋_GB2312"/>
                            <w:sz w:val="24"/>
                            <w:szCs w:val="24"/>
                          </w:rPr>
                          <w:fldChar w:fldCharType="end"/>
                        </w:r>
                      </w:p>
                    </w:sdtContent>
                  </w:sdt>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56</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4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884E0"/>
    <w:multiLevelType w:val="singleLevel"/>
    <w:tmpl w:val="88E884E0"/>
    <w:lvl w:ilvl="0" w:tentative="0">
      <w:start w:val="3"/>
      <w:numFmt w:val="chineseCounting"/>
      <w:suff w:val="nothing"/>
      <w:lvlText w:val="%1、"/>
      <w:lvlJc w:val="left"/>
      <w:rPr>
        <w:rFonts w:hint="eastAsia"/>
      </w:rPr>
    </w:lvl>
  </w:abstractNum>
  <w:abstractNum w:abstractNumId="1">
    <w:nsid w:val="AF2E4005"/>
    <w:multiLevelType w:val="singleLevel"/>
    <w:tmpl w:val="AF2E4005"/>
    <w:lvl w:ilvl="0" w:tentative="0">
      <w:start w:val="1"/>
      <w:numFmt w:val="decimal"/>
      <w:suff w:val="space"/>
      <w:lvlText w:val="%1."/>
      <w:lvlJc w:val="left"/>
    </w:lvl>
  </w:abstractNum>
  <w:abstractNum w:abstractNumId="2">
    <w:nsid w:val="18BD9F24"/>
    <w:multiLevelType w:val="singleLevel"/>
    <w:tmpl w:val="18BD9F24"/>
    <w:lvl w:ilvl="0" w:tentative="0">
      <w:start w:val="2"/>
      <w:numFmt w:val="decimal"/>
      <w:suff w:val="nothing"/>
      <w:lvlText w:val="%1、"/>
      <w:lvlJc w:val="left"/>
    </w:lvl>
  </w:abstractNum>
  <w:abstractNum w:abstractNumId="3">
    <w:nsid w:val="35464F78"/>
    <w:multiLevelType w:val="singleLevel"/>
    <w:tmpl w:val="35464F78"/>
    <w:lvl w:ilvl="0" w:tentative="0">
      <w:start w:val="1"/>
      <w:numFmt w:val="chineseCounting"/>
      <w:suff w:val="nothing"/>
      <w:lvlText w:val="%1、"/>
      <w:lvlJc w:val="left"/>
      <w:rPr>
        <w:rFonts w:hint="eastAsia"/>
      </w:rPr>
    </w:lvl>
  </w:abstractNum>
  <w:abstractNum w:abstractNumId="4">
    <w:nsid w:val="57922480"/>
    <w:multiLevelType w:val="singleLevel"/>
    <w:tmpl w:val="57922480"/>
    <w:lvl w:ilvl="0" w:tentative="0">
      <w:start w:val="1"/>
      <w:numFmt w:val="decimal"/>
      <w:suff w:val="space"/>
      <w:lvlText w:val="%1."/>
      <w:lvlJc w:val="left"/>
    </w:lvl>
  </w:abstractNum>
  <w:abstractNum w:abstractNumId="5">
    <w:nsid w:val="7C38F0F2"/>
    <w:multiLevelType w:val="singleLevel"/>
    <w:tmpl w:val="7C38F0F2"/>
    <w:lvl w:ilvl="0" w:tentative="0">
      <w:start w:val="2"/>
      <w:numFmt w:val="decimal"/>
      <w:suff w:val="space"/>
      <w:lvlText w:val="%1."/>
      <w:lvlJc w:val="left"/>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ZDI0NGJmODcxZTZhM2EyYTYwYTJkOTBmOTdiMD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5EE"/>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465"/>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0A1"/>
    <w:rsid w:val="000A1A52"/>
    <w:rsid w:val="000A1F98"/>
    <w:rsid w:val="000A291F"/>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F4"/>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59"/>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79B"/>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94F"/>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D5B"/>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390"/>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88"/>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986"/>
    <w:rsid w:val="001A4ED9"/>
    <w:rsid w:val="001A5785"/>
    <w:rsid w:val="001A59E7"/>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9FE"/>
    <w:rsid w:val="001B7A15"/>
    <w:rsid w:val="001B7B69"/>
    <w:rsid w:val="001B7DC1"/>
    <w:rsid w:val="001C08DB"/>
    <w:rsid w:val="001C10BD"/>
    <w:rsid w:val="001C1F01"/>
    <w:rsid w:val="001C2036"/>
    <w:rsid w:val="001C2092"/>
    <w:rsid w:val="001C232F"/>
    <w:rsid w:val="001C2544"/>
    <w:rsid w:val="001C2A17"/>
    <w:rsid w:val="001C31F5"/>
    <w:rsid w:val="001C35BF"/>
    <w:rsid w:val="001C46F0"/>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D6D"/>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6A30"/>
    <w:rsid w:val="002C70E7"/>
    <w:rsid w:val="002D0C27"/>
    <w:rsid w:val="002D0E88"/>
    <w:rsid w:val="002D0EA7"/>
    <w:rsid w:val="002D0F31"/>
    <w:rsid w:val="002D13B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887"/>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09"/>
    <w:rsid w:val="00306AD6"/>
    <w:rsid w:val="003077F4"/>
    <w:rsid w:val="00307DC7"/>
    <w:rsid w:val="00307FF2"/>
    <w:rsid w:val="00310EDB"/>
    <w:rsid w:val="00311C51"/>
    <w:rsid w:val="00311D56"/>
    <w:rsid w:val="00312016"/>
    <w:rsid w:val="00312340"/>
    <w:rsid w:val="00312DFC"/>
    <w:rsid w:val="0031318C"/>
    <w:rsid w:val="00313C9D"/>
    <w:rsid w:val="00313D14"/>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21"/>
    <w:rsid w:val="00327B71"/>
    <w:rsid w:val="003309EC"/>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0C31"/>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C8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E9C"/>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4FF0"/>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4A7"/>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42"/>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71"/>
    <w:rsid w:val="00540EE7"/>
    <w:rsid w:val="00541A22"/>
    <w:rsid w:val="00541EAD"/>
    <w:rsid w:val="005424C2"/>
    <w:rsid w:val="005426B2"/>
    <w:rsid w:val="00543519"/>
    <w:rsid w:val="00543640"/>
    <w:rsid w:val="00544019"/>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057"/>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6A3"/>
    <w:rsid w:val="005D4854"/>
    <w:rsid w:val="005D5BCF"/>
    <w:rsid w:val="005D65BF"/>
    <w:rsid w:val="005D6D84"/>
    <w:rsid w:val="005D70A1"/>
    <w:rsid w:val="005D79F2"/>
    <w:rsid w:val="005D7CB1"/>
    <w:rsid w:val="005D7F57"/>
    <w:rsid w:val="005E0067"/>
    <w:rsid w:val="005E0141"/>
    <w:rsid w:val="005E014B"/>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68"/>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075AE"/>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31F"/>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DC3"/>
    <w:rsid w:val="00686E80"/>
    <w:rsid w:val="0068790B"/>
    <w:rsid w:val="00687AF2"/>
    <w:rsid w:val="006901AC"/>
    <w:rsid w:val="00690C8D"/>
    <w:rsid w:val="00691890"/>
    <w:rsid w:val="00691AAD"/>
    <w:rsid w:val="00692416"/>
    <w:rsid w:val="00692AFF"/>
    <w:rsid w:val="00692D2D"/>
    <w:rsid w:val="00693166"/>
    <w:rsid w:val="00693A80"/>
    <w:rsid w:val="00693B73"/>
    <w:rsid w:val="0069441C"/>
    <w:rsid w:val="006945A1"/>
    <w:rsid w:val="00694A53"/>
    <w:rsid w:val="006952DE"/>
    <w:rsid w:val="00695985"/>
    <w:rsid w:val="00695C78"/>
    <w:rsid w:val="00695E6C"/>
    <w:rsid w:val="00695EAC"/>
    <w:rsid w:val="00696C79"/>
    <w:rsid w:val="00696F9D"/>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AEB"/>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1854"/>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D6A"/>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9D2"/>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48"/>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62B"/>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BC4"/>
    <w:rsid w:val="00735D53"/>
    <w:rsid w:val="0073618A"/>
    <w:rsid w:val="007364A3"/>
    <w:rsid w:val="00736740"/>
    <w:rsid w:val="007370BE"/>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32C"/>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D9F"/>
    <w:rsid w:val="00783959"/>
    <w:rsid w:val="00783BA5"/>
    <w:rsid w:val="007844A9"/>
    <w:rsid w:val="00785091"/>
    <w:rsid w:val="0078638C"/>
    <w:rsid w:val="007869F9"/>
    <w:rsid w:val="00786CBB"/>
    <w:rsid w:val="00786E21"/>
    <w:rsid w:val="0079038E"/>
    <w:rsid w:val="00790EBB"/>
    <w:rsid w:val="00791C6E"/>
    <w:rsid w:val="007921F7"/>
    <w:rsid w:val="007928E3"/>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CCB"/>
    <w:rsid w:val="007E41A4"/>
    <w:rsid w:val="007E43E3"/>
    <w:rsid w:val="007E52DF"/>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4F35"/>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E8"/>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654"/>
    <w:rsid w:val="00934C8E"/>
    <w:rsid w:val="00935194"/>
    <w:rsid w:val="0093545F"/>
    <w:rsid w:val="00936EA5"/>
    <w:rsid w:val="00937114"/>
    <w:rsid w:val="0094015D"/>
    <w:rsid w:val="00940916"/>
    <w:rsid w:val="009412B7"/>
    <w:rsid w:val="00941B13"/>
    <w:rsid w:val="0094215C"/>
    <w:rsid w:val="00942F8E"/>
    <w:rsid w:val="00943543"/>
    <w:rsid w:val="009441DB"/>
    <w:rsid w:val="00944834"/>
    <w:rsid w:val="00945E7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B2"/>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2D"/>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624"/>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198"/>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847"/>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2E4"/>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C61"/>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648"/>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84B"/>
    <w:rsid w:val="00B24BE9"/>
    <w:rsid w:val="00B2551D"/>
    <w:rsid w:val="00B25BF5"/>
    <w:rsid w:val="00B25F8C"/>
    <w:rsid w:val="00B260BE"/>
    <w:rsid w:val="00B26129"/>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436"/>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8B0"/>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1C9"/>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A1B"/>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A32"/>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0CF"/>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298"/>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804"/>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819"/>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1AD"/>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1F7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7E3"/>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085"/>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614"/>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DF"/>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82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4EB"/>
    <w:rsid w:val="00DF6FD2"/>
    <w:rsid w:val="00DF72EF"/>
    <w:rsid w:val="00DF743D"/>
    <w:rsid w:val="00DF7724"/>
    <w:rsid w:val="00E000D8"/>
    <w:rsid w:val="00E00300"/>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671"/>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D4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EC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84B"/>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F2B"/>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68F"/>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E7DF3"/>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33707"/>
    <w:rsid w:val="01956A52"/>
    <w:rsid w:val="019B3E2D"/>
    <w:rsid w:val="019F7441"/>
    <w:rsid w:val="01A77BA5"/>
    <w:rsid w:val="01B37585"/>
    <w:rsid w:val="01BC35F1"/>
    <w:rsid w:val="01D55165"/>
    <w:rsid w:val="01DF6BF8"/>
    <w:rsid w:val="01EC2C57"/>
    <w:rsid w:val="02025461"/>
    <w:rsid w:val="025F0711"/>
    <w:rsid w:val="026B2E25"/>
    <w:rsid w:val="02824D4D"/>
    <w:rsid w:val="02C779CD"/>
    <w:rsid w:val="02DC4B10"/>
    <w:rsid w:val="02DD76CE"/>
    <w:rsid w:val="02F36323"/>
    <w:rsid w:val="02F5619C"/>
    <w:rsid w:val="03214425"/>
    <w:rsid w:val="0326446A"/>
    <w:rsid w:val="032D5555"/>
    <w:rsid w:val="03337C91"/>
    <w:rsid w:val="036634D2"/>
    <w:rsid w:val="03DD35E4"/>
    <w:rsid w:val="04076900"/>
    <w:rsid w:val="04107F68"/>
    <w:rsid w:val="041A5A3B"/>
    <w:rsid w:val="042311BA"/>
    <w:rsid w:val="042B157A"/>
    <w:rsid w:val="048F763B"/>
    <w:rsid w:val="049F330E"/>
    <w:rsid w:val="04AA775C"/>
    <w:rsid w:val="04AF1889"/>
    <w:rsid w:val="04F66F48"/>
    <w:rsid w:val="05251E14"/>
    <w:rsid w:val="05882122"/>
    <w:rsid w:val="05A16594"/>
    <w:rsid w:val="05A7762D"/>
    <w:rsid w:val="05D325E6"/>
    <w:rsid w:val="060E5941"/>
    <w:rsid w:val="06110FAF"/>
    <w:rsid w:val="06493CA7"/>
    <w:rsid w:val="065679BD"/>
    <w:rsid w:val="065A6178"/>
    <w:rsid w:val="06652371"/>
    <w:rsid w:val="066F1CF3"/>
    <w:rsid w:val="06930BB8"/>
    <w:rsid w:val="06CB49BC"/>
    <w:rsid w:val="07245D42"/>
    <w:rsid w:val="07264C62"/>
    <w:rsid w:val="076F17EB"/>
    <w:rsid w:val="0779354C"/>
    <w:rsid w:val="07984074"/>
    <w:rsid w:val="07B462B6"/>
    <w:rsid w:val="07BC60B3"/>
    <w:rsid w:val="07C748F7"/>
    <w:rsid w:val="08061376"/>
    <w:rsid w:val="080F2686"/>
    <w:rsid w:val="081447CD"/>
    <w:rsid w:val="08316AA1"/>
    <w:rsid w:val="083C719F"/>
    <w:rsid w:val="08452D77"/>
    <w:rsid w:val="086401F8"/>
    <w:rsid w:val="08751CAA"/>
    <w:rsid w:val="087B41C0"/>
    <w:rsid w:val="087E4C40"/>
    <w:rsid w:val="0886765E"/>
    <w:rsid w:val="08A54D99"/>
    <w:rsid w:val="08A871D0"/>
    <w:rsid w:val="08C26051"/>
    <w:rsid w:val="08D66AD6"/>
    <w:rsid w:val="08D67CB8"/>
    <w:rsid w:val="08DA33A3"/>
    <w:rsid w:val="08E80F13"/>
    <w:rsid w:val="092959CA"/>
    <w:rsid w:val="09335624"/>
    <w:rsid w:val="0944690F"/>
    <w:rsid w:val="09535675"/>
    <w:rsid w:val="095F057D"/>
    <w:rsid w:val="09642282"/>
    <w:rsid w:val="09733572"/>
    <w:rsid w:val="09772C16"/>
    <w:rsid w:val="098353B5"/>
    <w:rsid w:val="098D6D9A"/>
    <w:rsid w:val="09937165"/>
    <w:rsid w:val="09A92330"/>
    <w:rsid w:val="09B06B87"/>
    <w:rsid w:val="09C13146"/>
    <w:rsid w:val="09E04166"/>
    <w:rsid w:val="09EF1572"/>
    <w:rsid w:val="0A1C0718"/>
    <w:rsid w:val="0A3E7710"/>
    <w:rsid w:val="0A5B7E63"/>
    <w:rsid w:val="0AA374A5"/>
    <w:rsid w:val="0AAB7649"/>
    <w:rsid w:val="0ABC5606"/>
    <w:rsid w:val="0AD11E75"/>
    <w:rsid w:val="0AE7233C"/>
    <w:rsid w:val="0B30404E"/>
    <w:rsid w:val="0B4C6C14"/>
    <w:rsid w:val="0B547599"/>
    <w:rsid w:val="0B631A88"/>
    <w:rsid w:val="0B683D45"/>
    <w:rsid w:val="0B7F3F11"/>
    <w:rsid w:val="0B8717C5"/>
    <w:rsid w:val="0B884417"/>
    <w:rsid w:val="0BF6188C"/>
    <w:rsid w:val="0BF73C91"/>
    <w:rsid w:val="0C170175"/>
    <w:rsid w:val="0C571A41"/>
    <w:rsid w:val="0C5A68DC"/>
    <w:rsid w:val="0C5C1171"/>
    <w:rsid w:val="0C5E1CBC"/>
    <w:rsid w:val="0C615B50"/>
    <w:rsid w:val="0C8445DA"/>
    <w:rsid w:val="0C87121B"/>
    <w:rsid w:val="0CAE7625"/>
    <w:rsid w:val="0CBA526C"/>
    <w:rsid w:val="0CC007F7"/>
    <w:rsid w:val="0CC617AC"/>
    <w:rsid w:val="0CE618DF"/>
    <w:rsid w:val="0CFE707A"/>
    <w:rsid w:val="0D003763"/>
    <w:rsid w:val="0D063BDA"/>
    <w:rsid w:val="0D08375F"/>
    <w:rsid w:val="0D184CFB"/>
    <w:rsid w:val="0D4A7419"/>
    <w:rsid w:val="0D617DEA"/>
    <w:rsid w:val="0D827401"/>
    <w:rsid w:val="0D84094E"/>
    <w:rsid w:val="0D8A00E9"/>
    <w:rsid w:val="0D8D589E"/>
    <w:rsid w:val="0DA01C73"/>
    <w:rsid w:val="0DD63300"/>
    <w:rsid w:val="0DD84FC2"/>
    <w:rsid w:val="0DF50604"/>
    <w:rsid w:val="0DF702FE"/>
    <w:rsid w:val="0E060E51"/>
    <w:rsid w:val="0E507C83"/>
    <w:rsid w:val="0E554872"/>
    <w:rsid w:val="0E5604B2"/>
    <w:rsid w:val="0E661A42"/>
    <w:rsid w:val="0E6D5D79"/>
    <w:rsid w:val="0E7B101B"/>
    <w:rsid w:val="0E807E47"/>
    <w:rsid w:val="0E9D0089"/>
    <w:rsid w:val="0EB803EE"/>
    <w:rsid w:val="0EC70101"/>
    <w:rsid w:val="0EF94D4B"/>
    <w:rsid w:val="0F39441C"/>
    <w:rsid w:val="0F4958DC"/>
    <w:rsid w:val="0F515DF7"/>
    <w:rsid w:val="0F596BA8"/>
    <w:rsid w:val="0F6248D2"/>
    <w:rsid w:val="0F693536"/>
    <w:rsid w:val="0F7B0511"/>
    <w:rsid w:val="0F7B76D9"/>
    <w:rsid w:val="0F816ACD"/>
    <w:rsid w:val="0F9832DB"/>
    <w:rsid w:val="0FBF3FD2"/>
    <w:rsid w:val="0FBF7FF3"/>
    <w:rsid w:val="0FC318D4"/>
    <w:rsid w:val="0FF3501A"/>
    <w:rsid w:val="10086339"/>
    <w:rsid w:val="10241C6E"/>
    <w:rsid w:val="10635C65"/>
    <w:rsid w:val="10646583"/>
    <w:rsid w:val="10652117"/>
    <w:rsid w:val="107D4B15"/>
    <w:rsid w:val="108A3C80"/>
    <w:rsid w:val="10C26171"/>
    <w:rsid w:val="10F33360"/>
    <w:rsid w:val="10FC16EA"/>
    <w:rsid w:val="1107104B"/>
    <w:rsid w:val="110F1D40"/>
    <w:rsid w:val="11266F33"/>
    <w:rsid w:val="11325560"/>
    <w:rsid w:val="11551426"/>
    <w:rsid w:val="118963A1"/>
    <w:rsid w:val="11C6522A"/>
    <w:rsid w:val="11D519EE"/>
    <w:rsid w:val="11E104CC"/>
    <w:rsid w:val="11E20309"/>
    <w:rsid w:val="12255233"/>
    <w:rsid w:val="12530213"/>
    <w:rsid w:val="12685E91"/>
    <w:rsid w:val="12696E37"/>
    <w:rsid w:val="127723A9"/>
    <w:rsid w:val="12862074"/>
    <w:rsid w:val="12883966"/>
    <w:rsid w:val="129053E2"/>
    <w:rsid w:val="129E45B4"/>
    <w:rsid w:val="12D0140E"/>
    <w:rsid w:val="12D81596"/>
    <w:rsid w:val="13072A44"/>
    <w:rsid w:val="13210D47"/>
    <w:rsid w:val="135F4BE2"/>
    <w:rsid w:val="139B1A0A"/>
    <w:rsid w:val="139D25C7"/>
    <w:rsid w:val="13B14F39"/>
    <w:rsid w:val="13BF3CE4"/>
    <w:rsid w:val="13DC2D78"/>
    <w:rsid w:val="141008D8"/>
    <w:rsid w:val="14125FE6"/>
    <w:rsid w:val="14171240"/>
    <w:rsid w:val="14316C17"/>
    <w:rsid w:val="14327E28"/>
    <w:rsid w:val="146B4764"/>
    <w:rsid w:val="146D271E"/>
    <w:rsid w:val="14982588"/>
    <w:rsid w:val="149A5AD9"/>
    <w:rsid w:val="14A7619D"/>
    <w:rsid w:val="14DD26BC"/>
    <w:rsid w:val="150536C3"/>
    <w:rsid w:val="150C1963"/>
    <w:rsid w:val="151447A0"/>
    <w:rsid w:val="153656F6"/>
    <w:rsid w:val="153E18E4"/>
    <w:rsid w:val="154A6454"/>
    <w:rsid w:val="155E1B8A"/>
    <w:rsid w:val="15762120"/>
    <w:rsid w:val="157F5C94"/>
    <w:rsid w:val="15907BCF"/>
    <w:rsid w:val="159E1315"/>
    <w:rsid w:val="1612088F"/>
    <w:rsid w:val="16151153"/>
    <w:rsid w:val="164756E1"/>
    <w:rsid w:val="16786886"/>
    <w:rsid w:val="16A8729C"/>
    <w:rsid w:val="16B33777"/>
    <w:rsid w:val="16BC70A7"/>
    <w:rsid w:val="16C6339E"/>
    <w:rsid w:val="16C67124"/>
    <w:rsid w:val="16CA0E7E"/>
    <w:rsid w:val="172F2D79"/>
    <w:rsid w:val="17557BEF"/>
    <w:rsid w:val="17AD0D71"/>
    <w:rsid w:val="17D349C1"/>
    <w:rsid w:val="1830729E"/>
    <w:rsid w:val="1870062C"/>
    <w:rsid w:val="18817102"/>
    <w:rsid w:val="18830A15"/>
    <w:rsid w:val="18852B28"/>
    <w:rsid w:val="188712AE"/>
    <w:rsid w:val="188B5321"/>
    <w:rsid w:val="18B352B0"/>
    <w:rsid w:val="19932372"/>
    <w:rsid w:val="19A20DD5"/>
    <w:rsid w:val="19AE03F1"/>
    <w:rsid w:val="19B3645C"/>
    <w:rsid w:val="19E219A9"/>
    <w:rsid w:val="1A071A03"/>
    <w:rsid w:val="1A1F16AE"/>
    <w:rsid w:val="1A3B5C77"/>
    <w:rsid w:val="1A984BAD"/>
    <w:rsid w:val="1AB8220E"/>
    <w:rsid w:val="1AE4166C"/>
    <w:rsid w:val="1AF06CFB"/>
    <w:rsid w:val="1AF11B8D"/>
    <w:rsid w:val="1B11359C"/>
    <w:rsid w:val="1B2A271F"/>
    <w:rsid w:val="1B505038"/>
    <w:rsid w:val="1B530544"/>
    <w:rsid w:val="1B6006CE"/>
    <w:rsid w:val="1B713184"/>
    <w:rsid w:val="1BA209CF"/>
    <w:rsid w:val="1BB4777D"/>
    <w:rsid w:val="1BBB0E29"/>
    <w:rsid w:val="1BD75AB8"/>
    <w:rsid w:val="1C0459C2"/>
    <w:rsid w:val="1C1B3B4A"/>
    <w:rsid w:val="1C40720A"/>
    <w:rsid w:val="1C88086E"/>
    <w:rsid w:val="1C943804"/>
    <w:rsid w:val="1D266CE1"/>
    <w:rsid w:val="1D3963AF"/>
    <w:rsid w:val="1D3F35B6"/>
    <w:rsid w:val="1D6A673C"/>
    <w:rsid w:val="1D9247AE"/>
    <w:rsid w:val="1DB567EC"/>
    <w:rsid w:val="1DBB0E8E"/>
    <w:rsid w:val="1DF51A98"/>
    <w:rsid w:val="1E3D060F"/>
    <w:rsid w:val="1E3F7D2E"/>
    <w:rsid w:val="1E4134E4"/>
    <w:rsid w:val="1E5062B3"/>
    <w:rsid w:val="1E51479D"/>
    <w:rsid w:val="1E523514"/>
    <w:rsid w:val="1E714A66"/>
    <w:rsid w:val="1E802593"/>
    <w:rsid w:val="1E8B6156"/>
    <w:rsid w:val="1EA703CC"/>
    <w:rsid w:val="1EB7330C"/>
    <w:rsid w:val="1F0A0FF3"/>
    <w:rsid w:val="1F5771FF"/>
    <w:rsid w:val="1FBF1135"/>
    <w:rsid w:val="1FE868A9"/>
    <w:rsid w:val="20034907"/>
    <w:rsid w:val="20173E4B"/>
    <w:rsid w:val="204E48BC"/>
    <w:rsid w:val="2057409C"/>
    <w:rsid w:val="208921B3"/>
    <w:rsid w:val="209108D9"/>
    <w:rsid w:val="20973DEB"/>
    <w:rsid w:val="20B26522"/>
    <w:rsid w:val="20B44310"/>
    <w:rsid w:val="211116EB"/>
    <w:rsid w:val="216133FC"/>
    <w:rsid w:val="219F0AC7"/>
    <w:rsid w:val="21B43BCE"/>
    <w:rsid w:val="21BE719F"/>
    <w:rsid w:val="21D4187E"/>
    <w:rsid w:val="21D56769"/>
    <w:rsid w:val="21E52EF3"/>
    <w:rsid w:val="21F229A5"/>
    <w:rsid w:val="21FB5D7B"/>
    <w:rsid w:val="22015E94"/>
    <w:rsid w:val="220B1C3D"/>
    <w:rsid w:val="221D1D20"/>
    <w:rsid w:val="22334A87"/>
    <w:rsid w:val="226F442C"/>
    <w:rsid w:val="228F599B"/>
    <w:rsid w:val="22BE6801"/>
    <w:rsid w:val="233500BF"/>
    <w:rsid w:val="23377FF7"/>
    <w:rsid w:val="235550FA"/>
    <w:rsid w:val="236B425F"/>
    <w:rsid w:val="23836192"/>
    <w:rsid w:val="23901F29"/>
    <w:rsid w:val="239C0061"/>
    <w:rsid w:val="23A503F3"/>
    <w:rsid w:val="23AC4C9C"/>
    <w:rsid w:val="23B908A4"/>
    <w:rsid w:val="23E95BEF"/>
    <w:rsid w:val="23FD0064"/>
    <w:rsid w:val="23FE1AD5"/>
    <w:rsid w:val="245375B0"/>
    <w:rsid w:val="24642C0A"/>
    <w:rsid w:val="24743B45"/>
    <w:rsid w:val="247F7405"/>
    <w:rsid w:val="249A2AA2"/>
    <w:rsid w:val="24A66E24"/>
    <w:rsid w:val="24B22173"/>
    <w:rsid w:val="24B95AD9"/>
    <w:rsid w:val="24BE24DA"/>
    <w:rsid w:val="24BF138B"/>
    <w:rsid w:val="24CF5825"/>
    <w:rsid w:val="24D37B99"/>
    <w:rsid w:val="24D663E6"/>
    <w:rsid w:val="24D77F2B"/>
    <w:rsid w:val="24E1307F"/>
    <w:rsid w:val="256E4A38"/>
    <w:rsid w:val="258B00E2"/>
    <w:rsid w:val="25A917A6"/>
    <w:rsid w:val="25B158B3"/>
    <w:rsid w:val="25BE27CC"/>
    <w:rsid w:val="25F62C69"/>
    <w:rsid w:val="25F74A5C"/>
    <w:rsid w:val="26243349"/>
    <w:rsid w:val="2628662C"/>
    <w:rsid w:val="262D45DE"/>
    <w:rsid w:val="26871DC8"/>
    <w:rsid w:val="26A53EF9"/>
    <w:rsid w:val="26A94201"/>
    <w:rsid w:val="26AC274F"/>
    <w:rsid w:val="27044A29"/>
    <w:rsid w:val="271D34C8"/>
    <w:rsid w:val="276142BF"/>
    <w:rsid w:val="27783712"/>
    <w:rsid w:val="27907362"/>
    <w:rsid w:val="280F16F3"/>
    <w:rsid w:val="28333E1D"/>
    <w:rsid w:val="28454BD6"/>
    <w:rsid w:val="28455253"/>
    <w:rsid w:val="28551971"/>
    <w:rsid w:val="285B1C53"/>
    <w:rsid w:val="289F7086"/>
    <w:rsid w:val="28C32028"/>
    <w:rsid w:val="28CC490F"/>
    <w:rsid w:val="28DB0637"/>
    <w:rsid w:val="28DE40AA"/>
    <w:rsid w:val="291D29FD"/>
    <w:rsid w:val="29345E77"/>
    <w:rsid w:val="294C65AD"/>
    <w:rsid w:val="296F5223"/>
    <w:rsid w:val="29806583"/>
    <w:rsid w:val="298B3C4C"/>
    <w:rsid w:val="29937CC0"/>
    <w:rsid w:val="299E45E9"/>
    <w:rsid w:val="29E575F0"/>
    <w:rsid w:val="29F26D24"/>
    <w:rsid w:val="2A15033F"/>
    <w:rsid w:val="2A1662C1"/>
    <w:rsid w:val="2A1C7367"/>
    <w:rsid w:val="2A2815FA"/>
    <w:rsid w:val="2A2F45E8"/>
    <w:rsid w:val="2A6D6092"/>
    <w:rsid w:val="2A7D76B4"/>
    <w:rsid w:val="2AD61866"/>
    <w:rsid w:val="2B437463"/>
    <w:rsid w:val="2B7807EE"/>
    <w:rsid w:val="2B7930B8"/>
    <w:rsid w:val="2BA50BF7"/>
    <w:rsid w:val="2BBF00EC"/>
    <w:rsid w:val="2BC37CFD"/>
    <w:rsid w:val="2BC90C1A"/>
    <w:rsid w:val="2BD5237F"/>
    <w:rsid w:val="2BE536CE"/>
    <w:rsid w:val="2BE758D9"/>
    <w:rsid w:val="2C09049E"/>
    <w:rsid w:val="2C0A653C"/>
    <w:rsid w:val="2C191F85"/>
    <w:rsid w:val="2C504271"/>
    <w:rsid w:val="2C720C85"/>
    <w:rsid w:val="2CE82D6F"/>
    <w:rsid w:val="2D343236"/>
    <w:rsid w:val="2D572F9E"/>
    <w:rsid w:val="2D80317C"/>
    <w:rsid w:val="2DBD030B"/>
    <w:rsid w:val="2DD15014"/>
    <w:rsid w:val="2DF72DE4"/>
    <w:rsid w:val="2E0220AF"/>
    <w:rsid w:val="2E0F2B31"/>
    <w:rsid w:val="2E2A08B7"/>
    <w:rsid w:val="2E2F5720"/>
    <w:rsid w:val="2E4B082A"/>
    <w:rsid w:val="2E5D4E86"/>
    <w:rsid w:val="2E5D790B"/>
    <w:rsid w:val="2E644BEB"/>
    <w:rsid w:val="2E9A3C18"/>
    <w:rsid w:val="2EBB0FEE"/>
    <w:rsid w:val="2EBE0F9A"/>
    <w:rsid w:val="2EC63002"/>
    <w:rsid w:val="2F0A6B38"/>
    <w:rsid w:val="2F431312"/>
    <w:rsid w:val="2F946CCB"/>
    <w:rsid w:val="2FD25781"/>
    <w:rsid w:val="2FDC745C"/>
    <w:rsid w:val="2FFD7934"/>
    <w:rsid w:val="30733ACD"/>
    <w:rsid w:val="308C3862"/>
    <w:rsid w:val="308D711D"/>
    <w:rsid w:val="309379D8"/>
    <w:rsid w:val="30A270F7"/>
    <w:rsid w:val="30C57D0B"/>
    <w:rsid w:val="30D8545C"/>
    <w:rsid w:val="30DF1478"/>
    <w:rsid w:val="30E738F1"/>
    <w:rsid w:val="30EC586F"/>
    <w:rsid w:val="314D4242"/>
    <w:rsid w:val="31745184"/>
    <w:rsid w:val="319C6071"/>
    <w:rsid w:val="31AC537E"/>
    <w:rsid w:val="31E3679B"/>
    <w:rsid w:val="31E732FD"/>
    <w:rsid w:val="31ED3189"/>
    <w:rsid w:val="32371D89"/>
    <w:rsid w:val="32517576"/>
    <w:rsid w:val="329C61C8"/>
    <w:rsid w:val="32BE5C2C"/>
    <w:rsid w:val="32EB4D7C"/>
    <w:rsid w:val="32FB6478"/>
    <w:rsid w:val="33191DE0"/>
    <w:rsid w:val="33263B3F"/>
    <w:rsid w:val="33275F2E"/>
    <w:rsid w:val="335C4122"/>
    <w:rsid w:val="336963EB"/>
    <w:rsid w:val="33816EEB"/>
    <w:rsid w:val="33B06E4B"/>
    <w:rsid w:val="33EB55CD"/>
    <w:rsid w:val="33EC4C02"/>
    <w:rsid w:val="340D2360"/>
    <w:rsid w:val="3410665D"/>
    <w:rsid w:val="34211214"/>
    <w:rsid w:val="34211F5A"/>
    <w:rsid w:val="342C7A4B"/>
    <w:rsid w:val="342E63AB"/>
    <w:rsid w:val="34950E68"/>
    <w:rsid w:val="34986E94"/>
    <w:rsid w:val="34AF62C9"/>
    <w:rsid w:val="34CB4388"/>
    <w:rsid w:val="34FA6E12"/>
    <w:rsid w:val="351C03A6"/>
    <w:rsid w:val="354D7158"/>
    <w:rsid w:val="358D5588"/>
    <w:rsid w:val="358F0562"/>
    <w:rsid w:val="363A3B40"/>
    <w:rsid w:val="365302AE"/>
    <w:rsid w:val="36607A0A"/>
    <w:rsid w:val="366E227C"/>
    <w:rsid w:val="366F2E0D"/>
    <w:rsid w:val="36764AC8"/>
    <w:rsid w:val="367B6A5C"/>
    <w:rsid w:val="36A74ADA"/>
    <w:rsid w:val="36AD60D5"/>
    <w:rsid w:val="36B224F9"/>
    <w:rsid w:val="36C52E9D"/>
    <w:rsid w:val="36EC0CC9"/>
    <w:rsid w:val="373F410B"/>
    <w:rsid w:val="37B4728F"/>
    <w:rsid w:val="37BF1DE8"/>
    <w:rsid w:val="37EE7094"/>
    <w:rsid w:val="37FF1F5E"/>
    <w:rsid w:val="38296C89"/>
    <w:rsid w:val="383002EB"/>
    <w:rsid w:val="38325D99"/>
    <w:rsid w:val="38586797"/>
    <w:rsid w:val="38982152"/>
    <w:rsid w:val="38BC0149"/>
    <w:rsid w:val="38D87D1C"/>
    <w:rsid w:val="38ED2F13"/>
    <w:rsid w:val="38FC16B0"/>
    <w:rsid w:val="39007C46"/>
    <w:rsid w:val="392C6991"/>
    <w:rsid w:val="394F78C2"/>
    <w:rsid w:val="39636459"/>
    <w:rsid w:val="396B7F6C"/>
    <w:rsid w:val="396C52DB"/>
    <w:rsid w:val="39A46823"/>
    <w:rsid w:val="39AD1B7B"/>
    <w:rsid w:val="39B417A9"/>
    <w:rsid w:val="39FC5695"/>
    <w:rsid w:val="3A006D8E"/>
    <w:rsid w:val="3A25212E"/>
    <w:rsid w:val="3A3651E5"/>
    <w:rsid w:val="3A744481"/>
    <w:rsid w:val="3A8C7BEF"/>
    <w:rsid w:val="3A906246"/>
    <w:rsid w:val="3AD93179"/>
    <w:rsid w:val="3B0B6593"/>
    <w:rsid w:val="3B2349B7"/>
    <w:rsid w:val="3B616CFF"/>
    <w:rsid w:val="3B6259F6"/>
    <w:rsid w:val="3B9131F4"/>
    <w:rsid w:val="3B976654"/>
    <w:rsid w:val="3BC01EFC"/>
    <w:rsid w:val="3BC56AC2"/>
    <w:rsid w:val="3BCA786A"/>
    <w:rsid w:val="3BD31E2F"/>
    <w:rsid w:val="3BF15831"/>
    <w:rsid w:val="3C105946"/>
    <w:rsid w:val="3C471448"/>
    <w:rsid w:val="3C5F759A"/>
    <w:rsid w:val="3C6C525A"/>
    <w:rsid w:val="3C7D1113"/>
    <w:rsid w:val="3CB84BBF"/>
    <w:rsid w:val="3CCE23CB"/>
    <w:rsid w:val="3CD17D17"/>
    <w:rsid w:val="3CE45C56"/>
    <w:rsid w:val="3D3C7F39"/>
    <w:rsid w:val="3D440F09"/>
    <w:rsid w:val="3D4504A0"/>
    <w:rsid w:val="3D466EA6"/>
    <w:rsid w:val="3D6A38DF"/>
    <w:rsid w:val="3D8734BB"/>
    <w:rsid w:val="3D9A11D4"/>
    <w:rsid w:val="3D9A156E"/>
    <w:rsid w:val="3DA16D89"/>
    <w:rsid w:val="3DA364BE"/>
    <w:rsid w:val="3DBB7F93"/>
    <w:rsid w:val="3DE041CB"/>
    <w:rsid w:val="3DFE6D38"/>
    <w:rsid w:val="3E0D48F6"/>
    <w:rsid w:val="3E1543B8"/>
    <w:rsid w:val="3E1868B4"/>
    <w:rsid w:val="3E377251"/>
    <w:rsid w:val="3E42664B"/>
    <w:rsid w:val="3E497999"/>
    <w:rsid w:val="3E5A7334"/>
    <w:rsid w:val="3E7B5D6B"/>
    <w:rsid w:val="3E843E66"/>
    <w:rsid w:val="3E8F51FE"/>
    <w:rsid w:val="3E926F87"/>
    <w:rsid w:val="3E9A59DE"/>
    <w:rsid w:val="3EA66478"/>
    <w:rsid w:val="3EAF4836"/>
    <w:rsid w:val="3EC33DFA"/>
    <w:rsid w:val="3EE768AB"/>
    <w:rsid w:val="3F060E16"/>
    <w:rsid w:val="3F1D1096"/>
    <w:rsid w:val="3F2619DE"/>
    <w:rsid w:val="3F2F0234"/>
    <w:rsid w:val="3F32667F"/>
    <w:rsid w:val="3F3D1418"/>
    <w:rsid w:val="3F4F2D3B"/>
    <w:rsid w:val="3F6363FE"/>
    <w:rsid w:val="3F756B8F"/>
    <w:rsid w:val="3F95482B"/>
    <w:rsid w:val="3FD21E24"/>
    <w:rsid w:val="3FFC1167"/>
    <w:rsid w:val="3FFD71D8"/>
    <w:rsid w:val="4019356B"/>
    <w:rsid w:val="40381F74"/>
    <w:rsid w:val="405368AD"/>
    <w:rsid w:val="40592157"/>
    <w:rsid w:val="406E1CAE"/>
    <w:rsid w:val="40A0133A"/>
    <w:rsid w:val="40C31A53"/>
    <w:rsid w:val="40DD7ACF"/>
    <w:rsid w:val="40FF545D"/>
    <w:rsid w:val="410067C8"/>
    <w:rsid w:val="410524A3"/>
    <w:rsid w:val="413F042A"/>
    <w:rsid w:val="4176774D"/>
    <w:rsid w:val="418C06E6"/>
    <w:rsid w:val="418F0D2A"/>
    <w:rsid w:val="41A7616E"/>
    <w:rsid w:val="41D01505"/>
    <w:rsid w:val="41EA6168"/>
    <w:rsid w:val="42474939"/>
    <w:rsid w:val="424C3C57"/>
    <w:rsid w:val="42613FF3"/>
    <w:rsid w:val="42660D96"/>
    <w:rsid w:val="428667D2"/>
    <w:rsid w:val="42CD1CE0"/>
    <w:rsid w:val="42E1381E"/>
    <w:rsid w:val="42ED6459"/>
    <w:rsid w:val="42FA2F61"/>
    <w:rsid w:val="42FE58DD"/>
    <w:rsid w:val="43174B3D"/>
    <w:rsid w:val="434B790E"/>
    <w:rsid w:val="4360274F"/>
    <w:rsid w:val="43751492"/>
    <w:rsid w:val="43977AB6"/>
    <w:rsid w:val="43A3342B"/>
    <w:rsid w:val="43C77C27"/>
    <w:rsid w:val="43DE09EE"/>
    <w:rsid w:val="43FD36FF"/>
    <w:rsid w:val="44002FAD"/>
    <w:rsid w:val="441B5933"/>
    <w:rsid w:val="44555DB3"/>
    <w:rsid w:val="449101DD"/>
    <w:rsid w:val="449C4CC6"/>
    <w:rsid w:val="44DE1391"/>
    <w:rsid w:val="44F93EC7"/>
    <w:rsid w:val="44FF76BF"/>
    <w:rsid w:val="451505D5"/>
    <w:rsid w:val="451B225C"/>
    <w:rsid w:val="452410C9"/>
    <w:rsid w:val="45317DFB"/>
    <w:rsid w:val="456D3CE4"/>
    <w:rsid w:val="4579042C"/>
    <w:rsid w:val="457F0571"/>
    <w:rsid w:val="45851176"/>
    <w:rsid w:val="45AC718B"/>
    <w:rsid w:val="45C63B94"/>
    <w:rsid w:val="460E7DA5"/>
    <w:rsid w:val="462431C5"/>
    <w:rsid w:val="46422483"/>
    <w:rsid w:val="46536258"/>
    <w:rsid w:val="4659254A"/>
    <w:rsid w:val="465B0637"/>
    <w:rsid w:val="465E3F0D"/>
    <w:rsid w:val="466A16E6"/>
    <w:rsid w:val="4681106A"/>
    <w:rsid w:val="46893F2B"/>
    <w:rsid w:val="46C4686E"/>
    <w:rsid w:val="46D36999"/>
    <w:rsid w:val="46E604C4"/>
    <w:rsid w:val="472E4477"/>
    <w:rsid w:val="4730322F"/>
    <w:rsid w:val="475C698F"/>
    <w:rsid w:val="475E7E0B"/>
    <w:rsid w:val="477B778F"/>
    <w:rsid w:val="477C7C89"/>
    <w:rsid w:val="478203EC"/>
    <w:rsid w:val="478C0A74"/>
    <w:rsid w:val="47B025FA"/>
    <w:rsid w:val="4809698F"/>
    <w:rsid w:val="4811697D"/>
    <w:rsid w:val="484F3DFE"/>
    <w:rsid w:val="48544F3B"/>
    <w:rsid w:val="487A3E25"/>
    <w:rsid w:val="488B5503"/>
    <w:rsid w:val="48937E21"/>
    <w:rsid w:val="489A0361"/>
    <w:rsid w:val="48B620CF"/>
    <w:rsid w:val="48B94FF3"/>
    <w:rsid w:val="48E37AAB"/>
    <w:rsid w:val="48E859AE"/>
    <w:rsid w:val="48F67AD3"/>
    <w:rsid w:val="48FD4B4C"/>
    <w:rsid w:val="490A68E0"/>
    <w:rsid w:val="491055FE"/>
    <w:rsid w:val="495F5B3E"/>
    <w:rsid w:val="495F62C2"/>
    <w:rsid w:val="496F77D7"/>
    <w:rsid w:val="497654FD"/>
    <w:rsid w:val="497A4DC1"/>
    <w:rsid w:val="49951CE4"/>
    <w:rsid w:val="49AA1C33"/>
    <w:rsid w:val="49B64211"/>
    <w:rsid w:val="49BA174B"/>
    <w:rsid w:val="49F6167F"/>
    <w:rsid w:val="4A064FA0"/>
    <w:rsid w:val="4A16615C"/>
    <w:rsid w:val="4A421E6C"/>
    <w:rsid w:val="4A4424D7"/>
    <w:rsid w:val="4AB82D0F"/>
    <w:rsid w:val="4AD35312"/>
    <w:rsid w:val="4AEB7664"/>
    <w:rsid w:val="4AFD7C19"/>
    <w:rsid w:val="4B0567D1"/>
    <w:rsid w:val="4B075BB9"/>
    <w:rsid w:val="4B236AAE"/>
    <w:rsid w:val="4B707271"/>
    <w:rsid w:val="4B753AA3"/>
    <w:rsid w:val="4B9739F7"/>
    <w:rsid w:val="4BEE2503"/>
    <w:rsid w:val="4BFC429C"/>
    <w:rsid w:val="4C245A30"/>
    <w:rsid w:val="4C3C7538"/>
    <w:rsid w:val="4CB6685F"/>
    <w:rsid w:val="4CBD081C"/>
    <w:rsid w:val="4CC367FE"/>
    <w:rsid w:val="4CE631A1"/>
    <w:rsid w:val="4CEB4033"/>
    <w:rsid w:val="4D077F3C"/>
    <w:rsid w:val="4D0B0C3B"/>
    <w:rsid w:val="4D123355"/>
    <w:rsid w:val="4D2A3B31"/>
    <w:rsid w:val="4D312C52"/>
    <w:rsid w:val="4D6B4A1D"/>
    <w:rsid w:val="4D905305"/>
    <w:rsid w:val="4D950505"/>
    <w:rsid w:val="4D964A72"/>
    <w:rsid w:val="4D9C1254"/>
    <w:rsid w:val="4E793892"/>
    <w:rsid w:val="4E800872"/>
    <w:rsid w:val="4E961295"/>
    <w:rsid w:val="4EC569ED"/>
    <w:rsid w:val="4ED50EA1"/>
    <w:rsid w:val="4EEC050C"/>
    <w:rsid w:val="4EF19641"/>
    <w:rsid w:val="4F104EC3"/>
    <w:rsid w:val="4F47354A"/>
    <w:rsid w:val="4F911C54"/>
    <w:rsid w:val="4FA120C8"/>
    <w:rsid w:val="4FB57017"/>
    <w:rsid w:val="4FCB2904"/>
    <w:rsid w:val="4FDD6193"/>
    <w:rsid w:val="4FE625E0"/>
    <w:rsid w:val="5021480F"/>
    <w:rsid w:val="50962ECB"/>
    <w:rsid w:val="50A42E38"/>
    <w:rsid w:val="50A4577F"/>
    <w:rsid w:val="50B73D1F"/>
    <w:rsid w:val="50BD5BC9"/>
    <w:rsid w:val="50C11EEE"/>
    <w:rsid w:val="50E97CFC"/>
    <w:rsid w:val="50F1035C"/>
    <w:rsid w:val="50FA4028"/>
    <w:rsid w:val="510D65B7"/>
    <w:rsid w:val="510F4E2F"/>
    <w:rsid w:val="511157AB"/>
    <w:rsid w:val="5142540C"/>
    <w:rsid w:val="518832C8"/>
    <w:rsid w:val="519D3C50"/>
    <w:rsid w:val="51A0432A"/>
    <w:rsid w:val="51A86090"/>
    <w:rsid w:val="51B7396D"/>
    <w:rsid w:val="51D45AC7"/>
    <w:rsid w:val="521D6CF0"/>
    <w:rsid w:val="522E4CC3"/>
    <w:rsid w:val="5244713B"/>
    <w:rsid w:val="525F1BE8"/>
    <w:rsid w:val="526026B7"/>
    <w:rsid w:val="52615633"/>
    <w:rsid w:val="526F4DE4"/>
    <w:rsid w:val="52977FD4"/>
    <w:rsid w:val="52A25790"/>
    <w:rsid w:val="52A96B6F"/>
    <w:rsid w:val="52B45975"/>
    <w:rsid w:val="52D94AA4"/>
    <w:rsid w:val="52EA3A62"/>
    <w:rsid w:val="52EF6909"/>
    <w:rsid w:val="52F50BB8"/>
    <w:rsid w:val="53057EDB"/>
    <w:rsid w:val="53084004"/>
    <w:rsid w:val="53097272"/>
    <w:rsid w:val="53490411"/>
    <w:rsid w:val="53544462"/>
    <w:rsid w:val="5397158E"/>
    <w:rsid w:val="53FB3630"/>
    <w:rsid w:val="54013861"/>
    <w:rsid w:val="542A40B1"/>
    <w:rsid w:val="54487265"/>
    <w:rsid w:val="544D6070"/>
    <w:rsid w:val="544D7D8B"/>
    <w:rsid w:val="545253A1"/>
    <w:rsid w:val="545C7FCE"/>
    <w:rsid w:val="54605E1E"/>
    <w:rsid w:val="54A1480B"/>
    <w:rsid w:val="54A656ED"/>
    <w:rsid w:val="54B3506A"/>
    <w:rsid w:val="54C55B73"/>
    <w:rsid w:val="54CA0D16"/>
    <w:rsid w:val="54DD4057"/>
    <w:rsid w:val="54E7490F"/>
    <w:rsid w:val="550764A4"/>
    <w:rsid w:val="550B2BF6"/>
    <w:rsid w:val="55142657"/>
    <w:rsid w:val="551A0AAB"/>
    <w:rsid w:val="55214EB5"/>
    <w:rsid w:val="55364EFD"/>
    <w:rsid w:val="55472A2C"/>
    <w:rsid w:val="555D4828"/>
    <w:rsid w:val="557A4C8B"/>
    <w:rsid w:val="558931E1"/>
    <w:rsid w:val="55923347"/>
    <w:rsid w:val="55925180"/>
    <w:rsid w:val="55983B1B"/>
    <w:rsid w:val="55A71586"/>
    <w:rsid w:val="55A8376B"/>
    <w:rsid w:val="55DC29B6"/>
    <w:rsid w:val="55DD4241"/>
    <w:rsid w:val="560C5D75"/>
    <w:rsid w:val="561636DC"/>
    <w:rsid w:val="566B6D1E"/>
    <w:rsid w:val="56AE6ABB"/>
    <w:rsid w:val="56DC092C"/>
    <w:rsid w:val="57032A2C"/>
    <w:rsid w:val="570F5219"/>
    <w:rsid w:val="575D12B5"/>
    <w:rsid w:val="57610A87"/>
    <w:rsid w:val="576B0457"/>
    <w:rsid w:val="577B1140"/>
    <w:rsid w:val="577B7F21"/>
    <w:rsid w:val="577F181B"/>
    <w:rsid w:val="57921984"/>
    <w:rsid w:val="579737F0"/>
    <w:rsid w:val="57AB7B30"/>
    <w:rsid w:val="57AF5251"/>
    <w:rsid w:val="57B26373"/>
    <w:rsid w:val="57B63F04"/>
    <w:rsid w:val="57CD20C2"/>
    <w:rsid w:val="57D675AB"/>
    <w:rsid w:val="57D95FDD"/>
    <w:rsid w:val="57FB2D81"/>
    <w:rsid w:val="58564D34"/>
    <w:rsid w:val="58917D2F"/>
    <w:rsid w:val="5894085C"/>
    <w:rsid w:val="58AE4F0C"/>
    <w:rsid w:val="58B85899"/>
    <w:rsid w:val="58E363A9"/>
    <w:rsid w:val="595E1678"/>
    <w:rsid w:val="596D5BD4"/>
    <w:rsid w:val="597E3DD8"/>
    <w:rsid w:val="5989334C"/>
    <w:rsid w:val="59F3699F"/>
    <w:rsid w:val="59F80043"/>
    <w:rsid w:val="59FC5707"/>
    <w:rsid w:val="5A09252F"/>
    <w:rsid w:val="5A0B2778"/>
    <w:rsid w:val="5A2A7C7B"/>
    <w:rsid w:val="5A3E2560"/>
    <w:rsid w:val="5A557999"/>
    <w:rsid w:val="5A5D3B6E"/>
    <w:rsid w:val="5A637A76"/>
    <w:rsid w:val="5A6D33BA"/>
    <w:rsid w:val="5A792B1F"/>
    <w:rsid w:val="5A874767"/>
    <w:rsid w:val="5AA85BE2"/>
    <w:rsid w:val="5AAD6F28"/>
    <w:rsid w:val="5ACF7113"/>
    <w:rsid w:val="5AD63A24"/>
    <w:rsid w:val="5AFC6841"/>
    <w:rsid w:val="5B2B06FA"/>
    <w:rsid w:val="5B2E1A1D"/>
    <w:rsid w:val="5B843A1C"/>
    <w:rsid w:val="5B873E3F"/>
    <w:rsid w:val="5BCA1CC1"/>
    <w:rsid w:val="5BCD17B1"/>
    <w:rsid w:val="5BDB5A6A"/>
    <w:rsid w:val="5BFE0257"/>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652175"/>
    <w:rsid w:val="5E7A0F3F"/>
    <w:rsid w:val="5E865464"/>
    <w:rsid w:val="5E986AAC"/>
    <w:rsid w:val="5ECE3876"/>
    <w:rsid w:val="5EFC7377"/>
    <w:rsid w:val="5F06174D"/>
    <w:rsid w:val="5F0B5D55"/>
    <w:rsid w:val="5F3A3602"/>
    <w:rsid w:val="5F45733B"/>
    <w:rsid w:val="5F463D55"/>
    <w:rsid w:val="5F561E0F"/>
    <w:rsid w:val="5F6277C6"/>
    <w:rsid w:val="5F682FFB"/>
    <w:rsid w:val="5F6D0B1D"/>
    <w:rsid w:val="5F8D0B82"/>
    <w:rsid w:val="5FBA204D"/>
    <w:rsid w:val="5FCC5339"/>
    <w:rsid w:val="5FE34A5B"/>
    <w:rsid w:val="5FFE1E36"/>
    <w:rsid w:val="60232584"/>
    <w:rsid w:val="607330CE"/>
    <w:rsid w:val="60735849"/>
    <w:rsid w:val="60825176"/>
    <w:rsid w:val="609F2AC4"/>
    <w:rsid w:val="60FA2EE8"/>
    <w:rsid w:val="61054A27"/>
    <w:rsid w:val="610A52BC"/>
    <w:rsid w:val="611D2366"/>
    <w:rsid w:val="61421856"/>
    <w:rsid w:val="615227C4"/>
    <w:rsid w:val="615362B5"/>
    <w:rsid w:val="61654E3F"/>
    <w:rsid w:val="617C3C44"/>
    <w:rsid w:val="6182292A"/>
    <w:rsid w:val="619F7F92"/>
    <w:rsid w:val="61F94C26"/>
    <w:rsid w:val="62000E56"/>
    <w:rsid w:val="621B3277"/>
    <w:rsid w:val="621F35AE"/>
    <w:rsid w:val="6245036D"/>
    <w:rsid w:val="624F3E49"/>
    <w:rsid w:val="62632286"/>
    <w:rsid w:val="626C5880"/>
    <w:rsid w:val="62885958"/>
    <w:rsid w:val="62DE6052"/>
    <w:rsid w:val="62F40B65"/>
    <w:rsid w:val="62FC2CFE"/>
    <w:rsid w:val="63024505"/>
    <w:rsid w:val="635600A5"/>
    <w:rsid w:val="635B1DB5"/>
    <w:rsid w:val="635F7193"/>
    <w:rsid w:val="63711FED"/>
    <w:rsid w:val="63880DDC"/>
    <w:rsid w:val="638D750D"/>
    <w:rsid w:val="639A7927"/>
    <w:rsid w:val="63AC6CC0"/>
    <w:rsid w:val="64055776"/>
    <w:rsid w:val="64240056"/>
    <w:rsid w:val="643E143A"/>
    <w:rsid w:val="64491666"/>
    <w:rsid w:val="645D7C89"/>
    <w:rsid w:val="645E728E"/>
    <w:rsid w:val="646A2293"/>
    <w:rsid w:val="648B6EEF"/>
    <w:rsid w:val="64A23886"/>
    <w:rsid w:val="64C158BF"/>
    <w:rsid w:val="64CE2EAA"/>
    <w:rsid w:val="65054E0E"/>
    <w:rsid w:val="6513300A"/>
    <w:rsid w:val="652B68ED"/>
    <w:rsid w:val="653C3090"/>
    <w:rsid w:val="65481A20"/>
    <w:rsid w:val="65854376"/>
    <w:rsid w:val="658767BE"/>
    <w:rsid w:val="65892531"/>
    <w:rsid w:val="66195831"/>
    <w:rsid w:val="661D3A6F"/>
    <w:rsid w:val="662E75B1"/>
    <w:rsid w:val="66342C2E"/>
    <w:rsid w:val="663E784C"/>
    <w:rsid w:val="664614DF"/>
    <w:rsid w:val="665B15E1"/>
    <w:rsid w:val="668B6A45"/>
    <w:rsid w:val="66BB6DD6"/>
    <w:rsid w:val="672F3F24"/>
    <w:rsid w:val="673E055F"/>
    <w:rsid w:val="67551CE3"/>
    <w:rsid w:val="67A1421E"/>
    <w:rsid w:val="67A22552"/>
    <w:rsid w:val="67A45ABC"/>
    <w:rsid w:val="67B0620F"/>
    <w:rsid w:val="67B22DCC"/>
    <w:rsid w:val="67BE71AA"/>
    <w:rsid w:val="67D90273"/>
    <w:rsid w:val="67DE5875"/>
    <w:rsid w:val="67E55852"/>
    <w:rsid w:val="67EB1AB4"/>
    <w:rsid w:val="67FA1285"/>
    <w:rsid w:val="684120E1"/>
    <w:rsid w:val="68551F4F"/>
    <w:rsid w:val="687C10C9"/>
    <w:rsid w:val="68840C16"/>
    <w:rsid w:val="68876EFB"/>
    <w:rsid w:val="68884654"/>
    <w:rsid w:val="689F444F"/>
    <w:rsid w:val="68B96DBB"/>
    <w:rsid w:val="68C553BC"/>
    <w:rsid w:val="68CA2805"/>
    <w:rsid w:val="68E937A3"/>
    <w:rsid w:val="68FB6939"/>
    <w:rsid w:val="693E15D3"/>
    <w:rsid w:val="693E5A9D"/>
    <w:rsid w:val="69627681"/>
    <w:rsid w:val="69670B4F"/>
    <w:rsid w:val="696D737B"/>
    <w:rsid w:val="6977531D"/>
    <w:rsid w:val="699658D9"/>
    <w:rsid w:val="69A11A92"/>
    <w:rsid w:val="69C200CA"/>
    <w:rsid w:val="69CC2BFF"/>
    <w:rsid w:val="69DC778F"/>
    <w:rsid w:val="69FD55B8"/>
    <w:rsid w:val="6A0B1C62"/>
    <w:rsid w:val="6A173B64"/>
    <w:rsid w:val="6A2406C8"/>
    <w:rsid w:val="6AAD004E"/>
    <w:rsid w:val="6AC3664B"/>
    <w:rsid w:val="6AD02622"/>
    <w:rsid w:val="6AD70951"/>
    <w:rsid w:val="6ADE0BD1"/>
    <w:rsid w:val="6AE96859"/>
    <w:rsid w:val="6B147746"/>
    <w:rsid w:val="6B24787C"/>
    <w:rsid w:val="6B573233"/>
    <w:rsid w:val="6B5B6274"/>
    <w:rsid w:val="6B935D53"/>
    <w:rsid w:val="6BA74B39"/>
    <w:rsid w:val="6BBB1204"/>
    <w:rsid w:val="6BC95106"/>
    <w:rsid w:val="6C196F71"/>
    <w:rsid w:val="6C226FCB"/>
    <w:rsid w:val="6C31226F"/>
    <w:rsid w:val="6C552F0B"/>
    <w:rsid w:val="6C5F00DC"/>
    <w:rsid w:val="6C731F01"/>
    <w:rsid w:val="6C8C67B7"/>
    <w:rsid w:val="6C9D744C"/>
    <w:rsid w:val="6D167928"/>
    <w:rsid w:val="6D26299B"/>
    <w:rsid w:val="6D4772EC"/>
    <w:rsid w:val="6D9078AF"/>
    <w:rsid w:val="6DAA3FEF"/>
    <w:rsid w:val="6DB4071F"/>
    <w:rsid w:val="6DC0172B"/>
    <w:rsid w:val="6DCB690C"/>
    <w:rsid w:val="6DD41A5B"/>
    <w:rsid w:val="6DF43C2E"/>
    <w:rsid w:val="6DF51CA3"/>
    <w:rsid w:val="6E8335BD"/>
    <w:rsid w:val="6E8E12EF"/>
    <w:rsid w:val="6E972936"/>
    <w:rsid w:val="6ED446C5"/>
    <w:rsid w:val="6F083291"/>
    <w:rsid w:val="6F2A7D94"/>
    <w:rsid w:val="6F73794F"/>
    <w:rsid w:val="6F8331F1"/>
    <w:rsid w:val="6F8D32DA"/>
    <w:rsid w:val="6FAC2B10"/>
    <w:rsid w:val="6FAE1A09"/>
    <w:rsid w:val="6FD75BF8"/>
    <w:rsid w:val="707723D0"/>
    <w:rsid w:val="70967F6C"/>
    <w:rsid w:val="70AC2BF1"/>
    <w:rsid w:val="70B15EE2"/>
    <w:rsid w:val="70DB37F2"/>
    <w:rsid w:val="70EB02B8"/>
    <w:rsid w:val="70F5661B"/>
    <w:rsid w:val="71360107"/>
    <w:rsid w:val="713B688E"/>
    <w:rsid w:val="714164F9"/>
    <w:rsid w:val="71D43752"/>
    <w:rsid w:val="71F1796A"/>
    <w:rsid w:val="72035AD5"/>
    <w:rsid w:val="72154626"/>
    <w:rsid w:val="72262B5D"/>
    <w:rsid w:val="72283FF7"/>
    <w:rsid w:val="722E7212"/>
    <w:rsid w:val="723A0474"/>
    <w:rsid w:val="72484C0F"/>
    <w:rsid w:val="725923E4"/>
    <w:rsid w:val="727E283F"/>
    <w:rsid w:val="72864BF7"/>
    <w:rsid w:val="729023FC"/>
    <w:rsid w:val="72CE7E91"/>
    <w:rsid w:val="73211711"/>
    <w:rsid w:val="738A218D"/>
    <w:rsid w:val="73C0646E"/>
    <w:rsid w:val="74125863"/>
    <w:rsid w:val="742222F5"/>
    <w:rsid w:val="74476126"/>
    <w:rsid w:val="746248AE"/>
    <w:rsid w:val="74706664"/>
    <w:rsid w:val="747F3682"/>
    <w:rsid w:val="749C4185"/>
    <w:rsid w:val="75067759"/>
    <w:rsid w:val="752E6DCD"/>
    <w:rsid w:val="754B32A3"/>
    <w:rsid w:val="7551380D"/>
    <w:rsid w:val="75600BE5"/>
    <w:rsid w:val="7564475C"/>
    <w:rsid w:val="7564676F"/>
    <w:rsid w:val="75673ACE"/>
    <w:rsid w:val="757E5093"/>
    <w:rsid w:val="7583797F"/>
    <w:rsid w:val="75B27CA5"/>
    <w:rsid w:val="75BD7EC2"/>
    <w:rsid w:val="75D20F1D"/>
    <w:rsid w:val="75DA2C18"/>
    <w:rsid w:val="75F54412"/>
    <w:rsid w:val="761D08E0"/>
    <w:rsid w:val="765D347C"/>
    <w:rsid w:val="765E37D7"/>
    <w:rsid w:val="7673781C"/>
    <w:rsid w:val="76826699"/>
    <w:rsid w:val="76C87133"/>
    <w:rsid w:val="76CD08D5"/>
    <w:rsid w:val="76DB4B92"/>
    <w:rsid w:val="76FE3ECF"/>
    <w:rsid w:val="77052AA4"/>
    <w:rsid w:val="77136511"/>
    <w:rsid w:val="771959D1"/>
    <w:rsid w:val="77340A39"/>
    <w:rsid w:val="77351FD0"/>
    <w:rsid w:val="77472422"/>
    <w:rsid w:val="776E1C43"/>
    <w:rsid w:val="777BC52B"/>
    <w:rsid w:val="777F31F2"/>
    <w:rsid w:val="779D11C3"/>
    <w:rsid w:val="77D1700D"/>
    <w:rsid w:val="77E00C6A"/>
    <w:rsid w:val="77E534A9"/>
    <w:rsid w:val="77EC04CC"/>
    <w:rsid w:val="7850646A"/>
    <w:rsid w:val="78775729"/>
    <w:rsid w:val="78782D79"/>
    <w:rsid w:val="78A42DB0"/>
    <w:rsid w:val="78A656AB"/>
    <w:rsid w:val="78B2245C"/>
    <w:rsid w:val="78E172CC"/>
    <w:rsid w:val="78EA1D1F"/>
    <w:rsid w:val="78F85C68"/>
    <w:rsid w:val="7904172F"/>
    <w:rsid w:val="790F7E27"/>
    <w:rsid w:val="791658BC"/>
    <w:rsid w:val="792A231A"/>
    <w:rsid w:val="79316829"/>
    <w:rsid w:val="79780EC8"/>
    <w:rsid w:val="797E66A9"/>
    <w:rsid w:val="798518A4"/>
    <w:rsid w:val="79A97383"/>
    <w:rsid w:val="79E27E8B"/>
    <w:rsid w:val="79F850CE"/>
    <w:rsid w:val="79FD443C"/>
    <w:rsid w:val="7A1D1975"/>
    <w:rsid w:val="7A3E5150"/>
    <w:rsid w:val="7A4670D6"/>
    <w:rsid w:val="7A534B63"/>
    <w:rsid w:val="7A615382"/>
    <w:rsid w:val="7A67303B"/>
    <w:rsid w:val="7A756E44"/>
    <w:rsid w:val="7A897628"/>
    <w:rsid w:val="7AA9207C"/>
    <w:rsid w:val="7AAB1D04"/>
    <w:rsid w:val="7ABA4368"/>
    <w:rsid w:val="7AD05746"/>
    <w:rsid w:val="7B257FFD"/>
    <w:rsid w:val="7B343476"/>
    <w:rsid w:val="7B5A2978"/>
    <w:rsid w:val="7B5A7E4C"/>
    <w:rsid w:val="7B667AF9"/>
    <w:rsid w:val="7B7468F8"/>
    <w:rsid w:val="7B785F34"/>
    <w:rsid w:val="7BC77B74"/>
    <w:rsid w:val="7BEE0103"/>
    <w:rsid w:val="7BF1074D"/>
    <w:rsid w:val="7C0A0FE4"/>
    <w:rsid w:val="7C254906"/>
    <w:rsid w:val="7C590818"/>
    <w:rsid w:val="7C7C10F6"/>
    <w:rsid w:val="7C853BEA"/>
    <w:rsid w:val="7C881368"/>
    <w:rsid w:val="7CE27788"/>
    <w:rsid w:val="7CF30E68"/>
    <w:rsid w:val="7D0C32F1"/>
    <w:rsid w:val="7D0F408D"/>
    <w:rsid w:val="7D491C6C"/>
    <w:rsid w:val="7D5429C0"/>
    <w:rsid w:val="7D6E6D43"/>
    <w:rsid w:val="7DB57A34"/>
    <w:rsid w:val="7DE60973"/>
    <w:rsid w:val="7DEF0916"/>
    <w:rsid w:val="7E052E24"/>
    <w:rsid w:val="7E1E5218"/>
    <w:rsid w:val="7E9A4E1F"/>
    <w:rsid w:val="7EA10828"/>
    <w:rsid w:val="7EA7723A"/>
    <w:rsid w:val="7EC34B43"/>
    <w:rsid w:val="7EF56FBB"/>
    <w:rsid w:val="7F0768EB"/>
    <w:rsid w:val="7F143BEC"/>
    <w:rsid w:val="7F715AF2"/>
    <w:rsid w:val="7F886E69"/>
    <w:rsid w:val="8EFEB630"/>
    <w:rsid w:val="9DFB35BA"/>
    <w:rsid w:val="AF7FBED7"/>
    <w:rsid w:val="BA7B23C6"/>
    <w:rsid w:val="BB7FA927"/>
    <w:rsid w:val="BFB3370C"/>
    <w:rsid w:val="E9D7D678"/>
    <w:rsid w:val="ED7D6F7B"/>
    <w:rsid w:val="F5FFD31F"/>
    <w:rsid w:val="F6D7059F"/>
    <w:rsid w:val="FFD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26"/>
    <w:link w:val="262"/>
    <w:qFormat/>
    <w:uiPriority w:val="0"/>
    <w:pPr>
      <w:spacing w:line="480" w:lineRule="exact"/>
      <w:ind w:firstLine="480" w:firstLineChars="200"/>
    </w:pPr>
    <w:rPr>
      <w:rFonts w:ascii="宋体" w:hAnsi="宋体"/>
      <w:sz w:val="24"/>
    </w:rPr>
  </w:style>
  <w:style w:type="paragraph" w:styleId="26">
    <w:name w:val="Body Text First Indent 2"/>
    <w:basedOn w:val="25"/>
    <w:next w:val="23"/>
    <w:link w:val="118"/>
    <w:qFormat/>
    <w:uiPriority w:val="0"/>
    <w:pPr>
      <w:adjustRightInd/>
      <w:spacing w:after="120" w:line="240" w:lineRule="auto"/>
      <w:ind w:left="420" w:leftChars="200" w:firstLine="210"/>
    </w:pPr>
    <w:rPr>
      <w:sz w:val="21"/>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39"/>
    <w:pPr>
      <w:ind w:left="1680" w:leftChars="800"/>
    </w:pPr>
  </w:style>
  <w:style w:type="paragraph" w:styleId="33">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4">
    <w:name w:val="Plain Text"/>
    <w:basedOn w:val="1"/>
    <w:next w:val="1"/>
    <w:link w:val="12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39"/>
    <w:pPr>
      <w:ind w:left="2940" w:leftChars="1400"/>
    </w:pPr>
  </w:style>
  <w:style w:type="paragraph" w:styleId="37">
    <w:name w:val="Date"/>
    <w:basedOn w:val="1"/>
    <w:next w:val="1"/>
    <w:link w:val="178"/>
    <w:qFormat/>
    <w:uiPriority w:val="0"/>
    <w:pPr>
      <w:ind w:left="100" w:leftChars="2500"/>
    </w:pPr>
    <w:rPr>
      <w:rFonts w:ascii="宋体"/>
      <w:sz w:val="24"/>
      <w:szCs w:val="21"/>
      <w:lang w:val="zh-CN"/>
    </w:rPr>
  </w:style>
  <w:style w:type="paragraph" w:styleId="38">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5"/>
    <w:qFormat/>
    <w:uiPriority w:val="0"/>
    <w:rPr>
      <w:sz w:val="18"/>
      <w:szCs w:val="18"/>
    </w:rPr>
  </w:style>
  <w:style w:type="paragraph" w:styleId="41">
    <w:name w:val="footer"/>
    <w:basedOn w:val="1"/>
    <w:link w:val="380"/>
    <w:qFormat/>
    <w:uiPriority w:val="99"/>
    <w:pPr>
      <w:tabs>
        <w:tab w:val="center" w:pos="4153"/>
        <w:tab w:val="right" w:pos="8306"/>
      </w:tabs>
      <w:snapToGrid w:val="0"/>
      <w:jc w:val="left"/>
    </w:pPr>
    <w:rPr>
      <w:sz w:val="18"/>
      <w:szCs w:val="18"/>
    </w:rPr>
  </w:style>
  <w:style w:type="paragraph" w:styleId="42">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pPr>
      <w:spacing w:before="40" w:after="40"/>
    </w:pPr>
    <w:rPr>
      <w:rFonts w:eastAsia="仿宋_GB2312"/>
      <w:b/>
      <w:sz w:val="24"/>
    </w:rPr>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39"/>
    <w:pPr>
      <w:spacing w:before="40" w:after="40"/>
      <w:ind w:left="100" w:leftChars="100"/>
    </w:pPr>
    <w:rPr>
      <w:rFonts w:eastAsia="仿宋_GB2312"/>
      <w:sz w:val="24"/>
    </w:rPr>
  </w:style>
  <w:style w:type="paragraph" w:styleId="56">
    <w:name w:val="toc 9"/>
    <w:basedOn w:val="1"/>
    <w:next w:val="1"/>
    <w:qFormat/>
    <w:uiPriority w:val="39"/>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26"/>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8"/>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99"/>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7"/>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40"/>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1"/>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8"/>
    <w:qFormat/>
    <w:uiPriority w:val="0"/>
    <w:rPr>
      <w:rFonts w:ascii="黑体" w:hAnsi="Courier New" w:eastAsia="黑体"/>
    </w:rPr>
  </w:style>
  <w:style w:type="character" w:customStyle="1" w:styleId="299">
    <w:name w:val="正文文本 2 Char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8"/>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1"/>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3"/>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1"/>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2"/>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_Style 2"/>
    <w:basedOn w:val="2"/>
    <w:next w:val="1"/>
    <w:qFormat/>
    <w:uiPriority w:val="39"/>
    <w:pPr>
      <w:widowControl/>
      <w:spacing w:line="240" w:lineRule="auto"/>
      <w:outlineLvl w:val="9"/>
    </w:pPr>
    <w:rPr>
      <w:kern w:val="0"/>
      <w:sz w:val="21"/>
      <w:szCs w:val="28"/>
    </w:rPr>
  </w:style>
  <w:style w:type="paragraph" w:customStyle="1" w:styleId="963">
    <w:name w:val="样式 表格正文 + 两端对齐"/>
    <w:basedOn w:val="1"/>
    <w:qFormat/>
    <w:uiPriority w:val="0"/>
    <w:pPr>
      <w:spacing w:line="30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DB1FD-09FE-4BE4-884B-F570CF17088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63</Pages>
  <Words>6086</Words>
  <Characters>34694</Characters>
  <Lines>289</Lines>
  <Paragraphs>81</Paragraphs>
  <TotalTime>341</TotalTime>
  <ScaleCrop>false</ScaleCrop>
  <LinksUpToDate>false</LinksUpToDate>
  <CharactersWithSpaces>40699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2023-09-27T01:05:00Z</dcterms:created>
  <dc:creator>玥</dc:creator>
  <cp:lastModifiedBy>铭妈1413337784</cp:lastModifiedBy>
  <cp:lastPrinted>2025-03-07T00:43:02Z</cp:lastPrinted>
  <dcterms:modified xsi:type="dcterms:W3CDTF">2025-03-07T07:27:30Z</dcterms:modified>
  <dc:title>杭州市市民卡扩大发卡工程</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9B28301988F1422A9F43F1212CF44862_13</vt:lpwstr>
  </property>
</Properties>
</file>