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F0310">
      <w:pPr>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highlight w:val="none"/>
        </w:rPr>
      </w:pPr>
    </w:p>
    <w:p w14:paraId="00344353">
      <w:pPr>
        <w:rPr>
          <w:rFonts w:hint="eastAsia" w:ascii="宋体" w:hAnsi="宋体" w:eastAsia="宋体" w:cs="宋体"/>
          <w:color w:val="auto"/>
          <w:highlight w:val="none"/>
        </w:rPr>
      </w:pPr>
    </w:p>
    <w:p w14:paraId="266C854B">
      <w:pPr>
        <w:pStyle w:val="16"/>
        <w:rPr>
          <w:rFonts w:hint="eastAsia"/>
          <w:color w:val="auto"/>
          <w:highlight w:val="none"/>
        </w:rPr>
      </w:pPr>
    </w:p>
    <w:p w14:paraId="749B826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cs="宋体"/>
          <w:b/>
          <w:color w:val="auto"/>
          <w:sz w:val="48"/>
          <w:szCs w:val="48"/>
          <w:highlight w:val="none"/>
          <w:lang w:val="en-US" w:eastAsia="zh-CN"/>
        </w:rPr>
      </w:pPr>
      <w:bookmarkStart w:id="0" w:name="_Toc2118"/>
      <w:bookmarkStart w:id="1" w:name="_Toc2562"/>
      <w:bookmarkStart w:id="2" w:name="_Toc7981"/>
      <w:bookmarkStart w:id="3" w:name="_Toc29803"/>
      <w:bookmarkStart w:id="4" w:name="_Toc16421"/>
      <w:bookmarkStart w:id="5" w:name="_Toc10071"/>
      <w:bookmarkStart w:id="6" w:name="_Toc27725"/>
      <w:r>
        <w:rPr>
          <w:rFonts w:hint="eastAsia" w:ascii="宋体" w:hAnsi="宋体" w:cs="宋体"/>
          <w:b/>
          <w:color w:val="auto"/>
          <w:sz w:val="48"/>
          <w:szCs w:val="48"/>
          <w:highlight w:val="none"/>
          <w:lang w:eastAsia="zh-CN"/>
        </w:rPr>
        <w:t>浙江鼎峰工程咨询有限公司关于</w:t>
      </w:r>
      <w:bookmarkEnd w:id="0"/>
      <w:bookmarkEnd w:id="1"/>
      <w:bookmarkEnd w:id="2"/>
      <w:bookmarkEnd w:id="3"/>
      <w:bookmarkEnd w:id="4"/>
      <w:bookmarkEnd w:id="5"/>
      <w:bookmarkEnd w:id="6"/>
      <w:r>
        <w:rPr>
          <w:rFonts w:hint="eastAsia" w:ascii="宋体" w:hAnsi="宋体" w:cs="宋体"/>
          <w:b/>
          <w:color w:val="auto"/>
          <w:sz w:val="48"/>
          <w:szCs w:val="48"/>
          <w:highlight w:val="none"/>
          <w:lang w:eastAsia="zh-CN"/>
        </w:rPr>
        <w:t>东阳市国民经济和社会发展“十五五”规划《基本思路》和《纲要草案》服务采购项目(第二次）</w:t>
      </w:r>
    </w:p>
    <w:p w14:paraId="2C3D25B8">
      <w:pPr>
        <w:bidi w:val="0"/>
        <w:rPr>
          <w:rFonts w:hint="eastAsia" w:ascii="宋体" w:hAnsi="宋体" w:eastAsia="宋体" w:cs="宋体"/>
          <w:color w:val="auto"/>
          <w:highlight w:val="none"/>
        </w:rPr>
      </w:pPr>
      <w:r>
        <w:rPr>
          <w:rFonts w:hint="eastAsia" w:ascii="宋体" w:hAnsi="宋体" w:eastAsia="宋体" w:cs="宋体"/>
          <w:color w:val="auto"/>
          <w:highlight w:val="none"/>
        </w:rPr>
        <w:tab/>
      </w:r>
    </w:p>
    <w:p w14:paraId="38721DE6">
      <w:pPr>
        <w:pStyle w:val="3"/>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highlight w:val="none"/>
        </w:rPr>
      </w:pPr>
    </w:p>
    <w:p w14:paraId="67C60832">
      <w:pPr>
        <w:rPr>
          <w:rFonts w:hint="eastAsia" w:ascii="宋体" w:hAnsi="宋体" w:eastAsia="宋体" w:cs="宋体"/>
          <w:color w:val="auto"/>
          <w:highlight w:val="none"/>
        </w:rPr>
      </w:pPr>
    </w:p>
    <w:p w14:paraId="39AA3E3C">
      <w:pPr>
        <w:rPr>
          <w:rFonts w:hint="eastAsia" w:ascii="宋体" w:hAnsi="宋体" w:eastAsia="宋体" w:cs="宋体"/>
          <w:color w:val="auto"/>
          <w:highlight w:val="none"/>
        </w:rPr>
      </w:pPr>
    </w:p>
    <w:p w14:paraId="107E3C2D">
      <w:pPr>
        <w:jc w:val="center"/>
        <w:outlineLvl w:val="0"/>
        <w:rPr>
          <w:rFonts w:hint="eastAsia" w:ascii="宋体" w:hAnsi="宋体" w:eastAsia="宋体" w:cs="宋体"/>
          <w:b/>
          <w:color w:val="auto"/>
          <w:kern w:val="0"/>
          <w:sz w:val="72"/>
          <w:szCs w:val="72"/>
          <w:highlight w:val="none"/>
          <w:lang w:val="en-US" w:eastAsia="zh-CN"/>
        </w:rPr>
      </w:pPr>
      <w:bookmarkStart w:id="7" w:name="_Toc14783"/>
      <w:bookmarkStart w:id="8" w:name="_Toc13406"/>
      <w:bookmarkStart w:id="9" w:name="_Toc5845"/>
      <w:bookmarkStart w:id="10" w:name="_Toc23369"/>
      <w:bookmarkStart w:id="11" w:name="_Toc17817"/>
      <w:bookmarkStart w:id="12" w:name="_Toc27090"/>
      <w:bookmarkStart w:id="13" w:name="_Toc29148"/>
      <w:r>
        <w:rPr>
          <w:rFonts w:hint="eastAsia" w:ascii="宋体" w:hAnsi="宋体" w:eastAsia="宋体" w:cs="宋体"/>
          <w:b/>
          <w:color w:val="auto"/>
          <w:kern w:val="0"/>
          <w:sz w:val="72"/>
          <w:szCs w:val="72"/>
          <w:highlight w:val="none"/>
        </w:rPr>
        <w:t>公开招标采购文件</w:t>
      </w:r>
      <w:bookmarkEnd w:id="7"/>
      <w:bookmarkEnd w:id="8"/>
      <w:bookmarkEnd w:id="9"/>
      <w:bookmarkEnd w:id="10"/>
      <w:bookmarkEnd w:id="11"/>
      <w:bookmarkEnd w:id="12"/>
      <w:bookmarkEnd w:id="13"/>
    </w:p>
    <w:p w14:paraId="6D910195">
      <w:pPr>
        <w:bidi w:val="0"/>
        <w:rPr>
          <w:rFonts w:hint="eastAsia" w:ascii="宋体" w:hAnsi="宋体" w:eastAsia="宋体" w:cs="宋体"/>
          <w:color w:val="auto"/>
          <w:highlight w:val="none"/>
        </w:rPr>
      </w:pPr>
      <w:r>
        <w:rPr>
          <w:rFonts w:hint="eastAsia" w:ascii="宋体" w:hAnsi="宋体" w:eastAsia="宋体" w:cs="宋体"/>
          <w:color w:val="auto"/>
          <w:highlight w:val="none"/>
        </w:rPr>
        <w:tab/>
      </w:r>
    </w:p>
    <w:p w14:paraId="7F5B11A7">
      <w:pPr>
        <w:pStyle w:val="3"/>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highlight w:val="none"/>
        </w:rPr>
      </w:pPr>
    </w:p>
    <w:p w14:paraId="09B21609">
      <w:pPr>
        <w:pStyle w:val="3"/>
        <w:outlineLvl w:val="9"/>
        <w:rPr>
          <w:rFonts w:hint="eastAsia" w:ascii="宋体" w:hAnsi="宋体" w:eastAsia="宋体" w:cs="宋体"/>
          <w:color w:val="auto"/>
          <w:highlight w:val="none"/>
        </w:rPr>
      </w:pPr>
    </w:p>
    <w:p w14:paraId="7C017F1F">
      <w:pPr>
        <w:keepNext w:val="0"/>
        <w:keepLines w:val="0"/>
        <w:pageBreakBefore w:val="0"/>
        <w:widowControl w:val="0"/>
        <w:kinsoku/>
        <w:wordWrap/>
        <w:overflowPunct/>
        <w:topLinePunct w:val="0"/>
        <w:autoSpaceDE/>
        <w:autoSpaceDN/>
        <w:bidi w:val="0"/>
        <w:adjustRightInd/>
        <w:snapToGrid/>
        <w:spacing w:line="720" w:lineRule="exact"/>
        <w:ind w:left="1606" w:hanging="1606" w:hangingChars="500"/>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东阳市国民经济和社会发展“十五五”规划《基本思路》和《纲要草案》服务采购项目(第二次）</w:t>
      </w:r>
    </w:p>
    <w:p w14:paraId="4A05AB72">
      <w:pPr>
        <w:keepNext w:val="0"/>
        <w:keepLines w:val="0"/>
        <w:pageBreakBefore w:val="0"/>
        <w:widowControl w:val="0"/>
        <w:kinsoku/>
        <w:wordWrap/>
        <w:overflowPunct/>
        <w:topLinePunct w:val="0"/>
        <w:autoSpaceDE/>
        <w:autoSpaceDN/>
        <w:bidi w:val="0"/>
        <w:adjustRightInd/>
        <w:snapToGrid/>
        <w:spacing w:line="720" w:lineRule="exact"/>
        <w:textAlignment w:val="auto"/>
        <w:outlineLvl w:val="0"/>
        <w:rPr>
          <w:rFonts w:hint="eastAsia" w:ascii="宋体" w:hAnsi="宋体" w:cs="宋体"/>
          <w:b/>
          <w:color w:val="auto"/>
          <w:kern w:val="0"/>
          <w:sz w:val="32"/>
          <w:szCs w:val="32"/>
          <w:highlight w:val="none"/>
          <w:lang w:eastAsia="zh-CN"/>
        </w:rPr>
      </w:pPr>
      <w:bookmarkStart w:id="14" w:name="_Toc607"/>
      <w:bookmarkStart w:id="15" w:name="_Toc586"/>
      <w:bookmarkStart w:id="16" w:name="_Toc9400"/>
      <w:bookmarkStart w:id="17" w:name="_Toc9179"/>
      <w:bookmarkStart w:id="18" w:name="_Toc11199"/>
      <w:bookmarkStart w:id="19" w:name="_Toc27432"/>
      <w:bookmarkStart w:id="20" w:name="_Toc30873"/>
      <w:r>
        <w:rPr>
          <w:rFonts w:hint="eastAsia" w:ascii="宋体" w:hAnsi="宋体" w:eastAsia="宋体" w:cs="宋体"/>
          <w:b/>
          <w:color w:val="auto"/>
          <w:kern w:val="0"/>
          <w:sz w:val="32"/>
          <w:szCs w:val="32"/>
          <w:highlight w:val="none"/>
        </w:rPr>
        <w:t>项目编号：</w:t>
      </w:r>
      <w:bookmarkEnd w:id="14"/>
      <w:bookmarkEnd w:id="15"/>
      <w:bookmarkEnd w:id="16"/>
      <w:bookmarkEnd w:id="17"/>
      <w:bookmarkEnd w:id="18"/>
      <w:bookmarkEnd w:id="19"/>
      <w:bookmarkEnd w:id="20"/>
      <w:r>
        <w:rPr>
          <w:rFonts w:hint="eastAsia" w:ascii="宋体" w:hAnsi="宋体" w:cs="宋体"/>
          <w:b/>
          <w:color w:val="auto"/>
          <w:kern w:val="0"/>
          <w:sz w:val="32"/>
          <w:szCs w:val="32"/>
          <w:highlight w:val="none"/>
          <w:lang w:eastAsia="zh-CN"/>
        </w:rPr>
        <w:t>DFZFCG2024-Z01-C18-1</w:t>
      </w:r>
    </w:p>
    <w:p w14:paraId="663F6F9E">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宋体" w:hAnsi="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东阳市发展和改革局</w:t>
      </w:r>
    </w:p>
    <w:p w14:paraId="10B71071">
      <w:pPr>
        <w:keepNext w:val="0"/>
        <w:keepLines w:val="0"/>
        <w:pageBreakBefore w:val="0"/>
        <w:widowControl w:val="0"/>
        <w:kinsoku/>
        <w:wordWrap/>
        <w:overflowPunct/>
        <w:topLinePunct w:val="0"/>
        <w:autoSpaceDE/>
        <w:autoSpaceDN/>
        <w:bidi w:val="0"/>
        <w:adjustRightInd/>
        <w:snapToGrid/>
        <w:spacing w:line="720" w:lineRule="exact"/>
        <w:textAlignment w:val="auto"/>
        <w:outlineLvl w:val="0"/>
        <w:rPr>
          <w:rFonts w:hint="eastAsia" w:ascii="宋体" w:hAnsi="宋体" w:eastAsia="宋体" w:cs="宋体"/>
          <w:color w:val="auto"/>
          <w:sz w:val="32"/>
          <w:szCs w:val="32"/>
          <w:highlight w:val="none"/>
          <w:lang w:eastAsia="zh-CN"/>
        </w:rPr>
      </w:pPr>
      <w:bookmarkStart w:id="21" w:name="_Toc601"/>
      <w:bookmarkStart w:id="22" w:name="_Toc1801"/>
      <w:bookmarkStart w:id="23" w:name="_Toc14151"/>
      <w:bookmarkStart w:id="24" w:name="_Toc21066"/>
      <w:bookmarkStart w:id="25" w:name="_Toc3424"/>
      <w:bookmarkStart w:id="26" w:name="_Toc15979"/>
      <w:bookmarkStart w:id="27" w:name="_Toc27926"/>
      <w:r>
        <w:rPr>
          <w:rFonts w:hint="eastAsia" w:ascii="宋体" w:hAnsi="宋体" w:eastAsia="宋体" w:cs="宋体"/>
          <w:b/>
          <w:color w:val="auto"/>
          <w:kern w:val="0"/>
          <w:sz w:val="32"/>
          <w:szCs w:val="32"/>
          <w:highlight w:val="none"/>
        </w:rPr>
        <w:t>招标机构：</w:t>
      </w:r>
      <w:r>
        <w:rPr>
          <w:rFonts w:hint="eastAsia" w:ascii="宋体" w:hAnsi="宋体" w:cs="宋体"/>
          <w:b/>
          <w:color w:val="auto"/>
          <w:kern w:val="0"/>
          <w:sz w:val="32"/>
          <w:szCs w:val="32"/>
          <w:highlight w:val="none"/>
          <w:lang w:eastAsia="zh-CN"/>
        </w:rPr>
        <w:t>浙江鼎峰工程咨询有限公司</w:t>
      </w:r>
      <w:bookmarkEnd w:id="21"/>
      <w:bookmarkEnd w:id="22"/>
      <w:bookmarkEnd w:id="23"/>
      <w:bookmarkEnd w:id="24"/>
      <w:bookmarkEnd w:id="25"/>
      <w:bookmarkEnd w:id="26"/>
      <w:bookmarkEnd w:id="27"/>
    </w:p>
    <w:p w14:paraId="3F5C035B">
      <w:pPr>
        <w:keepNext w:val="0"/>
        <w:keepLines w:val="0"/>
        <w:pageBreakBefore w:val="0"/>
        <w:widowControl w:val="0"/>
        <w:kinsoku/>
        <w:wordWrap/>
        <w:overflowPunct/>
        <w:topLinePunct w:val="0"/>
        <w:autoSpaceDE/>
        <w:autoSpaceDN/>
        <w:bidi w:val="0"/>
        <w:adjustRightInd/>
        <w:snapToGrid/>
        <w:spacing w:line="720" w:lineRule="exact"/>
        <w:textAlignment w:val="auto"/>
        <w:rPr>
          <w:rFonts w:hint="default"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编制时间</w:t>
      </w:r>
      <w:r>
        <w:rPr>
          <w:rFonts w:hint="eastAsia" w:ascii="宋体" w:hAnsi="宋体" w:eastAsia="宋体" w:cs="宋体"/>
          <w:b/>
          <w:color w:val="auto"/>
          <w:kern w:val="0"/>
          <w:sz w:val="32"/>
          <w:szCs w:val="32"/>
          <w:highlight w:val="none"/>
        </w:rPr>
        <w:t>：</w:t>
      </w:r>
      <w:r>
        <w:rPr>
          <w:rFonts w:hint="eastAsia" w:ascii="宋体" w:hAnsi="宋体" w:eastAsia="宋体" w:cs="宋体"/>
          <w:b/>
          <w:color w:val="auto"/>
          <w:sz w:val="32"/>
          <w:szCs w:val="32"/>
          <w:highlight w:val="none"/>
        </w:rPr>
        <w:t>202</w:t>
      </w:r>
      <w:r>
        <w:rPr>
          <w:rFonts w:hint="eastAsia" w:ascii="宋体" w:hAnsi="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12月</w:t>
      </w:r>
    </w:p>
    <w:p w14:paraId="694B2CB2">
      <w:pPr>
        <w:pStyle w:val="19"/>
        <w:pageBreakBefore/>
        <w:spacing w:line="276" w:lineRule="auto"/>
        <w:jc w:val="center"/>
        <w:rPr>
          <w:rFonts w:hint="eastAsia" w:ascii="宋体" w:hAnsi="宋体" w:eastAsia="宋体" w:cs="宋体"/>
          <w:b/>
          <w:color w:val="auto"/>
          <w:sz w:val="36"/>
          <w:szCs w:val="36"/>
          <w:highlight w:val="none"/>
        </w:rPr>
        <w:sectPr>
          <w:headerReference r:id="rId3" w:type="default"/>
          <w:footerReference r:id="rId4" w:type="default"/>
          <w:pgSz w:w="11906" w:h="16838"/>
          <w:pgMar w:top="1276" w:right="1361" w:bottom="1247" w:left="1418" w:header="851" w:footer="992" w:gutter="0"/>
          <w:pgNumType w:fmt="decimal" w:start="1"/>
          <w:cols w:space="720" w:num="1"/>
          <w:titlePg/>
          <w:docGrid w:linePitch="312" w:charSpace="0"/>
        </w:sectPr>
      </w:pPr>
    </w:p>
    <w:p w14:paraId="4468C561">
      <w:pPr>
        <w:pStyle w:val="27"/>
        <w:keepNext w:val="0"/>
        <w:keepLines w:val="0"/>
        <w:pageBreakBefore w:val="0"/>
        <w:widowControl w:val="0"/>
        <w:tabs>
          <w:tab w:val="right" w:leader="middleDot" w:pos="9412"/>
        </w:tabs>
        <w:kinsoku/>
        <w:wordWrap/>
        <w:overflowPunct/>
        <w:topLinePunct w:val="0"/>
        <w:autoSpaceDE/>
        <w:autoSpaceDN/>
        <w:bidi w:val="0"/>
        <w:adjustRightInd/>
        <w:snapToGrid/>
        <w:spacing w:line="480" w:lineRule="auto"/>
        <w:textAlignment w:val="auto"/>
        <w:rPr>
          <w:b w:val="0"/>
          <w:bCs w:val="0"/>
          <w:color w:val="auto"/>
          <w:sz w:val="24"/>
          <w:szCs w:val="32"/>
          <w:highlight w:val="none"/>
        </w:rPr>
      </w:pPr>
      <w:r>
        <w:rPr>
          <w:rFonts w:hint="eastAsia" w:ascii="宋体" w:hAnsi="宋体" w:eastAsia="宋体" w:cs="宋体"/>
          <w:b w:val="0"/>
          <w:bCs w:val="0"/>
          <w:color w:val="auto"/>
          <w:sz w:val="24"/>
          <w:highlight w:val="none"/>
        </w:rPr>
        <w:fldChar w:fldCharType="begin"/>
      </w:r>
      <w:r>
        <w:rPr>
          <w:rFonts w:hint="eastAsia" w:ascii="宋体" w:hAnsi="宋体" w:eastAsia="宋体" w:cs="宋体"/>
          <w:b w:val="0"/>
          <w:bCs w:val="0"/>
          <w:color w:val="auto"/>
          <w:sz w:val="24"/>
          <w:highlight w:val="none"/>
        </w:rPr>
        <w:instrText xml:space="preserve"> TOC \o "1-2" \h \z \u </w:instrText>
      </w:r>
      <w:r>
        <w:rPr>
          <w:rFonts w:hint="eastAsia" w:ascii="宋体" w:hAnsi="宋体" w:eastAsia="宋体" w:cs="宋体"/>
          <w:b w:val="0"/>
          <w:bCs w:val="0"/>
          <w:color w:val="auto"/>
          <w:sz w:val="24"/>
          <w:highlight w:val="none"/>
        </w:rPr>
        <w:fldChar w:fldCharType="separate"/>
      </w:r>
    </w:p>
    <w:sdt>
      <w:sdtPr>
        <w:rPr>
          <w:rFonts w:ascii="宋体" w:hAnsi="宋体" w:eastAsia="宋体" w:cs="Times New Roman"/>
          <w:b/>
          <w:bCs/>
          <w:color w:val="auto"/>
          <w:kern w:val="2"/>
          <w:sz w:val="24"/>
          <w:szCs w:val="32"/>
          <w:highlight w:val="none"/>
          <w:lang w:val="en-US" w:eastAsia="zh-CN" w:bidi="ar-SA"/>
        </w:rPr>
        <w:id w:val="147456308"/>
        <w15:color w:val="DBDBDB"/>
        <w:docPartObj>
          <w:docPartGallery w:val="Table of Contents"/>
          <w:docPartUnique/>
        </w:docPartObj>
      </w:sdtPr>
      <w:sdtEndPr>
        <w:rPr>
          <w:rFonts w:ascii="Times New Roman" w:hAnsi="Times New Roman" w:eastAsia="宋体" w:cs="Times New Roman"/>
          <w:b/>
          <w:bCs/>
          <w:color w:val="auto"/>
          <w:kern w:val="2"/>
          <w:sz w:val="21"/>
          <w:szCs w:val="24"/>
          <w:highlight w:val="none"/>
          <w:lang w:val="en-US" w:eastAsia="zh-CN" w:bidi="ar-SA"/>
        </w:rPr>
      </w:sdtEndPr>
      <w:sdtContent>
        <w:p w14:paraId="4552FD3F">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eastAsia="宋体"/>
              <w:b/>
              <w:bCs/>
              <w:color w:val="auto"/>
              <w:sz w:val="24"/>
              <w:szCs w:val="32"/>
              <w:highlight w:val="none"/>
              <w:lang w:val="en-US" w:eastAsia="zh-CN"/>
            </w:rPr>
            <w:t xml:space="preserve">  </w:t>
          </w:r>
          <w:r>
            <w:rPr>
              <w:rFonts w:ascii="宋体" w:hAnsi="宋体" w:eastAsia="宋体"/>
              <w:b/>
              <w:bCs/>
              <w:color w:val="auto"/>
              <w:sz w:val="24"/>
              <w:szCs w:val="32"/>
              <w:highlight w:val="none"/>
            </w:rPr>
            <w:t>录</w:t>
          </w:r>
          <w:bookmarkStart w:id="455" w:name="_GoBack"/>
          <w:bookmarkEnd w:id="455"/>
        </w:p>
        <w:p w14:paraId="17DE849B">
          <w:pPr>
            <w:pStyle w:val="114"/>
            <w:tabs>
              <w:tab w:val="right" w:leader="dot" w:pos="9127"/>
            </w:tabs>
            <w:rPr>
              <w:b/>
              <w:color w:val="auto"/>
              <w:highlight w:val="none"/>
            </w:rPr>
          </w:pPr>
          <w:r>
            <w:rPr>
              <w:rFonts w:ascii="Times New Roman" w:hAnsi="Times New Roman" w:eastAsia="宋体" w:cs="Times New Roman"/>
              <w:b/>
              <w:color w:val="auto"/>
              <w:kern w:val="2"/>
              <w:sz w:val="21"/>
              <w:szCs w:val="24"/>
              <w:highlight w:val="none"/>
              <w:lang w:val="en-US" w:eastAsia="zh-CN" w:bidi="ar-SA"/>
            </w:rPr>
            <w:fldChar w:fldCharType="begin"/>
          </w:r>
          <w:r>
            <w:rPr>
              <w:rFonts w:ascii="Times New Roman" w:hAnsi="Times New Roman" w:eastAsia="宋体" w:cs="Times New Roman"/>
              <w:b/>
              <w:color w:val="auto"/>
              <w:kern w:val="2"/>
              <w:sz w:val="21"/>
              <w:szCs w:val="24"/>
              <w:highlight w:val="none"/>
              <w:lang w:val="en-US" w:eastAsia="zh-CN" w:bidi="ar-SA"/>
            </w:rPr>
            <w:instrText xml:space="preserve">TOC \o "1-2" \h \u </w:instrText>
          </w:r>
          <w:r>
            <w:rPr>
              <w:rFonts w:ascii="Times New Roman" w:hAnsi="Times New Roman" w:eastAsia="宋体" w:cs="Times New Roman"/>
              <w:b/>
              <w:color w:val="auto"/>
              <w:kern w:val="2"/>
              <w:sz w:val="21"/>
              <w:szCs w:val="24"/>
              <w:highlight w:val="none"/>
              <w:lang w:val="en-US" w:eastAsia="zh-CN" w:bidi="ar-SA"/>
            </w:rPr>
            <w:fldChar w:fldCharType="separate"/>
          </w:r>
        </w:p>
        <w:p w14:paraId="390B7B8B">
          <w:pPr>
            <w:pStyle w:val="114"/>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fldChar w:fldCharType="begin"/>
          </w:r>
          <w:r>
            <w:rPr>
              <w:rFonts w:hint="eastAsia" w:ascii="宋体" w:hAnsi="宋体" w:eastAsia="宋体" w:cs="宋体"/>
              <w:b/>
              <w:color w:val="auto"/>
              <w:kern w:val="2"/>
              <w:sz w:val="21"/>
              <w:szCs w:val="21"/>
              <w:highlight w:val="none"/>
              <w:lang w:val="en-US" w:eastAsia="zh-CN" w:bidi="ar-SA"/>
            </w:rPr>
            <w:instrText xml:space="preserve"> HYPERLINK \l _Toc8440 </w:instrText>
          </w:r>
          <w:r>
            <w:rPr>
              <w:rFonts w:hint="eastAsia" w:ascii="宋体" w:hAnsi="宋体" w:eastAsia="宋体" w:cs="宋体"/>
              <w:b/>
              <w:color w:val="auto"/>
              <w:kern w:val="2"/>
              <w:sz w:val="21"/>
              <w:szCs w:val="21"/>
              <w:highlight w:val="none"/>
              <w:lang w:val="en-US" w:eastAsia="zh-CN" w:bidi="ar-SA"/>
            </w:rPr>
            <w:fldChar w:fldCharType="separate"/>
          </w:r>
          <w:r>
            <w:rPr>
              <w:rFonts w:hint="eastAsia" w:ascii="宋体" w:hAnsi="宋体" w:eastAsia="宋体" w:cs="宋体"/>
              <w:b/>
              <w:color w:val="auto"/>
              <w:sz w:val="21"/>
              <w:szCs w:val="21"/>
              <w:highlight w:val="none"/>
              <w:lang w:val="en-US" w:eastAsia="zh-CN"/>
            </w:rPr>
            <w:t>第一章  公开招标采购公告</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_Toc8440 \h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kern w:val="2"/>
              <w:sz w:val="21"/>
              <w:szCs w:val="21"/>
              <w:highlight w:val="none"/>
              <w:lang w:val="en-US" w:eastAsia="zh-CN" w:bidi="ar-SA"/>
            </w:rPr>
            <w:fldChar w:fldCharType="end"/>
          </w:r>
        </w:p>
        <w:p w14:paraId="717F5AF1">
          <w:pPr>
            <w:pStyle w:val="114"/>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fldChar w:fldCharType="begin"/>
          </w:r>
          <w:r>
            <w:rPr>
              <w:rFonts w:hint="eastAsia" w:ascii="宋体" w:hAnsi="宋体" w:eastAsia="宋体" w:cs="宋体"/>
              <w:b/>
              <w:color w:val="auto"/>
              <w:kern w:val="2"/>
              <w:sz w:val="21"/>
              <w:szCs w:val="21"/>
              <w:highlight w:val="none"/>
              <w:lang w:val="en-US" w:eastAsia="zh-CN" w:bidi="ar-SA"/>
            </w:rPr>
            <w:instrText xml:space="preserve"> HYPERLINK \l _Toc10239 </w:instrText>
          </w:r>
          <w:r>
            <w:rPr>
              <w:rFonts w:hint="eastAsia" w:ascii="宋体" w:hAnsi="宋体" w:eastAsia="宋体" w:cs="宋体"/>
              <w:b/>
              <w:color w:val="auto"/>
              <w:kern w:val="2"/>
              <w:sz w:val="21"/>
              <w:szCs w:val="21"/>
              <w:highlight w:val="none"/>
              <w:lang w:val="en-US" w:eastAsia="zh-CN" w:bidi="ar-SA"/>
            </w:rPr>
            <w:fldChar w:fldCharType="separate"/>
          </w:r>
          <w:r>
            <w:rPr>
              <w:rFonts w:hint="eastAsia" w:ascii="宋体" w:hAnsi="宋体" w:eastAsia="宋体" w:cs="宋体"/>
              <w:b/>
              <w:color w:val="auto"/>
              <w:sz w:val="21"/>
              <w:szCs w:val="21"/>
              <w:highlight w:val="none"/>
            </w:rPr>
            <w:t>第二章  招标需求</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_Toc10239 \h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kern w:val="2"/>
              <w:sz w:val="21"/>
              <w:szCs w:val="21"/>
              <w:highlight w:val="none"/>
              <w:lang w:val="en-US" w:eastAsia="zh-CN" w:bidi="ar-SA"/>
            </w:rPr>
            <w:fldChar w:fldCharType="end"/>
          </w:r>
        </w:p>
        <w:p w14:paraId="6708E083">
          <w:pPr>
            <w:pStyle w:val="114"/>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fldChar w:fldCharType="begin"/>
          </w:r>
          <w:r>
            <w:rPr>
              <w:rFonts w:hint="eastAsia" w:ascii="宋体" w:hAnsi="宋体" w:eastAsia="宋体" w:cs="宋体"/>
              <w:b/>
              <w:color w:val="auto"/>
              <w:kern w:val="2"/>
              <w:sz w:val="21"/>
              <w:szCs w:val="21"/>
              <w:highlight w:val="none"/>
              <w:lang w:val="en-US" w:eastAsia="zh-CN" w:bidi="ar-SA"/>
            </w:rPr>
            <w:instrText xml:space="preserve"> HYPERLINK \l _Toc2995 </w:instrText>
          </w:r>
          <w:r>
            <w:rPr>
              <w:rFonts w:hint="eastAsia" w:ascii="宋体" w:hAnsi="宋体" w:eastAsia="宋体" w:cs="宋体"/>
              <w:b/>
              <w:color w:val="auto"/>
              <w:kern w:val="2"/>
              <w:sz w:val="21"/>
              <w:szCs w:val="21"/>
              <w:highlight w:val="none"/>
              <w:lang w:val="en-US" w:eastAsia="zh-CN" w:bidi="ar-SA"/>
            </w:rPr>
            <w:fldChar w:fldCharType="separate"/>
          </w:r>
          <w:r>
            <w:rPr>
              <w:rFonts w:hint="eastAsia" w:ascii="宋体" w:hAnsi="宋体" w:eastAsia="宋体" w:cs="宋体"/>
              <w:b/>
              <w:color w:val="auto"/>
              <w:sz w:val="21"/>
              <w:szCs w:val="21"/>
              <w:highlight w:val="none"/>
            </w:rPr>
            <w:t>第三章  投标人须知</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_Toc2995 \h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14</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kern w:val="2"/>
              <w:sz w:val="21"/>
              <w:szCs w:val="21"/>
              <w:highlight w:val="none"/>
              <w:lang w:val="en-US" w:eastAsia="zh-CN" w:bidi="ar-SA"/>
            </w:rPr>
            <w:fldChar w:fldCharType="end"/>
          </w:r>
        </w:p>
        <w:p w14:paraId="19DB9430">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_Toc24662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sz w:val="21"/>
              <w:szCs w:val="21"/>
              <w:highlight w:val="none"/>
            </w:rPr>
            <w:t>前附表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_Toc24662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27C80367">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_Toc21289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_Toc21289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5728A2C7">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_Toc1610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color w:val="auto"/>
              <w:sz w:val="21"/>
              <w:szCs w:val="21"/>
              <w:highlight w:val="none"/>
            </w:rPr>
            <w:t>二、招标文件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_Toc1610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06942113">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_Toc24041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color w:val="auto"/>
              <w:sz w:val="21"/>
              <w:szCs w:val="21"/>
              <w:highlight w:val="none"/>
            </w:rPr>
            <w:t>三、投标文件的编制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_Toc24041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4FF21999">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_Toc27129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color w:val="auto"/>
              <w:sz w:val="21"/>
              <w:szCs w:val="21"/>
              <w:highlight w:val="none"/>
            </w:rPr>
            <w:t>四、开标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_Toc27129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48B44EE5">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_Toc6961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color w:val="auto"/>
              <w:sz w:val="21"/>
              <w:szCs w:val="21"/>
              <w:highlight w:val="none"/>
            </w:rPr>
            <w:t>五、评标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_Toc6961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27DB2E12">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_Toc7365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color w:val="auto"/>
              <w:sz w:val="21"/>
              <w:szCs w:val="21"/>
              <w:highlight w:val="none"/>
            </w:rPr>
            <w:t>六、定标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_Toc7365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048C0BF6">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_Toc22531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color w:val="auto"/>
              <w:sz w:val="21"/>
              <w:szCs w:val="21"/>
              <w:highlight w:val="none"/>
            </w:rPr>
            <w:t>七、合同授予</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_Toc22531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1640E76B">
          <w:pPr>
            <w:pStyle w:val="114"/>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fldChar w:fldCharType="begin"/>
          </w:r>
          <w:r>
            <w:rPr>
              <w:rFonts w:hint="eastAsia" w:ascii="宋体" w:hAnsi="宋体" w:eastAsia="宋体" w:cs="宋体"/>
              <w:b/>
              <w:color w:val="auto"/>
              <w:kern w:val="2"/>
              <w:sz w:val="21"/>
              <w:szCs w:val="21"/>
              <w:highlight w:val="none"/>
              <w:lang w:val="en-US" w:eastAsia="zh-CN" w:bidi="ar-SA"/>
            </w:rPr>
            <w:instrText xml:space="preserve"> HYPERLINK \l _Toc10054 </w:instrText>
          </w:r>
          <w:r>
            <w:rPr>
              <w:rFonts w:hint="eastAsia" w:ascii="宋体" w:hAnsi="宋体" w:eastAsia="宋体" w:cs="宋体"/>
              <w:b/>
              <w:color w:val="auto"/>
              <w:kern w:val="2"/>
              <w:sz w:val="21"/>
              <w:szCs w:val="21"/>
              <w:highlight w:val="none"/>
              <w:lang w:val="en-US" w:eastAsia="zh-CN" w:bidi="ar-SA"/>
            </w:rPr>
            <w:fldChar w:fldCharType="separate"/>
          </w:r>
          <w:r>
            <w:rPr>
              <w:rFonts w:hint="eastAsia" w:ascii="宋体" w:hAnsi="宋体" w:eastAsia="宋体" w:cs="宋体"/>
              <w:b/>
              <w:color w:val="auto"/>
              <w:sz w:val="21"/>
              <w:szCs w:val="21"/>
              <w:highlight w:val="none"/>
            </w:rPr>
            <w:t>第四章 评标办法及评分标准</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_Toc10054 \h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38</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kern w:val="2"/>
              <w:sz w:val="21"/>
              <w:szCs w:val="21"/>
              <w:highlight w:val="none"/>
              <w:lang w:val="en-US" w:eastAsia="zh-CN" w:bidi="ar-SA"/>
            </w:rPr>
            <w:fldChar w:fldCharType="end"/>
          </w:r>
        </w:p>
        <w:p w14:paraId="4E89D428">
          <w:pPr>
            <w:pStyle w:val="114"/>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fldChar w:fldCharType="begin"/>
          </w:r>
          <w:r>
            <w:rPr>
              <w:rFonts w:hint="eastAsia" w:ascii="宋体" w:hAnsi="宋体" w:eastAsia="宋体" w:cs="宋体"/>
              <w:b/>
              <w:color w:val="auto"/>
              <w:kern w:val="2"/>
              <w:sz w:val="21"/>
              <w:szCs w:val="21"/>
              <w:highlight w:val="none"/>
              <w:lang w:val="en-US" w:eastAsia="zh-CN" w:bidi="ar-SA"/>
            </w:rPr>
            <w:instrText xml:space="preserve"> HYPERLINK \l _Toc9224 </w:instrText>
          </w:r>
          <w:r>
            <w:rPr>
              <w:rFonts w:hint="eastAsia" w:ascii="宋体" w:hAnsi="宋体" w:eastAsia="宋体" w:cs="宋体"/>
              <w:b/>
              <w:color w:val="auto"/>
              <w:kern w:val="2"/>
              <w:sz w:val="21"/>
              <w:szCs w:val="21"/>
              <w:highlight w:val="none"/>
              <w:lang w:val="en-US" w:eastAsia="zh-CN" w:bidi="ar-SA"/>
            </w:rPr>
            <w:fldChar w:fldCharType="separate"/>
          </w:r>
          <w:r>
            <w:rPr>
              <w:rFonts w:hint="eastAsia" w:ascii="宋体" w:hAnsi="宋体" w:eastAsia="宋体" w:cs="宋体"/>
              <w:b/>
              <w:bCs w:val="0"/>
              <w:color w:val="auto"/>
              <w:sz w:val="21"/>
              <w:szCs w:val="21"/>
              <w:highlight w:val="none"/>
            </w:rPr>
            <w:t xml:space="preserve">第五章 </w:t>
          </w:r>
          <w:r>
            <w:rPr>
              <w:rFonts w:hint="eastAsia" w:ascii="宋体" w:hAnsi="宋体" w:eastAsia="宋体" w:cs="宋体"/>
              <w:b/>
              <w:bCs w:val="0"/>
              <w:color w:val="auto"/>
              <w:sz w:val="21"/>
              <w:szCs w:val="21"/>
              <w:highlight w:val="none"/>
              <w:lang w:eastAsia="zh-CN"/>
            </w:rPr>
            <w:t>合</w:t>
          </w:r>
          <w:r>
            <w:rPr>
              <w:rFonts w:hint="eastAsia" w:ascii="宋体" w:hAnsi="宋体" w:eastAsia="宋体" w:cs="宋体"/>
              <w:b/>
              <w:bCs w:val="0"/>
              <w:color w:val="auto"/>
              <w:sz w:val="21"/>
              <w:szCs w:val="21"/>
              <w:highlight w:val="none"/>
            </w:rPr>
            <w:t>同主要条款</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_Toc9224 \h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41</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kern w:val="2"/>
              <w:sz w:val="21"/>
              <w:szCs w:val="21"/>
              <w:highlight w:val="none"/>
              <w:lang w:val="en-US" w:eastAsia="zh-CN" w:bidi="ar-SA"/>
            </w:rPr>
            <w:fldChar w:fldCharType="end"/>
          </w:r>
        </w:p>
        <w:p w14:paraId="1C1D835E">
          <w:pPr>
            <w:pStyle w:val="114"/>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fldChar w:fldCharType="begin"/>
          </w:r>
          <w:r>
            <w:rPr>
              <w:rFonts w:hint="eastAsia" w:ascii="宋体" w:hAnsi="宋体" w:eastAsia="宋体" w:cs="宋体"/>
              <w:b/>
              <w:color w:val="auto"/>
              <w:kern w:val="2"/>
              <w:sz w:val="21"/>
              <w:szCs w:val="21"/>
              <w:highlight w:val="none"/>
              <w:lang w:val="en-US" w:eastAsia="zh-CN" w:bidi="ar-SA"/>
            </w:rPr>
            <w:instrText xml:space="preserve"> HYPERLINK \l _Toc16364 </w:instrText>
          </w:r>
          <w:r>
            <w:rPr>
              <w:rFonts w:hint="eastAsia" w:ascii="宋体" w:hAnsi="宋体" w:eastAsia="宋体" w:cs="宋体"/>
              <w:b/>
              <w:color w:val="auto"/>
              <w:kern w:val="2"/>
              <w:sz w:val="21"/>
              <w:szCs w:val="21"/>
              <w:highlight w:val="none"/>
              <w:lang w:val="en-US" w:eastAsia="zh-CN" w:bidi="ar-SA"/>
            </w:rPr>
            <w:fldChar w:fldCharType="separate"/>
          </w:r>
          <w:r>
            <w:rPr>
              <w:rFonts w:hint="eastAsia" w:ascii="宋体" w:hAnsi="宋体" w:eastAsia="宋体" w:cs="宋体"/>
              <w:b/>
              <w:color w:val="auto"/>
              <w:sz w:val="21"/>
              <w:szCs w:val="21"/>
              <w:highlight w:val="none"/>
            </w:rPr>
            <w:t>第六章　投标文件组成内容及格式</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PAGEREF _Toc16364 \h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45</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kern w:val="2"/>
              <w:sz w:val="21"/>
              <w:szCs w:val="21"/>
              <w:highlight w:val="none"/>
              <w:lang w:val="en-US" w:eastAsia="zh-CN" w:bidi="ar-SA"/>
            </w:rPr>
            <w:fldChar w:fldCharType="end"/>
          </w:r>
        </w:p>
        <w:p w14:paraId="32BA8871">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_Toc19341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sz w:val="21"/>
              <w:szCs w:val="21"/>
              <w:highlight w:val="none"/>
            </w:rPr>
            <w:t>附件一：投标声明书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_Toc19341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48F85AE5">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_Toc7476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val="0"/>
              <w:color w:val="auto"/>
              <w:sz w:val="21"/>
              <w:szCs w:val="21"/>
              <w:highlight w:val="none"/>
            </w:rPr>
            <w:t>附件二：符合参加政府采购活动应当具备的一般条件的承诺函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_Toc7476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25B1AAA5">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_Toc17503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val="0"/>
              <w:color w:val="auto"/>
              <w:sz w:val="21"/>
              <w:szCs w:val="21"/>
              <w:highlight w:val="none"/>
            </w:rPr>
            <w:t>附件</w:t>
          </w:r>
          <w:r>
            <w:rPr>
              <w:rFonts w:hint="eastAsia" w:ascii="宋体" w:hAnsi="宋体" w:eastAsia="宋体" w:cs="宋体"/>
              <w:bCs w:val="0"/>
              <w:color w:val="auto"/>
              <w:sz w:val="21"/>
              <w:szCs w:val="21"/>
              <w:highlight w:val="none"/>
              <w:lang w:val="en-US" w:eastAsia="zh-CN"/>
            </w:rPr>
            <w:t>三</w:t>
          </w:r>
          <w:r>
            <w:rPr>
              <w:rFonts w:hint="eastAsia" w:ascii="宋体" w:hAnsi="宋体" w:eastAsia="宋体" w:cs="宋体"/>
              <w:bCs w:val="0"/>
              <w:color w:val="auto"/>
              <w:sz w:val="21"/>
              <w:szCs w:val="21"/>
              <w:highlight w:val="none"/>
            </w:rPr>
            <w:t>：政府采购活动现场确认声明书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_Toc17503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6905B7FD">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_Toc9763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：法定代表人授权委托书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_Toc9763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12982E92">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_Toc24835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sz w:val="21"/>
              <w:szCs w:val="21"/>
              <w:highlight w:val="none"/>
              <w:lang w:eastAsia="zh-CN"/>
            </w:rPr>
            <w:t>附件</w:t>
          </w:r>
          <w:r>
            <w:rPr>
              <w:rFonts w:hint="eastAsia" w:ascii="宋体" w:hAnsi="宋体" w:eastAsia="宋体" w:cs="宋体"/>
              <w:color w:val="auto"/>
              <w:sz w:val="21"/>
              <w:szCs w:val="21"/>
              <w:highlight w:val="none"/>
              <w:lang w:val="en-US" w:eastAsia="zh-CN"/>
            </w:rPr>
            <w:t>五：</w:t>
          </w:r>
          <w:r>
            <w:rPr>
              <w:rFonts w:hint="eastAsia" w:ascii="宋体" w:hAnsi="宋体" w:eastAsia="宋体" w:cs="宋体"/>
              <w:bCs w:val="0"/>
              <w:color w:val="auto"/>
              <w:kern w:val="2"/>
              <w:sz w:val="21"/>
              <w:szCs w:val="21"/>
              <w:highlight w:val="none"/>
              <w:lang w:val="en-US" w:eastAsia="zh-CN" w:bidi="ar-SA"/>
            </w:rPr>
            <w:t>联合体协议书（联合体投标时提供）</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_Toc24835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6104311E">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_Toc13904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sz w:val="21"/>
              <w:szCs w:val="21"/>
              <w:highlight w:val="none"/>
              <w:lang w:eastAsia="zh-CN"/>
            </w:rPr>
            <w:t>附件</w:t>
          </w:r>
          <w:r>
            <w:rPr>
              <w:rFonts w:hint="eastAsia" w:ascii="宋体" w:hAnsi="宋体" w:eastAsia="宋体" w:cs="宋体"/>
              <w:color w:val="auto"/>
              <w:sz w:val="21"/>
              <w:szCs w:val="21"/>
              <w:highlight w:val="none"/>
              <w:lang w:val="en-US" w:eastAsia="zh-CN"/>
            </w:rPr>
            <w:t>六：分包意向协议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_Toc13904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52700329">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_Toc4354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：投标人资信商务、技术自评得分表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_Toc4354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32D6BBFD">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_Toc30944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：商务响应表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_Toc30944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37219D16">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_Toc25862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val="0"/>
              <w:color w:val="auto"/>
              <w:sz w:val="21"/>
              <w:szCs w:val="21"/>
              <w:highlight w:val="none"/>
            </w:rPr>
            <w:t>附件</w:t>
          </w:r>
          <w:r>
            <w:rPr>
              <w:rFonts w:hint="eastAsia" w:ascii="宋体" w:hAnsi="宋体" w:eastAsia="宋体" w:cs="宋体"/>
              <w:bCs w:val="0"/>
              <w:color w:val="auto"/>
              <w:sz w:val="21"/>
              <w:szCs w:val="21"/>
              <w:highlight w:val="none"/>
              <w:lang w:val="en-US" w:eastAsia="zh-CN"/>
            </w:rPr>
            <w:t>九</w:t>
          </w:r>
          <w:r>
            <w:rPr>
              <w:rFonts w:hint="eastAsia" w:ascii="宋体" w:hAnsi="宋体" w:eastAsia="宋体" w:cs="宋体"/>
              <w:bCs w:val="0"/>
              <w:color w:val="auto"/>
              <w:sz w:val="21"/>
              <w:szCs w:val="21"/>
              <w:highlight w:val="none"/>
            </w:rPr>
            <w:t>：技术响应表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_Toc25862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3BE533A9">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_Toc3649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val="0"/>
              <w:color w:val="auto"/>
              <w:sz w:val="21"/>
              <w:szCs w:val="21"/>
              <w:highlight w:val="none"/>
            </w:rPr>
            <w:t>附件十：服务项目组成员及简介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_Toc3649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54123D58">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_Toc32445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0"/>
              <w:sz w:val="21"/>
              <w:szCs w:val="21"/>
              <w:highlight w:val="none"/>
            </w:rPr>
            <w:t>附件十一：同类项目业绩一览表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_Toc32445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7C1B3398">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_Toc2353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color w:val="auto"/>
              <w:sz w:val="21"/>
              <w:szCs w:val="21"/>
              <w:highlight w:val="none"/>
            </w:rPr>
            <w:t>附件十</w:t>
          </w: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：服务费承诺书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_Toc2353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2DACA5CD">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_Toc13518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color w:val="auto"/>
              <w:sz w:val="21"/>
              <w:szCs w:val="21"/>
              <w:highlight w:val="none"/>
            </w:rPr>
            <w:t>附件十</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投标函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_Toc13518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3FD7AC14">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_Toc29949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color w:val="auto"/>
              <w:sz w:val="21"/>
              <w:szCs w:val="21"/>
              <w:highlight w:val="none"/>
            </w:rPr>
            <w:t>附件十</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：开标一览表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_Toc29949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3BAEA983">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_Toc16268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color w:val="auto"/>
              <w:sz w:val="21"/>
              <w:szCs w:val="21"/>
              <w:highlight w:val="none"/>
            </w:rPr>
            <w:t>附件十</w:t>
          </w:r>
          <w:r>
            <w:rPr>
              <w:rFonts w:hint="eastAsia" w:ascii="宋体" w:hAnsi="宋体" w:eastAsia="宋体" w:cs="宋体"/>
              <w:bCs/>
              <w:color w:val="auto"/>
              <w:sz w:val="21"/>
              <w:szCs w:val="21"/>
              <w:highlight w:val="none"/>
              <w:lang w:val="en-US" w:eastAsia="zh-CN"/>
            </w:rPr>
            <w:t>五</w:t>
          </w:r>
          <w:r>
            <w:rPr>
              <w:rFonts w:hint="eastAsia" w:ascii="宋体" w:hAnsi="宋体" w:eastAsia="宋体" w:cs="宋体"/>
              <w:bCs/>
              <w:color w:val="auto"/>
              <w:sz w:val="21"/>
              <w:szCs w:val="21"/>
              <w:highlight w:val="none"/>
            </w:rPr>
            <w:t>：残疾人福利性单位声明函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_Toc16268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6381D89A">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_Toc513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color w:val="auto"/>
              <w:sz w:val="21"/>
              <w:szCs w:val="21"/>
              <w:highlight w:val="none"/>
            </w:rPr>
            <w:t>附件十</w:t>
          </w:r>
          <w:r>
            <w:rPr>
              <w:rFonts w:hint="eastAsia" w:ascii="宋体" w:hAnsi="宋体" w:eastAsia="宋体" w:cs="宋体"/>
              <w:bCs/>
              <w:color w:val="auto"/>
              <w:sz w:val="21"/>
              <w:szCs w:val="21"/>
              <w:highlight w:val="none"/>
              <w:lang w:val="en-US" w:eastAsia="zh-CN"/>
            </w:rPr>
            <w:t>六</w:t>
          </w:r>
          <w:r>
            <w:rPr>
              <w:rFonts w:hint="eastAsia" w:ascii="宋体" w:hAnsi="宋体" w:eastAsia="宋体" w:cs="宋体"/>
              <w:bCs/>
              <w:color w:val="auto"/>
              <w:sz w:val="21"/>
              <w:szCs w:val="21"/>
              <w:highlight w:val="none"/>
            </w:rPr>
            <w:t>：中小企业声明函（工程、服务）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2D5424A1">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_Toc18925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color w:val="auto"/>
              <w:sz w:val="21"/>
              <w:szCs w:val="21"/>
              <w:highlight w:val="none"/>
            </w:rPr>
            <w:t>附件十</w:t>
          </w:r>
          <w:r>
            <w:rPr>
              <w:rFonts w:hint="eastAsia" w:ascii="宋体" w:hAnsi="宋体" w:eastAsia="宋体" w:cs="宋体"/>
              <w:bCs/>
              <w:color w:val="auto"/>
              <w:sz w:val="21"/>
              <w:szCs w:val="21"/>
              <w:highlight w:val="none"/>
              <w:lang w:val="en-US" w:eastAsia="zh-CN"/>
            </w:rPr>
            <w:t>七</w:t>
          </w:r>
          <w:r>
            <w:rPr>
              <w:rFonts w:hint="eastAsia" w:ascii="宋体" w:hAnsi="宋体" w:eastAsia="宋体" w:cs="宋体"/>
              <w:bCs/>
              <w:color w:val="auto"/>
              <w:sz w:val="21"/>
              <w:szCs w:val="21"/>
              <w:highlight w:val="none"/>
            </w:rPr>
            <w:t>：东阳市采购项目验收方案</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_Toc18925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2A2F3E60">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_Toc16732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bCs/>
              <w:color w:val="auto"/>
              <w:sz w:val="21"/>
              <w:szCs w:val="21"/>
              <w:highlight w:val="none"/>
            </w:rPr>
            <w:t>附件十</w:t>
          </w:r>
          <w:r>
            <w:rPr>
              <w:rFonts w:hint="eastAsia" w:ascii="宋体" w:hAnsi="宋体" w:eastAsia="宋体" w:cs="宋体"/>
              <w:bCs/>
              <w:color w:val="auto"/>
              <w:sz w:val="21"/>
              <w:szCs w:val="21"/>
              <w:highlight w:val="none"/>
              <w:lang w:val="en-US" w:eastAsia="zh-CN"/>
            </w:rPr>
            <w:t>八</w:t>
          </w:r>
          <w:r>
            <w:rPr>
              <w:rFonts w:hint="eastAsia" w:ascii="宋体" w:hAnsi="宋体" w:eastAsia="宋体" w:cs="宋体"/>
              <w:bCs/>
              <w:color w:val="auto"/>
              <w:sz w:val="21"/>
              <w:szCs w:val="21"/>
              <w:highlight w:val="none"/>
            </w:rPr>
            <w:t>：东阳市政府采购代理机构社会评价表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_Toc16732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793DB638">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_Toc15567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sz w:val="21"/>
              <w:szCs w:val="21"/>
              <w:highlight w:val="none"/>
            </w:rPr>
            <w:t>附件十</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：办理保函需提供资料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14003FA7">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_Toc13340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二十</w:t>
          </w:r>
          <w:r>
            <w:rPr>
              <w:rFonts w:hint="eastAsia" w:ascii="宋体" w:hAnsi="宋体" w:eastAsia="宋体" w:cs="宋体"/>
              <w:color w:val="auto"/>
              <w:sz w:val="21"/>
              <w:szCs w:val="21"/>
              <w:highlight w:val="none"/>
            </w:rPr>
            <w:t>：质疑函范本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_Toc13340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36A60F68">
          <w:pPr>
            <w:pStyle w:val="115"/>
            <w:keepNext w:val="0"/>
            <w:keepLines w:val="0"/>
            <w:pageBreakBefore w:val="0"/>
            <w:widowControl/>
            <w:tabs>
              <w:tab w:val="right" w:leader="dot" w:pos="9127"/>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\l _Toc25124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二十一</w:t>
          </w:r>
          <w:r>
            <w:rPr>
              <w:rFonts w:hint="eastAsia" w:ascii="宋体" w:hAnsi="宋体" w:eastAsia="宋体" w:cs="宋体"/>
              <w:color w:val="auto"/>
              <w:sz w:val="21"/>
              <w:szCs w:val="21"/>
              <w:highlight w:val="none"/>
            </w:rPr>
            <w:t>：投诉书范本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_Toc25124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kern w:val="2"/>
              <w:sz w:val="21"/>
              <w:szCs w:val="21"/>
              <w:highlight w:val="none"/>
              <w:lang w:val="en-US" w:eastAsia="zh-CN" w:bidi="ar-SA"/>
            </w:rPr>
            <w:fldChar w:fldCharType="end"/>
          </w:r>
        </w:p>
        <w:p w14:paraId="5D25B0E6">
          <w:pPr>
            <w:rPr>
              <w:rFonts w:ascii="Times New Roman" w:hAnsi="Times New Roman" w:eastAsia="宋体" w:cs="Times New Roman"/>
              <w:b/>
              <w:color w:val="auto"/>
              <w:kern w:val="2"/>
              <w:sz w:val="21"/>
              <w:szCs w:val="24"/>
              <w:highlight w:val="none"/>
              <w:lang w:val="en-US" w:eastAsia="zh-CN" w:bidi="ar-SA"/>
            </w:rPr>
          </w:pPr>
          <w:r>
            <w:rPr>
              <w:rFonts w:ascii="Times New Roman" w:hAnsi="Times New Roman" w:eastAsia="宋体" w:cs="Times New Roman"/>
              <w:b/>
              <w:color w:val="auto"/>
              <w:kern w:val="2"/>
              <w:szCs w:val="24"/>
              <w:highlight w:val="none"/>
              <w:lang w:val="en-US" w:eastAsia="zh-CN" w:bidi="ar-SA"/>
            </w:rPr>
            <w:fldChar w:fldCharType="end"/>
          </w:r>
        </w:p>
      </w:sdtContent>
    </w:sdt>
    <w:p w14:paraId="1645D872">
      <w:pPr>
        <w:rPr>
          <w:rFonts w:ascii="Times New Roman" w:hAnsi="Times New Roman" w:eastAsia="宋体" w:cs="Times New Roman"/>
          <w:b/>
          <w:color w:val="auto"/>
          <w:kern w:val="2"/>
          <w:sz w:val="21"/>
          <w:szCs w:val="24"/>
          <w:highlight w:val="none"/>
          <w:lang w:val="en-US" w:eastAsia="zh-CN" w:bidi="ar-SA"/>
        </w:rPr>
      </w:pPr>
    </w:p>
    <w:p w14:paraId="47F95DFE">
      <w:pPr>
        <w:pStyle w:val="27"/>
        <w:keepNext w:val="0"/>
        <w:keepLines w:val="0"/>
        <w:pageBreakBefore w:val="0"/>
        <w:widowControl w:val="0"/>
        <w:tabs>
          <w:tab w:val="right" w:leader="dot" w:pos="9402"/>
        </w:tabs>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highlight w:val="none"/>
        </w:rPr>
        <w:fldChar w:fldCharType="end"/>
      </w:r>
    </w:p>
    <w:p w14:paraId="3ED78722">
      <w:pPr>
        <w:spacing w:line="360" w:lineRule="auto"/>
        <w:rPr>
          <w:rFonts w:hint="eastAsia" w:ascii="宋体" w:hAnsi="宋体" w:eastAsia="宋体" w:cs="宋体"/>
          <w:color w:val="auto"/>
          <w:sz w:val="24"/>
          <w:highlight w:val="none"/>
        </w:rPr>
      </w:pPr>
    </w:p>
    <w:p w14:paraId="73EF98A6">
      <w:pPr>
        <w:pStyle w:val="27"/>
        <w:pageBreakBefore/>
        <w:tabs>
          <w:tab w:val="right" w:leader="dot" w:pos="9402"/>
        </w:tabs>
        <w:spacing w:line="460" w:lineRule="exact"/>
        <w:jc w:val="center"/>
        <w:outlineLvl w:val="0"/>
        <w:rPr>
          <w:rFonts w:hint="eastAsia" w:ascii="宋体" w:hAnsi="宋体" w:eastAsia="宋体" w:cs="宋体"/>
          <w:b/>
          <w:color w:val="auto"/>
          <w:sz w:val="24"/>
          <w:highlight w:val="none"/>
        </w:rPr>
      </w:pPr>
      <w:bookmarkStart w:id="28" w:name="_Toc8440"/>
      <w:bookmarkStart w:id="29" w:name="_Toc30309"/>
      <w:bookmarkStart w:id="30" w:name="_Toc28670"/>
      <w:bookmarkStart w:id="31" w:name="_Toc7073"/>
      <w:r>
        <w:rPr>
          <w:rStyle w:val="79"/>
          <w:rFonts w:hint="eastAsia"/>
          <w:color w:val="auto"/>
          <w:sz w:val="28"/>
          <w:szCs w:val="28"/>
          <w:highlight w:val="none"/>
          <w:lang w:val="en-US" w:eastAsia="zh-CN"/>
        </w:rPr>
        <w:t>第一章  公开招标采购公告</w:t>
      </w:r>
      <w:bookmarkEnd w:id="28"/>
      <w:bookmarkEnd w:id="29"/>
      <w:bookmarkEnd w:id="30"/>
      <w:bookmarkEnd w:id="31"/>
      <w:r>
        <w:rPr>
          <w:rFonts w:hint="eastAsia" w:ascii="宋体" w:hAnsi="宋体" w:eastAsia="宋体" w:cs="宋体"/>
          <w:b/>
          <w:color w:val="auto"/>
          <w:sz w:val="24"/>
          <w:highlight w:val="none"/>
        </w:rPr>
        <w:t xml:space="preserve"> </w:t>
      </w:r>
    </w:p>
    <w:p w14:paraId="2BBB0E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项目概况</w:t>
      </w:r>
    </w:p>
    <w:p w14:paraId="09D0635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东阳市国民经济和社会发展“十五五”规划《基本思路》和《纲要草案》服务采购项目(第二次）</w:t>
      </w:r>
      <w:r>
        <w:rPr>
          <w:rFonts w:hint="eastAsia" w:ascii="仿宋" w:hAnsi="仿宋" w:eastAsia="仿宋" w:cs="仿宋"/>
          <w:b w:val="0"/>
          <w:bCs w:val="0"/>
          <w:color w:val="auto"/>
          <w:sz w:val="24"/>
          <w:highlight w:val="none"/>
          <w:u w:val="single"/>
        </w:rPr>
        <w:t>（经</w:t>
      </w:r>
      <w:r>
        <w:rPr>
          <w:rFonts w:hint="eastAsia" w:ascii="仿宋" w:hAnsi="仿宋" w:eastAsia="仿宋" w:cs="仿宋"/>
          <w:b w:val="0"/>
          <w:bCs w:val="0"/>
          <w:color w:val="auto"/>
          <w:sz w:val="24"/>
          <w:highlight w:val="none"/>
          <w:u w:val="single"/>
          <w:lang w:val="en-US" w:eastAsia="zh-CN"/>
        </w:rPr>
        <w:t>东阳市财政局临〔2024〕3198号政府采购计划书</w:t>
      </w:r>
      <w:r>
        <w:rPr>
          <w:rFonts w:hint="eastAsia" w:ascii="仿宋" w:hAnsi="仿宋" w:eastAsia="仿宋" w:cs="仿宋"/>
          <w:b w:val="0"/>
          <w:bCs w:val="0"/>
          <w:color w:val="auto"/>
          <w:sz w:val="24"/>
          <w:highlight w:val="none"/>
          <w:u w:val="single"/>
        </w:rPr>
        <w:t>批准）</w:t>
      </w:r>
      <w:r>
        <w:rPr>
          <w:rFonts w:hint="eastAsia" w:ascii="仿宋" w:hAnsi="仿宋" w:eastAsia="仿宋" w:cs="仿宋"/>
          <w:color w:val="auto"/>
          <w:sz w:val="24"/>
          <w:highlight w:val="none"/>
        </w:rPr>
        <w:t>的潜在投标人应在</w:t>
      </w:r>
      <w:r>
        <w:rPr>
          <w:rFonts w:hint="eastAsia" w:ascii="仿宋" w:hAnsi="仿宋" w:eastAsia="仿宋" w:cs="仿宋"/>
          <w:color w:val="auto"/>
          <w:sz w:val="24"/>
          <w:highlight w:val="none"/>
          <w:u w:val="single"/>
        </w:rPr>
        <w:t>（网址：浙江政府采购网</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http://zfcg.czt.zj.gov.cn、东阳市公共资源交易网</w:t>
      </w:r>
      <w:r>
        <w:rPr>
          <w:rFonts w:hint="eastAsia" w:ascii="仿宋" w:hAnsi="仿宋" w:eastAsia="仿宋" w:cs="仿宋"/>
          <w:color w:val="auto"/>
          <w:sz w:val="24"/>
          <w:highlight w:val="none"/>
          <w:u w:val="single"/>
          <w:lang w:eastAsia="zh-CN"/>
        </w:rPr>
        <w:t>：http://www.dongyang.gov.cn/ggzyjy/index.html</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获取招标文件，并于</w:t>
      </w:r>
      <w:r>
        <w:rPr>
          <w:rFonts w:hint="eastAsia" w:ascii="仿宋" w:hAnsi="仿宋" w:eastAsia="仿宋" w:cs="仿宋"/>
          <w:color w:val="0000FF"/>
          <w:sz w:val="24"/>
          <w:highlight w:val="none"/>
          <w:u w:val="single"/>
          <w:lang w:val="en-US" w:eastAsia="zh-CN"/>
        </w:rPr>
        <w:t>2025年1月9日14时00分</w:t>
      </w:r>
      <w:r>
        <w:rPr>
          <w:rFonts w:hint="eastAsia" w:ascii="仿宋" w:hAnsi="仿宋" w:eastAsia="仿宋" w:cs="仿宋"/>
          <w:color w:val="auto"/>
          <w:sz w:val="24"/>
          <w:highlight w:val="none"/>
        </w:rPr>
        <w:t>（北京时间）前递交（上传）电子投标文件。</w:t>
      </w:r>
    </w:p>
    <w:p w14:paraId="7A1B8E72">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firstLine="482" w:firstLineChars="200"/>
        <w:textAlignment w:val="auto"/>
        <w:outlineLvl w:val="1"/>
        <w:rPr>
          <w:rFonts w:hint="eastAsia" w:ascii="宋体" w:hAnsi="宋体" w:eastAsia="宋体" w:cs="宋体"/>
          <w:b/>
          <w:bCs/>
          <w:color w:val="auto"/>
          <w:sz w:val="24"/>
          <w:highlight w:val="none"/>
        </w:rPr>
      </w:pPr>
      <w:bookmarkStart w:id="32" w:name="_Toc8236"/>
      <w:bookmarkStart w:id="33" w:name="_Toc29986"/>
      <w:bookmarkStart w:id="34" w:name="_Toc24861"/>
      <w:bookmarkStart w:id="35" w:name="_Toc16282"/>
      <w:bookmarkStart w:id="36" w:name="_Toc27938"/>
      <w:bookmarkStart w:id="37" w:name="_Toc30822"/>
      <w:r>
        <w:rPr>
          <w:rFonts w:hint="eastAsia" w:ascii="宋体" w:hAnsi="宋体" w:eastAsia="宋体" w:cs="宋体"/>
          <w:b/>
          <w:bCs/>
          <w:color w:val="auto"/>
          <w:sz w:val="24"/>
          <w:highlight w:val="none"/>
        </w:rPr>
        <w:t>项目基本情况</w:t>
      </w:r>
      <w:bookmarkEnd w:id="32"/>
      <w:bookmarkEnd w:id="33"/>
      <w:bookmarkEnd w:id="34"/>
      <w:bookmarkEnd w:id="35"/>
      <w:bookmarkEnd w:id="36"/>
      <w:bookmarkEnd w:id="37"/>
    </w:p>
    <w:p w14:paraId="0232661A">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项目编号：</w:t>
      </w:r>
      <w:r>
        <w:rPr>
          <w:rFonts w:hint="eastAsia" w:ascii="宋体" w:hAnsi="宋体" w:cs="宋体"/>
          <w:b w:val="0"/>
          <w:bCs w:val="0"/>
          <w:color w:val="auto"/>
          <w:sz w:val="24"/>
          <w:highlight w:val="none"/>
          <w:lang w:eastAsia="zh-CN"/>
        </w:rPr>
        <w:t>DFZFCG2024-Z01-C18-1</w:t>
      </w:r>
    </w:p>
    <w:p w14:paraId="39BDAF08">
      <w:pPr>
        <w:keepNext w:val="0"/>
        <w:keepLines w:val="0"/>
        <w:pageBreakBefore w:val="0"/>
        <w:widowControl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项目名称：</w:t>
      </w:r>
      <w:r>
        <w:rPr>
          <w:rFonts w:hint="eastAsia" w:ascii="宋体" w:hAnsi="宋体" w:cs="宋体"/>
          <w:b w:val="0"/>
          <w:bCs w:val="0"/>
          <w:color w:val="auto"/>
          <w:sz w:val="24"/>
          <w:highlight w:val="none"/>
          <w:lang w:eastAsia="zh-CN"/>
        </w:rPr>
        <w:t>东阳市国民经济和社会发展“十五五”规划《基本思路》和《纲要草案》服务采购项目(第二次）</w:t>
      </w:r>
    </w:p>
    <w:p w14:paraId="63C8241E">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b/>
          <w:bCs w:val="0"/>
          <w:color w:val="auto"/>
          <w:sz w:val="24"/>
          <w:highlight w:val="none"/>
        </w:rPr>
        <w:t>预算金额（元）：</w:t>
      </w:r>
      <w:r>
        <w:rPr>
          <w:rFonts w:hint="eastAsia" w:ascii="宋体" w:hAnsi="宋体" w:cs="宋体"/>
          <w:bCs/>
          <w:color w:val="auto"/>
          <w:sz w:val="24"/>
          <w:highlight w:val="none"/>
          <w:lang w:val="en-US" w:eastAsia="zh-CN"/>
        </w:rPr>
        <w:t>1500000</w:t>
      </w:r>
      <w:r>
        <w:rPr>
          <w:rFonts w:hint="eastAsia" w:ascii="宋体" w:hAnsi="宋体" w:eastAsia="宋体" w:cs="宋体"/>
          <w:bCs/>
          <w:color w:val="auto"/>
          <w:sz w:val="24"/>
          <w:highlight w:val="none"/>
          <w:lang w:val="en-US" w:eastAsia="zh-CN"/>
        </w:rPr>
        <w:t>元</w:t>
      </w:r>
      <w:r>
        <w:rPr>
          <w:rFonts w:hint="eastAsia" w:ascii="宋体" w:hAnsi="宋体" w:cs="宋体"/>
          <w:bCs/>
          <w:color w:val="auto"/>
          <w:sz w:val="24"/>
          <w:highlight w:val="none"/>
          <w:lang w:val="en-US" w:eastAsia="zh-CN"/>
        </w:rPr>
        <w:t>；</w:t>
      </w:r>
    </w:p>
    <w:p w14:paraId="0DB79A33">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val="0"/>
          <w:color w:val="auto"/>
          <w:sz w:val="24"/>
          <w:highlight w:val="none"/>
        </w:rPr>
        <w:t>最高限价（元）：</w:t>
      </w:r>
      <w:r>
        <w:rPr>
          <w:rFonts w:hint="eastAsia" w:ascii="宋体" w:hAnsi="宋体" w:cs="宋体"/>
          <w:bCs/>
          <w:color w:val="auto"/>
          <w:sz w:val="24"/>
          <w:highlight w:val="none"/>
          <w:lang w:val="en-US" w:eastAsia="zh-CN"/>
        </w:rPr>
        <w:t>1500000元；</w:t>
      </w:r>
    </w:p>
    <w:p w14:paraId="03E709C3">
      <w:pPr>
        <w:pStyle w:val="15"/>
        <w:keepNext w:val="0"/>
        <w:keepLines w:val="0"/>
        <w:pageBreakBefore w:val="0"/>
        <w:widowControl w:val="0"/>
        <w:kinsoku/>
        <w:wordWrap/>
        <w:overflowPunct/>
        <w:topLinePunct w:val="0"/>
        <w:autoSpaceDE/>
        <w:autoSpaceDN/>
        <w:bidi w:val="0"/>
        <w:adjustRightInd/>
        <w:snapToGrid w:val="0"/>
        <w:spacing w:after="0"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采购需求：</w:t>
      </w:r>
    </w:p>
    <w:p w14:paraId="1C7D1965">
      <w:pPr>
        <w:pStyle w:val="15"/>
        <w:keepNext w:val="0"/>
        <w:keepLines w:val="0"/>
        <w:pageBreakBefore w:val="0"/>
        <w:widowControl w:val="0"/>
        <w:kinsoku/>
        <w:wordWrap/>
        <w:overflowPunct/>
        <w:topLinePunct w:val="0"/>
        <w:autoSpaceDE/>
        <w:autoSpaceDN/>
        <w:bidi w:val="0"/>
        <w:adjustRightInd/>
        <w:snapToGrid w:val="0"/>
        <w:spacing w:after="0"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标项一：</w:t>
      </w:r>
    </w:p>
    <w:p w14:paraId="7DAA0AF3">
      <w:pPr>
        <w:pStyle w:val="15"/>
        <w:keepNext w:val="0"/>
        <w:keepLines w:val="0"/>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标项名称：</w:t>
      </w:r>
      <w:r>
        <w:rPr>
          <w:rFonts w:hint="eastAsia" w:ascii="宋体" w:hAnsi="宋体" w:cs="宋体"/>
          <w:b w:val="0"/>
          <w:bCs w:val="0"/>
          <w:color w:val="auto"/>
          <w:sz w:val="24"/>
          <w:highlight w:val="none"/>
          <w:lang w:eastAsia="zh-CN"/>
        </w:rPr>
        <w:t>东阳市国民经济和社会发展“十五五”规划《基本思路》和《纲要草案》服务采购项目(第二次）</w:t>
      </w:r>
    </w:p>
    <w:p w14:paraId="04BDA85C">
      <w:pPr>
        <w:pStyle w:val="15"/>
        <w:keepNext w:val="0"/>
        <w:keepLines w:val="0"/>
        <w:pageBreakBefore w:val="0"/>
        <w:widowControl w:val="0"/>
        <w:kinsoku/>
        <w:wordWrap/>
        <w:overflowPunct/>
        <w:topLinePunct w:val="0"/>
        <w:autoSpaceDE/>
        <w:autoSpaceDN/>
        <w:bidi w:val="0"/>
        <w:adjustRightInd/>
        <w:snapToGrid w:val="0"/>
        <w:spacing w:after="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数量：1项 </w:t>
      </w:r>
    </w:p>
    <w:p w14:paraId="74F0119C">
      <w:pPr>
        <w:pStyle w:val="15"/>
        <w:keepNext w:val="0"/>
        <w:keepLines w:val="0"/>
        <w:pageBreakBefore w:val="0"/>
        <w:widowControl w:val="0"/>
        <w:kinsoku/>
        <w:wordWrap/>
        <w:overflowPunct/>
        <w:topLinePunct w:val="0"/>
        <w:autoSpaceDE/>
        <w:autoSpaceDN/>
        <w:bidi w:val="0"/>
        <w:adjustRightInd/>
        <w:snapToGrid w:val="0"/>
        <w:spacing w:after="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预算金额（元）：</w:t>
      </w:r>
      <w:r>
        <w:rPr>
          <w:rFonts w:hint="eastAsia" w:ascii="宋体" w:hAnsi="宋体" w:cs="宋体"/>
          <w:color w:val="auto"/>
          <w:sz w:val="24"/>
          <w:highlight w:val="none"/>
          <w:lang w:val="en-US" w:eastAsia="zh-CN"/>
        </w:rPr>
        <w:t>1500000</w:t>
      </w:r>
      <w:r>
        <w:rPr>
          <w:rFonts w:hint="eastAsia" w:ascii="宋体" w:hAnsi="宋体" w:eastAsia="宋体" w:cs="宋体"/>
          <w:color w:val="auto"/>
          <w:sz w:val="24"/>
          <w:highlight w:val="none"/>
        </w:rPr>
        <w:t>元</w:t>
      </w:r>
    </w:p>
    <w:p w14:paraId="7D4D95EB">
      <w:pPr>
        <w:pStyle w:val="15"/>
        <w:keepNext w:val="0"/>
        <w:keepLines w:val="0"/>
        <w:pageBreakBefore w:val="0"/>
        <w:widowControl w:val="0"/>
        <w:kinsoku/>
        <w:wordWrap/>
        <w:overflowPunct/>
        <w:topLinePunct w:val="0"/>
        <w:autoSpaceDE/>
        <w:autoSpaceDN/>
        <w:bidi w:val="0"/>
        <w:adjustRightInd/>
        <w:snapToGrid w:val="0"/>
        <w:spacing w:after="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简要规格描述或项目基本概况介绍、用途：具体要求详见第二章招标需求</w:t>
      </w:r>
      <w:r>
        <w:rPr>
          <w:rFonts w:hint="eastAsia" w:ascii="宋体" w:hAnsi="宋体" w:cs="宋体"/>
          <w:color w:val="auto"/>
          <w:sz w:val="24"/>
          <w:highlight w:val="none"/>
          <w:lang w:eastAsia="zh-CN"/>
        </w:rPr>
        <w:t>。</w:t>
      </w:r>
    </w:p>
    <w:p w14:paraId="1ED37C53">
      <w:pPr>
        <w:pStyle w:val="15"/>
        <w:keepNext w:val="0"/>
        <w:keepLines w:val="0"/>
        <w:pageBreakBefore w:val="0"/>
        <w:widowControl w:val="0"/>
        <w:kinsoku/>
        <w:wordWrap/>
        <w:overflowPunct/>
        <w:topLinePunct w:val="0"/>
        <w:autoSpaceDE/>
        <w:autoSpaceDN/>
        <w:bidi w:val="0"/>
        <w:adjustRightInd/>
        <w:snapToGrid w:val="0"/>
        <w:spacing w:after="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备注：</w:t>
      </w:r>
    </w:p>
    <w:p w14:paraId="13761AC1">
      <w:pPr>
        <w:pStyle w:val="15"/>
        <w:keepNext w:val="0"/>
        <w:keepLines w:val="0"/>
        <w:pageBreakBefore w:val="0"/>
        <w:widowControl w:val="0"/>
        <w:kinsoku/>
        <w:wordWrap/>
        <w:overflowPunct/>
        <w:topLinePunct w:val="0"/>
        <w:autoSpaceDE/>
        <w:autoSpaceDN/>
        <w:bidi w:val="0"/>
        <w:adjustRightInd/>
        <w:snapToGrid w:val="0"/>
        <w:spacing w:after="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合同履约期限：</w:t>
      </w:r>
      <w:r>
        <w:rPr>
          <w:rFonts w:hint="eastAsia" w:ascii="宋体" w:hAnsi="宋体" w:cs="宋体"/>
          <w:color w:val="auto"/>
          <w:sz w:val="24"/>
          <w:highlight w:val="none"/>
          <w:lang w:eastAsia="zh-CN"/>
        </w:rPr>
        <w:t>详见招标文件。</w:t>
      </w:r>
    </w:p>
    <w:p w14:paraId="7553A093">
      <w:pPr>
        <w:pStyle w:val="15"/>
        <w:keepNext w:val="0"/>
        <w:keepLines w:val="0"/>
        <w:pageBreakBefore w:val="0"/>
        <w:widowControl w:val="0"/>
        <w:kinsoku/>
        <w:wordWrap/>
        <w:overflowPunct/>
        <w:topLinePunct w:val="0"/>
        <w:autoSpaceDE/>
        <w:autoSpaceDN/>
        <w:bidi w:val="0"/>
        <w:adjustRightInd/>
        <w:snapToGrid w:val="0"/>
        <w:spacing w:after="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接受联合体投标</w:t>
      </w:r>
      <w:r>
        <w:rPr>
          <w:rFonts w:hint="eastAsia" w:ascii="宋体" w:hAnsi="宋体" w:cs="宋体"/>
          <w:color w:val="auto"/>
          <w:sz w:val="24"/>
          <w:highlight w:val="none"/>
          <w:lang w:eastAsia="zh-CN"/>
        </w:rPr>
        <w:t>。</w:t>
      </w:r>
    </w:p>
    <w:p w14:paraId="150A243E">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trike/>
          <w:color w:val="auto"/>
          <w:sz w:val="24"/>
          <w:highlight w:val="none"/>
        </w:rPr>
      </w:pPr>
      <w:r>
        <w:rPr>
          <w:rFonts w:hint="eastAsia" w:ascii="宋体" w:hAnsi="宋体" w:eastAsia="宋体" w:cs="宋体"/>
          <w:b/>
          <w:bCs/>
          <w:color w:val="auto"/>
          <w:sz w:val="24"/>
          <w:highlight w:val="none"/>
        </w:rPr>
        <w:t xml:space="preserve">▲二、申请人的资格要求： </w:t>
      </w:r>
    </w:p>
    <w:p w14:paraId="59A6EF38">
      <w:pPr>
        <w:pStyle w:val="15"/>
        <w:keepNext w:val="0"/>
        <w:keepLines w:val="0"/>
        <w:pageBreakBefore w:val="0"/>
        <w:widowControl w:val="0"/>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708E147">
      <w:pPr>
        <w:pStyle w:val="15"/>
        <w:keepNext w:val="0"/>
        <w:keepLines w:val="0"/>
        <w:pageBreakBefore w:val="0"/>
        <w:widowControl w:val="0"/>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2.落实政府采购政策需满足的资格要求：</w:t>
      </w:r>
    </w:p>
    <w:p w14:paraId="236DA30A">
      <w:pPr>
        <w:pStyle w:val="15"/>
        <w:keepNext w:val="0"/>
        <w:keepLines w:val="0"/>
        <w:pageBreakBefore w:val="0"/>
        <w:widowControl w:val="0"/>
        <w:kinsoku/>
        <w:wordWrap/>
        <w:overflowPunct/>
        <w:topLinePunct w:val="0"/>
        <w:autoSpaceDE/>
        <w:autoSpaceDN/>
        <w:bidi w:val="0"/>
        <w:adjustRightInd/>
        <w:spacing w:after="0" w:line="440" w:lineRule="exact"/>
        <w:ind w:firstLine="482" w:firstLineChars="200"/>
        <w:textAlignment w:val="auto"/>
        <w:rPr>
          <w:rFonts w:hint="eastAsia" w:ascii="Times New Roman" w:hAnsi="Times New Roman" w:eastAsia="宋体" w:cs="Times New Roman"/>
          <w:b/>
          <w:bCs/>
          <w:color w:val="auto"/>
          <w:kern w:val="0"/>
          <w:sz w:val="24"/>
          <w:szCs w:val="24"/>
          <w:highlight w:val="none"/>
          <w:lang w:eastAsia="zh-CN"/>
        </w:rPr>
      </w:pPr>
      <w:r>
        <w:rPr>
          <w:rFonts w:hint="eastAsia" w:ascii="宋体" w:hAnsi="宋体" w:cs="宋体"/>
          <w:b/>
          <w:bCs/>
          <w:color w:val="auto"/>
          <w:sz w:val="24"/>
          <w:highlight w:val="none"/>
          <w:lang w:val="en-US" w:eastAsia="zh-CN"/>
        </w:rPr>
        <w:t>A、</w:t>
      </w:r>
      <w:r>
        <w:rPr>
          <w:rFonts w:hint="eastAsia" w:ascii="Times New Roman" w:hAnsi="Times New Roman" w:eastAsia="宋体" w:cs="Times New Roman"/>
          <w:b/>
          <w:bCs/>
          <w:color w:val="auto"/>
          <w:kern w:val="0"/>
          <w:sz w:val="24"/>
          <w:szCs w:val="24"/>
          <w:highlight w:val="none"/>
          <w:lang w:eastAsia="zh-CN"/>
        </w:rPr>
        <w:t>本项目不限，所有大中小微型企业、高等院校、事业单位等均可参加投标。</w:t>
      </w:r>
    </w:p>
    <w:p w14:paraId="368921E2">
      <w:pPr>
        <w:pStyle w:val="15"/>
        <w:keepNext w:val="0"/>
        <w:keepLines w:val="0"/>
        <w:pageBreakBefore w:val="0"/>
        <w:widowControl w:val="0"/>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B、</w:t>
      </w:r>
      <w:r>
        <w:rPr>
          <w:rFonts w:hint="eastAsia" w:ascii="宋体" w:hAnsi="宋体" w:eastAsia="宋体" w:cs="宋体"/>
          <w:color w:val="auto"/>
          <w:sz w:val="24"/>
          <w:highlight w:val="none"/>
          <w:lang w:val="en-US" w:eastAsia="zh-CN"/>
        </w:rPr>
        <w:t>本项目接受大中型企业与小微企业组成联合体投标，接受大中型企业向一家或者多家小微企业分包。组成联合体投标的或者向小微企业分包的，对于联合体协议或者分包意向约定小微企业制造的货物合同份额占到总金额40%以上的，对联合体或者大中型企业的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的扣除，用扣除后的价格参与价格评审。组成联合体投标的，需提供联合体协议（格式见附件）和中小企业声明函（格式见附件）；向小微企业分包的，提供分包意向（格式见附件）和中小企业声明函（格式见附件）。</w:t>
      </w:r>
    </w:p>
    <w:p w14:paraId="66CBD468">
      <w:pPr>
        <w:pStyle w:val="15"/>
        <w:keepNext w:val="0"/>
        <w:keepLines w:val="0"/>
        <w:pageBreakBefore w:val="0"/>
        <w:widowControl w:val="0"/>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3.本项目的特定资格要求：</w:t>
      </w:r>
    </w:p>
    <w:p w14:paraId="50ECA883">
      <w:pPr>
        <w:pStyle w:val="15"/>
        <w:keepNext w:val="0"/>
        <w:keepLines w:val="0"/>
        <w:pageBreakBefore w:val="0"/>
        <w:widowControl w:val="0"/>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（1）投标人须为浙江政府采购网注册的正式供应商或承诺中标后30天内注册为浙江政府采购网正式供应商。</w:t>
      </w:r>
    </w:p>
    <w:p w14:paraId="6AA8E82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▲三、获取招标文件： </w:t>
      </w:r>
    </w:p>
    <w:p w14:paraId="7A599644">
      <w:pPr>
        <w:keepNext w:val="0"/>
        <w:keepLines w:val="0"/>
        <w:pageBreakBefore w:val="0"/>
        <w:widowControl w:val="0"/>
        <w:numPr>
          <w:ilvl w:val="0"/>
          <w:numId w:val="5"/>
        </w:numPr>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/至</w:t>
      </w:r>
      <w:r>
        <w:rPr>
          <w:rFonts w:hint="eastAsia" w:ascii="宋体" w:hAnsi="宋体" w:eastAsia="宋体" w:cs="宋体"/>
          <w:b w:val="0"/>
          <w:bCs w:val="0"/>
          <w:color w:val="0000FF"/>
          <w:sz w:val="24"/>
          <w:highlight w:val="none"/>
          <w:lang w:val="en-US" w:eastAsia="zh-CN"/>
        </w:rPr>
        <w:t>2025年1月</w:t>
      </w:r>
      <w:r>
        <w:rPr>
          <w:rFonts w:hint="eastAsia" w:ascii="宋体" w:hAnsi="宋体" w:cs="宋体"/>
          <w:b w:val="0"/>
          <w:bCs w:val="0"/>
          <w:color w:val="0000FF"/>
          <w:sz w:val="24"/>
          <w:highlight w:val="none"/>
          <w:lang w:val="en-US" w:eastAsia="zh-CN"/>
        </w:rPr>
        <w:t>9</w:t>
      </w:r>
      <w:r>
        <w:rPr>
          <w:rFonts w:hint="eastAsia" w:ascii="宋体" w:hAnsi="宋体" w:eastAsia="宋体" w:cs="宋体"/>
          <w:b w:val="0"/>
          <w:bCs w:val="0"/>
          <w:color w:val="0000FF"/>
          <w:sz w:val="24"/>
          <w:highlight w:val="none"/>
          <w:lang w:val="en-US" w:eastAsia="zh-CN"/>
        </w:rPr>
        <w:t>日</w:t>
      </w:r>
      <w:r>
        <w:rPr>
          <w:rFonts w:hint="eastAsia" w:ascii="宋体" w:hAnsi="宋体" w:cs="宋体"/>
          <w:b w:val="0"/>
          <w:bCs w:val="0"/>
          <w:color w:val="0000FF"/>
          <w:sz w:val="24"/>
          <w:highlight w:val="none"/>
          <w:lang w:val="en-US" w:eastAsia="zh-CN"/>
        </w:rPr>
        <w:t>13</w:t>
      </w:r>
      <w:r>
        <w:rPr>
          <w:rFonts w:hint="eastAsia" w:ascii="宋体" w:hAnsi="宋体" w:eastAsia="宋体" w:cs="宋体"/>
          <w:b w:val="0"/>
          <w:bCs w:val="0"/>
          <w:color w:val="0000FF"/>
          <w:sz w:val="24"/>
          <w:highlight w:val="none"/>
          <w:lang w:val="en-US" w:eastAsia="zh-CN"/>
        </w:rPr>
        <w:t>时</w:t>
      </w:r>
      <w:r>
        <w:rPr>
          <w:rFonts w:hint="eastAsia" w:ascii="宋体" w:hAnsi="宋体" w:cs="宋体"/>
          <w:b w:val="0"/>
          <w:bCs w:val="0"/>
          <w:color w:val="0000FF"/>
          <w:sz w:val="24"/>
          <w:highlight w:val="none"/>
          <w:lang w:val="en-US" w:eastAsia="zh-CN"/>
        </w:rPr>
        <w:t>00</w:t>
      </w:r>
      <w:r>
        <w:rPr>
          <w:rFonts w:hint="eastAsia" w:ascii="宋体" w:hAnsi="宋体" w:eastAsia="宋体" w:cs="宋体"/>
          <w:b w:val="0"/>
          <w:bCs w:val="0"/>
          <w:color w:val="0000FF"/>
          <w:sz w:val="24"/>
          <w:highlight w:val="none"/>
          <w:lang w:val="en-US" w:eastAsia="zh-CN"/>
        </w:rPr>
        <w:t>分</w:t>
      </w:r>
      <w:r>
        <w:rPr>
          <w:rFonts w:hint="eastAsia" w:ascii="宋体" w:hAnsi="宋体" w:eastAsia="宋体" w:cs="宋体"/>
          <w:color w:val="auto"/>
          <w:sz w:val="24"/>
          <w:highlight w:val="none"/>
        </w:rPr>
        <w:t>，每天上午00</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00至12:00，下午12:00至23:59（北京时间，线上获取法定节假日均可，线下获取文件法定节假日除外）</w:t>
      </w:r>
      <w:r>
        <w:rPr>
          <w:rFonts w:hint="eastAsia" w:ascii="宋体" w:hAnsi="宋体" w:cs="宋体"/>
          <w:color w:val="auto"/>
          <w:sz w:val="24"/>
          <w:highlight w:val="none"/>
          <w:lang w:eastAsia="zh-CN"/>
        </w:rPr>
        <w:t>。</w:t>
      </w:r>
    </w:p>
    <w:p w14:paraId="1B42469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地点（网址）：</w:t>
      </w:r>
    </w:p>
    <w:p w14:paraId="768A7ABD">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浙江政府采购网（http://zfcg.czt.zj.gov.cn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0FF30DD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东阳市公共资源交易网</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http://www.dongyang.gov.cn/ggzyjy/index.html)</w:t>
      </w:r>
      <w:r>
        <w:rPr>
          <w:rFonts w:hint="eastAsia" w:ascii="宋体" w:hAnsi="宋体" w:cs="宋体"/>
          <w:color w:val="auto"/>
          <w:sz w:val="24"/>
          <w:highlight w:val="none"/>
          <w:lang w:eastAsia="zh-CN"/>
        </w:rPr>
        <w:t>。</w:t>
      </w:r>
    </w:p>
    <w:p w14:paraId="58AE3581">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获取</w:t>
      </w:r>
      <w:r>
        <w:rPr>
          <w:rFonts w:hint="eastAsia" w:ascii="宋体" w:hAnsi="宋体" w:eastAsia="宋体" w:cs="宋体"/>
          <w:b/>
          <w:bCs/>
          <w:color w:val="auto"/>
          <w:sz w:val="24"/>
          <w:highlight w:val="none"/>
        </w:rPr>
        <w:t>方式：由投标人通过登录浙江省政府采购网</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http://zfcg.czt.zj.gov.cn</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上的政采云系统进行获取（首次参加投标的单位应先登录浙江省政府采购网</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http://zfcg.czt.zj.gov.cn</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进行账户注册，注册完毕待审核成功后方可登录政采云系统获取；注册流程见网址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"https://middle.zcygov.cn/v-settle-front/registry"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z w:val="24"/>
          <w:szCs w:val="24"/>
          <w:highlight w:val="none"/>
        </w:rPr>
        <w:t>https://middle.zcygov.cn/v-settle-front/registry</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p>
    <w:p w14:paraId="28225BA3">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招标文件获取流程：浙江政府采购网-政采云用户登录</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用户中心</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项目采购</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获取采购文件管理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电子版采购文件免费获取。</w:t>
      </w:r>
    </w:p>
    <w:p w14:paraId="455299F2">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浙江政府采购网上以“游客”身份获取的采购文件仅供阅览；潜在供应商应按上述方式获取采购文件；未按上述方式获取采购文件的，不得对采购文件提起质疑投诉。</w:t>
      </w:r>
    </w:p>
    <w:p w14:paraId="48864CE3">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1"/>
        <w:rPr>
          <w:rFonts w:hint="eastAsia" w:ascii="宋体" w:hAnsi="宋体" w:eastAsia="宋体" w:cs="宋体"/>
          <w:b/>
          <w:bCs/>
          <w:color w:val="auto"/>
          <w:sz w:val="24"/>
          <w:highlight w:val="none"/>
        </w:rPr>
      </w:pPr>
      <w:bookmarkStart w:id="38" w:name="_Toc28278"/>
      <w:bookmarkStart w:id="39" w:name="_Toc1987"/>
      <w:bookmarkStart w:id="40" w:name="_Toc6861"/>
      <w:bookmarkStart w:id="41" w:name="_Toc7356"/>
      <w:bookmarkStart w:id="42" w:name="_Toc12761"/>
      <w:bookmarkStart w:id="43" w:name="_Toc1402"/>
      <w:r>
        <w:rPr>
          <w:rFonts w:hint="eastAsia" w:ascii="宋体" w:hAnsi="宋体" w:eastAsia="宋体" w:cs="宋体"/>
          <w:b/>
          <w:bCs/>
          <w:color w:val="auto"/>
          <w:sz w:val="24"/>
          <w:highlight w:val="none"/>
        </w:rPr>
        <w:t>四、提交投标文件截止时间、开标时间和地点</w:t>
      </w:r>
      <w:bookmarkEnd w:id="38"/>
      <w:bookmarkEnd w:id="39"/>
      <w:bookmarkEnd w:id="40"/>
      <w:bookmarkEnd w:id="41"/>
      <w:bookmarkEnd w:id="42"/>
      <w:bookmarkEnd w:id="43"/>
    </w:p>
    <w:p w14:paraId="366BE874">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提交投标文件截止时间：</w:t>
      </w:r>
      <w:r>
        <w:rPr>
          <w:rFonts w:hint="eastAsia" w:ascii="宋体" w:hAnsi="宋体" w:eastAsia="宋体" w:cs="宋体"/>
          <w:b/>
          <w:bCs/>
          <w:color w:val="0000FF"/>
          <w:sz w:val="24"/>
          <w:highlight w:val="none"/>
          <w:lang w:val="en-US" w:eastAsia="zh-CN"/>
        </w:rPr>
        <w:t>2025年1月</w:t>
      </w:r>
      <w:r>
        <w:rPr>
          <w:rFonts w:hint="eastAsia" w:ascii="宋体" w:hAnsi="宋体" w:cs="宋体"/>
          <w:b/>
          <w:bCs/>
          <w:color w:val="0000FF"/>
          <w:sz w:val="24"/>
          <w:highlight w:val="none"/>
          <w:lang w:val="en-US" w:eastAsia="zh-CN"/>
        </w:rPr>
        <w:t>9</w:t>
      </w:r>
      <w:r>
        <w:rPr>
          <w:rFonts w:hint="eastAsia" w:ascii="宋体" w:hAnsi="宋体" w:eastAsia="宋体" w:cs="宋体"/>
          <w:b/>
          <w:bCs/>
          <w:color w:val="0000FF"/>
          <w:sz w:val="24"/>
          <w:highlight w:val="none"/>
          <w:lang w:val="en-US" w:eastAsia="zh-CN"/>
        </w:rPr>
        <w:t>日</w:t>
      </w:r>
      <w:r>
        <w:rPr>
          <w:rFonts w:hint="eastAsia" w:ascii="宋体" w:hAnsi="宋体" w:cs="宋体"/>
          <w:b/>
          <w:bCs/>
          <w:color w:val="0000FF"/>
          <w:sz w:val="24"/>
          <w:highlight w:val="none"/>
          <w:lang w:val="en-US" w:eastAsia="zh-CN"/>
        </w:rPr>
        <w:t>14</w:t>
      </w:r>
      <w:r>
        <w:rPr>
          <w:rFonts w:hint="eastAsia" w:ascii="宋体" w:hAnsi="宋体" w:eastAsia="宋体" w:cs="宋体"/>
          <w:b/>
          <w:bCs/>
          <w:color w:val="0000FF"/>
          <w:sz w:val="24"/>
          <w:highlight w:val="none"/>
          <w:lang w:val="en-US" w:eastAsia="zh-CN"/>
        </w:rPr>
        <w:t>时</w:t>
      </w:r>
      <w:r>
        <w:rPr>
          <w:rFonts w:hint="eastAsia" w:ascii="宋体" w:hAnsi="宋体" w:cs="宋体"/>
          <w:b/>
          <w:bCs/>
          <w:color w:val="0000FF"/>
          <w:sz w:val="24"/>
          <w:highlight w:val="none"/>
          <w:lang w:val="en-US" w:eastAsia="zh-CN"/>
        </w:rPr>
        <w:t>00</w:t>
      </w:r>
      <w:r>
        <w:rPr>
          <w:rFonts w:hint="eastAsia" w:ascii="宋体" w:hAnsi="宋体" w:eastAsia="宋体" w:cs="宋体"/>
          <w:b/>
          <w:bCs/>
          <w:color w:val="0000FF"/>
          <w:sz w:val="24"/>
          <w:highlight w:val="none"/>
          <w:lang w:val="en-US" w:eastAsia="zh-CN"/>
        </w:rPr>
        <w:t>分</w:t>
      </w:r>
      <w:r>
        <w:rPr>
          <w:rFonts w:hint="eastAsia" w:ascii="宋体" w:hAnsi="宋体" w:eastAsia="宋体" w:cs="宋体"/>
          <w:b/>
          <w:bCs/>
          <w:color w:val="auto"/>
          <w:sz w:val="24"/>
          <w:highlight w:val="none"/>
        </w:rPr>
        <w:t>（北京时间）</w:t>
      </w:r>
    </w:p>
    <w:p w14:paraId="1537384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投标地点（网址）：政采云平台</w:t>
      </w:r>
    </w:p>
    <w:p w14:paraId="021A673C">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开标时间：</w:t>
      </w:r>
      <w:r>
        <w:rPr>
          <w:rFonts w:hint="eastAsia" w:ascii="宋体" w:hAnsi="宋体" w:eastAsia="宋体" w:cs="宋体"/>
          <w:b/>
          <w:bCs/>
          <w:color w:val="0000FF"/>
          <w:sz w:val="24"/>
          <w:highlight w:val="none"/>
          <w:lang w:val="en-US" w:eastAsia="zh-CN"/>
        </w:rPr>
        <w:t>2025年1月</w:t>
      </w:r>
      <w:r>
        <w:rPr>
          <w:rFonts w:hint="eastAsia" w:ascii="宋体" w:hAnsi="宋体" w:cs="宋体"/>
          <w:b/>
          <w:bCs/>
          <w:color w:val="0000FF"/>
          <w:sz w:val="24"/>
          <w:highlight w:val="none"/>
          <w:lang w:val="en-US" w:eastAsia="zh-CN"/>
        </w:rPr>
        <w:t>9</w:t>
      </w:r>
      <w:r>
        <w:rPr>
          <w:rFonts w:hint="eastAsia" w:ascii="宋体" w:hAnsi="宋体" w:eastAsia="宋体" w:cs="宋体"/>
          <w:b/>
          <w:bCs/>
          <w:color w:val="0000FF"/>
          <w:sz w:val="24"/>
          <w:highlight w:val="none"/>
          <w:lang w:val="en-US" w:eastAsia="zh-CN"/>
        </w:rPr>
        <w:t>日</w:t>
      </w:r>
      <w:r>
        <w:rPr>
          <w:rFonts w:hint="eastAsia" w:ascii="宋体" w:hAnsi="宋体" w:cs="宋体"/>
          <w:b/>
          <w:bCs/>
          <w:color w:val="0000FF"/>
          <w:sz w:val="24"/>
          <w:highlight w:val="none"/>
          <w:lang w:val="en-US" w:eastAsia="zh-CN"/>
        </w:rPr>
        <w:t>14</w:t>
      </w:r>
      <w:r>
        <w:rPr>
          <w:rFonts w:hint="eastAsia" w:ascii="宋体" w:hAnsi="宋体" w:eastAsia="宋体" w:cs="宋体"/>
          <w:b/>
          <w:bCs/>
          <w:color w:val="0000FF"/>
          <w:sz w:val="24"/>
          <w:highlight w:val="none"/>
          <w:lang w:val="en-US" w:eastAsia="zh-CN"/>
        </w:rPr>
        <w:t>时</w:t>
      </w:r>
      <w:r>
        <w:rPr>
          <w:rFonts w:hint="eastAsia" w:ascii="宋体" w:hAnsi="宋体" w:cs="宋体"/>
          <w:b/>
          <w:bCs/>
          <w:color w:val="0000FF"/>
          <w:sz w:val="24"/>
          <w:highlight w:val="none"/>
          <w:lang w:val="en-US" w:eastAsia="zh-CN"/>
        </w:rPr>
        <w:t>00</w:t>
      </w:r>
      <w:r>
        <w:rPr>
          <w:rFonts w:hint="eastAsia" w:ascii="宋体" w:hAnsi="宋体" w:eastAsia="宋体" w:cs="宋体"/>
          <w:b/>
          <w:bCs/>
          <w:color w:val="0000FF"/>
          <w:sz w:val="24"/>
          <w:highlight w:val="none"/>
          <w:lang w:val="en-US" w:eastAsia="zh-CN"/>
        </w:rPr>
        <w:t>分</w:t>
      </w:r>
      <w:r>
        <w:rPr>
          <w:rFonts w:hint="eastAsia" w:ascii="宋体" w:hAnsi="宋体" w:eastAsia="宋体" w:cs="宋体"/>
          <w:b/>
          <w:bCs/>
          <w:color w:val="auto"/>
          <w:sz w:val="24"/>
          <w:highlight w:val="none"/>
        </w:rPr>
        <w:t>（北京时间）</w:t>
      </w:r>
    </w:p>
    <w:p w14:paraId="7D92760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开标地点（网址）：政采云平台</w:t>
      </w:r>
    </w:p>
    <w:p w14:paraId="5AA4A89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outlineLvl w:val="1"/>
        <w:rPr>
          <w:rFonts w:hint="eastAsia" w:ascii="宋体" w:hAnsi="宋体" w:eastAsia="宋体" w:cs="宋体"/>
          <w:b/>
          <w:bCs/>
          <w:color w:val="auto"/>
          <w:sz w:val="24"/>
          <w:highlight w:val="none"/>
          <w:lang w:val="en-US" w:eastAsia="zh-CN"/>
        </w:rPr>
      </w:pPr>
      <w:bookmarkStart w:id="44" w:name="_Toc27936"/>
      <w:bookmarkStart w:id="45" w:name="_Toc12102"/>
      <w:bookmarkStart w:id="46" w:name="_Toc8243"/>
      <w:bookmarkStart w:id="47" w:name="_Toc30298"/>
      <w:bookmarkStart w:id="48" w:name="_Toc26226"/>
      <w:bookmarkStart w:id="49" w:name="_Toc30991"/>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sz w:val="24"/>
          <w:highlight w:val="none"/>
          <w:lang w:val="en-US" w:eastAsia="zh-CN"/>
        </w:rPr>
        <w:t>采购意向公开链接</w:t>
      </w:r>
      <w:bookmarkEnd w:id="44"/>
      <w:bookmarkEnd w:id="45"/>
      <w:bookmarkEnd w:id="46"/>
      <w:bookmarkEnd w:id="47"/>
      <w:bookmarkEnd w:id="48"/>
      <w:bookmarkEnd w:id="49"/>
    </w:p>
    <w:p w14:paraId="3FB0D1D1">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宋体" w:hAnsi="宋体" w:cs="宋体"/>
          <w:b/>
          <w:bCs/>
          <w:color w:val="auto"/>
          <w:sz w:val="24"/>
          <w:highlight w:val="none"/>
        </w:rPr>
      </w:pPr>
      <w:bookmarkStart w:id="50" w:name="_Toc17868"/>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"https://zfcg.czt.zj.gov.cn/site/detail?parentId=600007&amp;articleId=riR%2FhNT1xvD3kAUkzSbitg%3D%3D" </w:instrText>
      </w:r>
      <w:r>
        <w:rPr>
          <w:rFonts w:hint="eastAsia" w:ascii="宋体" w:hAnsi="宋体" w:cs="宋体"/>
          <w:b/>
          <w:bCs/>
          <w:color w:val="auto"/>
          <w:sz w:val="24"/>
          <w:highlight w:val="none"/>
        </w:rPr>
        <w:fldChar w:fldCharType="separate"/>
      </w:r>
      <w:r>
        <w:rPr>
          <w:rStyle w:val="43"/>
          <w:rFonts w:hint="eastAsia" w:ascii="宋体" w:hAnsi="宋体" w:cs="宋体"/>
          <w:b/>
          <w:bCs/>
          <w:color w:val="auto"/>
          <w:sz w:val="24"/>
          <w:highlight w:val="none"/>
        </w:rPr>
        <w:t>https://zfcg.czt.zj.gov.cn/site/detail?parentId=600007&amp;articleId=riR%2FhNT1xvD3kAUkzSbitg%3D%3D</w:t>
      </w:r>
      <w:r>
        <w:rPr>
          <w:rFonts w:hint="eastAsia" w:ascii="宋体" w:hAnsi="宋体" w:cs="宋体"/>
          <w:b/>
          <w:bCs/>
          <w:color w:val="auto"/>
          <w:sz w:val="24"/>
          <w:highlight w:val="none"/>
        </w:rPr>
        <w:fldChar w:fldCharType="end"/>
      </w:r>
    </w:p>
    <w:p w14:paraId="675565C9">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1"/>
        <w:rPr>
          <w:rFonts w:hint="eastAsia" w:ascii="宋体" w:hAnsi="宋体" w:eastAsia="宋体" w:cs="宋体"/>
          <w:b/>
          <w:bCs/>
          <w:color w:val="auto"/>
          <w:sz w:val="24"/>
          <w:highlight w:val="none"/>
        </w:rPr>
      </w:pPr>
      <w:bookmarkStart w:id="51" w:name="_Toc1547"/>
      <w:bookmarkStart w:id="52" w:name="_Toc32286"/>
      <w:bookmarkStart w:id="53" w:name="_Toc5070"/>
      <w:bookmarkStart w:id="54" w:name="_Toc9138"/>
      <w:bookmarkStart w:id="55" w:name="_Toc27982"/>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公告期限</w:t>
      </w:r>
      <w:bookmarkEnd w:id="50"/>
      <w:bookmarkEnd w:id="51"/>
      <w:bookmarkEnd w:id="52"/>
      <w:bookmarkEnd w:id="53"/>
      <w:bookmarkEnd w:id="54"/>
      <w:bookmarkEnd w:id="55"/>
    </w:p>
    <w:p w14:paraId="4BF94C5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自本公告发布之日起5个工作日</w:t>
      </w:r>
      <w:r>
        <w:rPr>
          <w:rFonts w:hint="eastAsia" w:ascii="宋体" w:hAnsi="宋体" w:cs="宋体"/>
          <w:color w:val="auto"/>
          <w:sz w:val="24"/>
          <w:highlight w:val="none"/>
          <w:lang w:eastAsia="zh-CN"/>
        </w:rPr>
        <w:t>。</w:t>
      </w:r>
    </w:p>
    <w:p w14:paraId="1D7403B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2" w:firstLineChars="200"/>
        <w:textAlignment w:val="auto"/>
        <w:outlineLvl w:val="1"/>
        <w:rPr>
          <w:rFonts w:hint="eastAsia" w:ascii="宋体" w:hAnsi="宋体" w:eastAsia="宋体" w:cs="宋体"/>
          <w:b/>
          <w:bCs/>
          <w:color w:val="auto"/>
          <w:sz w:val="24"/>
          <w:highlight w:val="none"/>
        </w:rPr>
      </w:pPr>
      <w:bookmarkStart w:id="56" w:name="_Toc16562"/>
      <w:bookmarkStart w:id="57" w:name="_Toc31214"/>
      <w:bookmarkStart w:id="58" w:name="_Toc29327"/>
      <w:bookmarkStart w:id="59" w:name="_Toc15930"/>
      <w:bookmarkStart w:id="60" w:name="_Toc26610"/>
      <w:bookmarkStart w:id="61" w:name="_Toc21024"/>
      <w:r>
        <w:rPr>
          <w:rFonts w:hint="eastAsia" w:ascii="宋体" w:hAnsi="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sz w:val="24"/>
          <w:highlight w:val="none"/>
        </w:rPr>
        <w:t>其他补充事宜</w:t>
      </w:r>
      <w:bookmarkEnd w:id="56"/>
      <w:bookmarkEnd w:id="57"/>
      <w:bookmarkEnd w:id="58"/>
      <w:bookmarkEnd w:id="59"/>
      <w:bookmarkEnd w:id="60"/>
      <w:bookmarkEnd w:id="61"/>
      <w:bookmarkStart w:id="62" w:name="_Toc28359008"/>
      <w:bookmarkStart w:id="63" w:name="_Toc35393627"/>
      <w:bookmarkStart w:id="64" w:name="_Toc28359085"/>
      <w:bookmarkStart w:id="65" w:name="_Toc35393796"/>
    </w:p>
    <w:p w14:paraId="402E267B">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07923C">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463BFCC">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3.根据《浙江省财政厅关于进一步促进政府采购公平竞争打造最优营商环境的通知》（浙财采监</w:t>
      </w:r>
      <w:r>
        <w:rPr>
          <w:rFonts w:hint="eastAsia" w:ascii="宋体" w:hAnsi="宋体" w:cs="宋体"/>
          <w:color w:val="auto"/>
          <w:kern w:val="2"/>
          <w:sz w:val="24"/>
          <w:szCs w:val="24"/>
          <w:highlight w:val="none"/>
          <w:lang w:val="en-US" w:eastAsia="zh-CN" w:bidi="ar-SA"/>
        </w:rPr>
        <w:t>〔2021〕22号</w:t>
      </w:r>
      <w:r>
        <w:rPr>
          <w:rFonts w:hint="eastAsia" w:ascii="宋体" w:hAnsi="宋体" w:eastAsia="宋体" w:cs="宋体"/>
          <w:color w:val="auto"/>
          <w:kern w:val="2"/>
          <w:sz w:val="24"/>
          <w:szCs w:val="24"/>
          <w:highlight w:val="none"/>
          <w:lang w:val="en-US" w:eastAsia="zh-CN" w:bidi="ar-SA"/>
        </w:rPr>
        <w:t>）文件关于“健全行政裁决机制”要求，鼓励供应商在线提起询问，路径为：政采云</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项目采购</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询问质疑投诉</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询问列表</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鼓励供应商在线提起质疑，路径为：政采云</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项目采购</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询问质疑投诉</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质疑列表。质疑供应商对在线质疑答复不满意的，可在线提起投诉，路径为：浙江政府服务网</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政府采购投诉处理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在线办理。</w:t>
      </w:r>
    </w:p>
    <w:p w14:paraId="420D93D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.企业信用融资</w:t>
      </w:r>
      <w:r>
        <w:rPr>
          <w:rFonts w:hint="eastAsia" w:ascii="宋体" w:hAnsi="宋体" w:cs="宋体"/>
          <w:color w:val="auto"/>
          <w:sz w:val="24"/>
          <w:highlight w:val="none"/>
          <w:lang w:eastAsia="zh-CN"/>
        </w:rPr>
        <w:t>：</w:t>
      </w:r>
      <w:r>
        <w:rPr>
          <w:rFonts w:hint="eastAsia" w:ascii="宋体" w:hAnsi="宋体" w:cs="宋体"/>
          <w:color w:val="auto"/>
          <w:sz w:val="24"/>
          <w:highlight w:val="none"/>
        </w:rPr>
        <w:t>省财政厅、浙江银监局、省金融办制定了《浙江省政府采购支持中小企业信用融资试点办法》</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浙财采监</w:t>
      </w:r>
      <w:r>
        <w:rPr>
          <w:rFonts w:hint="eastAsia" w:ascii="宋体" w:hAnsi="宋体" w:cs="宋体"/>
          <w:color w:val="auto"/>
          <w:sz w:val="24"/>
          <w:highlight w:val="none"/>
          <w:lang w:eastAsia="zh-CN"/>
        </w:rPr>
        <w:t>〔2012〕13号）</w:t>
      </w:r>
      <w:r>
        <w:rPr>
          <w:rFonts w:hint="eastAsia" w:ascii="宋体" w:hAnsi="宋体" w:cs="宋体"/>
          <w:color w:val="auto"/>
          <w:sz w:val="24"/>
          <w:highlight w:val="none"/>
        </w:rPr>
        <w:t>，所称的政府采购信用融资，是指银行业金融机构</w:t>
      </w:r>
      <w:r>
        <w:rPr>
          <w:rFonts w:hint="eastAsia" w:ascii="宋体" w:hAnsi="宋体" w:cs="宋体"/>
          <w:color w:val="auto"/>
          <w:sz w:val="24"/>
          <w:highlight w:val="none"/>
          <w:lang w:eastAsia="zh-CN"/>
        </w:rPr>
        <w:t>（</w:t>
      </w:r>
      <w:r>
        <w:rPr>
          <w:rFonts w:hint="eastAsia" w:ascii="宋体" w:hAnsi="宋体" w:cs="宋体"/>
          <w:color w:val="auto"/>
          <w:sz w:val="24"/>
          <w:highlight w:val="none"/>
        </w:rPr>
        <w:t>以下简称银行</w:t>
      </w:r>
      <w:r>
        <w:rPr>
          <w:rFonts w:hint="eastAsia" w:ascii="宋体" w:hAnsi="宋体" w:cs="宋体"/>
          <w:color w:val="auto"/>
          <w:sz w:val="24"/>
          <w:highlight w:val="none"/>
          <w:lang w:eastAsia="zh-CN"/>
        </w:rPr>
        <w:t>）</w:t>
      </w:r>
      <w:r>
        <w:rPr>
          <w:rFonts w:hint="eastAsia" w:ascii="宋体" w:hAnsi="宋体" w:cs="宋体"/>
          <w:color w:val="auto"/>
          <w:sz w:val="24"/>
          <w:highlight w:val="none"/>
        </w:rPr>
        <w:t>以政府采购诚信考核和信用审查为基础，凭借政府采购合同，按优于一般中小企业的贷款利率直接向申请贷款的投标人发放贷款的一种融资方式。投标人可登录浙江政府采购</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https://zfcg.czt.zj.gov.cn</w:t>
      </w:r>
      <w:r>
        <w:rPr>
          <w:rFonts w:hint="eastAsia" w:ascii="宋体" w:hAnsi="宋体" w:cs="宋体"/>
          <w:color w:val="auto"/>
          <w:sz w:val="24"/>
          <w:highlight w:val="none"/>
          <w:lang w:eastAsia="zh-CN"/>
        </w:rPr>
        <w:t>）</w:t>
      </w:r>
      <w:r>
        <w:rPr>
          <w:rFonts w:hint="eastAsia" w:ascii="宋体" w:hAnsi="宋体" w:cs="宋体"/>
          <w:color w:val="auto"/>
          <w:sz w:val="24"/>
          <w:highlight w:val="none"/>
        </w:rPr>
        <w:t>的中小企业信用融资栏目了解相关信息。供应商可以通过浙江政府采购网</w:t>
      </w:r>
      <w:r>
        <w:rPr>
          <w:rFonts w:hint="eastAsia" w:ascii="宋体" w:hAnsi="宋体" w:cs="宋体"/>
          <w:color w:val="auto"/>
          <w:sz w:val="24"/>
          <w:highlight w:val="none"/>
          <w:lang w:eastAsia="zh-CN"/>
        </w:rPr>
        <w:t>（</w:t>
      </w:r>
      <w:r>
        <w:rPr>
          <w:rFonts w:hint="eastAsia" w:ascii="宋体" w:hAnsi="宋体" w:cs="宋体"/>
          <w:color w:val="auto"/>
          <w:sz w:val="24"/>
          <w:highlight w:val="none"/>
        </w:rPr>
        <w:t>https://zfcg. czt.zj. gov.cn</w:t>
      </w:r>
      <w:r>
        <w:rPr>
          <w:rFonts w:hint="eastAsia" w:ascii="宋体" w:hAnsi="宋体" w:cs="宋体"/>
          <w:color w:val="auto"/>
          <w:sz w:val="24"/>
          <w:highlight w:val="none"/>
          <w:lang w:eastAsia="zh-CN"/>
        </w:rPr>
        <w:t>)</w:t>
      </w:r>
      <w:r>
        <w:rPr>
          <w:rFonts w:hint="eastAsia" w:ascii="宋体" w:hAnsi="宋体" w:cs="宋体"/>
          <w:color w:val="auto"/>
          <w:sz w:val="24"/>
          <w:highlight w:val="none"/>
        </w:rPr>
        <w:t>首页的“浙江政采贷”模块进入申请，还可以通过政府采购云平台</w:t>
      </w:r>
      <w:r>
        <w:rPr>
          <w:rFonts w:hint="eastAsia" w:ascii="宋体" w:hAnsi="宋体" w:cs="宋体"/>
          <w:color w:val="auto"/>
          <w:sz w:val="24"/>
          <w:highlight w:val="none"/>
          <w:lang w:eastAsia="zh-CN"/>
        </w:rPr>
        <w:t>（</w:t>
      </w:r>
      <w:r>
        <w:rPr>
          <w:rFonts w:hint="eastAsia" w:ascii="宋体" w:hAnsi="宋体" w:cs="宋体"/>
          <w:color w:val="auto"/>
          <w:sz w:val="24"/>
          <w:highlight w:val="none"/>
        </w:rPr>
        <w:t>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首页的“金融服务”模块进入申请。</w:t>
      </w:r>
    </w:p>
    <w:p w14:paraId="6D54FFB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4DB88E7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5AA5CF6F">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 标 人 应 在 开 标 前 完 成 CA 数 字 证 书 办 理 。 （ 办 理 流 程 详 见http://zfcg.czt.zj.gov.cn/bidClientTemplate/2019-05-27/12945.html）。</w:t>
      </w:r>
      <w:r>
        <w:rPr>
          <w:rFonts w:hint="eastAsia" w:ascii="宋体" w:hAnsi="宋体" w:eastAsia="宋体" w:cs="宋体"/>
          <w:color w:val="auto"/>
          <w:sz w:val="24"/>
          <w:szCs w:val="24"/>
          <w:highlight w:val="none"/>
        </w:rPr>
        <w:t>完成 CA 数字证书办理预计一周左右，因未办理CA数字证书等原因造成无法投标或投标失败等后果由供应商自行承担。</w:t>
      </w:r>
    </w:p>
    <w:p w14:paraId="5AE512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8</w:t>
      </w:r>
      <w:r>
        <w:rPr>
          <w:rFonts w:hint="eastAsia" w:ascii="宋体" w:hAnsi="宋体" w:eastAsia="宋体" w:cs="宋体"/>
          <w:b w:val="0"/>
          <w:bCs w:val="0"/>
          <w:color w:val="auto"/>
          <w:sz w:val="24"/>
          <w:highlight w:val="none"/>
        </w:rPr>
        <w:t xml:space="preserve">.投标人通过政采云平台电子投标工具制作投标文件，电子投标工具请供应商自行前往浙江省政府采购网下载并安装，（下载网址：http://zfcg.czt.zj.gov.cn/bidClientTemplate/2019-08-30/12975.html），（电 子 投 标 相 关 学 习 网 址 ： </w:t>
      </w:r>
      <w:r>
        <w:rPr>
          <w:rFonts w:hint="eastAsia" w:ascii="宋体" w:hAnsi="宋体" w:eastAsia="宋体" w:cs="宋体"/>
          <w:b w:val="0"/>
          <w:bCs w:val="0"/>
          <w:color w:val="auto"/>
          <w:sz w:val="24"/>
          <w:highlight w:val="none"/>
        </w:rPr>
        <w:fldChar w:fldCharType="begin"/>
      </w:r>
      <w:r>
        <w:rPr>
          <w:rFonts w:hint="eastAsia" w:ascii="宋体" w:hAnsi="宋体" w:eastAsia="宋体" w:cs="宋体"/>
          <w:b w:val="0"/>
          <w:bCs w:val="0"/>
          <w:color w:val="auto"/>
          <w:sz w:val="24"/>
          <w:highlight w:val="none"/>
        </w:rPr>
        <w:instrText xml:space="preserve"> HYPERLINK "https://edu.zcygov.cn/luban/e-biding?utm=a0004.2ef5001f.0001.0109.2d44db10df9111e9b92b0f36d4889416。）" </w:instrText>
      </w:r>
      <w:r>
        <w:rPr>
          <w:rFonts w:hint="eastAsia" w:ascii="宋体" w:hAnsi="宋体" w:eastAsia="宋体" w:cs="宋体"/>
          <w:b w:val="0"/>
          <w:bCs w:val="0"/>
          <w:color w:val="auto"/>
          <w:sz w:val="24"/>
          <w:highlight w:val="none"/>
        </w:rPr>
        <w:fldChar w:fldCharType="separate"/>
      </w:r>
      <w:r>
        <w:rPr>
          <w:rFonts w:hint="eastAsia" w:ascii="宋体" w:hAnsi="宋体" w:eastAsia="宋体" w:cs="宋体"/>
          <w:b w:val="0"/>
          <w:bCs w:val="0"/>
          <w:color w:val="auto"/>
          <w:sz w:val="24"/>
          <w:highlight w:val="none"/>
        </w:rPr>
        <w:t>https://edu.zcygov.cn/luban/e-biding?utm=a0004.2ef5001f.0001.0109.2d44db10df9111e9b92b0f36d4889416。）</w:t>
      </w:r>
      <w:r>
        <w:rPr>
          <w:rFonts w:hint="eastAsia" w:ascii="宋体" w:hAnsi="宋体" w:eastAsia="宋体" w:cs="宋体"/>
          <w:b w:val="0"/>
          <w:bCs w:val="0"/>
          <w:color w:val="auto"/>
          <w:sz w:val="24"/>
          <w:highlight w:val="none"/>
        </w:rPr>
        <w:fldChar w:fldCharType="end"/>
      </w:r>
    </w:p>
    <w:p w14:paraId="55F1B0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9</w:t>
      </w:r>
      <w:r>
        <w:rPr>
          <w:rFonts w:hint="eastAsia" w:ascii="宋体" w:hAnsi="宋体" w:eastAsia="宋体" w:cs="宋体"/>
          <w:b w:val="0"/>
          <w:bCs w:val="0"/>
          <w:color w:val="auto"/>
          <w:sz w:val="24"/>
          <w:highlight w:val="none"/>
        </w:rPr>
        <w:t xml:space="preserve">.政府采购金融服务提示：为扩大政府采购金融服务面，除政采云网上金融服务合作银行外，东阳市范围内增加浙商银行金华分行东阳支行作为线下合作银行。   </w:t>
      </w:r>
    </w:p>
    <w:p w14:paraId="1776A9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浙商银行金华东阳支行  联系人：许燕  联系电话：13967983441  0579-86222992</w:t>
      </w:r>
    </w:p>
    <w:p w14:paraId="1139B1E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color w:val="auto"/>
          <w:sz w:val="24"/>
          <w:highlight w:val="none"/>
          <w:lang w:eastAsia="zh-CN"/>
        </w:rPr>
      </w:pPr>
      <w:bookmarkStart w:id="66" w:name="_Toc24173"/>
      <w:bookmarkStart w:id="67" w:name="_Toc174"/>
      <w:bookmarkStart w:id="68" w:name="_Toc23678"/>
      <w:bookmarkStart w:id="69" w:name="_Toc17339"/>
      <w:bookmarkStart w:id="70" w:name="_Toc5248"/>
      <w:bookmarkStart w:id="71" w:name="_Toc8173"/>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w:t>
      </w:r>
      <w:bookmarkEnd w:id="62"/>
      <w:bookmarkEnd w:id="63"/>
      <w:bookmarkEnd w:id="64"/>
      <w:bookmarkEnd w:id="65"/>
      <w:r>
        <w:rPr>
          <w:rFonts w:hint="eastAsia" w:ascii="宋体" w:hAnsi="宋体" w:eastAsia="宋体" w:cs="宋体"/>
          <w:b/>
          <w:bCs/>
          <w:color w:val="auto"/>
          <w:sz w:val="24"/>
          <w:highlight w:val="none"/>
        </w:rPr>
        <w:t>对本次采购提出询问、质疑、投诉，请按以下方式联系</w:t>
      </w:r>
      <w:r>
        <w:rPr>
          <w:rFonts w:hint="eastAsia" w:ascii="宋体" w:hAnsi="宋体" w:cs="宋体"/>
          <w:b/>
          <w:bCs/>
          <w:color w:val="auto"/>
          <w:sz w:val="24"/>
          <w:highlight w:val="none"/>
          <w:lang w:eastAsia="zh-CN"/>
        </w:rPr>
        <w:t>：</w:t>
      </w:r>
      <w:bookmarkEnd w:id="66"/>
      <w:bookmarkEnd w:id="67"/>
      <w:bookmarkEnd w:id="68"/>
      <w:bookmarkEnd w:id="69"/>
      <w:bookmarkEnd w:id="70"/>
      <w:bookmarkEnd w:id="71"/>
    </w:p>
    <w:p w14:paraId="7466D0D9">
      <w:pPr>
        <w:keepNext w:val="0"/>
        <w:keepLines w:val="0"/>
        <w:pageBreakBefore w:val="0"/>
        <w:widowControl w:val="0"/>
        <w:kinsoku/>
        <w:wordWrap/>
        <w:overflowPunct/>
        <w:topLinePunct w:val="0"/>
        <w:autoSpaceDE/>
        <w:autoSpaceDN/>
        <w:bidi w:val="0"/>
        <w:adjustRightInd/>
        <w:snapToGrid/>
        <w:spacing w:line="44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1.采购人信息  </w:t>
      </w:r>
    </w:p>
    <w:p w14:paraId="3B0CCDE3">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highlight w:val="none"/>
        </w:rPr>
      </w:pPr>
      <w:bookmarkStart w:id="72" w:name="_Toc28359009"/>
      <w:bookmarkStart w:id="73" w:name="_Toc28359086"/>
      <w:r>
        <w:rPr>
          <w:rFonts w:hint="eastAsia" w:ascii="宋体" w:hAnsi="宋体" w:eastAsia="宋体" w:cs="宋体"/>
          <w:color w:val="auto"/>
          <w:sz w:val="24"/>
          <w:highlight w:val="none"/>
        </w:rPr>
        <w:t>名称：东阳市发展和改革局</w:t>
      </w:r>
    </w:p>
    <w:p w14:paraId="59991A1E">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地址：浙江省东阳市行政大楼17楼</w:t>
      </w:r>
    </w:p>
    <w:p w14:paraId="6FD6B100">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项目联系人（询问）：郭芳鸳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项目联系方式（询问）：0579-89317095</w:t>
      </w:r>
    </w:p>
    <w:p w14:paraId="31DDA54B">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质疑联系人：张斯文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质疑联系方式：0579-86655585</w:t>
      </w:r>
    </w:p>
    <w:p w14:paraId="1EB8221C">
      <w:pPr>
        <w:keepNext w:val="0"/>
        <w:keepLines w:val="0"/>
        <w:pageBreakBefore w:val="0"/>
        <w:widowControl w:val="0"/>
        <w:kinsoku/>
        <w:wordWrap/>
        <w:overflowPunct/>
        <w:topLinePunct w:val="0"/>
        <w:autoSpaceDE/>
        <w:autoSpaceDN/>
        <w:bidi w:val="0"/>
        <w:adjustRightInd/>
        <w:snapToGrid/>
        <w:spacing w:line="440" w:lineRule="exact"/>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w:t>
      </w:r>
      <w:bookmarkEnd w:id="72"/>
      <w:bookmarkEnd w:id="73"/>
      <w:r>
        <w:rPr>
          <w:rFonts w:hint="eastAsia" w:ascii="宋体" w:hAnsi="宋体" w:eastAsia="宋体" w:cs="宋体"/>
          <w:b/>
          <w:bCs/>
          <w:color w:val="auto"/>
          <w:sz w:val="24"/>
          <w:highlight w:val="none"/>
        </w:rPr>
        <w:t>信息</w:t>
      </w:r>
    </w:p>
    <w:p w14:paraId="7BA22914">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浙江鼎峰工程咨询有限公司</w:t>
      </w:r>
      <w:r>
        <w:rPr>
          <w:rFonts w:hint="eastAsia" w:ascii="宋体" w:hAnsi="宋体" w:eastAsia="宋体" w:cs="宋体"/>
          <w:color w:val="auto"/>
          <w:sz w:val="24"/>
          <w:highlight w:val="none"/>
        </w:rPr>
        <w:t xml:space="preserve"> </w:t>
      </w:r>
    </w:p>
    <w:p w14:paraId="39273D80">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东阳市总部中心C幢西区1201-5室</w:t>
      </w:r>
      <w:r>
        <w:rPr>
          <w:rFonts w:hint="eastAsia" w:ascii="宋体" w:hAnsi="宋体" w:eastAsia="宋体" w:cs="宋体"/>
          <w:color w:val="auto"/>
          <w:sz w:val="24"/>
          <w:highlight w:val="none"/>
        </w:rPr>
        <w:t xml:space="preserve">     </w:t>
      </w:r>
    </w:p>
    <w:p w14:paraId="4C5749F6">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吕婷婷</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项目联系方式（询问）：0579-</w:t>
      </w:r>
      <w:r>
        <w:rPr>
          <w:rFonts w:hint="eastAsia" w:ascii="宋体" w:hAnsi="宋体" w:cs="宋体"/>
          <w:color w:val="auto"/>
          <w:sz w:val="24"/>
          <w:highlight w:val="none"/>
          <w:lang w:eastAsia="zh-CN"/>
        </w:rPr>
        <w:t>86669859</w:t>
      </w:r>
    </w:p>
    <w:p w14:paraId="28A75D9D">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徐如锐</w:t>
      </w:r>
      <w:r>
        <w:rPr>
          <w:rFonts w:hint="eastAsia" w:ascii="宋体" w:hAnsi="宋体" w:eastAsia="宋体" w:cs="宋体"/>
          <w:color w:val="auto"/>
          <w:sz w:val="24"/>
          <w:highlight w:val="none"/>
        </w:rPr>
        <w:t xml:space="preserve">                  质疑联系方式：</w:t>
      </w:r>
      <w:bookmarkStart w:id="74" w:name="_Toc28359087"/>
      <w:bookmarkStart w:id="75" w:name="_Toc28359010"/>
      <w:r>
        <w:rPr>
          <w:rFonts w:hint="eastAsia" w:ascii="宋体" w:hAnsi="宋体" w:eastAsia="宋体" w:cs="宋体"/>
          <w:color w:val="auto"/>
          <w:sz w:val="24"/>
          <w:highlight w:val="none"/>
        </w:rPr>
        <w:t>0579-</w:t>
      </w:r>
      <w:r>
        <w:rPr>
          <w:rFonts w:hint="eastAsia" w:ascii="宋体" w:hAnsi="宋体" w:cs="宋体"/>
          <w:color w:val="auto"/>
          <w:sz w:val="24"/>
          <w:highlight w:val="none"/>
          <w:lang w:eastAsia="zh-CN"/>
        </w:rPr>
        <w:t>86669859</w:t>
      </w:r>
    </w:p>
    <w:p w14:paraId="5036B5C2">
      <w:pPr>
        <w:keepNext w:val="0"/>
        <w:keepLines w:val="0"/>
        <w:pageBreakBefore w:val="0"/>
        <w:widowControl w:val="0"/>
        <w:kinsoku/>
        <w:wordWrap/>
        <w:overflowPunct/>
        <w:topLinePunct w:val="0"/>
        <w:autoSpaceDE/>
        <w:autoSpaceDN/>
        <w:bidi w:val="0"/>
        <w:adjustRightInd/>
        <w:snapToGrid/>
        <w:spacing w:line="440" w:lineRule="exact"/>
        <w:ind w:firstLine="723" w:firstLineChars="300"/>
        <w:textAlignment w:val="auto"/>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3.</w:t>
      </w:r>
      <w:bookmarkEnd w:id="74"/>
      <w:bookmarkEnd w:id="75"/>
      <w:r>
        <w:rPr>
          <w:rFonts w:hint="eastAsia" w:ascii="宋体" w:hAnsi="宋体" w:eastAsia="宋体" w:cs="宋体"/>
          <w:b/>
          <w:bCs/>
          <w:color w:val="auto"/>
          <w:sz w:val="24"/>
          <w:highlight w:val="none"/>
        </w:rPr>
        <w:t>同级政府采购监督管理部门：</w:t>
      </w:r>
    </w:p>
    <w:p w14:paraId="7B3FC93B">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名称：东阳市财政局采监科              </w:t>
      </w:r>
    </w:p>
    <w:p w14:paraId="60D494B6">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地址：东阳市人民路8号</w:t>
      </w:r>
    </w:p>
    <w:p w14:paraId="5AC77AE9">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监督投诉电话：0579-86662677</w:t>
      </w:r>
    </w:p>
    <w:p w14:paraId="51E6961B">
      <w:pPr>
        <w:keepNext w:val="0"/>
        <w:keepLines w:val="0"/>
        <w:pageBreakBefore w:val="0"/>
        <w:widowControl w:val="0"/>
        <w:kinsoku/>
        <w:wordWrap/>
        <w:overflowPunct/>
        <w:topLinePunct w:val="0"/>
        <w:autoSpaceDE/>
        <w:autoSpaceDN/>
        <w:bidi w:val="0"/>
        <w:adjustRightInd/>
        <w:snapToGrid w:val="0"/>
        <w:spacing w:line="440" w:lineRule="exact"/>
        <w:ind w:firstLine="723" w:firstLineChars="300"/>
        <w:textAlignment w:val="auto"/>
        <w:rPr>
          <w:rFonts w:hint="eastAsia" w:ascii="宋体" w:hAnsi="宋体" w:cs="宋体"/>
          <w:b/>
          <w:color w:val="auto"/>
          <w:sz w:val="24"/>
          <w:highlight w:val="none"/>
        </w:rPr>
      </w:pPr>
      <w:r>
        <w:rPr>
          <w:rFonts w:hint="eastAsia" w:ascii="宋体" w:hAnsi="宋体" w:cs="宋体"/>
          <w:b/>
          <w:color w:val="auto"/>
          <w:sz w:val="24"/>
          <w:highlight w:val="none"/>
        </w:rPr>
        <w:t>附件：</w:t>
      </w:r>
      <w:r>
        <w:rPr>
          <w:rFonts w:hint="eastAsia" w:ascii="宋体" w:hAnsi="宋体" w:cs="宋体"/>
          <w:b/>
          <w:color w:val="auto"/>
          <w:sz w:val="24"/>
          <w:highlight w:val="none"/>
          <w:lang w:val="en-US" w:eastAsia="zh-CN"/>
        </w:rPr>
        <w:t>东阳市国民经济和社会发展“十五五”规划《基本思路》和《纲要草案》服务采购项目(第二次）</w:t>
      </w:r>
      <w:r>
        <w:rPr>
          <w:rFonts w:hint="eastAsia" w:ascii="宋体" w:hAnsi="宋体" w:cs="宋体"/>
          <w:b/>
          <w:color w:val="auto"/>
          <w:sz w:val="24"/>
          <w:highlight w:val="none"/>
        </w:rPr>
        <w:t xml:space="preserve">招标文件 </w:t>
      </w:r>
    </w:p>
    <w:p w14:paraId="426E67C9">
      <w:pPr>
        <w:keepNext w:val="0"/>
        <w:keepLines w:val="0"/>
        <w:pageBreakBefore w:val="0"/>
        <w:widowControl w:val="0"/>
        <w:kinsoku/>
        <w:wordWrap/>
        <w:overflowPunct/>
        <w:topLinePunct w:val="0"/>
        <w:autoSpaceDE/>
        <w:autoSpaceDN/>
        <w:bidi w:val="0"/>
        <w:adjustRightInd/>
        <w:snapToGrid w:val="0"/>
        <w:spacing w:line="440" w:lineRule="exact"/>
        <w:ind w:firstLine="723" w:firstLineChars="300"/>
        <w:textAlignment w:val="auto"/>
        <w:rPr>
          <w:rFonts w:hint="eastAsia" w:ascii="宋体" w:hAnsi="宋体" w:cs="宋体"/>
          <w:b/>
          <w:color w:val="auto"/>
          <w:sz w:val="24"/>
          <w:highlight w:val="none"/>
        </w:rPr>
      </w:pPr>
    </w:p>
    <w:p w14:paraId="6AA1E234">
      <w:pPr>
        <w:keepNext w:val="0"/>
        <w:keepLines w:val="0"/>
        <w:pageBreakBefore w:val="0"/>
        <w:widowControl w:val="0"/>
        <w:kinsoku/>
        <w:wordWrap/>
        <w:overflowPunct/>
        <w:topLinePunct w:val="0"/>
        <w:autoSpaceDE/>
        <w:autoSpaceDN/>
        <w:bidi w:val="0"/>
        <w:adjustRightInd/>
        <w:snapToGrid w:val="0"/>
        <w:spacing w:line="440" w:lineRule="exact"/>
        <w:ind w:firstLine="723" w:firstLineChars="300"/>
        <w:textAlignment w:val="auto"/>
        <w:rPr>
          <w:rFonts w:hint="eastAsia" w:ascii="宋体" w:hAnsi="宋体" w:cs="宋体"/>
          <w:b/>
          <w:color w:val="auto"/>
          <w:sz w:val="24"/>
          <w:highlight w:val="none"/>
        </w:rPr>
      </w:pPr>
    </w:p>
    <w:p w14:paraId="290EBD52">
      <w:pPr>
        <w:keepNext w:val="0"/>
        <w:keepLines w:val="0"/>
        <w:pageBreakBefore w:val="0"/>
        <w:widowControl w:val="0"/>
        <w:kinsoku/>
        <w:wordWrap/>
        <w:overflowPunct/>
        <w:topLinePunct w:val="0"/>
        <w:autoSpaceDE/>
        <w:autoSpaceDN/>
        <w:bidi w:val="0"/>
        <w:adjustRightInd/>
        <w:snapToGrid w:val="0"/>
        <w:spacing w:line="440" w:lineRule="exact"/>
        <w:ind w:firstLine="723" w:firstLineChars="300"/>
        <w:textAlignment w:val="auto"/>
        <w:rPr>
          <w:rFonts w:hint="eastAsia" w:ascii="宋体" w:hAnsi="宋体" w:cs="宋体"/>
          <w:b/>
          <w:color w:val="auto"/>
          <w:sz w:val="24"/>
          <w:highlight w:val="none"/>
        </w:rPr>
      </w:pPr>
    </w:p>
    <w:p w14:paraId="675041CB">
      <w:pPr>
        <w:keepNext w:val="0"/>
        <w:keepLines w:val="0"/>
        <w:pageBreakBefore w:val="0"/>
        <w:widowControl w:val="0"/>
        <w:kinsoku/>
        <w:wordWrap/>
        <w:overflowPunct/>
        <w:topLinePunct w:val="0"/>
        <w:autoSpaceDE/>
        <w:autoSpaceDN/>
        <w:bidi w:val="0"/>
        <w:adjustRightInd/>
        <w:snapToGrid w:val="0"/>
        <w:spacing w:line="360" w:lineRule="auto"/>
        <w:ind w:left="5799" w:leftChars="237" w:right="198" w:hanging="5301" w:hangingChars="2200"/>
        <w:jc w:val="center"/>
        <w:textAlignment w:val="auto"/>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val="0"/>
          <w:bCs/>
          <w:color w:val="auto"/>
          <w:sz w:val="24"/>
          <w:highlight w:val="none"/>
          <w:lang w:eastAsia="zh-CN"/>
        </w:rPr>
        <w:t>东阳市发展和改革局</w:t>
      </w:r>
      <w:r>
        <w:rPr>
          <w:rFonts w:hint="eastAsia" w:ascii="宋体" w:hAnsi="宋体" w:eastAsia="宋体" w:cs="宋体"/>
          <w:b w:val="0"/>
          <w:bCs/>
          <w:color w:val="auto"/>
          <w:sz w:val="24"/>
          <w:highlight w:val="none"/>
        </w:rPr>
        <w:t xml:space="preserve">                           </w:t>
      </w:r>
    </w:p>
    <w:p w14:paraId="4E55D834">
      <w:pPr>
        <w:snapToGrid w:val="0"/>
        <w:spacing w:line="360" w:lineRule="auto"/>
        <w:ind w:left="5778" w:leftChars="237" w:right="198" w:hanging="5280" w:hangingChars="2200"/>
        <w:jc w:val="right"/>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 xml:space="preserve">                                         </w:t>
      </w:r>
      <w:r>
        <w:rPr>
          <w:rFonts w:hint="eastAsia" w:ascii="宋体" w:hAnsi="宋体" w:cs="宋体"/>
          <w:b w:val="0"/>
          <w:bCs/>
          <w:color w:val="auto"/>
          <w:sz w:val="24"/>
          <w:highlight w:val="none"/>
          <w:lang w:eastAsia="zh-CN"/>
        </w:rPr>
        <w:t>浙江鼎峰工程咨询有限公司</w:t>
      </w:r>
    </w:p>
    <w:p w14:paraId="58A7282C">
      <w:pPr>
        <w:snapToGrid w:val="0"/>
        <w:spacing w:line="360" w:lineRule="auto"/>
        <w:ind w:right="198" w:firstLine="6480" w:firstLineChars="2700"/>
        <w:jc w:val="both"/>
        <w:rPr>
          <w:rFonts w:hint="eastAsia" w:ascii="宋体" w:hAnsi="宋体" w:eastAsia="宋体" w:cs="宋体"/>
          <w:b w:val="0"/>
          <w:bCs/>
          <w:color w:val="auto"/>
          <w:kern w:val="0"/>
          <w:sz w:val="24"/>
          <w:highlight w:val="none"/>
          <w:lang w:bidi="ar"/>
        </w:rPr>
      </w:pPr>
      <w:r>
        <w:rPr>
          <w:rFonts w:hint="eastAsia" w:ascii="宋体" w:hAnsi="宋体" w:cs="宋体"/>
          <w:b w:val="0"/>
          <w:bCs/>
          <w:color w:val="auto"/>
          <w:sz w:val="24"/>
          <w:highlight w:val="none"/>
          <w:lang w:eastAsia="zh-CN"/>
        </w:rPr>
        <w:t>2024年</w:t>
      </w:r>
      <w:r>
        <w:rPr>
          <w:rFonts w:hint="eastAsia" w:ascii="宋体" w:hAnsi="宋体" w:eastAsia="宋体" w:cs="宋体"/>
          <w:b w:val="0"/>
          <w:bCs/>
          <w:color w:val="0000FF"/>
          <w:sz w:val="24"/>
          <w:highlight w:val="none"/>
          <w:lang w:val="en-US" w:eastAsia="zh-CN"/>
        </w:rPr>
        <w:t>12月</w:t>
      </w:r>
      <w:r>
        <w:rPr>
          <w:rFonts w:hint="eastAsia" w:ascii="宋体" w:hAnsi="宋体" w:cs="宋体"/>
          <w:b w:val="0"/>
          <w:bCs/>
          <w:color w:val="0000FF"/>
          <w:sz w:val="24"/>
          <w:highlight w:val="none"/>
          <w:lang w:val="en-US" w:eastAsia="zh-CN"/>
        </w:rPr>
        <w:t>19</w:t>
      </w:r>
      <w:r>
        <w:rPr>
          <w:rFonts w:hint="eastAsia" w:ascii="宋体" w:hAnsi="宋体" w:eastAsia="宋体" w:cs="宋体"/>
          <w:b w:val="0"/>
          <w:bCs/>
          <w:color w:val="0000FF"/>
          <w:sz w:val="24"/>
          <w:highlight w:val="none"/>
          <w:lang w:val="en-US" w:eastAsia="zh-CN"/>
        </w:rPr>
        <w:t>日</w:t>
      </w:r>
    </w:p>
    <w:p w14:paraId="2D04D378">
      <w:pPr>
        <w:keepNext w:val="0"/>
        <w:keepLines w:val="0"/>
        <w:pageBreakBefore w:val="0"/>
        <w:kinsoku/>
        <w:wordWrap/>
        <w:overflowPunct/>
        <w:topLinePunct w:val="0"/>
        <w:autoSpaceDE/>
        <w:autoSpaceDN/>
        <w:bidi w:val="0"/>
        <w:adjustRightInd/>
        <w:snapToGrid w:val="0"/>
        <w:spacing w:line="312" w:lineRule="auto"/>
        <w:ind w:right="198"/>
        <w:textAlignment w:val="auto"/>
        <w:rPr>
          <w:rFonts w:hint="eastAsia" w:ascii="宋体" w:hAnsi="宋体" w:eastAsia="宋体" w:cs="宋体"/>
          <w:color w:val="auto"/>
          <w:kern w:val="0"/>
          <w:sz w:val="24"/>
          <w:highlight w:val="none"/>
          <w:lang w:bidi="ar"/>
        </w:rPr>
      </w:pPr>
    </w:p>
    <w:p w14:paraId="57479250">
      <w:pPr>
        <w:keepNext w:val="0"/>
        <w:keepLines w:val="0"/>
        <w:pageBreakBefore w:val="0"/>
        <w:kinsoku/>
        <w:wordWrap/>
        <w:overflowPunct/>
        <w:topLinePunct w:val="0"/>
        <w:autoSpaceDE/>
        <w:autoSpaceDN/>
        <w:bidi w:val="0"/>
        <w:adjustRightInd/>
        <w:snapToGrid w:val="0"/>
        <w:spacing w:line="312" w:lineRule="auto"/>
        <w:ind w:right="198"/>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若对项目采购电子交易系统操作有疑问，可登录政采云（https://www.zcygov.cn</w:t>
      </w:r>
      <w:r>
        <w:rPr>
          <w:rFonts w:hint="eastAsia" w:ascii="宋体" w:hAnsi="宋体" w:cs="宋体"/>
          <w:color w:val="auto"/>
          <w:kern w:val="0"/>
          <w:sz w:val="24"/>
          <w:highlight w:val="none"/>
          <w:lang w:eastAsia="zh-CN" w:bidi="ar"/>
        </w:rPr>
        <w:t>）</w:t>
      </w:r>
      <w:r>
        <w:rPr>
          <w:rFonts w:hint="eastAsia" w:ascii="宋体" w:hAnsi="宋体" w:eastAsia="宋体" w:cs="宋体"/>
          <w:color w:val="auto"/>
          <w:kern w:val="0"/>
          <w:sz w:val="24"/>
          <w:highlight w:val="none"/>
          <w:lang w:bidi="ar"/>
        </w:rPr>
        <w:t>，点击右侧咨询小采，获取采小蜜智能服务管家帮助，或拨打政采云服务热线400-881-7190获取热线服务帮助。</w:t>
      </w:r>
    </w:p>
    <w:p w14:paraId="6C50DE4A">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CA问题联系电话（人工）：汇信CA 400-888-4636；天谷CA 400-087-8198。</w:t>
      </w:r>
    </w:p>
    <w:p w14:paraId="64AA4F32">
      <w:pPr>
        <w:pStyle w:val="19"/>
        <w:pageBreakBefore/>
        <w:snapToGrid w:val="0"/>
        <w:spacing w:before="120" w:after="120" w:line="360" w:lineRule="auto"/>
        <w:jc w:val="center"/>
        <w:outlineLvl w:val="0"/>
        <w:rPr>
          <w:rFonts w:hint="eastAsia" w:ascii="宋体" w:hAnsi="宋体" w:eastAsia="宋体" w:cs="宋体"/>
          <w:b/>
          <w:color w:val="auto"/>
          <w:sz w:val="28"/>
          <w:szCs w:val="28"/>
          <w:highlight w:val="none"/>
        </w:rPr>
      </w:pPr>
      <w:bookmarkStart w:id="76" w:name="_Toc26469"/>
      <w:bookmarkStart w:id="77" w:name="_Toc21608"/>
      <w:bookmarkStart w:id="78" w:name="_Toc10239"/>
      <w:bookmarkStart w:id="79" w:name="_Toc21478"/>
      <w:r>
        <w:rPr>
          <w:rFonts w:hint="eastAsia" w:ascii="宋体" w:hAnsi="宋体" w:eastAsia="宋体" w:cs="宋体"/>
          <w:b/>
          <w:color w:val="auto"/>
          <w:sz w:val="28"/>
          <w:szCs w:val="28"/>
          <w:highlight w:val="none"/>
        </w:rPr>
        <w:t>第二章  招标需求</w:t>
      </w:r>
      <w:bookmarkEnd w:id="76"/>
      <w:bookmarkEnd w:id="77"/>
      <w:bookmarkEnd w:id="78"/>
      <w:bookmarkEnd w:id="79"/>
    </w:p>
    <w:p w14:paraId="4A16E038">
      <w:pPr>
        <w:snapToGrid w:val="0"/>
        <w:spacing w:line="440" w:lineRule="exact"/>
        <w:ind w:firstLine="472" w:firstLineChars="196"/>
        <w:outlineLvl w:val="1"/>
        <w:rPr>
          <w:rFonts w:hint="eastAsia" w:ascii="宋体" w:hAnsi="宋体" w:eastAsia="宋体" w:cs="宋体"/>
          <w:b/>
          <w:color w:val="auto"/>
          <w:sz w:val="24"/>
          <w:highlight w:val="none"/>
        </w:rPr>
      </w:pPr>
      <w:bookmarkStart w:id="80" w:name="_Toc16035"/>
      <w:bookmarkStart w:id="81" w:name="_Toc4033"/>
      <w:bookmarkStart w:id="82" w:name="_Toc26468"/>
      <w:bookmarkStart w:id="83" w:name="_Toc5873"/>
      <w:bookmarkStart w:id="84" w:name="_Toc9056"/>
      <w:bookmarkStart w:id="85" w:name="_Toc3782"/>
      <w:r>
        <w:rPr>
          <w:rFonts w:hint="eastAsia" w:ascii="宋体" w:hAnsi="宋体" w:eastAsia="宋体" w:cs="宋体"/>
          <w:b/>
          <w:color w:val="auto"/>
          <w:kern w:val="2"/>
          <w:sz w:val="24"/>
          <w:szCs w:val="24"/>
          <w:highlight w:val="none"/>
          <w:lang w:val="en-US" w:eastAsia="zh-CN" w:bidi="ar-SA"/>
        </w:rPr>
        <w:t>一、</w:t>
      </w:r>
      <w:bookmarkEnd w:id="80"/>
      <w:bookmarkEnd w:id="81"/>
      <w:bookmarkEnd w:id="82"/>
      <w:bookmarkStart w:id="86" w:name="_Toc30049"/>
      <w:r>
        <w:rPr>
          <w:rFonts w:hint="eastAsia" w:ascii="宋体" w:hAnsi="宋体" w:eastAsia="宋体" w:cs="宋体"/>
          <w:b/>
          <w:color w:val="auto"/>
          <w:sz w:val="24"/>
          <w:highlight w:val="none"/>
        </w:rPr>
        <w:t>项目建设任务：</w:t>
      </w:r>
      <w:bookmarkEnd w:id="83"/>
      <w:bookmarkEnd w:id="84"/>
      <w:bookmarkEnd w:id="85"/>
    </w:p>
    <w:p w14:paraId="4ED8D24C">
      <w:pPr>
        <w:snapToGrid w:val="0"/>
        <w:spacing w:line="440" w:lineRule="exact"/>
        <w:ind w:firstLine="470" w:firstLineChars="196"/>
        <w:rPr>
          <w:rFonts w:hint="eastAsia" w:ascii="宋体" w:hAnsi="宋体" w:eastAsia="宋体" w:cs="宋体"/>
          <w:b/>
          <w:color w:val="auto"/>
          <w:highlight w:val="none"/>
          <w:lang w:val="en-US" w:eastAsia="zh-CN"/>
        </w:rPr>
      </w:pPr>
      <w:r>
        <w:rPr>
          <w:rFonts w:hint="eastAsia" w:ascii="宋体" w:hAnsi="宋体" w:cs="宋体"/>
          <w:color w:val="auto"/>
          <w:sz w:val="24"/>
          <w:highlight w:val="none"/>
          <w:lang w:eastAsia="zh-CN"/>
        </w:rPr>
        <w:t>东阳市国民经济和社会发展“十五五”规划《基本思路》和《纲要草案》服务采购项目(第二次）</w:t>
      </w:r>
    </w:p>
    <w:p w14:paraId="7A4CA777">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服务内容、要求</w:t>
      </w:r>
    </w:p>
    <w:p w14:paraId="5DE0EB9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十五五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时期是</w:t>
      </w:r>
      <w:r>
        <w:rPr>
          <w:rFonts w:hint="eastAsia" w:ascii="宋体" w:hAnsi="宋体" w:eastAsia="宋体" w:cs="宋体"/>
          <w:color w:val="auto"/>
          <w:sz w:val="24"/>
          <w:szCs w:val="24"/>
          <w:highlight w:val="none"/>
          <w:lang w:eastAsia="zh-CN"/>
        </w:rPr>
        <w:t>东阳</w:t>
      </w:r>
      <w:r>
        <w:rPr>
          <w:rFonts w:hint="eastAsia" w:ascii="宋体" w:hAnsi="宋体" w:eastAsia="宋体" w:cs="宋体"/>
          <w:color w:val="auto"/>
          <w:sz w:val="24"/>
          <w:szCs w:val="24"/>
          <w:highlight w:val="none"/>
        </w:rPr>
        <w:t>市面向2035年与全省同步基本实现现代化承上启下、加快转入高质量发展轨道、在世界百年变局中赢得战略主动的关键时期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编制</w:t>
      </w:r>
      <w:r>
        <w:rPr>
          <w:rFonts w:hint="eastAsia" w:ascii="宋体" w:hAnsi="宋体" w:eastAsia="宋体" w:cs="宋体"/>
          <w:color w:val="auto"/>
          <w:sz w:val="24"/>
          <w:szCs w:val="24"/>
          <w:highlight w:val="none"/>
          <w:lang w:eastAsia="zh-CN"/>
        </w:rPr>
        <w:t>东阳</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十五五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规划基本思路研究和规划纲要意义重大。</w:t>
      </w:r>
    </w:p>
    <w:p w14:paraId="2D36EC6A">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1.研究任务</w:t>
      </w:r>
    </w:p>
    <w:p w14:paraId="0E67E58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eastAsia="zh-CN"/>
        </w:rPr>
        <w:t>东阳</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十五五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规划基本思路研究和规划纲要编制。在基本思路研究中，明确</w:t>
      </w:r>
      <w:r>
        <w:rPr>
          <w:rFonts w:hint="eastAsia" w:ascii="宋体" w:hAnsi="宋体" w:eastAsia="宋体" w:cs="宋体"/>
          <w:color w:val="auto"/>
          <w:sz w:val="24"/>
          <w:szCs w:val="24"/>
          <w:highlight w:val="none"/>
          <w:lang w:eastAsia="zh-CN"/>
        </w:rPr>
        <w:t>东阳</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十五五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时期发展新机遇与面临的新挑战，研判发展新趋势；提出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十五五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经济社会发展的总体思路，发展目标、产业导向、重大任务和保障措施。</w:t>
      </w:r>
    </w:p>
    <w:p w14:paraId="581F10A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具体研究任务：</w:t>
      </w:r>
    </w:p>
    <w:p w14:paraId="3B9EA99E">
      <w:pPr>
        <w:numPr>
          <w:ilvl w:val="0"/>
          <w:numId w:val="6"/>
        </w:numPr>
        <w:spacing w:line="440" w:lineRule="exact"/>
        <w:ind w:firstLine="482" w:firstLineChars="200"/>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t>“十四五”发展成就与突出问题</w:t>
      </w:r>
    </w:p>
    <w:p w14:paraId="126AB93C">
      <w:pPr>
        <w:spacing w:line="440" w:lineRule="exact"/>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总结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十四五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时期发展的成就，包括经济社会、产业、民生、文化、生态、治理等方面；</w:t>
      </w:r>
    </w:p>
    <w:p w14:paraId="1CE9005B">
      <w:pPr>
        <w:spacing w:line="440" w:lineRule="exact"/>
        <w:ind w:firstLine="480" w:firstLineChars="200"/>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十四五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时期发展突出问题，包括经济发展动能不足、产业现代化水平不高、产业创新能力不强、区域协调发展程度不高、民营经济发展优势弱化等。</w:t>
      </w:r>
    </w:p>
    <w:p w14:paraId="56145518">
      <w:pPr>
        <w:numPr>
          <w:ilvl w:val="0"/>
          <w:numId w:val="6"/>
        </w:numPr>
        <w:spacing w:line="440" w:lineRule="exact"/>
        <w:ind w:firstLine="482" w:firstLineChars="200"/>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十五五</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时期发展新机遇与面临的新挑战</w:t>
      </w:r>
    </w:p>
    <w:p w14:paraId="5E7F29B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分析发展新背景、新形势，研判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十五五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全市发展所处的重要战略机遇；</w:t>
      </w:r>
    </w:p>
    <w:p w14:paraId="4EC0B1D8">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在调研摸清市情的基础上，结合实际，剖析存在的新问题及面临的新挑战</w:t>
      </w:r>
      <w:r>
        <w:rPr>
          <w:rFonts w:hint="eastAsia" w:ascii="宋体" w:hAnsi="宋体" w:eastAsia="宋体" w:cs="宋体"/>
          <w:color w:val="auto"/>
          <w:sz w:val="24"/>
          <w:szCs w:val="24"/>
          <w:highlight w:val="none"/>
          <w:lang w:eastAsia="zh-CN"/>
        </w:rPr>
        <w:t>。</w:t>
      </w:r>
    </w:p>
    <w:p w14:paraId="4BE4221C">
      <w:pPr>
        <w:numPr>
          <w:ilvl w:val="0"/>
          <w:numId w:val="6"/>
        </w:numPr>
        <w:spacing w:line="440" w:lineRule="exact"/>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“十五五”总体思路和目标定位</w:t>
      </w:r>
    </w:p>
    <w:p w14:paraId="75ED36B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明确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十五五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时期全市国民经济和社会发展的指导思想、发展定位，体现战略性、前瞻性、指导性；</w:t>
      </w:r>
    </w:p>
    <w:p w14:paraId="2C6BAE3C">
      <w:pPr>
        <w:spacing w:line="440" w:lineRule="exact"/>
        <w:ind w:firstLine="480"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根据省级</w:t>
      </w:r>
      <w:r>
        <w:rPr>
          <w:rFonts w:hint="eastAsia" w:ascii="宋体" w:hAnsi="宋体" w:eastAsia="宋体" w:cs="宋体"/>
          <w:color w:val="auto"/>
          <w:sz w:val="24"/>
          <w:szCs w:val="24"/>
          <w:highlight w:val="none"/>
          <w:lang w:val="en-US" w:eastAsia="zh-CN"/>
        </w:rPr>
        <w:t>和金华</w:t>
      </w:r>
      <w:r>
        <w:rPr>
          <w:rFonts w:hint="eastAsia" w:ascii="宋体" w:hAnsi="宋体" w:eastAsia="宋体" w:cs="宋体"/>
          <w:color w:val="auto"/>
          <w:sz w:val="24"/>
          <w:szCs w:val="24"/>
          <w:highlight w:val="none"/>
        </w:rPr>
        <w:t>规划指标要求，结合实际提出全市</w:t>
      </w:r>
      <w:r>
        <w:rPr>
          <w:rFonts w:hint="eastAsia" w:ascii="宋体" w:hAnsi="宋体" w:eastAsia="宋体" w:cs="宋体"/>
          <w:color w:val="auto"/>
          <w:sz w:val="24"/>
          <w:szCs w:val="24"/>
          <w:highlight w:val="none"/>
          <w:lang w:val="en-US" w:eastAsia="zh-CN"/>
        </w:rPr>
        <w:t>综合实力、创新能力、生活品质、开放能力、生态环境</w:t>
      </w:r>
      <w:r>
        <w:rPr>
          <w:rFonts w:hint="eastAsia" w:ascii="宋体" w:hAnsi="宋体" w:eastAsia="宋体" w:cs="宋体"/>
          <w:color w:val="auto"/>
          <w:sz w:val="24"/>
          <w:szCs w:val="24"/>
          <w:highlight w:val="none"/>
        </w:rPr>
        <w:t>等主要指标。</w:t>
      </w:r>
    </w:p>
    <w:p w14:paraId="6E81C70C">
      <w:pPr>
        <w:numPr>
          <w:ilvl w:val="0"/>
          <w:numId w:val="6"/>
        </w:numPr>
        <w:spacing w:line="440" w:lineRule="exact"/>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“十五五”重大任务和战略举措</w:t>
      </w:r>
    </w:p>
    <w:p w14:paraId="1699E2D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深化市场取向改革完善市场经济制度，打造民营经济发展新高地</w:t>
      </w:r>
    </w:p>
    <w:p w14:paraId="3C5472EC">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进一步促进民营经济高质量发展、全面促进消费、拓展投资空间、优化营商环境、优化现代财政金融制度等。</w:t>
      </w:r>
    </w:p>
    <w:p w14:paraId="06565B06">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②发展新质生产力，构建先进制造业为骨干的现代产业体系</w:t>
      </w:r>
    </w:p>
    <w:p w14:paraId="4E848712">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优化新质生产力发展生态，加快先进制造业集群建设，培育壮大现代服务业，提升产业链供应链韧性和安全水平，加快打造全省经济高质量发展新的重要增长极。</w:t>
      </w:r>
    </w:p>
    <w:p w14:paraId="46823948">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③坚持科技创新驱动发展，打造教育科技人才一体化先行市</w:t>
      </w:r>
    </w:p>
    <w:p w14:paraId="75312DA3">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加快实施创新强市战略，增加优质教育资源供给</w:t>
      </w:r>
      <w:r>
        <w:rPr>
          <w:rFonts w:hint="eastAsia" w:ascii="宋体" w:hAnsi="宋体" w:eastAsia="宋体" w:cs="宋体"/>
          <w:color w:val="auto"/>
          <w:sz w:val="24"/>
          <w:szCs w:val="24"/>
          <w:highlight w:val="none"/>
          <w:lang w:eastAsia="zh-CN"/>
        </w:rPr>
        <w:t>，建设高质量教育体系，完善人才培育发展机制。深化科技体制改革，优化科技成果转化体系，强化科技创新金融支持，强化科技创新平台建设。</w:t>
      </w:r>
    </w:p>
    <w:p w14:paraId="4F38AC83">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④加快东义东横一体建设，推动对内对外开放经济融合发展</w:t>
      </w:r>
    </w:p>
    <w:p w14:paraId="0C641E19">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动融入区域重大战略布局，发挥对区域重大战略的担当作用，打造长三角一体化、金义都市区的重要支点。融入金义都市区，全面对接义东浦发展轴，推动东义同城化发展。强化城区横店一体化，打造集聚区影视产业国际化、数字化转型发展的重要空间载体，推动城区和横店优势互补、均衡发展。</w:t>
      </w:r>
    </w:p>
    <w:p w14:paraId="595F602F">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⑤深化新时代“千万工程”，推进县城引领的新型城镇化建设</w:t>
      </w:r>
    </w:p>
    <w:p w14:paraId="5B802F9C">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加快以县城为重要载体的城镇化建设，构建宜居安居未来城市，创新特大镇转型“东阳实践”。优化农村规划布局，提升农村人居环境，和美乡村建设，完善强农惠农富农制度。</w:t>
      </w:r>
    </w:p>
    <w:p w14:paraId="3FE691DA">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⑥不断促进人的全面发展、全体人民共同富裕，打造共同富裕县域先行示范</w:t>
      </w:r>
    </w:p>
    <w:p w14:paraId="6FF4ADAB">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健全高质量就业创业促进体系，鼓励发展“一镇一业”，强化优质公共服务供给，健全人口发展支持和服务体系。</w:t>
      </w:r>
    </w:p>
    <w:p w14:paraId="05F1E906">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⑦推动全域文化繁荣全民精神富有，打造国家影视文化名城</w:t>
      </w:r>
    </w:p>
    <w:p w14:paraId="60C13AA4">
      <w:pPr>
        <w:spacing w:line="44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推进文化发展创新，实施文化提升工程，</w:t>
      </w:r>
      <w:r>
        <w:rPr>
          <w:rFonts w:hint="eastAsia" w:ascii="宋体" w:hAnsi="宋体" w:eastAsia="宋体" w:cs="宋体"/>
          <w:color w:val="auto"/>
          <w:sz w:val="24"/>
          <w:szCs w:val="24"/>
          <w:highlight w:val="none"/>
          <w:lang w:val="en-US" w:eastAsia="zh-CN"/>
        </w:rPr>
        <w:t>加大对东阳影视文化、木雕文化、竹编文化、建筑文化的挖掘力度，打造文化共富建设样板。</w:t>
      </w:r>
    </w:p>
    <w:p w14:paraId="390B7EE2">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⑧落实绿水青山就是金山银山理念，建设歌山画水全域花园</w:t>
      </w:r>
    </w:p>
    <w:p w14:paraId="641EEC33">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推进绿色发展，</w:t>
      </w:r>
      <w:r>
        <w:rPr>
          <w:rFonts w:hint="eastAsia" w:ascii="宋体" w:hAnsi="宋体" w:eastAsia="宋体" w:cs="宋体"/>
          <w:color w:val="auto"/>
          <w:sz w:val="24"/>
          <w:szCs w:val="24"/>
          <w:highlight w:val="none"/>
          <w:lang w:val="en-US" w:eastAsia="zh-CN"/>
        </w:rPr>
        <w:t>着力打通“两山”转化通道，高水平推进生态文明建设，完善生态环境综合治理体系，建设绿色低碳魅力城市。</w:t>
      </w:r>
    </w:p>
    <w:p w14:paraId="4E65148D">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⑨深化民主法治和平安东阳建设，提升治理体系现代化水平</w:t>
      </w:r>
    </w:p>
    <w:p w14:paraId="4030C1AA">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强化人民当家作主</w:t>
      </w:r>
      <w:r>
        <w:rPr>
          <w:rFonts w:hint="eastAsia" w:ascii="宋体" w:hAnsi="宋体" w:eastAsia="宋体" w:cs="宋体"/>
          <w:i w:val="0"/>
          <w:iCs w:val="0"/>
          <w:caps w:val="0"/>
          <w:color w:val="auto"/>
          <w:spacing w:val="0"/>
          <w:sz w:val="24"/>
          <w:szCs w:val="24"/>
          <w:highlight w:val="none"/>
          <w:shd w:val="clear" w:color="auto" w:fill="auto"/>
        </w:rPr>
        <w:t>的核心地位</w:t>
      </w:r>
      <w:r>
        <w:rPr>
          <w:rFonts w:hint="eastAsia" w:ascii="宋体" w:hAnsi="宋体" w:eastAsia="宋体" w:cs="宋体"/>
          <w:color w:val="auto"/>
          <w:sz w:val="24"/>
          <w:szCs w:val="24"/>
          <w:highlight w:val="none"/>
          <w:lang w:val="en-US" w:eastAsia="zh-CN"/>
        </w:rPr>
        <w:t>，积极推进法治社会建设进程，全面健全社会治理体系。</w:t>
      </w:r>
    </w:p>
    <w:p w14:paraId="77D4ACD0">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⑩着力谋深谋实“四个重大”，塑造东阳未来持续发展新优势</w:t>
      </w:r>
    </w:p>
    <w:p w14:paraId="4F82DB91">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围绕高质量现代化建设目标，谋划好产业发展、创新驱动、品质城市等主要领域的</w:t>
      </w:r>
      <w:r>
        <w:rPr>
          <w:rFonts w:hint="eastAsia" w:ascii="宋体" w:hAnsi="宋体" w:eastAsia="宋体" w:cs="宋体"/>
          <w:color w:val="auto"/>
          <w:sz w:val="24"/>
          <w:szCs w:val="24"/>
          <w:highlight w:val="none"/>
          <w:lang w:val="en-US" w:eastAsia="zh-CN"/>
        </w:rPr>
        <w:t>重大</w:t>
      </w:r>
      <w:r>
        <w:rPr>
          <w:rFonts w:hint="eastAsia" w:ascii="宋体" w:hAnsi="宋体" w:eastAsia="宋体" w:cs="宋体"/>
          <w:color w:val="auto"/>
          <w:sz w:val="24"/>
          <w:szCs w:val="24"/>
          <w:highlight w:val="none"/>
        </w:rPr>
        <w:t>平台载体</w:t>
      </w:r>
      <w:r>
        <w:rPr>
          <w:rFonts w:hint="eastAsia" w:ascii="宋体" w:hAnsi="宋体" w:eastAsia="宋体" w:cs="宋体"/>
          <w:color w:val="auto"/>
          <w:sz w:val="24"/>
          <w:szCs w:val="24"/>
          <w:highlight w:val="none"/>
          <w:lang w:eastAsia="zh-CN"/>
        </w:rPr>
        <w:t>，谋划一批重大</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、一批重大工程、一批重大改革。</w:t>
      </w:r>
    </w:p>
    <w:p w14:paraId="1EF110C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2.要求</w:t>
      </w:r>
    </w:p>
    <w:p w14:paraId="101F0D6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（1）深入调研，认清形势</w:t>
      </w:r>
    </w:p>
    <w:p w14:paraId="1841194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东阳</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十五五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规划基本思路与国家、省级、金华市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十五五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规划要求相衔接，开阔视野，系统全面分析研究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十五五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时期的发展新趋势、新要求。加强规划基本思路调研工作，深入相关部门、各镇</w:t>
      </w:r>
      <w:r>
        <w:rPr>
          <w:rFonts w:hint="eastAsia" w:ascii="宋体" w:hAnsi="宋体" w:cs="宋体"/>
          <w:color w:val="auto"/>
          <w:sz w:val="24"/>
          <w:szCs w:val="24"/>
          <w:highlight w:val="none"/>
          <w:lang w:eastAsia="zh-CN"/>
        </w:rPr>
        <w:t>乡</w:t>
      </w:r>
      <w:r>
        <w:rPr>
          <w:rFonts w:hint="eastAsia" w:ascii="宋体" w:hAnsi="宋体" w:eastAsia="宋体" w:cs="宋体"/>
          <w:color w:val="auto"/>
          <w:sz w:val="24"/>
          <w:szCs w:val="24"/>
          <w:highlight w:val="none"/>
        </w:rPr>
        <w:t>街道进行深入调研，吃透市情。数据准确可靠，采用统计年鉴、公报以及行业管理部门、地方统计数据。</w:t>
      </w:r>
    </w:p>
    <w:p w14:paraId="32A8AEB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（2）深入剖析，体现特色</w:t>
      </w:r>
    </w:p>
    <w:p w14:paraId="66DD1FA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东阳</w:t>
      </w:r>
      <w:r>
        <w:rPr>
          <w:rFonts w:hint="eastAsia" w:ascii="宋体" w:hAnsi="宋体" w:eastAsia="宋体" w:cs="宋体"/>
          <w:color w:val="auto"/>
          <w:sz w:val="24"/>
          <w:szCs w:val="24"/>
          <w:highlight w:val="none"/>
        </w:rPr>
        <w:t>实际，突出基本思路研究的重点，把握关键，明确指导思想，体现地方特色。注重研究的战略性、前瞻性、指导性、特色性和可操作性。</w:t>
      </w:r>
    </w:p>
    <w:p w14:paraId="4348E08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（3）注重质量，反复研究</w:t>
      </w:r>
    </w:p>
    <w:p w14:paraId="73A6FD0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广泛征求各地和部门意见，集思广益，确保如期高质量完成研究工作，形成高质量的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十五五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规划基本思路和规划纲要。</w:t>
      </w:r>
    </w:p>
    <w:p w14:paraId="4F94929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（4）评审确定，保证质量</w:t>
      </w:r>
    </w:p>
    <w:p w14:paraId="593E65E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组织专家对基本思路研究报告、规划纲要进行评审，确保研究质量和水平。</w:t>
      </w:r>
    </w:p>
    <w:p w14:paraId="4E68B61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（5）严格保密，加强管理</w:t>
      </w:r>
    </w:p>
    <w:p w14:paraId="34CAA67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东阳</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十五五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规划基本思路研究、规划纲要由</w:t>
      </w:r>
      <w:r>
        <w:rPr>
          <w:rFonts w:hint="eastAsia" w:ascii="宋体" w:hAnsi="宋体" w:eastAsia="宋体" w:cs="宋体"/>
          <w:color w:val="auto"/>
          <w:sz w:val="24"/>
          <w:szCs w:val="24"/>
          <w:highlight w:val="none"/>
          <w:lang w:eastAsia="zh-CN"/>
        </w:rPr>
        <w:t>东阳</w:t>
      </w:r>
      <w:r>
        <w:rPr>
          <w:rFonts w:hint="eastAsia" w:ascii="宋体" w:hAnsi="宋体" w:eastAsia="宋体" w:cs="宋体"/>
          <w:color w:val="auto"/>
          <w:sz w:val="24"/>
          <w:szCs w:val="24"/>
          <w:highlight w:val="none"/>
        </w:rPr>
        <w:t>市发展和改革局实施归口管理。参与研究的单位和个人要严格执行保密要求，不得擅自对外公布研究过程中的数据、相关成果和相关信息。</w:t>
      </w:r>
    </w:p>
    <w:p w14:paraId="63729468">
      <w:pPr>
        <w:numPr>
          <w:ilvl w:val="0"/>
          <w:numId w:val="0"/>
        </w:numPr>
        <w:spacing w:line="480" w:lineRule="exact"/>
        <w:ind w:firstLine="420" w:firstLineChars="200"/>
        <w:rPr>
          <w:rFonts w:hint="eastAsia" w:ascii="宋体" w:hAnsi="宋体" w:eastAsia="宋体" w:cs="宋体"/>
          <w:bCs/>
          <w:color w:val="auto"/>
          <w:sz w:val="24"/>
          <w:highlight w:val="none"/>
        </w:rPr>
      </w:pPr>
      <w:r>
        <w:rPr>
          <w:rFonts w:hint="eastAsia" w:ascii="宋体" w:hAnsi="宋体" w:eastAsia="宋体" w:cs="宋体"/>
          <w:color w:val="auto"/>
          <w:highlight w:val="none"/>
        </w:rPr>
        <w:t>▲</w:t>
      </w:r>
      <w:r>
        <w:rPr>
          <w:rFonts w:hint="eastAsia" w:ascii="宋体" w:hAnsi="宋体" w:eastAsia="宋体" w:cs="宋体"/>
          <w:b/>
          <w:color w:val="auto"/>
          <w:sz w:val="24"/>
          <w:highlight w:val="none"/>
          <w:lang w:eastAsia="zh-CN"/>
        </w:rPr>
        <w:t>二、</w:t>
      </w:r>
      <w:r>
        <w:rPr>
          <w:rFonts w:hint="eastAsia" w:ascii="宋体" w:hAnsi="宋体" w:eastAsia="宋体" w:cs="宋体"/>
          <w:b/>
          <w:color w:val="auto"/>
          <w:sz w:val="24"/>
          <w:highlight w:val="none"/>
        </w:rPr>
        <w:t>提供的成果</w:t>
      </w:r>
    </w:p>
    <w:p w14:paraId="51D64BF4">
      <w:pPr>
        <w:numPr>
          <w:ilvl w:val="0"/>
          <w:numId w:val="0"/>
        </w:num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规划成果归采购人所有，中标人应向采购人提供如下成果：</w:t>
      </w:r>
    </w:p>
    <w:p w14:paraId="5790A41F">
      <w:pPr>
        <w:numPr>
          <w:ilvl w:val="0"/>
          <w:numId w:val="0"/>
        </w:num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（1）东阳市</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十五五</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规划基本思路研究报告文本、规划纲要文本，需加盖公章。</w:t>
      </w:r>
    </w:p>
    <w:p w14:paraId="359323CD">
      <w:pPr>
        <w:numPr>
          <w:ilvl w:val="0"/>
          <w:numId w:val="0"/>
        </w:numPr>
        <w:spacing w:line="480" w:lineRule="exact"/>
        <w:ind w:firstLine="480" w:firstLineChars="200"/>
        <w:rPr>
          <w:rFonts w:hint="eastAsia" w:ascii="宋体" w:hAnsi="宋体" w:cs="宋体"/>
          <w:bCs/>
          <w:color w:val="auto"/>
          <w:sz w:val="24"/>
          <w:highlight w:val="none"/>
        </w:rPr>
      </w:pPr>
      <w:r>
        <w:rPr>
          <w:rFonts w:hint="eastAsia" w:ascii="宋体" w:hAnsi="宋体" w:eastAsia="宋体" w:cs="宋体"/>
          <w:bCs/>
          <w:color w:val="auto"/>
          <w:sz w:val="24"/>
          <w:highlight w:val="none"/>
        </w:rPr>
        <w:t>（2）东阳市</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十五五</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规划基本思路研究报告、东阳市</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十五五</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规</w:t>
      </w:r>
      <w:r>
        <w:rPr>
          <w:rFonts w:hint="eastAsia" w:ascii="宋体" w:hAnsi="宋体" w:cs="宋体"/>
          <w:bCs/>
          <w:color w:val="auto"/>
          <w:sz w:val="24"/>
          <w:highlight w:val="none"/>
        </w:rPr>
        <w:t>划纲要电子文件，文本文件采用Microsoft word的格式文件，图片采用jpg的格式文件，提供以上电子文件光盘一套。</w:t>
      </w:r>
    </w:p>
    <w:p w14:paraId="77E2EFDD">
      <w:pPr>
        <w:numPr>
          <w:ilvl w:val="0"/>
          <w:numId w:val="0"/>
        </w:numPr>
        <w:spacing w:line="4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（3）基本思路研究、附表及图纸必须清晰完整，同类图纸规格尽量统一。</w:t>
      </w:r>
    </w:p>
    <w:p w14:paraId="3E0FDBC0">
      <w:pPr>
        <w:numPr>
          <w:ilvl w:val="0"/>
          <w:numId w:val="0"/>
        </w:numPr>
        <w:spacing w:line="4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（4）基本思路研究（含中间成果）所使用的文字必须为简体中文。</w:t>
      </w:r>
    </w:p>
    <w:p w14:paraId="7708F5A2">
      <w:pPr>
        <w:numPr>
          <w:ilvl w:val="0"/>
          <w:numId w:val="0"/>
        </w:numPr>
        <w:spacing w:line="480" w:lineRule="exact"/>
        <w:ind w:firstLine="482" w:firstLineChars="200"/>
        <w:outlineLvl w:val="1"/>
        <w:rPr>
          <w:rFonts w:hint="eastAsia" w:ascii="宋体" w:hAnsi="宋体" w:cs="宋体"/>
          <w:b/>
          <w:bCs/>
          <w:color w:val="auto"/>
          <w:sz w:val="24"/>
          <w:highlight w:val="none"/>
        </w:rPr>
      </w:pPr>
      <w:bookmarkStart w:id="87" w:name="_Toc5298"/>
      <w:bookmarkStart w:id="88" w:name="_Toc19863"/>
      <w:bookmarkStart w:id="89" w:name="_Toc1598"/>
      <w:bookmarkStart w:id="90" w:name="_Toc11182"/>
      <w:bookmarkStart w:id="91" w:name="_Toc14733"/>
      <w:bookmarkStart w:id="92" w:name="_Toc23970"/>
      <w:r>
        <w:rPr>
          <w:rFonts w:hint="eastAsia" w:ascii="宋体" w:hAnsi="宋体" w:cs="宋体"/>
          <w:b/>
          <w:bCs/>
          <w:color w:val="auto"/>
          <w:sz w:val="24"/>
          <w:highlight w:val="none"/>
          <w:lang w:eastAsia="zh-CN"/>
        </w:rPr>
        <w:t>三、</w:t>
      </w:r>
      <w:r>
        <w:rPr>
          <w:rFonts w:hint="eastAsia" w:ascii="宋体" w:hAnsi="宋体" w:cs="宋体"/>
          <w:b/>
          <w:bCs/>
          <w:color w:val="auto"/>
          <w:sz w:val="24"/>
          <w:highlight w:val="none"/>
        </w:rPr>
        <w:t>工作要求</w:t>
      </w:r>
      <w:bookmarkEnd w:id="87"/>
      <w:bookmarkEnd w:id="88"/>
      <w:bookmarkEnd w:id="89"/>
    </w:p>
    <w:p w14:paraId="0C48407A">
      <w:pPr>
        <w:spacing w:line="4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1</w:t>
      </w:r>
      <w:r>
        <w:rPr>
          <w:rFonts w:hint="eastAsia" w:ascii="宋体" w:hAnsi="宋体" w:cs="宋体"/>
          <w:bCs/>
          <w:color w:val="auto"/>
          <w:sz w:val="24"/>
          <w:highlight w:val="none"/>
        </w:rPr>
        <w:t>）深入调研，认清形势。做好与国家、省市</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十五五</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规划要求相衔接，开阔视野，系统全面分析研究</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十五五</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时期的发展新趋势、新要求。加强调研工作，深入相关部门、各乡镇街道和产业开发平台进行深入调研，吃透</w:t>
      </w:r>
      <w:r>
        <w:rPr>
          <w:rFonts w:hint="eastAsia" w:ascii="宋体" w:hAnsi="宋体" w:cs="宋体"/>
          <w:bCs/>
          <w:color w:val="auto"/>
          <w:sz w:val="24"/>
          <w:highlight w:val="none"/>
          <w:lang w:eastAsia="zh-CN"/>
        </w:rPr>
        <w:t>市</w:t>
      </w:r>
      <w:r>
        <w:rPr>
          <w:rFonts w:hint="eastAsia" w:ascii="宋体" w:hAnsi="宋体" w:cs="宋体"/>
          <w:bCs/>
          <w:color w:val="auto"/>
          <w:sz w:val="24"/>
          <w:highlight w:val="none"/>
        </w:rPr>
        <w:t>情。数据准确可靠，采用统计年鉴、公报以及行业管理部门、地方统计数据。</w:t>
      </w:r>
    </w:p>
    <w:p w14:paraId="54FC3E15">
      <w:pPr>
        <w:spacing w:line="4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2</w:t>
      </w:r>
      <w:r>
        <w:rPr>
          <w:rFonts w:hint="eastAsia" w:ascii="宋体" w:hAnsi="宋体" w:cs="宋体"/>
          <w:bCs/>
          <w:color w:val="auto"/>
          <w:sz w:val="24"/>
          <w:highlight w:val="none"/>
        </w:rPr>
        <w:t>）深入剖析，体现特色。根据实际，突出重点，把握关键，明确指导思想，体现地方特色。注重</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十五五</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规划的战略性、前瞻性、指导性、特色性和可操作性。</w:t>
      </w:r>
    </w:p>
    <w:p w14:paraId="1088B74A">
      <w:pPr>
        <w:spacing w:line="4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3</w:t>
      </w:r>
      <w:r>
        <w:rPr>
          <w:rFonts w:hint="eastAsia" w:ascii="宋体" w:hAnsi="宋体" w:cs="宋体"/>
          <w:bCs/>
          <w:color w:val="auto"/>
          <w:sz w:val="24"/>
          <w:highlight w:val="none"/>
        </w:rPr>
        <w:t>）注重质量，反复研究。广泛征求各地和部门意见，集思广益，确保如期高质量完成研究和编制工作，形成高质量的</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十五五</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规划成果。</w:t>
      </w:r>
    </w:p>
    <w:p w14:paraId="5B70A56F">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4</w:t>
      </w:r>
      <w:r>
        <w:rPr>
          <w:rFonts w:hint="eastAsia" w:ascii="宋体" w:hAnsi="宋体" w:cs="宋体"/>
          <w:bCs/>
          <w:color w:val="auto"/>
          <w:sz w:val="24"/>
          <w:highlight w:val="none"/>
        </w:rPr>
        <w:t>）评审确定，保证质量。组织专家对</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十五五</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国民经济和社会发展基本思路和国民经济和社会发展第十五个五年规划纲要进行评审，确保研究质量和水平。</w:t>
      </w:r>
    </w:p>
    <w:p w14:paraId="06A95F31">
      <w:pPr>
        <w:spacing w:line="4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5</w:t>
      </w:r>
      <w:r>
        <w:rPr>
          <w:rFonts w:hint="eastAsia" w:ascii="宋体" w:hAnsi="宋体" w:cs="宋体"/>
          <w:bCs/>
          <w:color w:val="auto"/>
          <w:sz w:val="24"/>
          <w:highlight w:val="none"/>
        </w:rPr>
        <w:t>）严格保密，加强管理。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十五五</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国民经济和社会发展基本思路</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国民经济和社会发展第十五个五年规划纲要</w:t>
      </w:r>
      <w:r>
        <w:rPr>
          <w:rFonts w:hint="eastAsia" w:ascii="宋体" w:hAnsi="宋体" w:cs="宋体"/>
          <w:bCs/>
          <w:color w:val="auto"/>
          <w:sz w:val="24"/>
          <w:highlight w:val="none"/>
          <w:lang w:eastAsia="zh-CN"/>
        </w:rPr>
        <w:t>、“十五五”重大建设项目规划</w:t>
      </w:r>
      <w:r>
        <w:rPr>
          <w:rFonts w:hint="eastAsia" w:ascii="宋体" w:hAnsi="宋体" w:cs="宋体"/>
          <w:bCs/>
          <w:color w:val="auto"/>
          <w:sz w:val="24"/>
          <w:highlight w:val="none"/>
        </w:rPr>
        <w:t>由</w:t>
      </w:r>
      <w:r>
        <w:rPr>
          <w:rFonts w:hint="eastAsia" w:ascii="宋体" w:hAnsi="宋体" w:cs="宋体"/>
          <w:bCs/>
          <w:color w:val="auto"/>
          <w:sz w:val="24"/>
          <w:highlight w:val="none"/>
          <w:lang w:eastAsia="zh-CN"/>
        </w:rPr>
        <w:t>东阳市</w:t>
      </w:r>
      <w:r>
        <w:rPr>
          <w:rFonts w:hint="eastAsia" w:ascii="宋体" w:hAnsi="宋体" w:cs="宋体"/>
          <w:bCs/>
          <w:color w:val="auto"/>
          <w:sz w:val="24"/>
          <w:highlight w:val="none"/>
        </w:rPr>
        <w:t>发展和改革局实施归口管理。参与研究的编制的单位和个人要严格执行保密要求，不得擅自对外公布研究和编制过程中的数据、相关成果和相关信息。</w:t>
      </w:r>
    </w:p>
    <w:p w14:paraId="560BD5A2">
      <w:pPr>
        <w:spacing w:line="480" w:lineRule="exact"/>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（6）编制团队定期或不定期向采购人报告和交流工作进展情况，采购人对委托项目进行监督，如发现有违规行为，视情况</w:t>
      </w:r>
      <w:r>
        <w:rPr>
          <w:rFonts w:hint="eastAsia" w:ascii="宋体" w:hAnsi="宋体" w:cs="仿宋_GB2312"/>
          <w:color w:val="auto"/>
          <w:sz w:val="24"/>
          <w:highlight w:val="none"/>
          <w:lang w:eastAsia="zh-CN"/>
        </w:rPr>
        <w:t>做出</w:t>
      </w:r>
      <w:r>
        <w:rPr>
          <w:rFonts w:hint="eastAsia" w:ascii="宋体" w:hAnsi="宋体" w:cs="仿宋_GB2312"/>
          <w:color w:val="auto"/>
          <w:sz w:val="24"/>
          <w:highlight w:val="none"/>
        </w:rPr>
        <w:t>相应处理。</w:t>
      </w:r>
    </w:p>
    <w:p w14:paraId="59371B4C">
      <w:pPr>
        <w:numPr>
          <w:ilvl w:val="0"/>
          <w:numId w:val="0"/>
        </w:numPr>
        <w:spacing w:line="480" w:lineRule="exact"/>
        <w:ind w:left="0" w:leftChars="0" w:firstLine="480" w:firstLineChars="200"/>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仿宋_GB2312"/>
          <w:color w:val="auto"/>
          <w:sz w:val="24"/>
          <w:highlight w:val="none"/>
        </w:rPr>
        <w:t>（7）成交供应商按合同约定的时间向采购人提交研究成果。</w:t>
      </w:r>
    </w:p>
    <w:p w14:paraId="1786D240">
      <w:pPr>
        <w:numPr>
          <w:ilvl w:val="0"/>
          <w:numId w:val="0"/>
        </w:numPr>
        <w:spacing w:line="480" w:lineRule="exact"/>
        <w:ind w:left="0" w:leftChars="0" w:firstLine="482" w:firstLineChars="200"/>
        <w:outlineLvl w:val="1"/>
        <w:rPr>
          <w:rFonts w:hint="eastAsia" w:ascii="宋体" w:hAnsi="宋体" w:eastAsia="宋体" w:cs="宋体"/>
          <w:b/>
          <w:bCs/>
          <w:color w:val="auto"/>
          <w:kern w:val="2"/>
          <w:sz w:val="24"/>
          <w:szCs w:val="24"/>
          <w:highlight w:val="none"/>
          <w:lang w:val="en-US" w:eastAsia="zh-CN" w:bidi="ar-SA"/>
        </w:rPr>
      </w:pPr>
      <w:bookmarkStart w:id="93" w:name="_Toc13641"/>
      <w:bookmarkStart w:id="94" w:name="_Toc15039"/>
      <w:bookmarkStart w:id="95" w:name="_Toc18596"/>
      <w:r>
        <w:rPr>
          <w:rFonts w:hint="eastAsia" w:ascii="宋体" w:hAnsi="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en-US" w:eastAsia="zh-CN" w:bidi="ar-SA"/>
        </w:rPr>
        <w:t>、</w:t>
      </w:r>
      <w:bookmarkEnd w:id="93"/>
      <w:bookmarkEnd w:id="94"/>
      <w:bookmarkEnd w:id="95"/>
      <w:r>
        <w:rPr>
          <w:rFonts w:hint="eastAsia" w:ascii="宋体" w:hAnsi="宋体" w:cs="宋体"/>
          <w:b/>
          <w:bCs/>
          <w:color w:val="auto"/>
          <w:kern w:val="2"/>
          <w:sz w:val="24"/>
          <w:szCs w:val="24"/>
          <w:highlight w:val="none"/>
          <w:lang w:val="en-US" w:eastAsia="zh-CN" w:bidi="ar-SA"/>
        </w:rPr>
        <w:t>项目时</w:t>
      </w:r>
      <w:r>
        <w:rPr>
          <w:rFonts w:hint="eastAsia" w:ascii="宋体" w:hAnsi="宋体" w:eastAsia="宋体" w:cs="宋体"/>
          <w:b/>
          <w:bCs/>
          <w:color w:val="auto"/>
          <w:sz w:val="24"/>
          <w:szCs w:val="24"/>
          <w:highlight w:val="none"/>
          <w:lang w:val="en-US" w:eastAsia="zh-CN"/>
        </w:rPr>
        <w:t>间</w:t>
      </w:r>
    </w:p>
    <w:p w14:paraId="73404440">
      <w:pPr>
        <w:widowControl/>
        <w:tabs>
          <w:tab w:val="left" w:pos="720"/>
        </w:tabs>
        <w:spacing w:line="440" w:lineRule="exact"/>
        <w:ind w:firstLine="480" w:firstLineChars="200"/>
        <w:rPr>
          <w:rFonts w:hint="default" w:ascii="宋体" w:hAnsi="宋体" w:eastAsia="宋体" w:cs="宋体"/>
          <w:color w:val="auto"/>
          <w:sz w:val="24"/>
          <w:szCs w:val="24"/>
          <w:highlight w:val="none"/>
          <w:lang w:val="en-US" w:eastAsia="zh-CN"/>
        </w:rPr>
      </w:pPr>
      <w:bookmarkStart w:id="96" w:name="_Toc12765"/>
      <w:bookmarkStart w:id="97" w:name="_Toc15925"/>
      <w:bookmarkStart w:id="98" w:name="_Toc18722"/>
      <w:r>
        <w:rPr>
          <w:rFonts w:hint="eastAsia" w:ascii="宋体" w:hAnsi="宋体" w:eastAsia="宋体" w:cs="宋体"/>
          <w:color w:val="auto"/>
          <w:sz w:val="24"/>
          <w:szCs w:val="24"/>
          <w:highlight w:val="none"/>
          <w:lang w:val="en-US" w:eastAsia="zh-CN"/>
        </w:rPr>
        <w:t>本次规划计划为期两年。</w:t>
      </w:r>
      <w:r>
        <w:rPr>
          <w:rFonts w:hint="eastAsia" w:ascii="宋体" w:hAnsi="宋体" w:eastAsia="宋体" w:cs="宋体"/>
          <w:color w:val="auto"/>
          <w:sz w:val="24"/>
          <w:szCs w:val="24"/>
          <w:highlight w:val="none"/>
        </w:rPr>
        <w:t>自合同签订之日起</w:t>
      </w:r>
      <w:r>
        <w:rPr>
          <w:rFonts w:hint="eastAsia" w:ascii="宋体" w:hAnsi="宋体" w:cs="宋体"/>
          <w:color w:val="auto"/>
          <w:sz w:val="24"/>
          <w:szCs w:val="24"/>
          <w:highlight w:val="none"/>
          <w:lang w:val="en-US" w:eastAsia="zh-CN"/>
        </w:rPr>
        <w:t>一周</w:t>
      </w:r>
      <w:r>
        <w:rPr>
          <w:rFonts w:hint="eastAsia" w:ascii="宋体" w:hAnsi="宋体" w:eastAsia="宋体" w:cs="宋体"/>
          <w:color w:val="auto"/>
          <w:sz w:val="24"/>
          <w:szCs w:val="24"/>
          <w:highlight w:val="none"/>
        </w:rPr>
        <w:t>内起草形成基本思路研究初稿。征求专家学者、企业家、老同志、市级有关部门意见，听取各镇乡街道建议后，</w:t>
      </w:r>
      <w:r>
        <w:rPr>
          <w:rFonts w:hint="eastAsia" w:ascii="宋体" w:hAnsi="宋体" w:cs="宋体"/>
          <w:color w:val="auto"/>
          <w:sz w:val="24"/>
          <w:szCs w:val="24"/>
          <w:highlight w:val="none"/>
          <w:lang w:eastAsia="zh-CN"/>
        </w:rPr>
        <w:t>一周内</w:t>
      </w:r>
      <w:r>
        <w:rPr>
          <w:rFonts w:hint="eastAsia" w:ascii="宋体" w:hAnsi="宋体" w:eastAsia="宋体" w:cs="宋体"/>
          <w:color w:val="auto"/>
          <w:sz w:val="24"/>
          <w:szCs w:val="24"/>
          <w:highlight w:val="none"/>
        </w:rPr>
        <w:t>形成送审稿。按照甲方要求安排组织专家评审会</w:t>
      </w:r>
      <w:r>
        <w:rPr>
          <w:rFonts w:hint="eastAsia" w:ascii="宋体" w:hAnsi="宋体" w:cs="宋体"/>
          <w:color w:val="auto"/>
          <w:sz w:val="24"/>
          <w:szCs w:val="24"/>
          <w:highlight w:val="none"/>
          <w:lang w:eastAsia="zh-CN"/>
        </w:rPr>
        <w:t>验收</w:t>
      </w:r>
      <w:r>
        <w:rPr>
          <w:rFonts w:hint="eastAsia" w:ascii="宋体" w:hAnsi="宋体" w:eastAsia="宋体" w:cs="宋体"/>
          <w:color w:val="auto"/>
          <w:sz w:val="24"/>
          <w:szCs w:val="24"/>
          <w:highlight w:val="none"/>
        </w:rPr>
        <w:t>，验收专家由甲方组织邀请；</w:t>
      </w:r>
      <w:r>
        <w:rPr>
          <w:rFonts w:hint="eastAsia" w:ascii="宋体" w:hAnsi="宋体" w:cs="宋体"/>
          <w:color w:val="auto"/>
          <w:sz w:val="24"/>
          <w:szCs w:val="24"/>
          <w:highlight w:val="none"/>
          <w:lang w:eastAsia="zh-CN"/>
        </w:rPr>
        <w:t>思路和纲要研究成果验收时，由采购人组织整体项目验收，如果验收不达标并且在约定修改时间</w:t>
      </w:r>
      <w:r>
        <w:rPr>
          <w:rFonts w:hint="eastAsia" w:ascii="宋体" w:hAnsi="宋体" w:cs="宋体"/>
          <w:color w:val="auto"/>
          <w:sz w:val="24"/>
          <w:szCs w:val="24"/>
          <w:highlight w:val="none"/>
          <w:lang w:val="en-US" w:eastAsia="zh-CN"/>
        </w:rPr>
        <w:t>10天内仍然无法达到要求的，视为中标人虚假应标或无能力提供本项目采购服务</w:t>
      </w:r>
      <w:r>
        <w:rPr>
          <w:rFonts w:hint="eastAsia" w:ascii="宋体" w:hAnsi="宋体" w:cs="宋体"/>
          <w:b w:val="0"/>
          <w:bCs w:val="0"/>
          <w:color w:val="auto"/>
          <w:sz w:val="24"/>
          <w:szCs w:val="24"/>
          <w:highlight w:val="none"/>
          <w:lang w:val="en-US" w:eastAsia="zh-CN"/>
        </w:rPr>
        <w:t>，采购人有权立即解除合同和取消中标人资格。</w:t>
      </w:r>
      <w:r>
        <w:rPr>
          <w:rFonts w:hint="eastAsia" w:ascii="宋体" w:hAnsi="宋体" w:cs="宋体"/>
          <w:color w:val="auto"/>
          <w:sz w:val="24"/>
          <w:szCs w:val="24"/>
          <w:highlight w:val="none"/>
          <w:lang w:val="en-US" w:eastAsia="zh-CN"/>
        </w:rPr>
        <w:t>验收过程产生费用由中标人负责。</w:t>
      </w:r>
      <w:r>
        <w:rPr>
          <w:rFonts w:hint="eastAsia" w:ascii="宋体" w:hAnsi="宋体" w:eastAsia="宋体" w:cs="宋体"/>
          <w:color w:val="auto"/>
          <w:sz w:val="24"/>
          <w:szCs w:val="24"/>
          <w:highlight w:val="none"/>
        </w:rPr>
        <w:t>乙方根据专家验收意见修改完善后于</w:t>
      </w:r>
      <w:r>
        <w:rPr>
          <w:rFonts w:hint="eastAsia" w:ascii="宋体" w:hAnsi="宋体" w:cs="宋体"/>
          <w:color w:val="auto"/>
          <w:sz w:val="24"/>
          <w:szCs w:val="24"/>
          <w:highlight w:val="none"/>
          <w:lang w:val="en-US" w:eastAsia="zh-CN"/>
        </w:rPr>
        <w:t>2025年</w:t>
      </w:r>
      <w:r>
        <w:rPr>
          <w:rFonts w:hint="eastAsia" w:ascii="宋体" w:hAnsi="宋体" w:eastAsia="宋体" w:cs="宋体"/>
          <w:color w:val="auto"/>
          <w:sz w:val="24"/>
          <w:szCs w:val="24"/>
          <w:highlight w:val="none"/>
        </w:rPr>
        <w:t>1月底形成研究成果，并上报市委市政府审议。根据审议意见，乙方按时完成基本思路研究报告的修改、补充和完善，提交最终成果。</w:t>
      </w:r>
    </w:p>
    <w:p w14:paraId="75207A21">
      <w:pPr>
        <w:widowControl/>
        <w:tabs>
          <w:tab w:val="left" w:pos="720"/>
        </w:tabs>
        <w:spacing w:line="440" w:lineRule="exact"/>
        <w:ind w:firstLine="480" w:firstLineChars="200"/>
        <w:rPr>
          <w:color w:val="auto"/>
          <w:highlight w:val="none"/>
        </w:rPr>
      </w:pPr>
      <w:r>
        <w:rPr>
          <w:rFonts w:hint="eastAsia" w:ascii="宋体" w:hAnsi="宋体" w:eastAsia="宋体" w:cs="宋体"/>
          <w:color w:val="auto"/>
          <w:sz w:val="24"/>
          <w:szCs w:val="24"/>
          <w:highlight w:val="none"/>
        </w:rPr>
        <w:t>2025年5月底前，乙方需提交规划纲要框架，9月底前完成规划纲要征求意见稿，在征求各有关部门、人大代表、政协委员和专家意见后，进行修改完善，12月形成规划纲要审议稿，2026年初将由甲方提交市人代会审议。根据审议意见，乙方要及时完成规划纲要的修改和补充，提交最终成果。</w:t>
      </w:r>
    </w:p>
    <w:p w14:paraId="212ED8A9">
      <w:pPr>
        <w:numPr>
          <w:ilvl w:val="0"/>
          <w:numId w:val="0"/>
        </w:numPr>
        <w:spacing w:line="480" w:lineRule="exact"/>
        <w:ind w:left="0" w:leftChars="0" w:firstLine="482" w:firstLineChars="200"/>
        <w:outlineLvl w:val="1"/>
        <w:rPr>
          <w:rFonts w:hint="eastAsia" w:ascii="宋体" w:hAnsi="宋体" w:cs="宋体"/>
          <w:b/>
          <w:bCs/>
          <w:color w:val="auto"/>
          <w:sz w:val="24"/>
          <w:szCs w:val="24"/>
          <w:highlight w:val="none"/>
        </w:rPr>
      </w:pPr>
      <w:r>
        <w:rPr>
          <w:rFonts w:hint="eastAsia" w:ascii="宋体" w:hAnsi="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en-US" w:eastAsia="zh-CN" w:bidi="ar-SA"/>
        </w:rPr>
        <w:t>、</w:t>
      </w:r>
      <w:bookmarkEnd w:id="90"/>
      <w:bookmarkEnd w:id="91"/>
      <w:bookmarkEnd w:id="92"/>
      <w:bookmarkStart w:id="99" w:name="_Toc15757"/>
      <w:bookmarkStart w:id="100" w:name="_Toc9330"/>
      <w:bookmarkStart w:id="101" w:name="_Toc8590"/>
      <w:r>
        <w:rPr>
          <w:rFonts w:hint="eastAsia" w:ascii="宋体" w:hAnsi="宋体" w:cs="宋体"/>
          <w:b/>
          <w:bCs/>
          <w:color w:val="auto"/>
          <w:sz w:val="24"/>
          <w:szCs w:val="24"/>
          <w:highlight w:val="none"/>
        </w:rPr>
        <w:t>团队要求</w:t>
      </w:r>
      <w:bookmarkEnd w:id="96"/>
      <w:bookmarkEnd w:id="97"/>
      <w:bookmarkEnd w:id="98"/>
      <w:bookmarkEnd w:id="99"/>
      <w:bookmarkEnd w:id="100"/>
      <w:bookmarkEnd w:id="101"/>
    </w:p>
    <w:p w14:paraId="4A5789B0">
      <w:pPr>
        <w:spacing w:line="480" w:lineRule="exact"/>
        <w:ind w:firstLine="480" w:firstLineChars="200"/>
        <w:rPr>
          <w:rFonts w:ascii="宋体" w:hAnsi="宋体" w:cs="仿宋_GB2312"/>
          <w:color w:val="auto"/>
          <w:sz w:val="24"/>
          <w:highlight w:val="none"/>
        </w:rPr>
      </w:pPr>
      <w:bookmarkStart w:id="102" w:name="_Toc509575710"/>
      <w:bookmarkStart w:id="103" w:name="_Toc448995966"/>
      <w:bookmarkStart w:id="104" w:name="_Toc8814710"/>
      <w:bookmarkStart w:id="105" w:name="_Toc30191"/>
      <w:bookmarkStart w:id="106" w:name="_Toc484780867"/>
      <w:bookmarkStart w:id="107" w:name="_Toc20737"/>
      <w:bookmarkStart w:id="108" w:name="_Toc8784"/>
      <w:bookmarkStart w:id="109" w:name="_Toc10453"/>
      <w:r>
        <w:rPr>
          <w:rFonts w:hint="eastAsia" w:ascii="宋体" w:hAnsi="宋体" w:cs="仿宋_GB2312"/>
          <w:color w:val="auto"/>
          <w:sz w:val="24"/>
          <w:highlight w:val="none"/>
        </w:rPr>
        <w:t>（1）供应商需针对</w:t>
      </w:r>
      <w:r>
        <w:rPr>
          <w:rFonts w:hint="eastAsia" w:ascii="宋体" w:hAnsi="宋体" w:cs="仿宋_GB2312"/>
          <w:bCs w:val="0"/>
          <w:color w:val="auto"/>
          <w:sz w:val="24"/>
          <w:highlight w:val="none"/>
          <w:lang w:eastAsia="zh-CN"/>
        </w:rPr>
        <w:t>“</w:t>
      </w:r>
      <w:r>
        <w:rPr>
          <w:rFonts w:hint="eastAsia" w:ascii="宋体" w:hAnsi="宋体" w:cs="仿宋_GB2312"/>
          <w:bCs w:val="0"/>
          <w:color w:val="auto"/>
          <w:sz w:val="24"/>
          <w:highlight w:val="none"/>
        </w:rPr>
        <w:t>十五五</w:t>
      </w:r>
      <w:r>
        <w:rPr>
          <w:rFonts w:hint="eastAsia" w:ascii="宋体" w:hAnsi="宋体" w:cs="仿宋_GB2312"/>
          <w:bCs w:val="0"/>
          <w:color w:val="auto"/>
          <w:sz w:val="24"/>
          <w:highlight w:val="none"/>
          <w:lang w:eastAsia="zh-CN"/>
        </w:rPr>
        <w:t>”</w:t>
      </w:r>
      <w:r>
        <w:rPr>
          <w:rFonts w:hint="eastAsia" w:ascii="宋体" w:hAnsi="宋体" w:cs="仿宋_GB2312"/>
          <w:bCs w:val="0"/>
          <w:color w:val="auto"/>
          <w:sz w:val="24"/>
          <w:highlight w:val="none"/>
        </w:rPr>
        <w:t>国民经济和社会发展基本思路、国民经济和社会发展第十五个五年规</w:t>
      </w:r>
      <w:r>
        <w:rPr>
          <w:rFonts w:hint="eastAsia" w:ascii="宋体" w:hAnsi="宋体" w:cs="宋体"/>
          <w:bCs/>
          <w:color w:val="auto"/>
          <w:sz w:val="24"/>
          <w:highlight w:val="none"/>
        </w:rPr>
        <w:t>划纲要</w:t>
      </w:r>
      <w:r>
        <w:rPr>
          <w:rFonts w:hint="eastAsia" w:ascii="宋体" w:hAnsi="宋体" w:cs="宋体"/>
          <w:bCs/>
          <w:color w:val="auto"/>
          <w:sz w:val="24"/>
          <w:highlight w:val="none"/>
          <w:lang w:eastAsia="zh-CN"/>
        </w:rPr>
        <w:t>、“十五五”重大建设项目规划</w:t>
      </w:r>
      <w:r>
        <w:rPr>
          <w:rFonts w:hint="eastAsia" w:ascii="宋体" w:hAnsi="宋体" w:cs="仿宋_GB2312"/>
          <w:color w:val="auto"/>
          <w:sz w:val="24"/>
          <w:highlight w:val="none"/>
        </w:rPr>
        <w:t>编制的需要组成编制团队，做到理论工作者与实际工作者、行业领导与领域专家学者的优化组合。</w:t>
      </w:r>
    </w:p>
    <w:p w14:paraId="0EA68622">
      <w:pPr>
        <w:spacing w:line="480" w:lineRule="exac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（2）对</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十五五</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国民经济和社会发展基本思路、国民经济和社会发展第十五个五年规划纲要</w:t>
      </w:r>
      <w:r>
        <w:rPr>
          <w:rFonts w:hint="eastAsia" w:ascii="宋体" w:hAnsi="宋体" w:cs="宋体"/>
          <w:bCs/>
          <w:color w:val="auto"/>
          <w:sz w:val="24"/>
          <w:highlight w:val="none"/>
          <w:lang w:eastAsia="zh-CN"/>
        </w:rPr>
        <w:t>、“十五五”重大建设项目规划</w:t>
      </w:r>
      <w:r>
        <w:rPr>
          <w:rFonts w:hint="eastAsia" w:ascii="宋体" w:hAnsi="宋体" w:cs="仿宋_GB2312"/>
          <w:color w:val="auto"/>
          <w:sz w:val="24"/>
          <w:highlight w:val="none"/>
        </w:rPr>
        <w:t>编制研究团队需具有强大的技术力量和规划编制的丰富经历。</w:t>
      </w:r>
      <w:bookmarkEnd w:id="102"/>
      <w:bookmarkEnd w:id="103"/>
      <w:bookmarkEnd w:id="104"/>
      <w:bookmarkEnd w:id="105"/>
      <w:bookmarkEnd w:id="106"/>
    </w:p>
    <w:p w14:paraId="4995C40D">
      <w:pPr>
        <w:numPr>
          <w:ilvl w:val="0"/>
          <w:numId w:val="0"/>
        </w:numPr>
        <w:spacing w:line="480" w:lineRule="exact"/>
        <w:ind w:firstLine="482" w:firstLineChars="200"/>
        <w:outlineLvl w:val="1"/>
        <w:rPr>
          <w:rFonts w:hint="eastAsia" w:ascii="宋体" w:hAnsi="宋体" w:cs="宋体"/>
          <w:b/>
          <w:bCs/>
          <w:color w:val="auto"/>
          <w:sz w:val="24"/>
          <w:highlight w:val="none"/>
        </w:rPr>
      </w:pPr>
      <w:bookmarkStart w:id="110" w:name="_Toc7751"/>
      <w:bookmarkStart w:id="111" w:name="_Toc18094"/>
      <w:bookmarkStart w:id="112" w:name="_Toc19152"/>
      <w:r>
        <w:rPr>
          <w:rFonts w:hint="eastAsia" w:ascii="宋体" w:hAnsi="宋体" w:cs="宋体"/>
          <w:b/>
          <w:color w:val="auto"/>
          <w:kern w:val="2"/>
          <w:sz w:val="24"/>
          <w:szCs w:val="22"/>
          <w:highlight w:val="none"/>
          <w:lang w:val="en-US" w:eastAsia="zh-CN" w:bidi="ar-SA"/>
        </w:rPr>
        <w:t>六、</w:t>
      </w:r>
      <w:r>
        <w:rPr>
          <w:rFonts w:hint="eastAsia" w:ascii="宋体" w:hAnsi="宋体"/>
          <w:b/>
          <w:bCs/>
          <w:color w:val="auto"/>
          <w:sz w:val="24"/>
          <w:highlight w:val="none"/>
        </w:rPr>
        <w:t>技术情报和资料的保密</w:t>
      </w:r>
      <w:bookmarkEnd w:id="110"/>
      <w:bookmarkEnd w:id="111"/>
      <w:bookmarkEnd w:id="112"/>
    </w:p>
    <w:p w14:paraId="56F6C0B0">
      <w:pPr>
        <w:spacing w:line="480" w:lineRule="exac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（1）对采购人提供的文件、报告等技术资料保密；</w:t>
      </w:r>
    </w:p>
    <w:p w14:paraId="30BA4C05">
      <w:pPr>
        <w:spacing w:line="480" w:lineRule="exac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（2）提供给采购人的报告未经同意不得向第三方提供。</w:t>
      </w:r>
    </w:p>
    <w:p w14:paraId="736968CC">
      <w:pPr>
        <w:spacing w:line="480" w:lineRule="exact"/>
        <w:ind w:firstLine="482" w:firstLineChars="200"/>
        <w:outlineLvl w:val="1"/>
        <w:rPr>
          <w:rFonts w:ascii="宋体" w:hAnsi="宋体" w:cs="宋体"/>
          <w:b/>
          <w:bCs/>
          <w:color w:val="auto"/>
          <w:sz w:val="24"/>
          <w:highlight w:val="none"/>
        </w:rPr>
      </w:pPr>
      <w:bookmarkStart w:id="113" w:name="_Toc5365"/>
      <w:bookmarkStart w:id="114" w:name="_Toc7406"/>
      <w:bookmarkStart w:id="115" w:name="_Toc4226"/>
      <w:r>
        <w:rPr>
          <w:rFonts w:hint="eastAsia" w:ascii="宋体" w:hAnsi="宋体" w:cs="宋体"/>
          <w:b/>
          <w:color w:val="auto"/>
          <w:kern w:val="2"/>
          <w:sz w:val="24"/>
          <w:szCs w:val="22"/>
          <w:highlight w:val="none"/>
          <w:lang w:val="en-US" w:eastAsia="zh-CN" w:bidi="ar-SA"/>
        </w:rPr>
        <w:t>七</w:t>
      </w:r>
      <w:r>
        <w:rPr>
          <w:rFonts w:hint="default" w:ascii="宋体" w:hAnsi="宋体" w:eastAsia="宋体" w:cs="宋体"/>
          <w:b/>
          <w:color w:val="auto"/>
          <w:kern w:val="2"/>
          <w:sz w:val="24"/>
          <w:szCs w:val="22"/>
          <w:highlight w:val="none"/>
          <w:lang w:val="en-US" w:eastAsia="zh-CN" w:bidi="ar-SA"/>
        </w:rPr>
        <w:t>、</w:t>
      </w:r>
      <w:bookmarkEnd w:id="107"/>
      <w:bookmarkEnd w:id="108"/>
      <w:bookmarkEnd w:id="109"/>
      <w:r>
        <w:rPr>
          <w:rFonts w:hint="eastAsia" w:ascii="宋体" w:hAnsi="宋体" w:cs="宋体"/>
          <w:b/>
          <w:bCs/>
          <w:color w:val="auto"/>
          <w:sz w:val="24"/>
          <w:highlight w:val="none"/>
        </w:rPr>
        <w:t>验收标准</w:t>
      </w:r>
      <w:bookmarkEnd w:id="113"/>
      <w:bookmarkEnd w:id="114"/>
      <w:bookmarkEnd w:id="115"/>
    </w:p>
    <w:p w14:paraId="39BFB596">
      <w:pPr>
        <w:spacing w:line="480" w:lineRule="exact"/>
        <w:ind w:firstLine="480" w:firstLineChars="200"/>
        <w:rPr>
          <w:rFonts w:hint="eastAsia" w:ascii="宋体" w:hAnsi="宋体" w:cs="宋体"/>
          <w:color w:val="auto"/>
          <w:sz w:val="24"/>
          <w:highlight w:val="none"/>
          <w:lang w:eastAsia="zh-CN"/>
        </w:rPr>
      </w:pP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十五五</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规划纲要通过</w:t>
      </w:r>
      <w:r>
        <w:rPr>
          <w:rFonts w:hint="eastAsia" w:ascii="宋体" w:hAnsi="宋体" w:cs="仿宋_GB2312"/>
          <w:color w:val="auto"/>
          <w:sz w:val="24"/>
          <w:highlight w:val="none"/>
          <w:lang w:eastAsia="zh-CN"/>
        </w:rPr>
        <w:t>东阳</w:t>
      </w:r>
      <w:r>
        <w:rPr>
          <w:rFonts w:hint="eastAsia" w:ascii="宋体" w:hAnsi="宋体" w:cs="仿宋_GB2312"/>
          <w:color w:val="auto"/>
          <w:sz w:val="24"/>
          <w:szCs w:val="24"/>
          <w:highlight w:val="none"/>
        </w:rPr>
        <w:t>市人代会</w:t>
      </w:r>
      <w:r>
        <w:rPr>
          <w:rFonts w:hint="eastAsia" w:ascii="宋体" w:hAnsi="宋体" w:cs="仿宋_GB2312"/>
          <w:color w:val="auto"/>
          <w:sz w:val="24"/>
          <w:highlight w:val="none"/>
        </w:rPr>
        <w:t>的审议即视</w:t>
      </w:r>
      <w:r>
        <w:rPr>
          <w:rFonts w:hint="eastAsia" w:ascii="宋体" w:hAnsi="宋体"/>
          <w:color w:val="auto"/>
          <w:sz w:val="24"/>
          <w:highlight w:val="none"/>
        </w:rPr>
        <w:t>为项目完成。</w:t>
      </w:r>
    </w:p>
    <w:p w14:paraId="6DAD7D82">
      <w:pPr>
        <w:spacing w:line="480" w:lineRule="exact"/>
        <w:ind w:firstLine="482" w:firstLineChars="200"/>
        <w:outlineLvl w:val="1"/>
        <w:rPr>
          <w:rFonts w:hint="eastAsia" w:ascii="宋体" w:hAnsi="宋体" w:cs="宋体"/>
          <w:b/>
          <w:bCs/>
          <w:color w:val="auto"/>
          <w:sz w:val="24"/>
          <w:highlight w:val="none"/>
        </w:rPr>
      </w:pPr>
      <w:bookmarkStart w:id="116" w:name="_Toc16077"/>
      <w:bookmarkStart w:id="117" w:name="_Toc11131"/>
      <w:bookmarkStart w:id="118" w:name="_Toc24789"/>
      <w:bookmarkStart w:id="119" w:name="_Toc29041"/>
      <w:bookmarkStart w:id="120" w:name="_Toc23936"/>
      <w:bookmarkStart w:id="121" w:name="_Toc31099"/>
      <w:r>
        <w:rPr>
          <w:rFonts w:hint="eastAsia" w:ascii="宋体" w:hAnsi="宋体" w:cs="宋体"/>
          <w:b/>
          <w:color w:val="auto"/>
          <w:kern w:val="2"/>
          <w:sz w:val="24"/>
          <w:szCs w:val="22"/>
          <w:highlight w:val="none"/>
          <w:lang w:val="en-US" w:eastAsia="zh-CN" w:bidi="ar-SA"/>
        </w:rPr>
        <w:t>八</w:t>
      </w:r>
      <w:r>
        <w:rPr>
          <w:rFonts w:hint="default" w:ascii="宋体" w:hAnsi="宋体" w:eastAsia="宋体" w:cs="宋体"/>
          <w:b/>
          <w:color w:val="auto"/>
          <w:kern w:val="2"/>
          <w:sz w:val="24"/>
          <w:szCs w:val="22"/>
          <w:highlight w:val="none"/>
          <w:lang w:val="en-US" w:eastAsia="zh-CN" w:bidi="ar-SA"/>
        </w:rPr>
        <w:t>、</w:t>
      </w:r>
      <w:r>
        <w:rPr>
          <w:rFonts w:hint="eastAsia" w:ascii="宋体" w:hAnsi="宋体" w:cs="宋体"/>
          <w:b/>
          <w:bCs/>
          <w:color w:val="auto"/>
          <w:sz w:val="24"/>
          <w:highlight w:val="none"/>
        </w:rPr>
        <w:t>其他要求</w:t>
      </w:r>
      <w:bookmarkEnd w:id="116"/>
      <w:bookmarkEnd w:id="117"/>
      <w:bookmarkEnd w:id="118"/>
    </w:p>
    <w:p w14:paraId="7532B471">
      <w:pPr>
        <w:spacing w:line="480" w:lineRule="exac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（1）质量标准：文件符合国家规定的质量标准、深度要求和现行技术规范、规程要求。</w:t>
      </w:r>
    </w:p>
    <w:p w14:paraId="151E6F8A">
      <w:pPr>
        <w:numPr>
          <w:ilvl w:val="-1"/>
          <w:numId w:val="0"/>
        </w:numPr>
        <w:spacing w:line="480" w:lineRule="exact"/>
        <w:ind w:left="0" w:leftChars="0" w:firstLine="480" w:firstLineChars="200"/>
        <w:outlineLvl w:val="9"/>
        <w:rPr>
          <w:rFonts w:hint="default" w:ascii="宋体" w:hAnsi="宋体" w:eastAsia="宋体" w:cs="宋体"/>
          <w:b/>
          <w:color w:val="auto"/>
          <w:kern w:val="2"/>
          <w:sz w:val="24"/>
          <w:szCs w:val="22"/>
          <w:highlight w:val="none"/>
          <w:lang w:val="en-US" w:eastAsia="zh-CN" w:bidi="ar-SA"/>
        </w:rPr>
      </w:pPr>
      <w:r>
        <w:rPr>
          <w:rFonts w:hint="eastAsia" w:ascii="宋体" w:hAnsi="宋体" w:cs="仿宋_GB2312"/>
          <w:color w:val="auto"/>
          <w:sz w:val="24"/>
          <w:highlight w:val="none"/>
        </w:rPr>
        <w:t>（2）售后服务和技术支持要求：项目完成后中标人须免费提供后期服务（咨询、解释、分析等）。</w:t>
      </w:r>
    </w:p>
    <w:p w14:paraId="162A3A0B">
      <w:pPr>
        <w:spacing w:line="480" w:lineRule="exact"/>
        <w:ind w:firstLine="482" w:firstLineChars="200"/>
        <w:outlineLvl w:val="1"/>
        <w:rPr>
          <w:rFonts w:hint="eastAsia" w:ascii="宋体" w:hAnsi="宋体" w:eastAsia="宋体" w:cs="宋体"/>
          <w:b/>
          <w:color w:val="auto"/>
          <w:kern w:val="2"/>
          <w:sz w:val="24"/>
          <w:szCs w:val="22"/>
          <w:highlight w:val="none"/>
          <w:lang w:val="en-US" w:eastAsia="zh-CN" w:bidi="ar-SA"/>
        </w:rPr>
      </w:pPr>
      <w:bookmarkStart w:id="122" w:name="_Toc16446"/>
      <w:bookmarkStart w:id="123" w:name="_Toc32088"/>
      <w:bookmarkStart w:id="124" w:name="_Toc1773"/>
      <w:r>
        <w:rPr>
          <w:rFonts w:hint="eastAsia" w:ascii="宋体" w:hAnsi="宋体" w:cs="宋体"/>
          <w:b/>
          <w:color w:val="auto"/>
          <w:kern w:val="2"/>
          <w:sz w:val="24"/>
          <w:szCs w:val="22"/>
          <w:highlight w:val="none"/>
          <w:lang w:val="en-US" w:eastAsia="zh-CN" w:bidi="ar-SA"/>
        </w:rPr>
        <w:t>九</w:t>
      </w:r>
      <w:r>
        <w:rPr>
          <w:rFonts w:hint="eastAsia" w:ascii="宋体" w:hAnsi="宋体" w:eastAsia="宋体" w:cs="宋体"/>
          <w:b/>
          <w:color w:val="auto"/>
          <w:kern w:val="2"/>
          <w:sz w:val="24"/>
          <w:szCs w:val="22"/>
          <w:highlight w:val="none"/>
          <w:lang w:val="en-US" w:eastAsia="zh-CN" w:bidi="ar-SA"/>
        </w:rPr>
        <w:t>、付款要求</w:t>
      </w:r>
      <w:bookmarkEnd w:id="119"/>
      <w:bookmarkEnd w:id="120"/>
      <w:bookmarkEnd w:id="121"/>
      <w:bookmarkEnd w:id="122"/>
      <w:bookmarkEnd w:id="123"/>
      <w:bookmarkEnd w:id="124"/>
    </w:p>
    <w:p w14:paraId="4B9683A0">
      <w:pPr>
        <w:spacing w:line="480" w:lineRule="exact"/>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1.</w:t>
      </w:r>
      <w:r>
        <w:rPr>
          <w:rFonts w:hint="eastAsia" w:ascii="宋体" w:hAnsi="宋体" w:eastAsia="宋体" w:cs="宋体"/>
          <w:color w:val="auto"/>
          <w:sz w:val="24"/>
          <w:highlight w:val="none"/>
          <w:lang w:val="en-US" w:eastAsia="zh-CN"/>
        </w:rPr>
        <w:t>签订合同以及具备付款条件后7个工作日内采购人支付</w:t>
      </w:r>
      <w:r>
        <w:rPr>
          <w:rFonts w:hint="eastAsia" w:ascii="宋体" w:hAnsi="宋体" w:eastAsia="宋体" w:cs="仿宋_GB2312"/>
          <w:color w:val="auto"/>
          <w:sz w:val="24"/>
          <w:highlight w:val="none"/>
        </w:rPr>
        <w:t>总价的</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0%（采购人根据项目特点、供应商诚信等因素，可以要求中标人提交预付款保函）</w:t>
      </w:r>
      <w:r>
        <w:rPr>
          <w:rFonts w:hint="eastAsia" w:ascii="宋体" w:hAnsi="宋体" w:cs="宋体"/>
          <w:color w:val="auto"/>
          <w:sz w:val="24"/>
          <w:highlight w:val="none"/>
          <w:lang w:val="en-US" w:eastAsia="zh-CN"/>
        </w:rPr>
        <w:t>，在签订合同时，乙方明确表示无需预付款或者主动要求降低预付款比例的，甲方可不支付或减少预付款支付比例；</w:t>
      </w:r>
    </w:p>
    <w:p w14:paraId="7832EB0A">
      <w:pPr>
        <w:spacing w:line="480" w:lineRule="exact"/>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2.</w:t>
      </w:r>
      <w:r>
        <w:rPr>
          <w:rFonts w:hint="eastAsia" w:ascii="宋体" w:hAnsi="宋体" w:eastAsia="宋体" w:cs="仿宋_GB2312"/>
          <w:color w:val="auto"/>
          <w:sz w:val="24"/>
          <w:highlight w:val="none"/>
        </w:rPr>
        <w:t>提交</w:t>
      </w:r>
      <w:r>
        <w:rPr>
          <w:rFonts w:hint="eastAsia" w:ascii="宋体" w:hAnsi="宋体" w:eastAsia="宋体" w:cs="仿宋_GB2312"/>
          <w:color w:val="auto"/>
          <w:sz w:val="24"/>
          <w:highlight w:val="none"/>
          <w:lang w:val="en-US" w:eastAsia="zh-CN"/>
        </w:rPr>
        <w:t>思路送审</w:t>
      </w:r>
      <w:r>
        <w:rPr>
          <w:rFonts w:hint="eastAsia" w:ascii="宋体" w:hAnsi="宋体" w:eastAsia="宋体" w:cs="仿宋_GB2312"/>
          <w:color w:val="auto"/>
          <w:sz w:val="24"/>
          <w:highlight w:val="none"/>
        </w:rPr>
        <w:t>稿后并收到乙方正式纸质发票之日起</w:t>
      </w:r>
      <w:r>
        <w:rPr>
          <w:rFonts w:hint="eastAsia" w:ascii="宋体" w:hAnsi="宋体" w:eastAsia="宋体" w:cs="仿宋_GB2312"/>
          <w:color w:val="auto"/>
          <w:sz w:val="24"/>
          <w:highlight w:val="none"/>
          <w:lang w:val="en-US" w:eastAsia="zh-CN"/>
        </w:rPr>
        <w:t>7</w:t>
      </w:r>
      <w:r>
        <w:rPr>
          <w:rFonts w:hint="eastAsia" w:ascii="宋体" w:hAnsi="宋体" w:eastAsia="宋体" w:cs="仿宋_GB2312"/>
          <w:color w:val="auto"/>
          <w:sz w:val="24"/>
          <w:highlight w:val="none"/>
        </w:rPr>
        <w:t>个工作日内，支付总价的</w:t>
      </w:r>
      <w:r>
        <w:rPr>
          <w:rFonts w:hint="eastAsia" w:ascii="宋体" w:hAnsi="宋体" w:eastAsia="宋体" w:cs="仿宋_GB2312"/>
          <w:color w:val="auto"/>
          <w:sz w:val="24"/>
          <w:highlight w:val="none"/>
          <w:lang w:val="en-US" w:eastAsia="zh-CN"/>
        </w:rPr>
        <w:t>3</w:t>
      </w:r>
      <w:r>
        <w:rPr>
          <w:rFonts w:hint="eastAsia" w:ascii="宋体" w:hAnsi="宋体" w:cs="仿宋_GB2312"/>
          <w:color w:val="auto"/>
          <w:sz w:val="24"/>
          <w:highlight w:val="none"/>
          <w:lang w:val="en-US" w:eastAsia="zh-CN"/>
        </w:rPr>
        <w:t>0</w:t>
      </w:r>
      <w:r>
        <w:rPr>
          <w:rFonts w:hint="eastAsia" w:ascii="宋体" w:hAnsi="宋体" w:eastAsia="宋体" w:cs="仿宋_GB2312"/>
          <w:color w:val="auto"/>
          <w:sz w:val="24"/>
          <w:highlight w:val="none"/>
        </w:rPr>
        <w:t>%；</w:t>
      </w:r>
    </w:p>
    <w:p w14:paraId="030BD218">
      <w:pPr>
        <w:spacing w:line="480" w:lineRule="exact"/>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3.</w:t>
      </w:r>
      <w:r>
        <w:rPr>
          <w:rFonts w:hint="eastAsia" w:ascii="宋体" w:hAnsi="宋体" w:eastAsia="宋体" w:cs="仿宋_GB2312"/>
          <w:color w:val="auto"/>
          <w:sz w:val="24"/>
          <w:highlight w:val="none"/>
        </w:rPr>
        <w:t>甲方认定乙方提交的</w:t>
      </w:r>
      <w:r>
        <w:rPr>
          <w:rFonts w:hint="eastAsia" w:ascii="宋体" w:hAnsi="宋体" w:eastAsia="宋体" w:cs="仿宋_GB2312"/>
          <w:color w:val="auto"/>
          <w:sz w:val="24"/>
          <w:highlight w:val="none"/>
          <w:lang w:val="en-US" w:eastAsia="zh-CN"/>
        </w:rPr>
        <w:t>纲要</w:t>
      </w:r>
      <w:r>
        <w:rPr>
          <w:rFonts w:hint="eastAsia" w:ascii="宋体" w:hAnsi="宋体" w:eastAsia="宋体" w:cs="仿宋_GB2312"/>
          <w:color w:val="auto"/>
          <w:sz w:val="24"/>
          <w:highlight w:val="none"/>
        </w:rPr>
        <w:t>成果</w:t>
      </w:r>
      <w:r>
        <w:rPr>
          <w:rFonts w:hint="eastAsia" w:ascii="宋体" w:hAnsi="宋体" w:eastAsia="宋体" w:cs="仿宋_GB2312"/>
          <w:color w:val="auto"/>
          <w:sz w:val="24"/>
          <w:highlight w:val="none"/>
          <w:lang w:val="en-US" w:eastAsia="zh-CN"/>
        </w:rPr>
        <w:t>稿</w:t>
      </w:r>
      <w:r>
        <w:rPr>
          <w:rFonts w:hint="eastAsia" w:ascii="宋体" w:hAnsi="宋体" w:eastAsia="宋体" w:cs="仿宋_GB2312"/>
          <w:color w:val="auto"/>
          <w:sz w:val="24"/>
          <w:highlight w:val="none"/>
        </w:rPr>
        <w:t>达到验收标准后并收到乙方正式纸质发票之日起</w:t>
      </w:r>
      <w:r>
        <w:rPr>
          <w:rFonts w:hint="eastAsia" w:ascii="宋体" w:hAnsi="宋体" w:eastAsia="宋体" w:cs="仿宋_GB2312"/>
          <w:color w:val="auto"/>
          <w:sz w:val="24"/>
          <w:highlight w:val="none"/>
          <w:lang w:val="en-US" w:eastAsia="zh-CN"/>
        </w:rPr>
        <w:t>7</w:t>
      </w:r>
      <w:r>
        <w:rPr>
          <w:rFonts w:hint="eastAsia" w:ascii="宋体" w:hAnsi="宋体" w:eastAsia="宋体" w:cs="仿宋_GB2312"/>
          <w:color w:val="auto"/>
          <w:sz w:val="24"/>
          <w:highlight w:val="none"/>
        </w:rPr>
        <w:t>个工作日内，支付总价的</w:t>
      </w:r>
      <w:r>
        <w:rPr>
          <w:rFonts w:hint="eastAsia" w:ascii="宋体" w:hAnsi="宋体" w:eastAsia="宋体" w:cs="仿宋_GB2312"/>
          <w:color w:val="auto"/>
          <w:sz w:val="24"/>
          <w:highlight w:val="none"/>
          <w:lang w:val="en-US" w:eastAsia="zh-CN"/>
        </w:rPr>
        <w:t>3</w:t>
      </w:r>
      <w:r>
        <w:rPr>
          <w:rFonts w:hint="eastAsia" w:ascii="宋体" w:hAnsi="宋体" w:eastAsia="宋体" w:cs="仿宋_GB2312"/>
          <w:color w:val="auto"/>
          <w:sz w:val="24"/>
          <w:highlight w:val="none"/>
        </w:rPr>
        <w:t>0%。</w:t>
      </w:r>
    </w:p>
    <w:p w14:paraId="57A0A02E">
      <w:pPr>
        <w:snapToGrid/>
        <w:spacing w:line="480" w:lineRule="exact"/>
        <w:ind w:firstLine="480" w:firstLineChars="200"/>
        <w:jc w:val="left"/>
        <w:rPr>
          <w:rFonts w:hint="eastAsia" w:ascii="宋体" w:hAnsi="宋体" w:cs="仿宋_GB2312"/>
          <w:bCs w:val="0"/>
          <w:color w:val="auto"/>
          <w:sz w:val="24"/>
          <w:highlight w:val="none"/>
        </w:rPr>
      </w:pPr>
      <w:r>
        <w:rPr>
          <w:rFonts w:hint="eastAsia" w:ascii="宋体" w:hAnsi="宋体" w:cs="宋体"/>
          <w:color w:val="auto"/>
          <w:sz w:val="24"/>
          <w:szCs w:val="24"/>
          <w:highlight w:val="none"/>
          <w:lang w:eastAsia="zh-CN"/>
        </w:rPr>
        <w:t>思路和纲要研究成果验收时，</w:t>
      </w:r>
      <w:r>
        <w:rPr>
          <w:rFonts w:hint="eastAsia" w:ascii="宋体" w:hAnsi="宋体" w:cs="仿宋_GB2312"/>
          <w:bCs w:val="0"/>
          <w:color w:val="auto"/>
          <w:sz w:val="24"/>
          <w:highlight w:val="none"/>
        </w:rPr>
        <w:t>供应商应提供项目服务实施文档等验收材料</w:t>
      </w:r>
      <w:r>
        <w:rPr>
          <w:rFonts w:hint="eastAsia" w:ascii="宋体" w:hAnsi="宋体" w:cs="仿宋_GB2312"/>
          <w:bCs w:val="0"/>
          <w:color w:val="auto"/>
          <w:sz w:val="24"/>
          <w:highlight w:val="none"/>
          <w:lang w:eastAsia="zh-CN"/>
        </w:rPr>
        <w:t>。</w:t>
      </w:r>
      <w:r>
        <w:rPr>
          <w:rFonts w:hint="eastAsia" w:ascii="宋体" w:hAnsi="宋体" w:cs="仿宋_GB2312"/>
          <w:bCs w:val="0"/>
          <w:color w:val="auto"/>
          <w:sz w:val="24"/>
          <w:highlight w:val="none"/>
        </w:rPr>
        <w:t>由采购人组织整体项目验收</w:t>
      </w:r>
      <w:r>
        <w:rPr>
          <w:rFonts w:hint="eastAsia" w:ascii="宋体" w:hAnsi="宋体" w:cs="仿宋_GB2312"/>
          <w:bCs w:val="0"/>
          <w:color w:val="auto"/>
          <w:sz w:val="24"/>
          <w:highlight w:val="none"/>
          <w:lang w:eastAsia="zh-CN"/>
        </w:rPr>
        <w:t>，</w:t>
      </w:r>
      <w:r>
        <w:rPr>
          <w:rFonts w:hint="eastAsia" w:ascii="宋体" w:hAnsi="宋体" w:cs="仿宋_GB2312"/>
          <w:bCs w:val="0"/>
          <w:color w:val="auto"/>
          <w:sz w:val="24"/>
          <w:highlight w:val="none"/>
        </w:rPr>
        <w:t>如果验收不达标并且在超过约定交货时间10天内仍然无法达到要求的，视为中标人虚假应标或无能力提供本项目采购服务，采购人有权立即解除合同和取消中标人资格。验收过程产生费用由中标人负责。</w:t>
      </w:r>
    </w:p>
    <w:p w14:paraId="5220109F">
      <w:pPr>
        <w:snapToGrid/>
        <w:spacing w:line="480" w:lineRule="exact"/>
        <w:ind w:firstLine="480" w:firstLineChars="200"/>
        <w:jc w:val="left"/>
        <w:rPr>
          <w:rFonts w:hint="eastAsia" w:ascii="宋体" w:hAnsi="宋体" w:cs="仿宋_GB2312"/>
          <w:bCs w:val="0"/>
          <w:color w:val="auto"/>
          <w:sz w:val="24"/>
          <w:highlight w:val="none"/>
        </w:rPr>
      </w:pPr>
      <w:r>
        <w:rPr>
          <w:rFonts w:hint="eastAsia" w:ascii="宋体" w:hAnsi="宋体" w:cs="仿宋_GB2312"/>
          <w:bCs w:val="0"/>
          <w:color w:val="auto"/>
          <w:sz w:val="24"/>
          <w:highlight w:val="none"/>
          <w:lang w:val="en-US" w:eastAsia="zh-CN"/>
        </w:rPr>
        <w:t>4.</w:t>
      </w:r>
      <w:r>
        <w:rPr>
          <w:rFonts w:hint="eastAsia" w:ascii="宋体" w:hAnsi="宋体" w:cs="仿宋_GB2312"/>
          <w:bCs w:val="0"/>
          <w:color w:val="auto"/>
          <w:sz w:val="24"/>
          <w:highlight w:val="none"/>
        </w:rPr>
        <w:t>按采购人要求提供结算资料及合法的税务发票。</w:t>
      </w:r>
    </w:p>
    <w:p w14:paraId="4685D58A">
      <w:pPr>
        <w:widowControl/>
        <w:spacing w:line="480" w:lineRule="exact"/>
        <w:ind w:firstLine="482" w:firstLineChars="200"/>
        <w:outlineLvl w:val="1"/>
        <w:rPr>
          <w:rFonts w:hint="eastAsia" w:ascii="宋体" w:hAnsi="宋体" w:cs="宋体"/>
          <w:b/>
          <w:color w:val="auto"/>
          <w:sz w:val="24"/>
          <w:highlight w:val="none"/>
        </w:rPr>
      </w:pPr>
      <w:bookmarkStart w:id="125" w:name="_Toc8341"/>
      <w:bookmarkStart w:id="126" w:name="_Toc10900"/>
      <w:bookmarkStart w:id="127" w:name="_Toc4738"/>
      <w:r>
        <w:rPr>
          <w:rFonts w:hint="eastAsia" w:ascii="宋体" w:hAnsi="宋体" w:cs="宋体"/>
          <w:b/>
          <w:color w:val="auto"/>
          <w:sz w:val="24"/>
          <w:highlight w:val="none"/>
        </w:rPr>
        <w:t>十、履约保证金</w:t>
      </w:r>
      <w:bookmarkEnd w:id="125"/>
      <w:bookmarkEnd w:id="126"/>
      <w:bookmarkEnd w:id="127"/>
    </w:p>
    <w:p w14:paraId="239E0A3C">
      <w:pPr>
        <w:widowControl/>
        <w:spacing w:line="4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本项目不收取履约保证金。</w:t>
      </w:r>
    </w:p>
    <w:p w14:paraId="3FD79E55">
      <w:pPr>
        <w:widowControl/>
        <w:spacing w:line="480" w:lineRule="exact"/>
        <w:ind w:firstLine="482" w:firstLineChars="200"/>
        <w:outlineLvl w:val="1"/>
        <w:rPr>
          <w:rFonts w:hint="eastAsia" w:ascii="宋体" w:hAnsi="宋体" w:cs="宋体"/>
          <w:b/>
          <w:color w:val="auto"/>
          <w:sz w:val="24"/>
          <w:highlight w:val="none"/>
        </w:rPr>
      </w:pPr>
      <w:bookmarkStart w:id="128" w:name="_Toc22738"/>
      <w:bookmarkStart w:id="129" w:name="_Toc25872"/>
      <w:bookmarkStart w:id="130" w:name="_Toc17417"/>
      <w:r>
        <w:rPr>
          <w:rFonts w:hint="eastAsia" w:ascii="宋体" w:hAnsi="宋体" w:cs="宋体"/>
          <w:b/>
          <w:color w:val="auto"/>
          <w:sz w:val="24"/>
          <w:highlight w:val="none"/>
        </w:rPr>
        <w:t>十</w:t>
      </w:r>
      <w:r>
        <w:rPr>
          <w:rFonts w:hint="eastAsia" w:ascii="宋体" w:hAnsi="宋体" w:cs="宋体"/>
          <w:b/>
          <w:color w:val="auto"/>
          <w:sz w:val="24"/>
          <w:highlight w:val="none"/>
          <w:lang w:eastAsia="zh-CN"/>
        </w:rPr>
        <w:t>一</w:t>
      </w:r>
      <w:r>
        <w:rPr>
          <w:rFonts w:hint="eastAsia" w:ascii="宋体" w:hAnsi="宋体" w:cs="宋体"/>
          <w:b/>
          <w:color w:val="auto"/>
          <w:sz w:val="24"/>
          <w:highlight w:val="none"/>
        </w:rPr>
        <w:t>、安全与保密</w:t>
      </w:r>
      <w:bookmarkEnd w:id="128"/>
      <w:bookmarkEnd w:id="129"/>
      <w:bookmarkEnd w:id="130"/>
    </w:p>
    <w:p w14:paraId="17D3A13F">
      <w:pPr>
        <w:widowControl/>
        <w:spacing w:line="4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本项目所产生的一切数</w:t>
      </w:r>
      <w:r>
        <w:rPr>
          <w:rFonts w:hint="eastAsia" w:ascii="宋体" w:hAnsi="宋体"/>
          <w:color w:val="auto"/>
          <w:sz w:val="24"/>
          <w:highlight w:val="none"/>
        </w:rPr>
        <w:t>据、资料等均需严格保密，编制单位应严格执行保密的相关规定，不得以任何方式向除采购人</w:t>
      </w:r>
      <w:r>
        <w:rPr>
          <w:rFonts w:hint="eastAsia" w:ascii="宋体" w:hAnsi="宋体" w:cs="宋体"/>
          <w:color w:val="auto"/>
          <w:sz w:val="24"/>
          <w:highlight w:val="none"/>
        </w:rPr>
        <w:t>外的任</w:t>
      </w:r>
      <w:r>
        <w:rPr>
          <w:rFonts w:hint="eastAsia" w:ascii="宋体" w:hAnsi="宋体" w:cs="宋体"/>
          <w:bCs/>
          <w:color w:val="auto"/>
          <w:sz w:val="24"/>
          <w:highlight w:val="none"/>
        </w:rPr>
        <w:t>何第三方提供任何与本项目有关的数据信息。</w:t>
      </w:r>
    </w:p>
    <w:p w14:paraId="7350B69F">
      <w:pPr>
        <w:pStyle w:val="19"/>
        <w:pageBreakBefore/>
        <w:snapToGrid w:val="0"/>
        <w:spacing w:before="120" w:after="120" w:line="360" w:lineRule="auto"/>
        <w:jc w:val="center"/>
        <w:outlineLvl w:val="0"/>
        <w:rPr>
          <w:rFonts w:hint="eastAsia" w:ascii="宋体" w:hAnsi="宋体" w:eastAsia="宋体" w:cs="宋体"/>
          <w:b/>
          <w:color w:val="auto"/>
          <w:sz w:val="28"/>
          <w:szCs w:val="28"/>
          <w:highlight w:val="none"/>
        </w:rPr>
      </w:pPr>
      <w:bookmarkStart w:id="131" w:name="_Toc5173"/>
      <w:bookmarkStart w:id="132" w:name="_Toc5476"/>
      <w:bookmarkStart w:id="133" w:name="_Toc2995"/>
      <w:r>
        <w:rPr>
          <w:rFonts w:hint="eastAsia" w:ascii="宋体" w:hAnsi="宋体" w:eastAsia="宋体" w:cs="宋体"/>
          <w:b/>
          <w:color w:val="auto"/>
          <w:sz w:val="28"/>
          <w:szCs w:val="28"/>
          <w:highlight w:val="none"/>
        </w:rPr>
        <w:t>第三章   投标人须知</w:t>
      </w:r>
      <w:bookmarkEnd w:id="86"/>
      <w:bookmarkEnd w:id="131"/>
      <w:bookmarkEnd w:id="132"/>
      <w:bookmarkEnd w:id="133"/>
    </w:p>
    <w:p w14:paraId="3484BE3B">
      <w:pPr>
        <w:pStyle w:val="19"/>
        <w:snapToGrid w:val="0"/>
        <w:spacing w:before="120" w:after="120"/>
        <w:ind w:firstLine="472" w:firstLineChars="196"/>
        <w:jc w:val="center"/>
        <w:outlineLvl w:val="1"/>
        <w:rPr>
          <w:rFonts w:hint="eastAsia" w:ascii="宋体" w:hAnsi="宋体" w:eastAsia="宋体" w:cs="宋体"/>
          <w:b/>
          <w:color w:val="auto"/>
          <w:szCs w:val="24"/>
          <w:highlight w:val="none"/>
        </w:rPr>
      </w:pPr>
      <w:bookmarkStart w:id="134" w:name="_Toc10152"/>
      <w:bookmarkStart w:id="135" w:name="_Toc11871"/>
      <w:bookmarkStart w:id="136" w:name="_Toc24999"/>
      <w:bookmarkStart w:id="137" w:name="_Toc24662"/>
      <w:r>
        <w:rPr>
          <w:rFonts w:hint="eastAsia" w:ascii="宋体" w:hAnsi="宋体" w:eastAsia="宋体" w:cs="宋体"/>
          <w:b/>
          <w:color w:val="auto"/>
          <w:szCs w:val="24"/>
          <w:highlight w:val="none"/>
        </w:rPr>
        <w:t>前附表</w:t>
      </w:r>
      <w:bookmarkEnd w:id="134"/>
      <w:bookmarkEnd w:id="135"/>
      <w:bookmarkEnd w:id="136"/>
      <w:bookmarkEnd w:id="137"/>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8750"/>
      </w:tblGrid>
      <w:tr w14:paraId="371A3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568B84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750" w:type="dxa"/>
            <w:tcBorders>
              <w:top w:val="single" w:color="auto" w:sz="4" w:space="0"/>
              <w:left w:val="single" w:color="auto" w:sz="4" w:space="0"/>
              <w:bottom w:val="single" w:color="auto" w:sz="4" w:space="0"/>
              <w:right w:val="single" w:color="auto" w:sz="4" w:space="0"/>
            </w:tcBorders>
            <w:vAlign w:val="center"/>
          </w:tcPr>
          <w:p w14:paraId="076D375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内容、要求</w:t>
            </w:r>
          </w:p>
        </w:tc>
      </w:tr>
      <w:tr w14:paraId="2A10A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D9C3D5E">
            <w:pPr>
              <w:snapToGrid w:val="0"/>
              <w:spacing w:line="360" w:lineRule="auto"/>
              <w:ind w:firstLine="240" w:firstLineChars="1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750" w:type="dxa"/>
            <w:tcBorders>
              <w:top w:val="single" w:color="auto" w:sz="4" w:space="0"/>
              <w:left w:val="single" w:color="auto" w:sz="4" w:space="0"/>
              <w:bottom w:val="single" w:color="auto" w:sz="4" w:space="0"/>
              <w:right w:val="single" w:color="auto" w:sz="4" w:space="0"/>
            </w:tcBorders>
            <w:vAlign w:val="center"/>
          </w:tcPr>
          <w:p w14:paraId="176216FD">
            <w:pPr>
              <w:snapToGrid w:val="0"/>
              <w:spacing w:line="360" w:lineRule="auto"/>
              <w:jc w:val="both"/>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东阳市国民经济和社会发展“十五五”规划《基本思路》和《纲要草案》服务采购项目(第二次）</w:t>
            </w:r>
          </w:p>
        </w:tc>
      </w:tr>
      <w:tr w14:paraId="0846B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9"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192FAF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750" w:type="dxa"/>
            <w:tcBorders>
              <w:top w:val="single" w:color="auto" w:sz="4" w:space="0"/>
              <w:left w:val="single" w:color="auto" w:sz="4" w:space="0"/>
              <w:bottom w:val="single" w:color="auto" w:sz="4" w:space="0"/>
              <w:right w:val="single" w:color="auto" w:sz="4" w:space="0"/>
            </w:tcBorders>
            <w:vAlign w:val="center"/>
          </w:tcPr>
          <w:p w14:paraId="75C52254">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投标报价及费用：</w:t>
            </w:r>
          </w:p>
          <w:p w14:paraId="1D406265">
            <w:pPr>
              <w:keepNext w:val="0"/>
              <w:keepLines w:val="0"/>
              <w:pageBreakBefore w:val="0"/>
              <w:widowControl w:val="0"/>
              <w:numPr>
                <w:ilvl w:val="0"/>
                <w:numId w:val="0"/>
              </w:numPr>
              <w:kinsoku/>
              <w:wordWrap/>
              <w:overflowPunct/>
              <w:topLinePunct w:val="0"/>
              <w:autoSpaceDE/>
              <w:autoSpaceDN/>
              <w:bidi w:val="0"/>
              <w:adjustRightInd/>
              <w:snapToGrid w:val="0"/>
              <w:spacing w:line="400" w:lineRule="atLeast"/>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本项目投标应以</w:t>
            </w:r>
            <w:r>
              <w:rPr>
                <w:rFonts w:hint="eastAsia" w:ascii="宋体" w:hAnsi="宋体" w:cs="宋体"/>
                <w:color w:val="auto"/>
                <w:sz w:val="24"/>
                <w:highlight w:val="none"/>
                <w:lang w:val="en-US" w:eastAsia="zh-CN"/>
              </w:rPr>
              <w:t>人民币</w:t>
            </w:r>
            <w:r>
              <w:rPr>
                <w:rFonts w:hint="eastAsia" w:ascii="宋体" w:hAnsi="宋体" w:eastAsia="宋体" w:cs="宋体"/>
                <w:color w:val="auto"/>
                <w:sz w:val="24"/>
                <w:highlight w:val="none"/>
              </w:rPr>
              <w:t>报价；</w:t>
            </w:r>
            <w:r>
              <w:rPr>
                <w:rFonts w:hint="eastAsia" w:ascii="宋体" w:hAnsi="宋体" w:eastAsia="宋体" w:cs="宋体"/>
                <w:color w:val="auto"/>
                <w:kern w:val="2"/>
                <w:sz w:val="24"/>
                <w:szCs w:val="24"/>
                <w:highlight w:val="none"/>
                <w:lang w:val="en-US" w:eastAsia="zh-CN" w:bidi="ar-SA"/>
              </w:rPr>
              <w:t>2、</w:t>
            </w:r>
            <w:r>
              <w:rPr>
                <w:rFonts w:hint="eastAsia" w:ascii="宋体" w:hAnsi="宋体"/>
                <w:b/>
                <w:bCs/>
                <w:color w:val="auto"/>
                <w:sz w:val="24"/>
                <w:highlight w:val="none"/>
              </w:rPr>
              <w:t>本项目最高限价为</w:t>
            </w:r>
            <w:r>
              <w:rPr>
                <w:rFonts w:hint="eastAsia" w:ascii="宋体" w:hAnsi="宋体"/>
                <w:b/>
                <w:bCs/>
                <w:color w:val="auto"/>
                <w:sz w:val="24"/>
                <w:highlight w:val="none"/>
                <w:lang w:val="en-US" w:eastAsia="zh-CN"/>
              </w:rPr>
              <w:t>150万</w:t>
            </w:r>
            <w:r>
              <w:rPr>
                <w:rFonts w:hint="eastAsia" w:ascii="宋体" w:hAnsi="宋体"/>
                <w:b/>
                <w:bCs/>
                <w:color w:val="auto"/>
                <w:sz w:val="24"/>
                <w:highlight w:val="none"/>
              </w:rPr>
              <w:t>元</w:t>
            </w:r>
            <w:r>
              <w:rPr>
                <w:rFonts w:hint="eastAsia" w:ascii="宋体" w:hAnsi="宋体"/>
                <w:b/>
                <w:bCs/>
                <w:color w:val="auto"/>
                <w:sz w:val="24"/>
                <w:highlight w:val="none"/>
                <w:lang w:eastAsia="zh-CN"/>
              </w:rPr>
              <w:t>；</w:t>
            </w:r>
            <w:r>
              <w:rPr>
                <w:rFonts w:hint="eastAsia" w:ascii="宋体" w:hAnsi="宋体"/>
                <w:b/>
                <w:bCs/>
                <w:color w:val="auto"/>
                <w:sz w:val="24"/>
                <w:highlight w:val="none"/>
              </w:rPr>
              <w:t>投标单位报价高于或等于最高限价时，作废标处理。</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highlight w:val="none"/>
              </w:rPr>
              <w:t>不论投标结果如何，投标人均应自行承担所有与投标有关的全部费用；</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、投标费用：</w:t>
            </w:r>
            <w:r>
              <w:rPr>
                <w:rFonts w:hint="eastAsia" w:ascii="宋体" w:hAnsi="宋体" w:cs="宋体"/>
                <w:color w:val="auto"/>
                <w:sz w:val="24"/>
                <w:highlight w:val="none"/>
                <w:lang w:eastAsia="zh-CN"/>
              </w:rPr>
              <w:t>浙江鼎峰工程咨询有限公司</w:t>
            </w:r>
            <w:r>
              <w:rPr>
                <w:rFonts w:hint="eastAsia" w:ascii="宋体" w:hAnsi="宋体" w:eastAsia="宋体" w:cs="宋体"/>
                <w:color w:val="auto"/>
                <w:sz w:val="24"/>
                <w:highlight w:val="none"/>
              </w:rPr>
              <w:t>按照本招标文件总则第（五）条规定向中标人收取中标服务费。</w:t>
            </w:r>
          </w:p>
        </w:tc>
      </w:tr>
      <w:tr w14:paraId="7B1BA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A41B606">
            <w:pPr>
              <w:keepNext w:val="0"/>
              <w:keepLines w:val="0"/>
              <w:pageBreakBefore w:val="0"/>
              <w:widowControl w:val="0"/>
              <w:kinsoku/>
              <w:wordWrap/>
              <w:overflowPunct/>
              <w:topLinePunct w:val="0"/>
              <w:bidi w:val="0"/>
              <w:adjustRightInd/>
              <w:snapToGrid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8750" w:type="dxa"/>
            <w:tcBorders>
              <w:top w:val="single" w:color="auto" w:sz="4" w:space="0"/>
              <w:left w:val="single" w:color="auto" w:sz="4" w:space="0"/>
              <w:bottom w:val="single" w:color="auto" w:sz="4" w:space="0"/>
              <w:right w:val="single" w:color="auto" w:sz="4" w:space="0"/>
            </w:tcBorders>
            <w:vAlign w:val="center"/>
          </w:tcPr>
          <w:p w14:paraId="5B7A0A3B">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rPr>
              <w:t>根据《政府采购促进中小企业管理办法》及《关于印发中小企业划型标准规定的通</w:t>
            </w:r>
            <w:r>
              <w:rPr>
                <w:rFonts w:hint="eastAsia" w:ascii="宋体" w:hAnsi="宋体" w:cs="宋体"/>
                <w:b w:val="0"/>
                <w:bCs w:val="0"/>
                <w:color w:val="auto"/>
                <w:sz w:val="24"/>
                <w:szCs w:val="24"/>
                <w:highlight w:val="none"/>
                <w:shd w:val="clear"/>
              </w:rPr>
              <w:t>知工信部联企业》（〔2011〕300号）有关规定，</w:t>
            </w:r>
            <w:r>
              <w:rPr>
                <w:rFonts w:hint="eastAsia" w:ascii="宋体" w:hAnsi="宋体" w:eastAsia="宋体" w:cs="宋体"/>
                <w:b w:val="0"/>
                <w:bCs w:val="0"/>
                <w:color w:val="auto"/>
                <w:sz w:val="24"/>
                <w:szCs w:val="24"/>
                <w:highlight w:val="none"/>
              </w:rPr>
              <w:t>本项目的项目类型为：服务类；</w:t>
            </w:r>
          </w:p>
          <w:p w14:paraId="09E07E88">
            <w:pPr>
              <w:keepNext w:val="0"/>
              <w:keepLines w:val="0"/>
              <w:pageBreakBefore w:val="0"/>
              <w:widowControl w:val="0"/>
              <w:kinsoku/>
              <w:wordWrap/>
              <w:overflowPunct/>
              <w:topLinePunct w:val="0"/>
              <w:bidi w:val="0"/>
              <w:adjustRightInd/>
              <w:snapToGrid w:val="0"/>
              <w:spacing w:line="420" w:lineRule="exact"/>
              <w:rPr>
                <w:rFonts w:hint="eastAsia" w:eastAsia="宋体"/>
                <w:color w:val="auto"/>
                <w:highlight w:val="none"/>
                <w:lang w:val="en-US" w:eastAsia="zh-CN"/>
              </w:rPr>
            </w:pPr>
            <w:r>
              <w:rPr>
                <w:rFonts w:hint="eastAsia" w:ascii="宋体" w:hAnsi="宋体" w:cs="宋体"/>
                <w:b/>
                <w:bCs/>
                <w:color w:val="auto"/>
                <w:sz w:val="24"/>
                <w:szCs w:val="24"/>
                <w:highlight w:val="none"/>
                <w:shd w:val="clear"/>
              </w:rPr>
              <w:t>本采购标的对应的所属行业为</w:t>
            </w:r>
            <w:r>
              <w:rPr>
                <w:rFonts w:hint="eastAsia" w:ascii="宋体" w:hAnsi="宋体" w:eastAsia="宋体" w:cs="宋体"/>
                <w:b w:val="0"/>
                <w:bCs w:val="0"/>
                <w:color w:val="auto"/>
                <w:sz w:val="24"/>
                <w:szCs w:val="24"/>
                <w:highlight w:val="none"/>
              </w:rPr>
              <w:t>：</w:t>
            </w:r>
            <w:r>
              <w:rPr>
                <w:rFonts w:hint="eastAsia" w:ascii="宋体" w:hAnsi="宋体" w:eastAsia="宋体" w:cs="宋体"/>
                <w:b/>
                <w:bCs/>
                <w:color w:val="auto"/>
                <w:sz w:val="24"/>
                <w:szCs w:val="24"/>
                <w:highlight w:val="none"/>
              </w:rPr>
              <w:t>其他未列明行业</w:t>
            </w:r>
            <w:r>
              <w:rPr>
                <w:rFonts w:hint="eastAsia" w:ascii="宋体" w:hAnsi="宋体" w:eastAsia="宋体" w:cs="宋体"/>
                <w:b w:val="0"/>
                <w:bCs w:val="0"/>
                <w:color w:val="auto"/>
                <w:sz w:val="24"/>
                <w:szCs w:val="24"/>
                <w:highlight w:val="none"/>
              </w:rPr>
              <w:t>（注：此项所属行业仅供中小企业政策扶持认定时使用）</w:t>
            </w:r>
            <w:r>
              <w:rPr>
                <w:rFonts w:hint="eastAsia" w:ascii="宋体" w:hAnsi="宋体" w:eastAsia="宋体" w:cs="宋体"/>
                <w:b w:val="0"/>
                <w:bCs w:val="0"/>
                <w:color w:val="auto"/>
                <w:sz w:val="24"/>
                <w:szCs w:val="24"/>
                <w:highlight w:val="none"/>
                <w:lang w:eastAsia="zh-CN"/>
              </w:rPr>
              <w:t>。</w:t>
            </w:r>
          </w:p>
        </w:tc>
      </w:tr>
      <w:tr w14:paraId="11570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8D2209F">
            <w:pPr>
              <w:keepNext w:val="0"/>
              <w:keepLines w:val="0"/>
              <w:pageBreakBefore w:val="0"/>
              <w:widowControl w:val="0"/>
              <w:kinsoku/>
              <w:wordWrap/>
              <w:overflowPunct/>
              <w:topLinePunct w:val="0"/>
              <w:bidi w:val="0"/>
              <w:adjustRightInd/>
              <w:snapToGrid w:val="0"/>
              <w:spacing w:line="42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8750" w:type="dxa"/>
            <w:tcBorders>
              <w:top w:val="single" w:color="auto" w:sz="4" w:space="0"/>
              <w:left w:val="single" w:color="auto" w:sz="4" w:space="0"/>
              <w:bottom w:val="single" w:color="auto" w:sz="4" w:space="0"/>
              <w:right w:val="single" w:color="auto" w:sz="4" w:space="0"/>
            </w:tcBorders>
            <w:vAlign w:val="center"/>
          </w:tcPr>
          <w:p w14:paraId="6FD8E3B9">
            <w:pPr>
              <w:snapToGrid w:val="0"/>
              <w:spacing w:line="34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w:t>
            </w:r>
            <w:r>
              <w:rPr>
                <w:rFonts w:hint="eastAsia" w:ascii="宋体" w:hAnsi="宋体" w:cs="宋体"/>
                <w:color w:val="auto"/>
                <w:sz w:val="24"/>
                <w:highlight w:val="none"/>
                <w:lang w:eastAsia="zh-CN"/>
              </w:rPr>
              <w:t>〔2016〕125号</w:t>
            </w:r>
            <w:r>
              <w:rPr>
                <w:rFonts w:hint="eastAsia" w:ascii="宋体" w:hAnsi="宋体" w:eastAsia="宋体" w:cs="宋体"/>
                <w:color w:val="auto"/>
                <w:sz w:val="24"/>
                <w:highlight w:val="none"/>
              </w:rPr>
              <w:t>的规定：</w:t>
            </w:r>
          </w:p>
          <w:p w14:paraId="17B8187E">
            <w:pPr>
              <w:snapToGrid w:val="0"/>
              <w:spacing w:line="34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（1）采购人或采购代理机构将对本项目供应商的信用记录进行查询。查询渠道为信用中国网站（www.creditchina.gov.cn）、中国政府采购网（www.ccgp.gov.cn）；</w:t>
            </w:r>
          </w:p>
          <w:p w14:paraId="75B4A3A4">
            <w:pPr>
              <w:snapToGrid w:val="0"/>
              <w:spacing w:line="34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14:paraId="0D5D3C2D">
            <w:pPr>
              <w:snapToGrid w:val="0"/>
              <w:spacing w:line="34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14:paraId="757ECCEE">
            <w:pPr>
              <w:snapToGrid w:val="0"/>
              <w:spacing w:line="34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w:t>
            </w:r>
            <w:r>
              <w:rPr>
                <w:rFonts w:hint="eastAsia" w:ascii="宋体" w:hAnsi="宋体" w:cs="宋体"/>
                <w:color w:val="auto"/>
                <w:sz w:val="24"/>
                <w:highlight w:val="none"/>
                <w:lang w:eastAsia="zh-CN"/>
              </w:rPr>
              <w:t>其他</w:t>
            </w:r>
            <w:r>
              <w:rPr>
                <w:rFonts w:hint="eastAsia" w:ascii="宋体" w:hAnsi="宋体" w:eastAsia="宋体" w:cs="宋体"/>
                <w:color w:val="auto"/>
                <w:sz w:val="24"/>
                <w:highlight w:val="none"/>
              </w:rPr>
              <w:t>不符合《中华人民共和国政府采购法》第二十二条规定条件的，其投标将被拒绝。</w:t>
            </w:r>
          </w:p>
          <w:p w14:paraId="55AD78EE">
            <w:pPr>
              <w:snapToGrid w:val="0"/>
              <w:spacing w:line="348" w:lineRule="auto"/>
              <w:rPr>
                <w:rFonts w:hint="eastAsia" w:ascii="宋体" w:hAnsi="宋体" w:cs="宋体"/>
                <w:b/>
                <w:bCs/>
                <w:color w:val="auto"/>
                <w:sz w:val="24"/>
                <w:szCs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14:paraId="38B1C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7BCE783">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8750" w:type="dxa"/>
            <w:tcBorders>
              <w:top w:val="single" w:color="auto" w:sz="4" w:space="0"/>
              <w:left w:val="single" w:color="auto" w:sz="4" w:space="0"/>
              <w:bottom w:val="single" w:color="auto" w:sz="4" w:space="0"/>
              <w:right w:val="single" w:color="auto" w:sz="4" w:space="0"/>
            </w:tcBorders>
            <w:vAlign w:val="center"/>
          </w:tcPr>
          <w:p w14:paraId="374C72D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答疑与澄清：投标人如认为招标文件表述不清晰、存在歧视性、排他性或者其他违法内容的，应当按照公开招标公告第</w:t>
            </w:r>
            <w:r>
              <w:rPr>
                <w:rFonts w:hint="eastAsia" w:ascii="宋体" w:hAnsi="宋体" w:eastAsia="宋体" w:cs="宋体"/>
                <w:color w:val="auto"/>
                <w:sz w:val="24"/>
                <w:highlight w:val="none"/>
                <w:lang w:eastAsia="zh-CN"/>
              </w:rPr>
              <w:t>三、</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条规定以书面形式要求招标方作出书面解释、澄清或者向招标方提出书面质疑；</w:t>
            </w:r>
            <w:r>
              <w:rPr>
                <w:rFonts w:hint="eastAsia" w:ascii="宋体" w:hAnsi="宋体" w:eastAsia="宋体" w:cs="宋体"/>
                <w:b/>
                <w:color w:val="auto"/>
                <w:sz w:val="24"/>
                <w:highlight w:val="none"/>
              </w:rPr>
              <w:t>在质疑截止时间前，未对招标文件提出质疑时，</w:t>
            </w:r>
            <w:r>
              <w:rPr>
                <w:rFonts w:hint="eastAsia" w:ascii="宋体" w:hAnsi="宋体" w:cs="宋体"/>
                <w:b/>
                <w:color w:val="auto"/>
                <w:sz w:val="24"/>
                <w:highlight w:val="none"/>
                <w:lang w:eastAsia="zh-CN"/>
              </w:rPr>
              <w:t>视为</w:t>
            </w:r>
            <w:r>
              <w:rPr>
                <w:rFonts w:hint="eastAsia" w:ascii="宋体" w:hAnsi="宋体" w:eastAsia="宋体" w:cs="宋体"/>
                <w:b/>
                <w:color w:val="auto"/>
                <w:sz w:val="24"/>
                <w:highlight w:val="none"/>
              </w:rPr>
              <w:t>投标人对招标文件的默认；</w:t>
            </w:r>
            <w:r>
              <w:rPr>
                <w:rFonts w:hint="eastAsia" w:ascii="宋体" w:hAnsi="宋体" w:eastAsia="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2BCAE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6AC891F">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8750" w:type="dxa"/>
            <w:tcBorders>
              <w:top w:val="single" w:color="auto" w:sz="4" w:space="0"/>
              <w:left w:val="single" w:color="auto" w:sz="4" w:space="0"/>
              <w:bottom w:val="single" w:color="auto" w:sz="4" w:space="0"/>
              <w:right w:val="single" w:color="auto" w:sz="4" w:space="0"/>
            </w:tcBorders>
            <w:vAlign w:val="center"/>
          </w:tcPr>
          <w:p w14:paraId="066DCE60">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投标文件的递交：</w:t>
            </w:r>
          </w:p>
          <w:p w14:paraId="5C9BE46D">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本项目投标文件由资格审查文件、商务技术文件和报价文件三部分组成。投标人应按以下方式递交投标文件：</w:t>
            </w:r>
          </w:p>
          <w:p w14:paraId="463B868C">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71BFB6C3">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color w:val="auto"/>
                <w:sz w:val="24"/>
                <w:highlight w:val="none"/>
                <w:lang w:eastAsia="zh-CN"/>
              </w:rPr>
              <w:t>浙江鼎峰工程咨询有限公司</w:t>
            </w:r>
            <w:r>
              <w:rPr>
                <w:rFonts w:hint="eastAsia" w:ascii="宋体" w:hAnsi="宋体" w:eastAsia="宋体" w:cs="宋体"/>
                <w:color w:val="auto"/>
                <w:sz w:val="24"/>
                <w:highlight w:val="none"/>
              </w:rPr>
              <w:t>邮箱：</w:t>
            </w:r>
            <w:r>
              <w:rPr>
                <w:rFonts w:hint="eastAsia" w:ascii="宋体" w:hAnsi="宋体" w:cs="宋体"/>
                <w:color w:val="auto"/>
                <w:sz w:val="24"/>
                <w:highlight w:val="none"/>
                <w:lang w:eastAsia="zh-CN"/>
              </w:rPr>
              <w:t>657247107</w:t>
            </w:r>
            <w:r>
              <w:rPr>
                <w:rFonts w:hint="eastAsia" w:ascii="宋体" w:hAnsi="宋体" w:eastAsia="宋体" w:cs="宋体"/>
                <w:color w:val="auto"/>
                <w:sz w:val="24"/>
                <w:highlight w:val="none"/>
              </w:rPr>
              <w:t>@qq.com，逾期发送或发错后缀名的备份投标文件将被视为无效；</w:t>
            </w:r>
          </w:p>
          <w:p w14:paraId="4B6B5536">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3、投标人仅提交电子备份投标文件的，投标无效；</w:t>
            </w:r>
          </w:p>
          <w:p w14:paraId="781CA433">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4C628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E41B0FB">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8750" w:type="dxa"/>
            <w:tcBorders>
              <w:top w:val="single" w:color="auto" w:sz="4" w:space="0"/>
              <w:left w:val="single" w:color="auto" w:sz="4" w:space="0"/>
              <w:bottom w:val="single" w:color="auto" w:sz="4" w:space="0"/>
              <w:right w:val="single" w:color="auto" w:sz="4" w:space="0"/>
            </w:tcBorders>
            <w:vAlign w:val="center"/>
          </w:tcPr>
          <w:p w14:paraId="469E819D">
            <w:pPr>
              <w:snapToGrid w:val="0"/>
              <w:spacing w:line="360" w:lineRule="auto"/>
              <w:rPr>
                <w:rFonts w:hint="eastAsia" w:ascii="宋体" w:hAnsi="宋体" w:eastAsia="宋体" w:cs="宋体"/>
                <w:bCs/>
                <w:color w:val="auto"/>
                <w:sz w:val="24"/>
                <w:highlight w:val="none"/>
                <w:u w:val="single"/>
                <w:lang w:val="en-US" w:eastAsia="zh-CN"/>
              </w:rPr>
            </w:pPr>
            <w:r>
              <w:rPr>
                <w:rFonts w:hint="eastAsia" w:ascii="宋体" w:hAnsi="宋体" w:eastAsia="宋体" w:cs="宋体"/>
                <w:bCs/>
                <w:color w:val="auto"/>
                <w:sz w:val="24"/>
                <w:highlight w:val="none"/>
              </w:rPr>
              <w:t>投标截止时间：</w:t>
            </w:r>
            <w:r>
              <w:rPr>
                <w:rFonts w:hint="eastAsia" w:ascii="宋体" w:hAnsi="宋体" w:eastAsia="宋体" w:cs="宋体"/>
                <w:color w:val="0000FF"/>
                <w:sz w:val="24"/>
                <w:highlight w:val="none"/>
                <w:lang w:eastAsia="zh-CN"/>
              </w:rPr>
              <w:t>2025年1月</w:t>
            </w:r>
            <w:r>
              <w:rPr>
                <w:rFonts w:hint="eastAsia" w:ascii="宋体" w:hAnsi="宋体" w:cs="宋体"/>
                <w:color w:val="0000FF"/>
                <w:sz w:val="24"/>
                <w:highlight w:val="none"/>
                <w:lang w:val="en-US" w:eastAsia="zh-CN"/>
              </w:rPr>
              <w:t>9</w:t>
            </w:r>
            <w:r>
              <w:rPr>
                <w:rFonts w:hint="eastAsia" w:ascii="宋体" w:hAnsi="宋体" w:eastAsia="宋体" w:cs="宋体"/>
                <w:color w:val="0000FF"/>
                <w:sz w:val="24"/>
                <w:highlight w:val="none"/>
                <w:lang w:eastAsia="zh-CN"/>
              </w:rPr>
              <w:t>日</w:t>
            </w:r>
            <w:r>
              <w:rPr>
                <w:rFonts w:hint="eastAsia" w:ascii="宋体" w:hAnsi="宋体" w:cs="宋体"/>
                <w:color w:val="0000FF"/>
                <w:sz w:val="24"/>
                <w:highlight w:val="none"/>
                <w:lang w:val="en-US" w:eastAsia="zh-CN"/>
              </w:rPr>
              <w:t>14</w:t>
            </w:r>
            <w:r>
              <w:rPr>
                <w:rFonts w:hint="eastAsia" w:ascii="宋体" w:hAnsi="宋体" w:eastAsia="宋体" w:cs="宋体"/>
                <w:color w:val="0000FF"/>
                <w:sz w:val="24"/>
                <w:highlight w:val="none"/>
                <w:lang w:eastAsia="zh-CN"/>
              </w:rPr>
              <w:t>时</w:t>
            </w:r>
            <w:r>
              <w:rPr>
                <w:rFonts w:hint="eastAsia" w:ascii="宋体" w:hAnsi="宋体" w:cs="宋体"/>
                <w:color w:val="0000FF"/>
                <w:sz w:val="24"/>
                <w:highlight w:val="none"/>
                <w:lang w:val="en-US" w:eastAsia="zh-CN"/>
              </w:rPr>
              <w:t>00</w:t>
            </w:r>
            <w:r>
              <w:rPr>
                <w:rFonts w:hint="eastAsia" w:ascii="宋体" w:hAnsi="宋体" w:eastAsia="宋体" w:cs="宋体"/>
                <w:color w:val="0000FF"/>
                <w:sz w:val="24"/>
                <w:highlight w:val="none"/>
                <w:lang w:eastAsia="zh-CN"/>
              </w:rPr>
              <w:t>分</w:t>
            </w:r>
            <w:r>
              <w:rPr>
                <w:rFonts w:hint="eastAsia" w:ascii="宋体" w:hAnsi="宋体" w:cs="宋体"/>
                <w:color w:val="auto"/>
                <w:sz w:val="24"/>
                <w:highlight w:val="none"/>
                <w:lang w:val="en-US" w:eastAsia="zh-CN"/>
              </w:rPr>
              <w:t>(北京时间）</w:t>
            </w:r>
          </w:p>
          <w:p w14:paraId="6FA151CE">
            <w:pPr>
              <w:pStyle w:val="19"/>
              <w:spacing w:line="360" w:lineRule="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529DAEB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2、电子备份投标文件的递交时间：投标人应当在投标截止时间前，逾期未递交的视为自动放弃。</w:t>
            </w:r>
          </w:p>
          <w:p w14:paraId="28B173FC">
            <w:pPr>
              <w:pStyle w:val="19"/>
              <w:spacing w:line="360" w:lineRule="auto"/>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2BBCD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343E29F">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8750" w:type="dxa"/>
            <w:tcBorders>
              <w:top w:val="single" w:color="auto" w:sz="4" w:space="0"/>
              <w:left w:val="single" w:color="auto" w:sz="4" w:space="0"/>
              <w:bottom w:val="single" w:color="auto" w:sz="4" w:space="0"/>
              <w:right w:val="single" w:color="auto" w:sz="4" w:space="0"/>
            </w:tcBorders>
            <w:vAlign w:val="center"/>
          </w:tcPr>
          <w:p w14:paraId="30DCB88E">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开标时间：</w:t>
            </w:r>
            <w:r>
              <w:rPr>
                <w:rFonts w:hint="eastAsia" w:ascii="宋体" w:hAnsi="宋体" w:eastAsia="宋体" w:cs="宋体"/>
                <w:color w:val="0000FF"/>
                <w:sz w:val="24"/>
                <w:highlight w:val="none"/>
                <w:lang w:eastAsia="zh-CN"/>
              </w:rPr>
              <w:t>2025年1月</w:t>
            </w:r>
            <w:r>
              <w:rPr>
                <w:rFonts w:hint="eastAsia" w:ascii="宋体" w:hAnsi="宋体" w:cs="宋体"/>
                <w:color w:val="0000FF"/>
                <w:sz w:val="24"/>
                <w:highlight w:val="none"/>
                <w:lang w:val="en-US" w:eastAsia="zh-CN"/>
              </w:rPr>
              <w:t>9</w:t>
            </w:r>
            <w:r>
              <w:rPr>
                <w:rFonts w:hint="eastAsia" w:ascii="宋体" w:hAnsi="宋体" w:eastAsia="宋体" w:cs="宋体"/>
                <w:color w:val="0000FF"/>
                <w:sz w:val="24"/>
                <w:highlight w:val="none"/>
                <w:lang w:eastAsia="zh-CN"/>
              </w:rPr>
              <w:t>日</w:t>
            </w:r>
            <w:r>
              <w:rPr>
                <w:rFonts w:hint="eastAsia" w:ascii="宋体" w:hAnsi="宋体" w:cs="宋体"/>
                <w:color w:val="0000FF"/>
                <w:sz w:val="24"/>
                <w:highlight w:val="none"/>
                <w:lang w:val="en-US" w:eastAsia="zh-CN"/>
              </w:rPr>
              <w:t>14</w:t>
            </w:r>
            <w:r>
              <w:rPr>
                <w:rFonts w:hint="eastAsia" w:ascii="宋体" w:hAnsi="宋体" w:eastAsia="宋体" w:cs="宋体"/>
                <w:color w:val="0000FF"/>
                <w:sz w:val="24"/>
                <w:highlight w:val="none"/>
                <w:lang w:eastAsia="zh-CN"/>
              </w:rPr>
              <w:t>时</w:t>
            </w:r>
            <w:r>
              <w:rPr>
                <w:rFonts w:hint="eastAsia" w:ascii="宋体" w:hAnsi="宋体" w:cs="宋体"/>
                <w:color w:val="0000FF"/>
                <w:sz w:val="24"/>
                <w:highlight w:val="none"/>
                <w:lang w:val="en-US" w:eastAsia="zh-CN"/>
              </w:rPr>
              <w:t>00</w:t>
            </w:r>
            <w:r>
              <w:rPr>
                <w:rFonts w:hint="eastAsia" w:ascii="宋体" w:hAnsi="宋体" w:eastAsia="宋体" w:cs="宋体"/>
                <w:color w:val="0000FF"/>
                <w:sz w:val="24"/>
                <w:highlight w:val="none"/>
                <w:lang w:eastAsia="zh-CN"/>
              </w:rPr>
              <w:t>分</w:t>
            </w:r>
            <w:r>
              <w:rPr>
                <w:rFonts w:hint="eastAsia" w:ascii="宋体" w:hAnsi="宋体" w:cs="宋体"/>
                <w:color w:val="auto"/>
                <w:sz w:val="24"/>
                <w:highlight w:val="none"/>
                <w:lang w:val="en-US" w:eastAsia="zh-CN"/>
              </w:rPr>
              <w:t>(北京时间）</w:t>
            </w:r>
          </w:p>
          <w:p w14:paraId="45AF4F0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32B9141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5D653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332B978">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8750" w:type="dxa"/>
            <w:tcBorders>
              <w:top w:val="single" w:color="auto" w:sz="4" w:space="0"/>
              <w:left w:val="single" w:color="auto" w:sz="4" w:space="0"/>
              <w:bottom w:val="single" w:color="auto" w:sz="4" w:space="0"/>
              <w:right w:val="single" w:color="auto" w:sz="4" w:space="0"/>
            </w:tcBorders>
            <w:vAlign w:val="center"/>
          </w:tcPr>
          <w:p w14:paraId="3A2F5752">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评标办法：综合评分法</w:t>
            </w:r>
          </w:p>
        </w:tc>
      </w:tr>
      <w:tr w14:paraId="4169A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3F825F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750" w:type="dxa"/>
            <w:tcBorders>
              <w:top w:val="single" w:color="auto" w:sz="4" w:space="0"/>
              <w:left w:val="single" w:color="auto" w:sz="4" w:space="0"/>
              <w:bottom w:val="single" w:color="auto" w:sz="4" w:space="0"/>
              <w:right w:val="single" w:color="auto" w:sz="4" w:space="0"/>
            </w:tcBorders>
            <w:vAlign w:val="center"/>
          </w:tcPr>
          <w:p w14:paraId="61DE9183">
            <w:pPr>
              <w:autoSpaceDE w:val="0"/>
              <w:autoSpaceDN w:val="0"/>
              <w:snapToGrid w:val="0"/>
              <w:spacing w:line="360" w:lineRule="auto"/>
              <w:textAlignment w:val="bottom"/>
              <w:rPr>
                <w:rFonts w:hint="eastAsia" w:ascii="宋体" w:hAnsi="宋体" w:eastAsia="宋体" w:cs="宋体"/>
                <w:color w:val="auto"/>
                <w:sz w:val="24"/>
                <w:highlight w:val="none"/>
              </w:rPr>
            </w:pPr>
            <w:bookmarkStart w:id="138" w:name="_Toc457480905"/>
            <w:r>
              <w:rPr>
                <w:rFonts w:hint="eastAsia" w:ascii="宋体" w:hAnsi="宋体" w:eastAsia="宋体" w:cs="宋体"/>
                <w:color w:val="auto"/>
                <w:sz w:val="24"/>
                <w:highlight w:val="none"/>
              </w:rPr>
              <w:t>中标结果公告：自中标人确定之日起2个工作日内，中标结果公告于浙江省政府采购网</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http://zfcg.czt.zj.gov.cn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、东阳市公共资源交易网</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http://www.dongyang.gov.cn/ggzyjy/index.html)，公告1个工作日</w:t>
            </w:r>
            <w:bookmarkEnd w:id="138"/>
            <w:r>
              <w:rPr>
                <w:rFonts w:hint="eastAsia" w:ascii="宋体" w:hAnsi="宋体" w:eastAsia="宋体" w:cs="宋体"/>
                <w:color w:val="auto"/>
                <w:sz w:val="24"/>
                <w:highlight w:val="none"/>
              </w:rPr>
              <w:t>。</w:t>
            </w:r>
          </w:p>
        </w:tc>
      </w:tr>
      <w:tr w14:paraId="1FEB2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A30750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8750" w:type="dxa"/>
            <w:tcBorders>
              <w:top w:val="single" w:color="auto" w:sz="4" w:space="0"/>
              <w:left w:val="single" w:color="auto" w:sz="4" w:space="0"/>
              <w:bottom w:val="single" w:color="auto" w:sz="4" w:space="0"/>
              <w:right w:val="single" w:color="auto" w:sz="4" w:space="0"/>
            </w:tcBorders>
            <w:vAlign w:val="center"/>
          </w:tcPr>
          <w:p w14:paraId="44B04BDB">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6DEE6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613DF4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8750" w:type="dxa"/>
            <w:tcBorders>
              <w:top w:val="single" w:color="auto" w:sz="4" w:space="0"/>
              <w:left w:val="single" w:color="auto" w:sz="4" w:space="0"/>
              <w:bottom w:val="single" w:color="auto" w:sz="4" w:space="0"/>
              <w:right w:val="single" w:color="auto" w:sz="4" w:space="0"/>
            </w:tcBorders>
            <w:vAlign w:val="center"/>
          </w:tcPr>
          <w:p w14:paraId="4567842C">
            <w:pPr>
              <w:autoSpaceDE w:val="0"/>
              <w:autoSpaceDN w:val="0"/>
              <w:snapToGrid w:val="0"/>
              <w:spacing w:line="360" w:lineRule="auto"/>
              <w:textAlignment w:val="bottom"/>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rPr>
              <w:t>履约保证金：</w:t>
            </w:r>
            <w:r>
              <w:rPr>
                <w:rFonts w:hint="eastAsia" w:ascii="宋体" w:hAnsi="宋体" w:eastAsia="宋体" w:cs="宋体"/>
                <w:color w:val="auto"/>
                <w:sz w:val="24"/>
                <w:highlight w:val="none"/>
                <w:lang w:val="en-US" w:eastAsia="zh-CN"/>
              </w:rPr>
              <w:t>本项目不收取履约保证金</w:t>
            </w:r>
            <w:r>
              <w:rPr>
                <w:rFonts w:hint="eastAsia" w:ascii="宋体" w:hAnsi="宋体" w:cs="宋体"/>
                <w:color w:val="auto"/>
                <w:sz w:val="24"/>
                <w:highlight w:val="none"/>
                <w:lang w:val="en-US" w:eastAsia="zh-CN"/>
              </w:rPr>
              <w:t>。</w:t>
            </w:r>
          </w:p>
        </w:tc>
      </w:tr>
      <w:tr w14:paraId="1DAA5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F6CD849">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8750" w:type="dxa"/>
            <w:tcBorders>
              <w:top w:val="single" w:color="auto" w:sz="4" w:space="0"/>
              <w:left w:val="single" w:color="auto" w:sz="4" w:space="0"/>
              <w:bottom w:val="single" w:color="auto" w:sz="4" w:space="0"/>
              <w:right w:val="single" w:color="auto" w:sz="4" w:space="0"/>
            </w:tcBorders>
            <w:vAlign w:val="center"/>
          </w:tcPr>
          <w:p w14:paraId="5653AA59">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1、企业信用融资</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省财政厅、浙江银监局、省金融办制定了《浙江省政府采购支持中小企业信用融资试点办法》浙财采监</w:t>
            </w:r>
            <w:r>
              <w:rPr>
                <w:rFonts w:hint="eastAsia" w:ascii="宋体" w:hAnsi="宋体" w:cs="宋体"/>
                <w:color w:val="auto"/>
                <w:sz w:val="24"/>
                <w:highlight w:val="none"/>
                <w:lang w:eastAsia="zh-CN"/>
              </w:rPr>
              <w:t>〔2012〕13号）</w:t>
            </w:r>
            <w:r>
              <w:rPr>
                <w:rFonts w:hint="eastAsia" w:ascii="宋体" w:hAnsi="宋体" w:cs="宋体"/>
                <w:color w:val="auto"/>
                <w:sz w:val="24"/>
                <w:highlight w:val="none"/>
              </w:rPr>
              <w:t>，所称的政府采购信用融资，是指银行业金融机构</w:t>
            </w:r>
            <w:r>
              <w:rPr>
                <w:rFonts w:hint="eastAsia" w:ascii="宋体" w:hAnsi="宋体" w:cs="宋体"/>
                <w:color w:val="auto"/>
                <w:sz w:val="24"/>
                <w:highlight w:val="none"/>
                <w:lang w:eastAsia="zh-CN"/>
              </w:rPr>
              <w:t>（</w:t>
            </w:r>
            <w:r>
              <w:rPr>
                <w:rFonts w:hint="eastAsia" w:ascii="宋体" w:hAnsi="宋体" w:cs="宋体"/>
                <w:color w:val="auto"/>
                <w:sz w:val="24"/>
                <w:highlight w:val="none"/>
              </w:rPr>
              <w:t>以下简称银行</w:t>
            </w:r>
            <w:r>
              <w:rPr>
                <w:rFonts w:hint="eastAsia" w:ascii="宋体" w:hAnsi="宋体" w:cs="宋体"/>
                <w:color w:val="auto"/>
                <w:sz w:val="24"/>
                <w:highlight w:val="none"/>
                <w:lang w:eastAsia="zh-CN"/>
              </w:rPr>
              <w:t>）</w:t>
            </w:r>
            <w:r>
              <w:rPr>
                <w:rFonts w:hint="eastAsia" w:ascii="宋体" w:hAnsi="宋体" w:cs="宋体"/>
                <w:color w:val="auto"/>
                <w:sz w:val="24"/>
                <w:highlight w:val="none"/>
              </w:rPr>
              <w:t>以政府采购诚信考核和信用审查为基础，凭借政府采购合同，按优于一般中小企业的贷款利率直接向申请贷款的投标人发放贷款的一种融资方式。投标人可登录浙江政府采购网</w:t>
            </w:r>
            <w:r>
              <w:rPr>
                <w:rFonts w:hint="eastAsia" w:ascii="宋体" w:hAnsi="宋体" w:cs="宋体"/>
                <w:color w:val="auto"/>
                <w:sz w:val="24"/>
                <w:highlight w:val="none"/>
                <w:lang w:eastAsia="zh-CN"/>
              </w:rPr>
              <w:t>（</w:t>
            </w:r>
            <w:r>
              <w:rPr>
                <w:rFonts w:hint="eastAsia" w:ascii="宋体" w:hAnsi="宋体" w:cs="宋体"/>
                <w:color w:val="auto"/>
                <w:sz w:val="24"/>
                <w:highlight w:val="none"/>
              </w:rPr>
              <w:t>http://zfcg.czt.zj.gov.cn</w:t>
            </w:r>
            <w:r>
              <w:rPr>
                <w:rFonts w:hint="eastAsia" w:ascii="宋体" w:hAnsi="宋体" w:cs="宋体"/>
                <w:color w:val="auto"/>
                <w:sz w:val="24"/>
                <w:highlight w:val="none"/>
                <w:lang w:eastAsia="zh-CN"/>
              </w:rPr>
              <w:t>)</w:t>
            </w:r>
            <w:r>
              <w:rPr>
                <w:rFonts w:hint="eastAsia" w:ascii="宋体" w:hAnsi="宋体" w:cs="宋体"/>
                <w:color w:val="auto"/>
                <w:sz w:val="24"/>
                <w:highlight w:val="none"/>
              </w:rPr>
              <w:t>的中小企业信用融资栏目了解相关信息。 供应商可以通过浙江政府采购网</w:t>
            </w:r>
            <w:r>
              <w:rPr>
                <w:rFonts w:hint="eastAsia" w:ascii="宋体" w:hAnsi="宋体" w:cs="宋体"/>
                <w:color w:val="auto"/>
                <w:sz w:val="24"/>
                <w:highlight w:val="none"/>
                <w:lang w:eastAsia="zh-CN"/>
              </w:rPr>
              <w:t>（</w:t>
            </w:r>
            <w:r>
              <w:rPr>
                <w:rFonts w:hint="eastAsia" w:ascii="宋体" w:hAnsi="宋体" w:cs="宋体"/>
                <w:color w:val="auto"/>
                <w:sz w:val="24"/>
                <w:highlight w:val="none"/>
              </w:rPr>
              <w:t>http://zfcg.czt.zj.gov.cn</w:t>
            </w:r>
            <w:r>
              <w:rPr>
                <w:rFonts w:hint="eastAsia" w:ascii="宋体" w:hAnsi="宋体" w:cs="宋体"/>
                <w:color w:val="auto"/>
                <w:sz w:val="24"/>
                <w:highlight w:val="none"/>
                <w:lang w:eastAsia="zh-CN"/>
              </w:rPr>
              <w:t>)</w:t>
            </w:r>
            <w:r>
              <w:rPr>
                <w:rFonts w:hint="eastAsia" w:ascii="宋体" w:hAnsi="宋体" w:cs="宋体"/>
                <w:color w:val="auto"/>
                <w:sz w:val="24"/>
                <w:highlight w:val="none"/>
              </w:rPr>
              <w:t>首页的“浙江政采贷”模块进入申请，还可以通过政府采购云平台</w:t>
            </w:r>
            <w:r>
              <w:rPr>
                <w:rFonts w:hint="eastAsia" w:ascii="宋体" w:hAnsi="宋体" w:cs="宋体"/>
                <w:color w:val="auto"/>
                <w:sz w:val="24"/>
                <w:highlight w:val="none"/>
                <w:lang w:eastAsia="zh-CN"/>
              </w:rPr>
              <w:t>（</w:t>
            </w:r>
            <w:r>
              <w:rPr>
                <w:rFonts w:hint="eastAsia" w:ascii="宋体" w:hAnsi="宋体" w:cs="宋体"/>
                <w:color w:val="auto"/>
                <w:sz w:val="24"/>
                <w:highlight w:val="none"/>
              </w:rPr>
              <w:t>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首页的“金融服务”模块进入申请。</w:t>
            </w:r>
          </w:p>
          <w:p w14:paraId="0D6B9CC4">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2DA947AE">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浙商银行金华东阳支行联系人：许燕  联系电话：13967983441  0579-86222992</w:t>
            </w:r>
          </w:p>
        </w:tc>
      </w:tr>
      <w:tr w14:paraId="2CBAB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DA8A83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8750" w:type="dxa"/>
            <w:tcBorders>
              <w:top w:val="single" w:color="auto" w:sz="4" w:space="0"/>
              <w:left w:val="single" w:color="auto" w:sz="4" w:space="0"/>
              <w:bottom w:val="single" w:color="auto" w:sz="4" w:space="0"/>
              <w:right w:val="single" w:color="auto" w:sz="4" w:space="0"/>
            </w:tcBorders>
            <w:vAlign w:val="center"/>
          </w:tcPr>
          <w:p w14:paraId="2F7D4698">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签订合同时间：发出《中标通知书》之日起</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0天内。</w:t>
            </w:r>
          </w:p>
        </w:tc>
      </w:tr>
      <w:tr w14:paraId="3D8FE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86DFB9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8750" w:type="dxa"/>
            <w:tcBorders>
              <w:top w:val="single" w:color="auto" w:sz="4" w:space="0"/>
              <w:left w:val="single" w:color="auto" w:sz="4" w:space="0"/>
              <w:bottom w:val="single" w:color="auto" w:sz="4" w:space="0"/>
              <w:right w:val="single" w:color="auto" w:sz="4" w:space="0"/>
            </w:tcBorders>
            <w:vAlign w:val="center"/>
          </w:tcPr>
          <w:p w14:paraId="20732968">
            <w:pPr>
              <w:autoSpaceDE w:val="0"/>
              <w:autoSpaceDN w:val="0"/>
              <w:snapToGrid w:val="0"/>
              <w:spacing w:line="360" w:lineRule="auto"/>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中标人与</w:t>
            </w:r>
            <w:r>
              <w:rPr>
                <w:rFonts w:hint="eastAsia" w:ascii="宋体" w:hAnsi="宋体" w:cs="宋体"/>
                <w:color w:val="auto"/>
                <w:sz w:val="24"/>
                <w:highlight w:val="none"/>
                <w:lang w:eastAsia="zh-CN"/>
              </w:rPr>
              <w:t>东阳市发展和改革局</w:t>
            </w:r>
            <w:r>
              <w:rPr>
                <w:rFonts w:hint="eastAsia" w:ascii="宋体" w:hAnsi="宋体" w:eastAsia="宋体" w:cs="宋体"/>
                <w:color w:val="auto"/>
                <w:sz w:val="24"/>
                <w:highlight w:val="none"/>
                <w:lang w:eastAsia="zh-CN"/>
              </w:rPr>
              <w:t>签订政府采购合同</w:t>
            </w:r>
            <w:r>
              <w:rPr>
                <w:rFonts w:hint="eastAsia" w:ascii="宋体" w:hAnsi="宋体" w:cs="宋体"/>
                <w:color w:val="auto"/>
                <w:sz w:val="24"/>
                <w:highlight w:val="none"/>
                <w:lang w:eastAsia="zh-CN"/>
              </w:rPr>
              <w:t>。</w:t>
            </w:r>
          </w:p>
        </w:tc>
      </w:tr>
      <w:tr w14:paraId="3795C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5887E70">
            <w:pPr>
              <w:snapToGrid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6</w:t>
            </w:r>
          </w:p>
        </w:tc>
        <w:tc>
          <w:tcPr>
            <w:tcW w:w="8750" w:type="dxa"/>
            <w:tcBorders>
              <w:top w:val="single" w:color="auto" w:sz="4" w:space="0"/>
              <w:left w:val="single" w:color="auto" w:sz="4" w:space="0"/>
              <w:bottom w:val="single" w:color="auto" w:sz="4" w:space="0"/>
              <w:right w:val="single" w:color="auto" w:sz="4" w:space="0"/>
            </w:tcBorders>
            <w:vAlign w:val="center"/>
          </w:tcPr>
          <w:p w14:paraId="2F5C1CE8">
            <w:pPr>
              <w:autoSpaceDE/>
              <w:autoSpaceDN/>
              <w:snapToGrid/>
              <w:spacing w:line="44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付款方式：</w:t>
            </w:r>
          </w:p>
          <w:p w14:paraId="0389E15F">
            <w:pPr>
              <w:spacing w:line="480" w:lineRule="exact"/>
              <w:ind w:firstLine="480" w:firstLineChars="200"/>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1.</w:t>
            </w:r>
            <w:r>
              <w:rPr>
                <w:rFonts w:hint="eastAsia" w:ascii="宋体" w:hAnsi="宋体" w:eastAsia="宋体" w:cs="宋体"/>
                <w:color w:val="auto"/>
                <w:sz w:val="24"/>
                <w:highlight w:val="none"/>
                <w:lang w:val="en-US" w:eastAsia="zh-CN"/>
              </w:rPr>
              <w:t>签订合同以及具备付款条件后7个工作日内采购人支付</w:t>
            </w:r>
            <w:r>
              <w:rPr>
                <w:rFonts w:hint="eastAsia" w:ascii="宋体" w:hAnsi="宋体" w:eastAsia="宋体" w:cs="仿宋_GB2312"/>
                <w:color w:val="auto"/>
                <w:sz w:val="24"/>
                <w:highlight w:val="none"/>
              </w:rPr>
              <w:t>总价的</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0%（采购人根据项目特点、供应商诚信等因素，可以要求中标人提交预付款保函）</w:t>
            </w:r>
            <w:r>
              <w:rPr>
                <w:rFonts w:hint="eastAsia" w:ascii="宋体" w:hAnsi="宋体" w:cs="宋体"/>
                <w:color w:val="auto"/>
                <w:sz w:val="24"/>
                <w:highlight w:val="none"/>
                <w:lang w:val="en-US" w:eastAsia="zh-CN"/>
              </w:rPr>
              <w:t>，在签订合同时，乙方明确表示无需预付款或者主动要求降低预付款比例的，甲方可不支付或减少预付款支付比例；</w:t>
            </w:r>
          </w:p>
          <w:p w14:paraId="2C1D1C66">
            <w:pPr>
              <w:spacing w:line="480" w:lineRule="exact"/>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2.</w:t>
            </w:r>
            <w:r>
              <w:rPr>
                <w:rFonts w:hint="eastAsia" w:ascii="宋体" w:hAnsi="宋体" w:eastAsia="宋体" w:cs="仿宋_GB2312"/>
                <w:color w:val="auto"/>
                <w:sz w:val="24"/>
                <w:highlight w:val="none"/>
              </w:rPr>
              <w:t>提交</w:t>
            </w:r>
            <w:r>
              <w:rPr>
                <w:rFonts w:hint="eastAsia" w:ascii="宋体" w:hAnsi="宋体" w:eastAsia="宋体" w:cs="仿宋_GB2312"/>
                <w:color w:val="auto"/>
                <w:sz w:val="24"/>
                <w:highlight w:val="none"/>
                <w:lang w:val="en-US" w:eastAsia="zh-CN"/>
              </w:rPr>
              <w:t>思路送审</w:t>
            </w:r>
            <w:r>
              <w:rPr>
                <w:rFonts w:hint="eastAsia" w:ascii="宋体" w:hAnsi="宋体" w:eastAsia="宋体" w:cs="仿宋_GB2312"/>
                <w:color w:val="auto"/>
                <w:sz w:val="24"/>
                <w:highlight w:val="none"/>
              </w:rPr>
              <w:t>稿后并收到乙方正式纸质发票之日起</w:t>
            </w:r>
            <w:r>
              <w:rPr>
                <w:rFonts w:hint="eastAsia" w:ascii="宋体" w:hAnsi="宋体" w:eastAsia="宋体" w:cs="仿宋_GB2312"/>
                <w:color w:val="auto"/>
                <w:sz w:val="24"/>
                <w:highlight w:val="none"/>
                <w:lang w:val="en-US" w:eastAsia="zh-CN"/>
              </w:rPr>
              <w:t>7</w:t>
            </w:r>
            <w:r>
              <w:rPr>
                <w:rFonts w:hint="eastAsia" w:ascii="宋体" w:hAnsi="宋体" w:eastAsia="宋体" w:cs="仿宋_GB2312"/>
                <w:color w:val="auto"/>
                <w:sz w:val="24"/>
                <w:highlight w:val="none"/>
              </w:rPr>
              <w:t>个工作日内，支付总价的</w:t>
            </w:r>
            <w:r>
              <w:rPr>
                <w:rFonts w:hint="eastAsia" w:ascii="宋体" w:hAnsi="宋体" w:eastAsia="宋体" w:cs="仿宋_GB2312"/>
                <w:color w:val="auto"/>
                <w:sz w:val="24"/>
                <w:highlight w:val="none"/>
                <w:lang w:val="en-US" w:eastAsia="zh-CN"/>
              </w:rPr>
              <w:t>3</w:t>
            </w:r>
            <w:r>
              <w:rPr>
                <w:rFonts w:hint="eastAsia" w:ascii="宋体" w:hAnsi="宋体" w:cs="仿宋_GB2312"/>
                <w:color w:val="auto"/>
                <w:sz w:val="24"/>
                <w:highlight w:val="none"/>
                <w:lang w:val="en-US" w:eastAsia="zh-CN"/>
              </w:rPr>
              <w:t>0</w:t>
            </w:r>
            <w:r>
              <w:rPr>
                <w:rFonts w:hint="eastAsia" w:ascii="宋体" w:hAnsi="宋体" w:eastAsia="宋体" w:cs="仿宋_GB2312"/>
                <w:color w:val="auto"/>
                <w:sz w:val="24"/>
                <w:highlight w:val="none"/>
              </w:rPr>
              <w:t>%；</w:t>
            </w:r>
          </w:p>
          <w:p w14:paraId="57A618FE">
            <w:pPr>
              <w:spacing w:line="480" w:lineRule="exact"/>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3.</w:t>
            </w:r>
            <w:r>
              <w:rPr>
                <w:rFonts w:hint="eastAsia" w:ascii="宋体" w:hAnsi="宋体" w:eastAsia="宋体" w:cs="仿宋_GB2312"/>
                <w:color w:val="auto"/>
                <w:sz w:val="24"/>
                <w:highlight w:val="none"/>
              </w:rPr>
              <w:t>甲方认定乙方提交的</w:t>
            </w:r>
            <w:r>
              <w:rPr>
                <w:rFonts w:hint="eastAsia" w:ascii="宋体" w:hAnsi="宋体" w:eastAsia="宋体" w:cs="仿宋_GB2312"/>
                <w:color w:val="auto"/>
                <w:sz w:val="24"/>
                <w:highlight w:val="none"/>
                <w:lang w:val="en-US" w:eastAsia="zh-CN"/>
              </w:rPr>
              <w:t>纲要</w:t>
            </w:r>
            <w:r>
              <w:rPr>
                <w:rFonts w:hint="eastAsia" w:ascii="宋体" w:hAnsi="宋体" w:eastAsia="宋体" w:cs="仿宋_GB2312"/>
                <w:color w:val="auto"/>
                <w:sz w:val="24"/>
                <w:highlight w:val="none"/>
              </w:rPr>
              <w:t>成果</w:t>
            </w:r>
            <w:r>
              <w:rPr>
                <w:rFonts w:hint="eastAsia" w:ascii="宋体" w:hAnsi="宋体" w:eastAsia="宋体" w:cs="仿宋_GB2312"/>
                <w:color w:val="auto"/>
                <w:sz w:val="24"/>
                <w:highlight w:val="none"/>
                <w:lang w:val="en-US" w:eastAsia="zh-CN"/>
              </w:rPr>
              <w:t>稿</w:t>
            </w:r>
            <w:r>
              <w:rPr>
                <w:rFonts w:hint="eastAsia" w:ascii="宋体" w:hAnsi="宋体" w:eastAsia="宋体" w:cs="仿宋_GB2312"/>
                <w:color w:val="auto"/>
                <w:sz w:val="24"/>
                <w:highlight w:val="none"/>
              </w:rPr>
              <w:t>达到验收标准后并收到乙方正式纸质发票之日起</w:t>
            </w:r>
            <w:r>
              <w:rPr>
                <w:rFonts w:hint="eastAsia" w:ascii="宋体" w:hAnsi="宋体" w:eastAsia="宋体" w:cs="仿宋_GB2312"/>
                <w:color w:val="auto"/>
                <w:sz w:val="24"/>
                <w:highlight w:val="none"/>
                <w:lang w:val="en-US" w:eastAsia="zh-CN"/>
              </w:rPr>
              <w:t>7</w:t>
            </w:r>
            <w:r>
              <w:rPr>
                <w:rFonts w:hint="eastAsia" w:ascii="宋体" w:hAnsi="宋体" w:eastAsia="宋体" w:cs="仿宋_GB2312"/>
                <w:color w:val="auto"/>
                <w:sz w:val="24"/>
                <w:highlight w:val="none"/>
              </w:rPr>
              <w:t>个工作日内，支付总价的</w:t>
            </w:r>
            <w:r>
              <w:rPr>
                <w:rFonts w:hint="eastAsia" w:ascii="宋体" w:hAnsi="宋体" w:eastAsia="宋体" w:cs="仿宋_GB2312"/>
                <w:color w:val="auto"/>
                <w:sz w:val="24"/>
                <w:highlight w:val="none"/>
                <w:lang w:val="en-US" w:eastAsia="zh-CN"/>
              </w:rPr>
              <w:t>3</w:t>
            </w:r>
            <w:r>
              <w:rPr>
                <w:rFonts w:hint="eastAsia" w:ascii="宋体" w:hAnsi="宋体" w:eastAsia="宋体" w:cs="仿宋_GB2312"/>
                <w:color w:val="auto"/>
                <w:sz w:val="24"/>
                <w:highlight w:val="none"/>
              </w:rPr>
              <w:t>0%。</w:t>
            </w:r>
          </w:p>
          <w:p w14:paraId="1F338E18">
            <w:pPr>
              <w:snapToGrid/>
              <w:spacing w:line="480" w:lineRule="exact"/>
              <w:ind w:firstLine="480" w:firstLineChars="200"/>
              <w:jc w:val="left"/>
              <w:rPr>
                <w:rFonts w:hint="eastAsia" w:ascii="宋体" w:hAnsi="宋体" w:cs="仿宋_GB2312"/>
                <w:bCs w:val="0"/>
                <w:color w:val="auto"/>
                <w:sz w:val="24"/>
                <w:highlight w:val="none"/>
              </w:rPr>
            </w:pPr>
            <w:r>
              <w:rPr>
                <w:rFonts w:hint="eastAsia" w:ascii="宋体" w:hAnsi="宋体" w:cs="宋体"/>
                <w:color w:val="auto"/>
                <w:sz w:val="24"/>
                <w:szCs w:val="24"/>
                <w:highlight w:val="none"/>
                <w:lang w:eastAsia="zh-CN"/>
              </w:rPr>
              <w:t>思路和纲要研究成果验收时，</w:t>
            </w:r>
            <w:r>
              <w:rPr>
                <w:rFonts w:hint="eastAsia" w:ascii="宋体" w:hAnsi="宋体" w:cs="仿宋_GB2312"/>
                <w:bCs w:val="0"/>
                <w:color w:val="auto"/>
                <w:sz w:val="24"/>
                <w:highlight w:val="none"/>
              </w:rPr>
              <w:t>供应商应提供项目服务实施文档等验收材料</w:t>
            </w:r>
            <w:r>
              <w:rPr>
                <w:rFonts w:hint="eastAsia" w:ascii="宋体" w:hAnsi="宋体" w:cs="仿宋_GB2312"/>
                <w:bCs w:val="0"/>
                <w:color w:val="auto"/>
                <w:sz w:val="24"/>
                <w:highlight w:val="none"/>
                <w:lang w:eastAsia="zh-CN"/>
              </w:rPr>
              <w:t>。</w:t>
            </w:r>
            <w:r>
              <w:rPr>
                <w:rFonts w:hint="eastAsia" w:ascii="宋体" w:hAnsi="宋体" w:cs="仿宋_GB2312"/>
                <w:bCs w:val="0"/>
                <w:color w:val="auto"/>
                <w:sz w:val="24"/>
                <w:highlight w:val="none"/>
              </w:rPr>
              <w:t>由采购人组织整体项目验收</w:t>
            </w:r>
            <w:r>
              <w:rPr>
                <w:rFonts w:hint="eastAsia" w:ascii="宋体" w:hAnsi="宋体" w:cs="仿宋_GB2312"/>
                <w:bCs w:val="0"/>
                <w:color w:val="auto"/>
                <w:sz w:val="24"/>
                <w:highlight w:val="none"/>
                <w:lang w:eastAsia="zh-CN"/>
              </w:rPr>
              <w:t>，</w:t>
            </w:r>
            <w:r>
              <w:rPr>
                <w:rFonts w:hint="eastAsia" w:ascii="宋体" w:hAnsi="宋体" w:cs="仿宋_GB2312"/>
                <w:bCs w:val="0"/>
                <w:color w:val="auto"/>
                <w:sz w:val="24"/>
                <w:highlight w:val="none"/>
              </w:rPr>
              <w:t>如果验收不达标并且在超过约定交货时间10天内仍然无法达到要求的，视为中标人虚假应标或无能力提供本项目采购服务，采购人有权立即解除合同和取消中标人资格。验收过程产生费用由中标人负责。</w:t>
            </w:r>
          </w:p>
          <w:p w14:paraId="56F5A51D">
            <w:pPr>
              <w:snapToGrid/>
              <w:spacing w:line="480" w:lineRule="exact"/>
              <w:ind w:firstLine="480" w:firstLineChars="200"/>
              <w:jc w:val="left"/>
              <w:rPr>
                <w:rFonts w:hint="eastAsia"/>
                <w:color w:val="auto"/>
                <w:highlight w:val="none"/>
              </w:rPr>
            </w:pPr>
            <w:r>
              <w:rPr>
                <w:rFonts w:hint="eastAsia" w:ascii="宋体" w:hAnsi="宋体" w:cs="仿宋_GB2312"/>
                <w:bCs w:val="0"/>
                <w:color w:val="auto"/>
                <w:sz w:val="24"/>
                <w:highlight w:val="none"/>
                <w:lang w:val="en-US" w:eastAsia="zh-CN"/>
              </w:rPr>
              <w:t>4.</w:t>
            </w:r>
            <w:r>
              <w:rPr>
                <w:rFonts w:hint="eastAsia" w:ascii="宋体" w:hAnsi="宋体" w:cs="仿宋_GB2312"/>
                <w:bCs w:val="0"/>
                <w:color w:val="auto"/>
                <w:sz w:val="24"/>
                <w:highlight w:val="none"/>
              </w:rPr>
              <w:t>按采购人要求提供结算资料及合法的税务发票。</w:t>
            </w:r>
          </w:p>
        </w:tc>
      </w:tr>
      <w:tr w14:paraId="7B6AC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112440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8750" w:type="dxa"/>
            <w:tcBorders>
              <w:top w:val="single" w:color="auto" w:sz="4" w:space="0"/>
              <w:left w:val="single" w:color="auto" w:sz="4" w:space="0"/>
              <w:bottom w:val="single" w:color="auto" w:sz="4" w:space="0"/>
              <w:right w:val="single" w:color="auto" w:sz="4" w:space="0"/>
            </w:tcBorders>
            <w:vAlign w:val="center"/>
          </w:tcPr>
          <w:p w14:paraId="57586E80">
            <w:pPr>
              <w:autoSpaceDE/>
              <w:autoSpaceDN/>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项目服务地点：东阳市内，采购人指定的地点。</w:t>
            </w:r>
          </w:p>
          <w:p w14:paraId="46534680">
            <w:pPr>
              <w:snapToGrid/>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验收：</w:t>
            </w:r>
            <w:r>
              <w:rPr>
                <w:rFonts w:hint="default" w:ascii="Times New Roman" w:hAnsi="Times New Roman"/>
                <w:bCs/>
                <w:color w:val="auto"/>
                <w:sz w:val="24"/>
                <w:highlight w:val="none"/>
              </w:rPr>
              <w:t>由采购方组织相关专家，对提供服务方提供的</w:t>
            </w:r>
            <w:r>
              <w:rPr>
                <w:rFonts w:hint="default" w:ascii="Times New Roman" w:hAnsi="Times New Roman"/>
                <w:bCs/>
                <w:color w:val="auto"/>
                <w:sz w:val="24"/>
                <w:highlight w:val="none"/>
                <w:lang w:eastAsia="zh-CN"/>
              </w:rPr>
              <w:t>东阳</w:t>
            </w:r>
            <w:r>
              <w:rPr>
                <w:rFonts w:hint="default" w:ascii="Times New Roman" w:hAnsi="Times New Roman"/>
                <w:bCs/>
                <w:color w:val="auto"/>
                <w:sz w:val="24"/>
                <w:highlight w:val="none"/>
              </w:rPr>
              <w:t>市</w:t>
            </w:r>
            <w:r>
              <w:rPr>
                <w:rFonts w:ascii="Times New Roman" w:hAnsi="Times New Roman"/>
                <w:bCs/>
                <w:color w:val="auto"/>
                <w:sz w:val="24"/>
                <w:highlight w:val="none"/>
              </w:rPr>
              <w:t>“</w:t>
            </w:r>
            <w:r>
              <w:rPr>
                <w:rFonts w:hint="default" w:ascii="Times New Roman" w:hAnsi="Times New Roman"/>
                <w:bCs/>
                <w:color w:val="auto"/>
                <w:sz w:val="24"/>
                <w:highlight w:val="none"/>
              </w:rPr>
              <w:t>十五五</w:t>
            </w:r>
            <w:r>
              <w:rPr>
                <w:rFonts w:hint="default" w:ascii="Times New Roman" w:hAnsi="Times New Roman"/>
                <w:bCs/>
                <w:color w:val="auto"/>
                <w:sz w:val="24"/>
                <w:highlight w:val="none"/>
                <w:lang w:val="en-US" w:eastAsia="zh-CN"/>
              </w:rPr>
              <w:t>”</w:t>
            </w:r>
            <w:r>
              <w:rPr>
                <w:rFonts w:hint="default" w:ascii="Times New Roman" w:hAnsi="Times New Roman"/>
                <w:bCs/>
                <w:color w:val="auto"/>
                <w:sz w:val="24"/>
                <w:highlight w:val="none"/>
              </w:rPr>
              <w:t>规划</w:t>
            </w:r>
            <w:r>
              <w:rPr>
                <w:rFonts w:ascii="Times New Roman" w:hAnsi="Times New Roman"/>
                <w:bCs/>
                <w:color w:val="auto"/>
                <w:sz w:val="24"/>
                <w:highlight w:val="none"/>
              </w:rPr>
              <w:t>基本思路研究报告</w:t>
            </w:r>
            <w:r>
              <w:rPr>
                <w:rFonts w:hint="default" w:ascii="Times New Roman" w:hAnsi="Times New Roman"/>
                <w:bCs/>
                <w:color w:val="auto"/>
                <w:sz w:val="24"/>
                <w:highlight w:val="none"/>
              </w:rPr>
              <w:t>、规划纲要进行评审</w:t>
            </w:r>
            <w:r>
              <w:rPr>
                <w:rFonts w:hint="eastAsia" w:ascii="Times New Roman" w:hAnsi="Times New Roman"/>
                <w:bCs/>
                <w:color w:val="auto"/>
                <w:sz w:val="24"/>
                <w:highlight w:val="none"/>
                <w:lang w:eastAsia="zh-CN"/>
              </w:rPr>
              <w:t>，并提交市人代会审议通过。</w:t>
            </w:r>
          </w:p>
        </w:tc>
      </w:tr>
      <w:tr w14:paraId="7F59F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867069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8</w:t>
            </w:r>
          </w:p>
        </w:tc>
        <w:tc>
          <w:tcPr>
            <w:tcW w:w="8750" w:type="dxa"/>
            <w:tcBorders>
              <w:top w:val="single" w:color="auto" w:sz="4" w:space="0"/>
              <w:left w:val="single" w:color="auto" w:sz="4" w:space="0"/>
              <w:bottom w:val="single" w:color="auto" w:sz="4" w:space="0"/>
              <w:right w:val="single" w:color="auto" w:sz="4" w:space="0"/>
            </w:tcBorders>
            <w:vAlign w:val="center"/>
          </w:tcPr>
          <w:p w14:paraId="0BF0CB72">
            <w:pPr>
              <w:snapToGrid w:val="0"/>
              <w:spacing w:before="120" w:beforeLines="50" w:line="360" w:lineRule="auto"/>
              <w:outlineLvl w:val="2"/>
              <w:rPr>
                <w:rFonts w:hint="eastAsia" w:ascii="宋体" w:hAnsi="宋体"/>
                <w:b/>
                <w:color w:val="auto"/>
                <w:sz w:val="24"/>
                <w:highlight w:val="none"/>
              </w:rPr>
            </w:pPr>
            <w:r>
              <w:rPr>
                <w:rFonts w:hint="eastAsia" w:ascii="宋体" w:hAnsi="宋体"/>
                <w:b/>
                <w:color w:val="auto"/>
                <w:sz w:val="24"/>
                <w:highlight w:val="none"/>
              </w:rPr>
              <w:t>供应商有下列情形之一的，列入失信名单，同时依照《</w:t>
            </w:r>
            <w:r>
              <w:rPr>
                <w:rFonts w:hint="eastAsia" w:ascii="宋体" w:hAnsi="宋体"/>
                <w:b/>
                <w:color w:val="auto"/>
                <w:sz w:val="24"/>
                <w:highlight w:val="none"/>
                <w:lang w:eastAsia="zh-CN"/>
              </w:rPr>
              <w:t>中华人民共和国政府采购法</w:t>
            </w:r>
            <w:r>
              <w:rPr>
                <w:rFonts w:hint="eastAsia" w:ascii="宋体" w:hAnsi="宋体"/>
                <w:b/>
                <w:color w:val="auto"/>
                <w:sz w:val="24"/>
                <w:highlight w:val="none"/>
              </w:rPr>
              <w:t>》第七十七条及《中华人民共和国政府采购法实施条例》第七十二条规定处罚并追</w:t>
            </w:r>
            <w:r>
              <w:rPr>
                <w:rFonts w:hint="eastAsia" w:ascii="宋体" w:hAnsi="宋体"/>
                <w:b/>
                <w:color w:val="auto"/>
                <w:sz w:val="24"/>
                <w:highlight w:val="none"/>
                <w:lang w:eastAsia="zh-CN"/>
              </w:rPr>
              <w:t>究</w:t>
            </w:r>
            <w:r>
              <w:rPr>
                <w:rFonts w:hint="eastAsia" w:ascii="宋体" w:hAnsi="宋体"/>
                <w:b/>
                <w:color w:val="auto"/>
                <w:sz w:val="24"/>
                <w:highlight w:val="none"/>
              </w:rPr>
              <w:t>法律责任。</w:t>
            </w:r>
          </w:p>
          <w:p w14:paraId="34843BE6">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1、提供虚假材料谋取中标、成交的； </w:t>
            </w:r>
          </w:p>
          <w:p w14:paraId="30B8CA0F">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2、采取不正当手段诋毁、排挤其他供应商的； </w:t>
            </w:r>
          </w:p>
          <w:p w14:paraId="40733633">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3、与采购人、其他供应商或者采购代理机构恶意串通的； </w:t>
            </w:r>
          </w:p>
          <w:p w14:paraId="238FF595">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4、向采购人、采购代理机构行贿或者提供其他不正当利益的； </w:t>
            </w:r>
          </w:p>
          <w:p w14:paraId="2CB4848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6001AA29">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30F46DB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1755778E">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8、未按照采购文件确定的事项签订政府采购合同；</w:t>
            </w:r>
          </w:p>
          <w:p w14:paraId="05E329D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9、将政府采购合同转包；</w:t>
            </w:r>
          </w:p>
          <w:p w14:paraId="5D2FF78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10、提供假冒伪劣产品；</w:t>
            </w:r>
          </w:p>
          <w:p w14:paraId="49070B38">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11、擅自变更、中止或者终止政府采购合同。</w:t>
            </w:r>
          </w:p>
          <w:p w14:paraId="6465DB38">
            <w:pPr>
              <w:snapToGrid w:val="0"/>
              <w:spacing w:line="360" w:lineRule="auto"/>
              <w:rPr>
                <w:rFonts w:hint="eastAsia" w:ascii="宋体" w:hAnsi="宋体" w:eastAsia="宋体" w:cs="宋体"/>
                <w:color w:val="auto"/>
                <w:sz w:val="24"/>
                <w:highlight w:val="none"/>
              </w:rPr>
            </w:pPr>
            <w:r>
              <w:rPr>
                <w:rFonts w:hint="eastAsia" w:ascii="宋体" w:hAnsi="宋体"/>
                <w:color w:val="auto"/>
                <w:sz w:val="24"/>
                <w:highlight w:val="none"/>
              </w:rPr>
              <w:t>12、其他严重扰乱招投标程序的。</w:t>
            </w:r>
          </w:p>
        </w:tc>
      </w:tr>
      <w:tr w14:paraId="42A4D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91C00C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8750" w:type="dxa"/>
            <w:tcBorders>
              <w:top w:val="single" w:color="auto" w:sz="4" w:space="0"/>
              <w:left w:val="single" w:color="auto" w:sz="4" w:space="0"/>
              <w:bottom w:val="single" w:color="auto" w:sz="4" w:space="0"/>
              <w:right w:val="single" w:color="auto" w:sz="4" w:space="0"/>
            </w:tcBorders>
            <w:vAlign w:val="center"/>
          </w:tcPr>
          <w:p w14:paraId="28E7268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投标文件有效期：</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w:t>
            </w:r>
          </w:p>
        </w:tc>
      </w:tr>
      <w:tr w14:paraId="199A8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D51779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8750" w:type="dxa"/>
            <w:tcBorders>
              <w:top w:val="single" w:color="auto" w:sz="4" w:space="0"/>
              <w:left w:val="single" w:color="auto" w:sz="4" w:space="0"/>
              <w:bottom w:val="single" w:color="auto" w:sz="4" w:space="0"/>
              <w:right w:val="single" w:color="auto" w:sz="4" w:space="0"/>
            </w:tcBorders>
            <w:vAlign w:val="center"/>
          </w:tcPr>
          <w:p w14:paraId="790315C0">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招标方对投标人的落选不作出任何解释。</w:t>
            </w:r>
          </w:p>
        </w:tc>
      </w:tr>
      <w:tr w14:paraId="6DE63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DBCFD6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8750" w:type="dxa"/>
            <w:tcBorders>
              <w:top w:val="single" w:color="auto" w:sz="4" w:space="0"/>
              <w:left w:val="single" w:color="auto" w:sz="4" w:space="0"/>
              <w:bottom w:val="single" w:color="auto" w:sz="4" w:space="0"/>
              <w:right w:val="single" w:color="auto" w:sz="4" w:space="0"/>
            </w:tcBorders>
            <w:vAlign w:val="center"/>
          </w:tcPr>
          <w:p w14:paraId="104B784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0EE9D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FF461B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8750" w:type="dxa"/>
            <w:tcBorders>
              <w:top w:val="single" w:color="auto" w:sz="4" w:space="0"/>
              <w:left w:val="single" w:color="auto" w:sz="4" w:space="0"/>
              <w:bottom w:val="single" w:color="auto" w:sz="4" w:space="0"/>
              <w:right w:val="single" w:color="auto" w:sz="4" w:space="0"/>
            </w:tcBorders>
            <w:vAlign w:val="center"/>
          </w:tcPr>
          <w:p w14:paraId="2623183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解释：本招标文件的解释权属于</w:t>
            </w:r>
            <w:r>
              <w:rPr>
                <w:rFonts w:hint="eastAsia" w:ascii="宋体" w:hAnsi="宋体" w:cs="宋体"/>
                <w:color w:val="auto"/>
                <w:sz w:val="24"/>
                <w:highlight w:val="none"/>
                <w:lang w:eastAsia="zh-CN"/>
              </w:rPr>
              <w:t>浙江鼎峰工程咨询有限公司</w:t>
            </w:r>
            <w:r>
              <w:rPr>
                <w:rFonts w:hint="eastAsia" w:ascii="宋体" w:hAnsi="宋体" w:eastAsia="宋体" w:cs="宋体"/>
                <w:color w:val="auto"/>
                <w:sz w:val="24"/>
                <w:highlight w:val="none"/>
              </w:rPr>
              <w:t>。</w:t>
            </w:r>
          </w:p>
        </w:tc>
      </w:tr>
    </w:tbl>
    <w:p w14:paraId="733F9E73">
      <w:pPr>
        <w:pStyle w:val="19"/>
        <w:snapToGrid w:val="0"/>
        <w:spacing w:before="120" w:after="120"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注：如本招标文件后面的条款与本表有矛盾的以本表的内容为准。</w:t>
      </w:r>
    </w:p>
    <w:p w14:paraId="2E723B62">
      <w:pPr>
        <w:pStyle w:val="19"/>
        <w:pageBreakBefore/>
        <w:numPr>
          <w:ilvl w:val="0"/>
          <w:numId w:val="0"/>
        </w:numPr>
        <w:snapToGrid w:val="0"/>
        <w:spacing w:line="360" w:lineRule="auto"/>
        <w:ind w:leftChars="-343"/>
        <w:jc w:val="center"/>
        <w:outlineLvl w:val="1"/>
        <w:rPr>
          <w:rFonts w:hint="eastAsia" w:ascii="宋体" w:hAnsi="宋体" w:eastAsia="宋体" w:cs="宋体"/>
          <w:b/>
          <w:color w:val="auto"/>
          <w:szCs w:val="24"/>
          <w:highlight w:val="none"/>
        </w:rPr>
      </w:pPr>
      <w:bookmarkStart w:id="139" w:name="_Toc27763"/>
      <w:bookmarkStart w:id="140" w:name="_Toc10741"/>
      <w:bookmarkStart w:id="141" w:name="_Toc21289"/>
      <w:bookmarkStart w:id="142" w:name="_Toc28310"/>
      <w:r>
        <w:rPr>
          <w:rFonts w:hint="eastAsia" w:ascii="宋体" w:hAnsi="宋体" w:cs="宋体"/>
          <w:b/>
          <w:color w:val="auto"/>
          <w:szCs w:val="24"/>
          <w:highlight w:val="none"/>
          <w:lang w:eastAsia="zh-CN"/>
        </w:rPr>
        <w:t>一、</w:t>
      </w:r>
      <w:r>
        <w:rPr>
          <w:rFonts w:hint="eastAsia" w:ascii="宋体" w:hAnsi="宋体" w:eastAsia="宋体" w:cs="宋体"/>
          <w:b/>
          <w:color w:val="auto"/>
          <w:szCs w:val="24"/>
          <w:highlight w:val="none"/>
        </w:rPr>
        <w:t>总则</w:t>
      </w:r>
      <w:bookmarkEnd w:id="139"/>
      <w:bookmarkEnd w:id="140"/>
      <w:bookmarkEnd w:id="141"/>
      <w:bookmarkEnd w:id="142"/>
    </w:p>
    <w:p w14:paraId="56960F90">
      <w:pPr>
        <w:spacing w:line="440" w:lineRule="exact"/>
        <w:ind w:firstLine="482" w:firstLineChars="200"/>
        <w:rPr>
          <w:rFonts w:hint="eastAsia" w:ascii="宋体" w:hAnsi="宋体" w:eastAsia="宋体" w:cs="宋体"/>
          <w:b/>
          <w:color w:val="auto"/>
          <w:sz w:val="24"/>
          <w:highlight w:val="none"/>
        </w:rPr>
      </w:pPr>
      <w:bookmarkStart w:id="143" w:name="_Toc407182093"/>
      <w:r>
        <w:rPr>
          <w:rFonts w:hint="eastAsia" w:ascii="宋体" w:hAnsi="宋体" w:eastAsia="宋体" w:cs="宋体"/>
          <w:b/>
          <w:color w:val="auto"/>
          <w:sz w:val="24"/>
          <w:highlight w:val="none"/>
        </w:rPr>
        <w:t>（一） 适用范围</w:t>
      </w:r>
      <w:bookmarkEnd w:id="143"/>
    </w:p>
    <w:p w14:paraId="579835FA">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本招标文件适用于</w:t>
      </w:r>
      <w:r>
        <w:rPr>
          <w:rFonts w:hint="eastAsia" w:ascii="宋体" w:hAnsi="宋体" w:cs="宋体"/>
          <w:color w:val="auto"/>
          <w:sz w:val="24"/>
          <w:highlight w:val="none"/>
          <w:lang w:eastAsia="zh-CN"/>
        </w:rPr>
        <w:t>东阳市国民经济和社会发展“十五五”规划《基本思路》和《纲要草案》服务采购项目(第二次）</w:t>
      </w:r>
      <w:r>
        <w:rPr>
          <w:rFonts w:hint="eastAsia" w:ascii="宋体" w:hAnsi="宋体" w:eastAsia="宋体" w:cs="宋体"/>
          <w:color w:val="auto"/>
          <w:sz w:val="24"/>
          <w:highlight w:val="none"/>
        </w:rPr>
        <w:t>的招标、投标、评标、定标、验收、合同履约、付款等行为（法律、法规另有规定的，从其规定）。</w:t>
      </w:r>
    </w:p>
    <w:p w14:paraId="17EE2939">
      <w:pPr>
        <w:spacing w:line="440" w:lineRule="exact"/>
        <w:ind w:firstLine="482" w:firstLineChars="200"/>
        <w:rPr>
          <w:rFonts w:hint="eastAsia" w:ascii="宋体" w:hAnsi="宋体" w:eastAsia="宋体" w:cs="宋体"/>
          <w:b/>
          <w:color w:val="auto"/>
          <w:sz w:val="24"/>
          <w:highlight w:val="none"/>
          <w:lang w:val="en-US" w:eastAsia="zh-CN"/>
        </w:rPr>
      </w:pPr>
      <w:bookmarkStart w:id="144" w:name="_Toc407182094"/>
      <w:r>
        <w:rPr>
          <w:rFonts w:hint="eastAsia" w:ascii="宋体" w:hAnsi="宋体" w:eastAsia="宋体" w:cs="宋体"/>
          <w:b/>
          <w:color w:val="auto"/>
          <w:sz w:val="24"/>
          <w:highlight w:val="none"/>
        </w:rPr>
        <w:t>（二）定义</w:t>
      </w:r>
      <w:bookmarkEnd w:id="144"/>
      <w:r>
        <w:rPr>
          <w:rFonts w:hint="eastAsia" w:ascii="宋体" w:hAnsi="宋体" w:cs="宋体"/>
          <w:b/>
          <w:color w:val="auto"/>
          <w:sz w:val="24"/>
          <w:highlight w:val="none"/>
          <w:lang w:val="en-US" w:eastAsia="zh-CN"/>
        </w:rPr>
        <w:t>及</w:t>
      </w:r>
      <w:r>
        <w:rPr>
          <w:rFonts w:hint="eastAsia" w:ascii="宋体" w:hAnsi="宋体" w:eastAsia="宋体" w:cs="宋体"/>
          <w:b/>
          <w:color w:val="auto"/>
          <w:sz w:val="24"/>
          <w:highlight w:val="none"/>
        </w:rPr>
        <w:t>采购项目需要落实的政府采购政策</w:t>
      </w:r>
    </w:p>
    <w:p w14:paraId="5D64E7F5">
      <w:pPr>
        <w:spacing w:line="440" w:lineRule="exact"/>
        <w:ind w:firstLine="480" w:firstLineChars="200"/>
        <w:rPr>
          <w:rFonts w:hint="eastAsia"/>
          <w:color w:val="auto"/>
          <w:highlight w:val="none"/>
        </w:rPr>
      </w:pPr>
      <w:r>
        <w:rPr>
          <w:rFonts w:hint="eastAsia" w:ascii="宋体" w:hAnsi="宋体" w:eastAsia="宋体" w:cs="宋体"/>
          <w:color w:val="auto"/>
          <w:sz w:val="24"/>
          <w:highlight w:val="none"/>
        </w:rPr>
        <w:t>1.招标采购单位系指组织本次招标的</w:t>
      </w:r>
      <w:r>
        <w:rPr>
          <w:rFonts w:hint="eastAsia" w:ascii="宋体" w:hAnsi="宋体" w:cs="宋体"/>
          <w:color w:val="auto"/>
          <w:sz w:val="24"/>
          <w:highlight w:val="none"/>
          <w:lang w:eastAsia="zh-CN"/>
        </w:rPr>
        <w:t>浙江鼎峰工程咨询有限公司</w:t>
      </w:r>
      <w:r>
        <w:rPr>
          <w:rFonts w:hint="eastAsia" w:ascii="宋体" w:hAnsi="宋体" w:eastAsia="宋体" w:cs="宋体"/>
          <w:color w:val="auto"/>
          <w:sz w:val="24"/>
          <w:highlight w:val="none"/>
        </w:rPr>
        <w:t>（“招标方”）和东阳市发展和改革局（“采购人”）。</w:t>
      </w:r>
    </w:p>
    <w:p w14:paraId="659FD13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2.“投标人”系指向招标方提交投标文件的单位或个人。</w:t>
      </w:r>
    </w:p>
    <w:p w14:paraId="7590E81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3.“服务”系指招标文件规定投标人须承担的本项目所衍生的一切服务义务。 </w:t>
      </w:r>
    </w:p>
    <w:p w14:paraId="7C155E5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4.“项目”系指投标人按招标文件规定向采购人提供的成果和项目服务。</w:t>
      </w:r>
    </w:p>
    <w:p w14:paraId="712F745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5.“书面形式”包括信函、传真、电报等。</w:t>
      </w:r>
    </w:p>
    <w:p w14:paraId="07567E1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cs="宋体"/>
          <w:b/>
          <w:bCs/>
          <w:color w:val="auto"/>
          <w:sz w:val="24"/>
          <w:highlight w:val="none"/>
        </w:rPr>
        <w:t>“▲”系指实质性要求条款。</w:t>
      </w:r>
    </w:p>
    <w:p w14:paraId="4CBC35B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采购项目需要落实的政府采购政策</w:t>
      </w:r>
    </w:p>
    <w:p w14:paraId="6DD866C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9C6E17B">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7.2 支持绿色发展</w:t>
      </w:r>
    </w:p>
    <w:p w14:paraId="78412159">
      <w:pPr>
        <w:spacing w:line="44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color w:val="auto"/>
          <w:sz w:val="24"/>
          <w:highlight w:val="none"/>
          <w:lang w:val="en-US" w:eastAsia="zh-CN"/>
        </w:rPr>
        <w:t>▲</w:t>
      </w:r>
      <w:r>
        <w:rPr>
          <w:rFonts w:hint="eastAsia" w:ascii="宋体" w:hAnsi="宋体" w:eastAsia="宋体" w:cs="宋体"/>
          <w:b w:val="0"/>
          <w:bCs w:val="0"/>
          <w:color w:val="auto"/>
          <w:sz w:val="24"/>
          <w:highlight w:val="none"/>
          <w:lang w:val="en-US" w:eastAsia="zh-CN"/>
        </w:rPr>
        <w:t>采购人拟采购的产品属于政府强制采购的节能产品品目清单范围的，投标人未按招标文件要求提供国家确定的认证机构出具的、处于有效期之内的节能产品认证证书的，投标无效。</w:t>
      </w:r>
    </w:p>
    <w:p w14:paraId="68FE09CA">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7.2.2 修缮、装修类项目采购建材的，采购人应将绿色建筑和绿色建材性能、指标等作为实质性条件纳入招标文件和合同。</w:t>
      </w:r>
    </w:p>
    <w:p w14:paraId="2802AAC9">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2F7ABE">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7.3支持中小企业发展</w:t>
      </w:r>
    </w:p>
    <w:p w14:paraId="65AE2A02">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26CA2638">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符合中小企业划分标准的个体工商户，在政府采购活动中视同中小企业。</w:t>
      </w:r>
    </w:p>
    <w:p w14:paraId="1EF9D6D3">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7.3.2在政府采购活动中，投标人提供的货物、工程或者服务符合下列情形的，享受中小企业扶持政策：</w:t>
      </w:r>
    </w:p>
    <w:p w14:paraId="5EC6FBD3">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7.3.2.1在货物采购项目中，货物由中小企业制造，即货物由中小企业生产且使用该中小企业商号或者注册商标；</w:t>
      </w:r>
    </w:p>
    <w:p w14:paraId="1326432A">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7.3.2.2在工程采购项目中，工程由中小企业承建，即工程施工单位为中小企业；</w:t>
      </w:r>
    </w:p>
    <w:p w14:paraId="7F480EC1">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7.3.2.3在服务采购项目中，服务由中小企业承接，即提供服务的人员为中小企业依照《中华人民共和国劳动合同法》订立劳动合同的从业人员。</w:t>
      </w:r>
    </w:p>
    <w:p w14:paraId="7C9ACE16">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在货物采购项目中，投标人提供的货物既有中小企业制造货物，也有大型企业制造货物的，不享受中小企业扶持政策。</w:t>
      </w:r>
    </w:p>
    <w:p w14:paraId="69DA01D4">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以联合体形式参加政府采购活动，联合体各方均为中小企业的，联合体视同中小企业。其中，联合体各方均为小微企业的，联合体视同小微企业。</w:t>
      </w:r>
    </w:p>
    <w:p w14:paraId="4987A901">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的扣除，用扣除后的价格参与评审。接受大中型企业与小微企业组成联合体或者允许大中型企业向一家或者多家小微企业分包的政府采购货物或服务项目，对于联合协议或者分包意向协议约定小</w:t>
      </w:r>
      <w:r>
        <w:rPr>
          <w:rFonts w:hint="eastAsia" w:ascii="宋体" w:hAnsi="宋体" w:cs="宋体"/>
          <w:color w:val="auto"/>
          <w:sz w:val="24"/>
          <w:highlight w:val="none"/>
          <w:lang w:val="en-US" w:eastAsia="zh-CN"/>
        </w:rPr>
        <w:t>微企业的合同份额占到合同总金额40%以上</w:t>
      </w:r>
      <w:r>
        <w:rPr>
          <w:rFonts w:hint="eastAsia" w:ascii="宋体" w:hAnsi="宋体" w:eastAsia="宋体" w:cs="宋体"/>
          <w:color w:val="auto"/>
          <w:sz w:val="24"/>
          <w:highlight w:val="none"/>
          <w:lang w:val="en-US" w:eastAsia="zh-CN"/>
        </w:rPr>
        <w:t>的，对联合体或者大中型企业的报价给予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的扣除，用扣除后的价格参加评审。组成联合体或者接受分包的小微企业与联合体内其他企业、分包企业之间存在直接控股、管理关系的，不享受价格扣除优惠政策。</w:t>
      </w:r>
    </w:p>
    <w:p w14:paraId="4058BB4B">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7.3.4符合《关于促进残疾人就业政府采购政策的通知》（财库〔2017〕141号）规定的条件并提供《残疾人福利性单位声明函》（</w:t>
      </w:r>
      <w:r>
        <w:rPr>
          <w:rFonts w:hint="eastAsia" w:ascii="宋体" w:hAnsi="宋体" w:cs="宋体"/>
          <w:color w:val="auto"/>
          <w:sz w:val="24"/>
          <w:highlight w:val="none"/>
          <w:lang w:val="en-US" w:eastAsia="zh-CN"/>
        </w:rPr>
        <w:t>格式见附件</w:t>
      </w:r>
      <w:r>
        <w:rPr>
          <w:rFonts w:hint="eastAsia" w:ascii="宋体" w:hAnsi="宋体" w:eastAsia="宋体" w:cs="宋体"/>
          <w:color w:val="auto"/>
          <w:sz w:val="24"/>
          <w:highlight w:val="none"/>
          <w:lang w:val="en-US" w:eastAsia="zh-CN"/>
        </w:rPr>
        <w:t>）的残疾人福利性单位视同小型、微型企业；</w:t>
      </w:r>
    </w:p>
    <w:p w14:paraId="182A161B">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7.3.5符合《关于政府采购支持监狱企业发展有关问题的通知》（财库</w:t>
      </w:r>
      <w:r>
        <w:rPr>
          <w:rFonts w:hint="eastAsia" w:ascii="宋体" w:hAnsi="宋体" w:cs="宋体"/>
          <w:color w:val="auto"/>
          <w:sz w:val="24"/>
          <w:highlight w:val="none"/>
          <w:lang w:val="en-US" w:eastAsia="zh-CN"/>
        </w:rPr>
        <w:t>〔2014〕68号</w:t>
      </w:r>
      <w:r>
        <w:rPr>
          <w:rFonts w:hint="eastAsia" w:ascii="宋体" w:hAnsi="宋体" w:eastAsia="宋体" w:cs="宋体"/>
          <w:color w:val="auto"/>
          <w:sz w:val="24"/>
          <w:highlight w:val="none"/>
          <w:lang w:val="en-US" w:eastAsia="zh-CN"/>
        </w:rPr>
        <w:t>）规定的监狱企业并提供由省级以上监狱管理局、戒毒管理局（含新疆生产建设兵团）出具的属于监狱企业证明文件的，视同为小型、微型企业。</w:t>
      </w:r>
    </w:p>
    <w:p w14:paraId="13959190">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7.3.6</w:t>
      </w:r>
      <w:r>
        <w:rPr>
          <w:rFonts w:hint="eastAsia" w:ascii="宋体" w:hAnsi="宋体" w:cs="宋体"/>
          <w:color w:val="auto"/>
          <w:sz w:val="24"/>
          <w:highlight w:val="none"/>
        </w:rPr>
        <w:t>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EF9DB19">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7.3.7</w:t>
      </w:r>
      <w:r>
        <w:rPr>
          <w:rFonts w:hint="eastAsia" w:ascii="宋体" w:hAnsi="宋体" w:eastAsia="宋体" w:cs="宋体"/>
          <w:color w:val="auto"/>
          <w:sz w:val="24"/>
          <w:highlight w:val="none"/>
          <w:lang w:val="en-US" w:eastAsia="zh-CN"/>
        </w:rPr>
        <w:t>中小企业享受扶持政策获得政府采购合同的，小微企业不得将合同分包给大中型企业，中型企业不得将合同分包给大型企业。</w:t>
      </w:r>
    </w:p>
    <w:p w14:paraId="1AA10089">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7.4支持创新发展</w:t>
      </w:r>
    </w:p>
    <w:p w14:paraId="5CA6B994">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7.4.1 采购人优先采购被认定为首台套产品和“制造精品”的自主创新产品。</w:t>
      </w:r>
    </w:p>
    <w:p w14:paraId="79F5CBB7">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7.4.2首台套产品被纳入《首台套产品推广应用指导目录》之日起</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年内，以及产品核心技术高于国内领先水平，并具有明晰自主知识产权的“制造精品”产品，自认定之日起</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年内视同已具备相应销售业绩，参加政府采购活动时业绩分值为满分。</w:t>
      </w:r>
    </w:p>
    <w:p w14:paraId="0D8B638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7.5中小企业信用融资：为支持和促进中小企业发展，进一步发挥政府采购政策功能</w:t>
      </w:r>
      <w:r>
        <w:rPr>
          <w:rFonts w:hint="eastAsia" w:ascii="宋体" w:hAnsi="宋体" w:cs="宋体"/>
          <w:color w:val="auto"/>
          <w:sz w:val="24"/>
          <w:highlight w:val="none"/>
          <w:lang w:eastAsia="zh-CN"/>
        </w:rPr>
        <w:t>，</w:t>
      </w:r>
      <w:r>
        <w:rPr>
          <w:rFonts w:hint="eastAsia" w:ascii="宋体" w:hAnsi="宋体" w:cs="宋体"/>
          <w:color w:val="auto"/>
          <w:sz w:val="24"/>
          <w:highlight w:val="none"/>
        </w:rPr>
        <w:t>省财政厅、浙江银监局、省金融办制定了《浙江省政府采购支持中小企业信用融资试点办法》浙财采监</w:t>
      </w:r>
      <w:r>
        <w:rPr>
          <w:rFonts w:hint="eastAsia" w:ascii="宋体" w:hAnsi="宋体" w:cs="宋体"/>
          <w:color w:val="auto"/>
          <w:sz w:val="24"/>
          <w:highlight w:val="none"/>
          <w:lang w:eastAsia="zh-CN"/>
        </w:rPr>
        <w:t>〔2012〕13号）</w:t>
      </w:r>
      <w:r>
        <w:rPr>
          <w:rFonts w:hint="eastAsia" w:ascii="宋体" w:hAnsi="宋体" w:cs="宋体"/>
          <w:color w:val="auto"/>
          <w:sz w:val="24"/>
          <w:highlight w:val="none"/>
        </w:rPr>
        <w:t>，所称的政府采购信用融资，是指银行业金融机构</w:t>
      </w:r>
      <w:r>
        <w:rPr>
          <w:rFonts w:hint="eastAsia" w:ascii="宋体" w:hAnsi="宋体" w:cs="宋体"/>
          <w:color w:val="auto"/>
          <w:sz w:val="24"/>
          <w:highlight w:val="none"/>
          <w:lang w:eastAsia="zh-CN"/>
        </w:rPr>
        <w:t>（</w:t>
      </w:r>
      <w:r>
        <w:rPr>
          <w:rFonts w:hint="eastAsia" w:ascii="宋体" w:hAnsi="宋体" w:cs="宋体"/>
          <w:color w:val="auto"/>
          <w:sz w:val="24"/>
          <w:highlight w:val="none"/>
        </w:rPr>
        <w:t>以下简称银行</w:t>
      </w:r>
      <w:r>
        <w:rPr>
          <w:rFonts w:hint="eastAsia" w:ascii="宋体" w:hAnsi="宋体" w:cs="宋体"/>
          <w:color w:val="auto"/>
          <w:sz w:val="24"/>
          <w:highlight w:val="none"/>
          <w:lang w:eastAsia="zh-CN"/>
        </w:rPr>
        <w:t>）</w:t>
      </w:r>
      <w:r>
        <w:rPr>
          <w:rFonts w:hint="eastAsia" w:ascii="宋体" w:hAnsi="宋体" w:cs="宋体"/>
          <w:color w:val="auto"/>
          <w:sz w:val="24"/>
          <w:highlight w:val="none"/>
        </w:rPr>
        <w:t>以政府采购诚信考核和信用审查为基础，凭借政府采购合同，按优于一般中小企业的贷款利率直接向申请贷款的投标人发放贷款的一种融资方式。投标人可登录浙江政府采购</w:t>
      </w:r>
      <w:r>
        <w:rPr>
          <w:rFonts w:hint="eastAsia" w:ascii="宋体" w:hAnsi="宋体" w:cs="宋体"/>
          <w:color w:val="auto"/>
          <w:sz w:val="24"/>
          <w:highlight w:val="none"/>
          <w:lang w:eastAsia="zh-CN"/>
        </w:rPr>
        <w:t>（</w:t>
      </w:r>
      <w:r>
        <w:rPr>
          <w:rFonts w:hint="eastAsia" w:ascii="宋体" w:hAnsi="宋体" w:cs="宋体"/>
          <w:color w:val="auto"/>
          <w:sz w:val="24"/>
          <w:highlight w:val="none"/>
        </w:rPr>
        <w:t>https://zfcg.czt.zj.gov.cn</w:t>
      </w:r>
      <w:r>
        <w:rPr>
          <w:rFonts w:hint="eastAsia" w:ascii="宋体" w:hAnsi="宋体" w:cs="宋体"/>
          <w:color w:val="auto"/>
          <w:sz w:val="24"/>
          <w:highlight w:val="none"/>
          <w:lang w:eastAsia="zh-CN"/>
        </w:rPr>
        <w:t>）</w:t>
      </w:r>
      <w:r>
        <w:rPr>
          <w:rFonts w:hint="eastAsia" w:ascii="宋体" w:hAnsi="宋体" w:cs="宋体"/>
          <w:color w:val="auto"/>
          <w:sz w:val="24"/>
          <w:highlight w:val="none"/>
        </w:rPr>
        <w:t>的中小企业信用融资栏目了解相关信息。 供应商可以通过浙江政府采购网</w:t>
      </w:r>
      <w:r>
        <w:rPr>
          <w:rFonts w:hint="eastAsia" w:ascii="宋体" w:hAnsi="宋体" w:cs="宋体"/>
          <w:color w:val="auto"/>
          <w:sz w:val="24"/>
          <w:highlight w:val="none"/>
          <w:lang w:eastAsia="zh-CN"/>
        </w:rPr>
        <w:t>（</w:t>
      </w:r>
      <w:r>
        <w:rPr>
          <w:rFonts w:hint="eastAsia" w:ascii="宋体" w:hAnsi="宋体" w:cs="宋体"/>
          <w:color w:val="auto"/>
          <w:sz w:val="24"/>
          <w:highlight w:val="none"/>
        </w:rPr>
        <w:t>https://zfcg. czt.zj. gov.cn</w:t>
      </w:r>
      <w:r>
        <w:rPr>
          <w:rFonts w:hint="eastAsia" w:ascii="宋体" w:hAnsi="宋体" w:cs="宋体"/>
          <w:color w:val="auto"/>
          <w:sz w:val="24"/>
          <w:highlight w:val="none"/>
          <w:lang w:eastAsia="zh-CN"/>
        </w:rPr>
        <w:t>)</w:t>
      </w:r>
      <w:r>
        <w:rPr>
          <w:rFonts w:hint="eastAsia" w:ascii="宋体" w:hAnsi="宋体" w:cs="宋体"/>
          <w:color w:val="auto"/>
          <w:sz w:val="24"/>
          <w:highlight w:val="none"/>
        </w:rPr>
        <w:t>首页的“浙江政采贷”模块进入申请，还可以通过政府采购云平台</w:t>
      </w:r>
      <w:r>
        <w:rPr>
          <w:rFonts w:hint="eastAsia" w:ascii="宋体" w:hAnsi="宋体" w:cs="宋体"/>
          <w:color w:val="auto"/>
          <w:sz w:val="24"/>
          <w:highlight w:val="none"/>
          <w:lang w:eastAsia="zh-CN"/>
        </w:rPr>
        <w:t>（</w:t>
      </w:r>
      <w:r>
        <w:rPr>
          <w:rFonts w:hint="eastAsia" w:ascii="宋体" w:hAnsi="宋体" w:cs="宋体"/>
          <w:color w:val="auto"/>
          <w:sz w:val="24"/>
          <w:highlight w:val="none"/>
        </w:rPr>
        <w:t>https://www</w:t>
      </w:r>
      <w:r>
        <w:rPr>
          <w:rFonts w:ascii="宋体" w:hAnsi="宋体" w:cs="宋体"/>
          <w:color w:val="auto"/>
          <w:sz w:val="24"/>
          <w:highlight w:val="none"/>
        </w:rPr>
        <w:t>.</w:t>
      </w:r>
      <w:r>
        <w:rPr>
          <w:rFonts w:hint="eastAsia" w:ascii="宋体" w:hAnsi="宋体" w:cs="宋体"/>
          <w:color w:val="auto"/>
          <w:sz w:val="24"/>
          <w:highlight w:val="none"/>
        </w:rPr>
        <w:t>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首页的“金融服务”模块进入申请。</w:t>
      </w:r>
    </w:p>
    <w:p w14:paraId="636B960D">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（三）招标方式</w:t>
      </w:r>
    </w:p>
    <w:p w14:paraId="2544C83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本次招标采用公开招标方式进行。</w:t>
      </w:r>
    </w:p>
    <w:p w14:paraId="1AA673FE">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（四）投标委托</w:t>
      </w:r>
    </w:p>
    <w:p w14:paraId="380B8E39">
      <w:pPr>
        <w:snapToGrid w:val="0"/>
        <w:spacing w:line="400" w:lineRule="exact"/>
        <w:ind w:firstLine="482" w:firstLineChars="200"/>
        <w:jc w:val="left"/>
        <w:rPr>
          <w:b/>
          <w:bCs/>
          <w:color w:val="auto"/>
          <w:sz w:val="24"/>
          <w:highlight w:val="none"/>
        </w:rPr>
      </w:pPr>
      <w:r>
        <w:rPr>
          <w:b/>
          <w:bCs/>
          <w:color w:val="auto"/>
          <w:sz w:val="24"/>
          <w:highlight w:val="none"/>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w:t>
      </w:r>
      <w:r>
        <w:rPr>
          <w:rFonts w:hint="eastAsia"/>
          <w:b/>
          <w:bCs/>
          <w:color w:val="auto"/>
          <w:sz w:val="24"/>
          <w:highlight w:val="none"/>
        </w:rPr>
        <w:t>或提供社保缴纳承诺函</w:t>
      </w:r>
      <w:r>
        <w:rPr>
          <w:b/>
          <w:bCs/>
          <w:color w:val="auto"/>
          <w:sz w:val="24"/>
          <w:highlight w:val="none"/>
        </w:rPr>
        <w:t>】准时在线出席电子开标会议，随时关注开标进度，如在开标过程中有电子询标，应在规定的时间内对电子询标函进行澄清、答复。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68BC243A">
      <w:pPr>
        <w:snapToGrid w:val="0"/>
        <w:spacing w:line="400" w:lineRule="exact"/>
        <w:ind w:firstLine="482" w:firstLineChars="200"/>
        <w:jc w:val="left"/>
        <w:rPr>
          <w:b/>
          <w:bCs/>
          <w:color w:val="auto"/>
          <w:sz w:val="24"/>
          <w:highlight w:val="none"/>
        </w:rPr>
      </w:pPr>
      <w:r>
        <w:rPr>
          <w:b/>
          <w:bCs/>
          <w:color w:val="auto"/>
          <w:sz w:val="24"/>
          <w:highlight w:val="none"/>
        </w:rPr>
        <w:t>投标人未按招标文件要求派代表参加电子开标会议的，视同认可开标结果，不得对开标过程及开标结果提出质疑。</w:t>
      </w:r>
    </w:p>
    <w:p w14:paraId="7AE1D10A">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▲（五）投标费用</w:t>
      </w:r>
    </w:p>
    <w:p w14:paraId="0B06E683">
      <w:pPr>
        <w:spacing w:line="44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1.不论投标结果如何，投标人均应自行承担所有与投标有关的全部费用（招标文件有相反规定除外）。</w:t>
      </w:r>
    </w:p>
    <w:p w14:paraId="3B2B1CDB">
      <w:pPr>
        <w:spacing w:line="440" w:lineRule="exact"/>
        <w:ind w:firstLine="482" w:firstLineChars="200"/>
        <w:rPr>
          <w:rFonts w:hint="eastAsia" w:ascii="宋体" w:hAnsi="宋体" w:cs="宋体"/>
          <w:b/>
          <w:color w:val="auto"/>
          <w:sz w:val="24"/>
          <w:highlight w:val="none"/>
        </w:rPr>
      </w:pPr>
      <w:r>
        <w:rPr>
          <w:rFonts w:hint="eastAsia" w:ascii="宋体" w:hAnsi="宋体" w:eastAsia="宋体" w:cs="宋体"/>
          <w:b/>
          <w:color w:val="auto"/>
          <w:sz w:val="24"/>
          <w:szCs w:val="24"/>
          <w:highlight w:val="none"/>
        </w:rPr>
        <w:t>2.</w:t>
      </w:r>
      <w:r>
        <w:rPr>
          <w:rFonts w:hint="eastAsia" w:ascii="宋体" w:hAnsi="宋体" w:cs="宋体"/>
          <w:b/>
          <w:bCs/>
          <w:color w:val="auto"/>
          <w:sz w:val="24"/>
          <w:highlight w:val="none"/>
          <w:lang w:eastAsia="zh-CN"/>
        </w:rPr>
        <w:t>浙江鼎峰工程咨询有限公司</w:t>
      </w:r>
      <w:r>
        <w:rPr>
          <w:rFonts w:hint="eastAsia" w:ascii="宋体" w:hAnsi="宋体" w:cs="宋体"/>
          <w:b/>
          <w:bCs/>
          <w:color w:val="auto"/>
          <w:sz w:val="24"/>
          <w:highlight w:val="none"/>
        </w:rPr>
        <w:t>按差额定率累进法计算（详见本条下列表格收费标准），</w:t>
      </w:r>
      <w:r>
        <w:rPr>
          <w:rFonts w:hint="eastAsia" w:ascii="宋体" w:hAnsi="宋体" w:cs="宋体"/>
          <w:b/>
          <w:color w:val="auto"/>
          <w:sz w:val="24"/>
          <w:highlight w:val="none"/>
        </w:rPr>
        <w:t>向中标人收取中标服务费，在中标结果公示结束之日起3天内（在领取中标通知书前）交纳。</w:t>
      </w:r>
    </w:p>
    <w:tbl>
      <w:tblPr>
        <w:tblStyle w:val="36"/>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4"/>
        <w:gridCol w:w="4065"/>
      </w:tblGrid>
      <w:tr w14:paraId="2387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5274" w:type="dxa"/>
            <w:tcBorders>
              <w:top w:val="single" w:color="auto" w:sz="4" w:space="0"/>
              <w:left w:val="single" w:color="auto" w:sz="4" w:space="0"/>
              <w:bottom w:val="single" w:color="auto" w:sz="4" w:space="0"/>
              <w:right w:val="single" w:color="auto" w:sz="4" w:space="0"/>
              <w:tl2br w:val="single" w:color="auto" w:sz="4" w:space="0"/>
            </w:tcBorders>
          </w:tcPr>
          <w:p w14:paraId="42E6CF01">
            <w:pPr>
              <w:spacing w:line="360" w:lineRule="auto"/>
              <w:ind w:firstLine="2310" w:firstLineChars="1100"/>
              <w:rPr>
                <w:rFonts w:ascii="宋体" w:hAnsi="宋体" w:cs="宋体"/>
                <w:b/>
                <w:color w:val="auto"/>
                <w:sz w:val="24"/>
                <w:highlight w:val="none"/>
              </w:rPr>
            </w:pPr>
            <w:r>
              <w:rPr>
                <w:rFonts w:ascii="宋体" w:hAnsi="宋体" w:cs="宋体"/>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40" name="直接连接符 140"/>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5HTftUAAAAJAQAA&#10;DwAAAAAAAAABACAAAAAiAAAAZHJzL2Rvd25yZXYueG1sUEsBAhQAFAAAAAgAh07iQHmJbojjAQAA&#10;tgMAAA4AAAAAAAAAAQAgAAAAJAEAAGRycy9lMm9Eb2MueG1sUEsFBgAAAAAGAAYAWQEAAHkFAAAA&#10;AA==&#10;">
                      <v:fill on="f" focussize="0,0"/>
                      <v:stroke color="#000000" joinstyle="round"/>
                      <v:imagedata o:title=""/>
                      <o:lock v:ext="edit" aspectratio="f"/>
                    </v:line>
                  </w:pict>
                </mc:Fallback>
              </mc:AlternateContent>
            </w:r>
            <w:r>
              <w:rPr>
                <w:rFonts w:hint="eastAsia" w:ascii="宋体" w:hAnsi="宋体" w:cs="宋体"/>
                <w:b/>
                <w:color w:val="auto"/>
                <w:sz w:val="24"/>
                <w:highlight w:val="none"/>
              </w:rPr>
              <w:t>服务类型</w:t>
            </w:r>
          </w:p>
          <w:p w14:paraId="419FE07E">
            <w:pPr>
              <w:spacing w:line="360" w:lineRule="auto"/>
              <w:rPr>
                <w:rFonts w:ascii="宋体" w:hAnsi="宋体" w:cs="宋体"/>
                <w:b/>
                <w:color w:val="auto"/>
                <w:sz w:val="24"/>
                <w:highlight w:val="none"/>
              </w:rPr>
            </w:pPr>
            <w:r>
              <w:rPr>
                <w:rFonts w:hint="eastAsia" w:ascii="宋体" w:hAnsi="宋体" w:cs="宋体"/>
                <w:b/>
                <w:color w:val="auto"/>
                <w:sz w:val="24"/>
                <w:highlight w:val="none"/>
              </w:rPr>
              <w:t>费率</w:t>
            </w:r>
          </w:p>
          <w:p w14:paraId="735CC138">
            <w:pPr>
              <w:spacing w:line="360" w:lineRule="auto"/>
              <w:rPr>
                <w:rFonts w:ascii="宋体" w:hAnsi="宋体" w:cs="宋体"/>
                <w:b/>
                <w:color w:val="auto"/>
                <w:sz w:val="24"/>
                <w:highlight w:val="none"/>
              </w:rPr>
            </w:pPr>
            <w:r>
              <w:rPr>
                <w:rFonts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49530</wp:posOffset>
                      </wp:positionV>
                      <wp:extent cx="3342005" cy="417195"/>
                      <wp:effectExtent l="635" t="4445" r="10160" b="16510"/>
                      <wp:wrapNone/>
                      <wp:docPr id="141" name="直接连接符 141"/>
                      <wp:cNvGraphicFramePr/>
                      <a:graphic xmlns:a="http://schemas.openxmlformats.org/drawingml/2006/main">
                        <a:graphicData uri="http://schemas.microsoft.com/office/word/2010/wordprocessingShape">
                          <wps:wsp>
                            <wps:cNvCnPr>
                              <a:cxnSpLocks noChangeShapeType="1"/>
                            </wps:cNvCnPr>
                            <wps:spPr bwMode="auto">
                              <a:xfrm>
                                <a:off x="0" y="0"/>
                                <a:ext cx="3342005" cy="41719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7pt;margin-top:3.9pt;height:32.85pt;width:263.15pt;z-index:251662336;mso-width-relative:page;mso-height-relative:page;" filled="f" stroked="t" coordsize="21600,21600" o:gfxdata="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oRNYrWAAAABwEAAA8AAAAAAAAAAQAgAAAAIgAAAGRycy9kb3ducmV2LnhtbFBLAQIUABQAAAAI&#10;AIdO4kCh3RMs7wEAAMEDAAAOAAAAAAAAAAEAIAAAACUBAABkcnMvZTJvRG9jLnhtbFBLBQYAAAAA&#10;BgAGAFkBAACGBQAAAAA=&#10;">
                      <v:fill on="f" focussize="0,0"/>
                      <v:stroke color="#000000" joinstyle="round"/>
                      <v:imagedata o:title=""/>
                      <o:lock v:ext="edit" aspectratio="f"/>
                    </v:line>
                  </w:pict>
                </mc:Fallback>
              </mc:AlternateContent>
            </w:r>
          </w:p>
          <w:p w14:paraId="7B5810B3">
            <w:pPr>
              <w:spacing w:line="360" w:lineRule="auto"/>
              <w:rPr>
                <w:rFonts w:ascii="宋体" w:hAnsi="宋体" w:cs="宋体"/>
                <w:b/>
                <w:color w:val="auto"/>
                <w:sz w:val="24"/>
                <w:highlight w:val="none"/>
              </w:rPr>
            </w:pPr>
            <w:r>
              <w:rPr>
                <w:rFonts w:hint="eastAsia" w:ascii="宋体" w:hAnsi="宋体" w:cs="宋体"/>
                <w:b/>
                <w:color w:val="auto"/>
                <w:sz w:val="24"/>
                <w:highlight w:val="none"/>
              </w:rPr>
              <w:t>中标金额（万元）</w:t>
            </w:r>
          </w:p>
        </w:tc>
        <w:tc>
          <w:tcPr>
            <w:tcW w:w="4065" w:type="dxa"/>
            <w:tcBorders>
              <w:top w:val="single" w:color="auto" w:sz="4" w:space="0"/>
              <w:left w:val="single" w:color="auto" w:sz="4" w:space="0"/>
              <w:bottom w:val="single" w:color="auto" w:sz="4" w:space="0"/>
              <w:right w:val="single" w:color="auto" w:sz="4" w:space="0"/>
            </w:tcBorders>
            <w:vAlign w:val="center"/>
          </w:tcPr>
          <w:p w14:paraId="0E6A19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服务招标</w:t>
            </w:r>
          </w:p>
        </w:tc>
      </w:tr>
      <w:tr w14:paraId="658C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274" w:type="dxa"/>
            <w:tcBorders>
              <w:top w:val="single" w:color="auto" w:sz="4" w:space="0"/>
              <w:left w:val="single" w:color="auto" w:sz="4" w:space="0"/>
              <w:bottom w:val="single" w:color="auto" w:sz="4" w:space="0"/>
              <w:right w:val="single" w:color="auto" w:sz="4" w:space="0"/>
            </w:tcBorders>
            <w:vAlign w:val="center"/>
          </w:tcPr>
          <w:p w14:paraId="79340C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4065" w:type="dxa"/>
            <w:tcBorders>
              <w:top w:val="single" w:color="auto" w:sz="4" w:space="0"/>
              <w:left w:val="single" w:color="auto" w:sz="4" w:space="0"/>
              <w:bottom w:val="single" w:color="auto" w:sz="4" w:space="0"/>
              <w:right w:val="single" w:color="auto" w:sz="4" w:space="0"/>
            </w:tcBorders>
            <w:vAlign w:val="center"/>
          </w:tcPr>
          <w:p w14:paraId="4AC74AC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r>
      <w:tr w14:paraId="7A95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274" w:type="dxa"/>
            <w:tcBorders>
              <w:top w:val="single" w:color="auto" w:sz="4" w:space="0"/>
              <w:left w:val="single" w:color="auto" w:sz="4" w:space="0"/>
              <w:bottom w:val="single" w:color="auto" w:sz="4" w:space="0"/>
              <w:right w:val="single" w:color="auto" w:sz="4" w:space="0"/>
            </w:tcBorders>
            <w:vAlign w:val="center"/>
          </w:tcPr>
          <w:p w14:paraId="1C7F7B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100-500</w:t>
            </w:r>
          </w:p>
        </w:tc>
        <w:tc>
          <w:tcPr>
            <w:tcW w:w="4065" w:type="dxa"/>
            <w:tcBorders>
              <w:top w:val="single" w:color="auto" w:sz="4" w:space="0"/>
              <w:left w:val="single" w:color="auto" w:sz="4" w:space="0"/>
              <w:bottom w:val="single" w:color="auto" w:sz="4" w:space="0"/>
              <w:right w:val="single" w:color="auto" w:sz="4" w:space="0"/>
            </w:tcBorders>
            <w:vAlign w:val="center"/>
          </w:tcPr>
          <w:p w14:paraId="27D1F8A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0.8%</w:t>
            </w:r>
          </w:p>
        </w:tc>
      </w:tr>
    </w:tbl>
    <w:p w14:paraId="3E55DA6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中标服务费由中标人汇至以下账户：</w:t>
      </w:r>
    </w:p>
    <w:p w14:paraId="0D9A8196">
      <w:pPr>
        <w:spacing w:line="440" w:lineRule="exact"/>
        <w:ind w:firstLine="472" w:firstLineChars="196"/>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账户名称：</w:t>
      </w:r>
      <w:r>
        <w:rPr>
          <w:rFonts w:hint="eastAsia" w:ascii="宋体" w:hAnsi="宋体" w:cs="宋体"/>
          <w:b/>
          <w:color w:val="auto"/>
          <w:sz w:val="24"/>
          <w:szCs w:val="24"/>
          <w:highlight w:val="none"/>
          <w:lang w:eastAsia="zh-CN"/>
        </w:rPr>
        <w:t>浙江鼎峰工程咨询有限公司东阳分公司</w:t>
      </w:r>
    </w:p>
    <w:p w14:paraId="20327573">
      <w:pPr>
        <w:spacing w:line="440" w:lineRule="exact"/>
        <w:ind w:firstLine="472" w:firstLineChars="196"/>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开户银行：浙江省东阳市农村商业银行股份有限公司城东支行</w:t>
      </w:r>
    </w:p>
    <w:p w14:paraId="53BA3653">
      <w:pPr>
        <w:spacing w:line="440" w:lineRule="exact"/>
        <w:ind w:firstLine="472" w:firstLineChars="196"/>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账号：201000190622966</w:t>
      </w:r>
    </w:p>
    <w:p w14:paraId="5DB5C95F">
      <w:pPr>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（六）联合体投标</w:t>
      </w:r>
      <w:r>
        <w:rPr>
          <w:rFonts w:hint="eastAsia" w:ascii="宋体" w:hAnsi="宋体" w:eastAsia="宋体" w:cs="宋体"/>
          <w:b/>
          <w:color w:val="auto"/>
          <w:sz w:val="24"/>
          <w:highlight w:val="none"/>
        </w:rPr>
        <w:tab/>
      </w:r>
    </w:p>
    <w:p w14:paraId="79F688E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接受联合体投标。</w:t>
      </w:r>
    </w:p>
    <w:p w14:paraId="5DC2C9FC">
      <w:pPr>
        <w:spacing w:line="440" w:lineRule="exact"/>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（七）</w:t>
      </w:r>
      <w:r>
        <w:rPr>
          <w:rFonts w:hint="eastAsia" w:ascii="宋体" w:hAnsi="宋体" w:eastAsia="宋体" w:cs="宋体"/>
          <w:b/>
          <w:color w:val="auto"/>
          <w:kern w:val="0"/>
          <w:sz w:val="24"/>
          <w:highlight w:val="none"/>
        </w:rPr>
        <w:t>转包与分包</w:t>
      </w:r>
    </w:p>
    <w:p w14:paraId="2D36DFCB">
      <w:pP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1.本项目不允许转包。</w:t>
      </w:r>
    </w:p>
    <w:p w14:paraId="5ED04D44">
      <w:pP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2.本项目允许分包。</w:t>
      </w:r>
    </w:p>
    <w:p w14:paraId="749A23DB">
      <w:pPr>
        <w:spacing w:line="440" w:lineRule="exact"/>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rPr>
        <w:t>▲</w:t>
      </w:r>
      <w:r>
        <w:rPr>
          <w:rFonts w:hint="eastAsia" w:ascii="宋体" w:hAnsi="宋体" w:eastAsia="宋体" w:cs="宋体"/>
          <w:b/>
          <w:bCs/>
          <w:color w:val="auto"/>
          <w:sz w:val="24"/>
          <w:highlight w:val="none"/>
        </w:rPr>
        <w:t>（八）特别说明：</w:t>
      </w:r>
    </w:p>
    <w:p w14:paraId="64E25CE5">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b w:val="0"/>
          <w:bCs/>
          <w:color w:val="auto"/>
          <w:sz w:val="24"/>
          <w:highlight w:val="none"/>
        </w:rPr>
        <w:t>1.多</w:t>
      </w:r>
      <w:r>
        <w:rPr>
          <w:rFonts w:hint="eastAsia" w:ascii="宋体" w:hAnsi="宋体" w:eastAsia="宋体" w:cs="宋体"/>
          <w:color w:val="auto"/>
          <w:sz w:val="24"/>
          <w:highlight w:val="none"/>
        </w:rPr>
        <w:t>个投标人参加投标，如其中两家或两家以上投标人的法定代表人为同一人或相互之间存在投资关系且达到控股的，应当按一个投标人认定。</w:t>
      </w:r>
    </w:p>
    <w:p w14:paraId="57328D6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7F59EEF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3.投标人应仔细阅读招标文件的所有内容，按照招标文件的要求提交投标文件，并对所提供的全部资料的真实性承担法律责任。</w:t>
      </w:r>
    </w:p>
    <w:p w14:paraId="3126958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4.投标人在投标活动中提供任何虚假材料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其投标无效，并报监管部门查处；中标后发现的</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中标人须依照《中华人民共和国消费者权益保护法》第49条之规定</w:t>
      </w:r>
      <w:r>
        <w:rPr>
          <w:rFonts w:hint="eastAsia" w:ascii="宋体" w:hAnsi="宋体" w:cs="宋体"/>
          <w:color w:val="auto"/>
          <w:sz w:val="24"/>
          <w:highlight w:val="none"/>
          <w:lang w:val="en-US" w:eastAsia="zh-CN"/>
        </w:rPr>
        <w:t>按中标价</w:t>
      </w:r>
      <w:r>
        <w:rPr>
          <w:rFonts w:hint="eastAsia" w:ascii="宋体" w:hAnsi="宋体" w:eastAsia="宋体" w:cs="宋体"/>
          <w:color w:val="auto"/>
          <w:sz w:val="24"/>
          <w:highlight w:val="none"/>
        </w:rPr>
        <w:t>双倍赔偿采购人，且民事赔偿并不免除违法投标人的行政与刑事责任。</w:t>
      </w:r>
    </w:p>
    <w:p w14:paraId="580EC1D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7A90CD8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6.招标方不保证最低报价者为中标方。</w:t>
      </w:r>
    </w:p>
    <w:p w14:paraId="5BB4DD2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7.为维护国家利益及招标方自身利益，允许招标方在合同签订之前仍有选择或拒绝任何或全部投标的权力。</w:t>
      </w:r>
    </w:p>
    <w:p w14:paraId="2755E51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8.“政采云”平台运营机构，以及与该机构有直接控股或者管理关系可能影响采购公正性的任何单位和个人，不得在该平台进行的政府采购项目电子交易中投标、响应政府采购项目。</w:t>
      </w:r>
    </w:p>
    <w:p w14:paraId="1D92205A">
      <w:pPr>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（九）质疑和投诉</w:t>
      </w:r>
    </w:p>
    <w:p w14:paraId="67AEA83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0A95A8D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02A5B28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3.采购人、招标方应当按照《浙江省政府采购供应商质疑处理办法》、中华人民共和国财政部第94号令《政府采购质疑和投诉办法》进行受理与答复质疑。</w:t>
      </w:r>
      <w:bookmarkStart w:id="145" w:name="_Toc458697268"/>
      <w:bookmarkStart w:id="146" w:name="_Toc454196066"/>
      <w:bookmarkStart w:id="147" w:name="_Toc21813"/>
    </w:p>
    <w:p w14:paraId="2326F523">
      <w:pPr>
        <w:pStyle w:val="17"/>
        <w:rPr>
          <w:rFonts w:hint="eastAsia"/>
          <w:color w:val="auto"/>
          <w:highlight w:val="none"/>
        </w:rPr>
      </w:pPr>
    </w:p>
    <w:p w14:paraId="507C4593">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24"/>
          <w:szCs w:val="24"/>
          <w:highlight w:val="none"/>
        </w:rPr>
      </w:pPr>
    </w:p>
    <w:p w14:paraId="18572416">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24"/>
          <w:szCs w:val="24"/>
          <w:highlight w:val="none"/>
        </w:rPr>
      </w:pPr>
    </w:p>
    <w:p w14:paraId="2417B893">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24"/>
          <w:szCs w:val="24"/>
          <w:highlight w:val="none"/>
        </w:rPr>
      </w:pPr>
    </w:p>
    <w:p w14:paraId="38BAFC2F">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24"/>
          <w:szCs w:val="24"/>
          <w:highlight w:val="none"/>
        </w:rPr>
      </w:pPr>
    </w:p>
    <w:p w14:paraId="038CDD6A">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24"/>
          <w:szCs w:val="24"/>
          <w:highlight w:val="none"/>
        </w:rPr>
      </w:pPr>
    </w:p>
    <w:p w14:paraId="5A9FA9F8">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24"/>
          <w:szCs w:val="24"/>
          <w:highlight w:val="none"/>
        </w:rPr>
      </w:pPr>
    </w:p>
    <w:p w14:paraId="602F12CF">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color w:val="auto"/>
          <w:sz w:val="24"/>
          <w:szCs w:val="24"/>
          <w:highlight w:val="none"/>
        </w:rPr>
      </w:pPr>
    </w:p>
    <w:p w14:paraId="13DC9C85">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1"/>
        <w:rPr>
          <w:rFonts w:hint="eastAsia" w:ascii="宋体" w:hAnsi="宋体" w:eastAsia="宋体" w:cs="宋体"/>
          <w:b/>
          <w:bCs/>
          <w:color w:val="auto"/>
          <w:sz w:val="24"/>
          <w:szCs w:val="24"/>
          <w:highlight w:val="none"/>
        </w:rPr>
      </w:pPr>
      <w:bookmarkStart w:id="148" w:name="_Toc1610"/>
      <w:bookmarkStart w:id="149" w:name="_Toc783"/>
      <w:bookmarkStart w:id="150" w:name="_Toc4270"/>
      <w:r>
        <w:rPr>
          <w:rFonts w:hint="eastAsia" w:ascii="宋体" w:hAnsi="宋体" w:eastAsia="宋体" w:cs="宋体"/>
          <w:b/>
          <w:bCs/>
          <w:color w:val="auto"/>
          <w:sz w:val="24"/>
          <w:szCs w:val="24"/>
          <w:highlight w:val="none"/>
        </w:rPr>
        <w:t>二、招标文件</w:t>
      </w:r>
      <w:bookmarkEnd w:id="145"/>
      <w:bookmarkEnd w:id="146"/>
      <w:bookmarkEnd w:id="147"/>
      <w:bookmarkEnd w:id="148"/>
      <w:bookmarkEnd w:id="149"/>
      <w:bookmarkEnd w:id="150"/>
    </w:p>
    <w:p w14:paraId="689B4DF4">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（一）招标文件的构成。本招标文件由以下部分组成：</w:t>
      </w:r>
    </w:p>
    <w:p w14:paraId="77D67E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14:paraId="64CE46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2.招标需求</w:t>
      </w:r>
    </w:p>
    <w:p w14:paraId="0DA17B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3.投标人须知</w:t>
      </w:r>
    </w:p>
    <w:p w14:paraId="6145EE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4.评标办法及标准</w:t>
      </w:r>
    </w:p>
    <w:p w14:paraId="335FD1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5.合同主要条款</w:t>
      </w:r>
    </w:p>
    <w:p w14:paraId="7B3678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6.投标文件格式</w:t>
      </w:r>
    </w:p>
    <w:p w14:paraId="4E2F13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7.本项目招标文件的澄清、答复、修改、补充的内容</w:t>
      </w:r>
    </w:p>
    <w:p w14:paraId="50BE703C">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（二）投标人的风险</w:t>
      </w:r>
    </w:p>
    <w:p w14:paraId="4FA15E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投标人没有按照招标文件要求提供全部资料，或者投标人没有对招标文件在各方面作出实质性响应是投标人的风险，并可能导致其投标被拒绝。</w:t>
      </w:r>
    </w:p>
    <w:p w14:paraId="2480C15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（三）招标文件的澄清与修改 </w:t>
      </w:r>
    </w:p>
    <w:p w14:paraId="3CD6ED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1.投标人应认真阅读本招标文件，发现其中有误或有不合理要求的，</w:t>
      </w:r>
      <w:r>
        <w:rPr>
          <w:rFonts w:hint="eastAsia" w:ascii="宋体" w:hAnsi="宋体" w:cs="宋体"/>
          <w:bCs/>
          <w:color w:val="auto"/>
          <w:sz w:val="24"/>
          <w:highlight w:val="none"/>
        </w:rPr>
        <w:t>投标人应当按照公开招标公告第三、七条规定以书面形式要求招标方澄清</w:t>
      </w:r>
      <w:r>
        <w:rPr>
          <w:rFonts w:hint="eastAsia" w:ascii="宋体" w:hAnsi="宋体" w:eastAsia="宋体" w:cs="宋体"/>
          <w:color w:val="auto"/>
          <w:sz w:val="24"/>
          <w:highlight w:val="none"/>
        </w:rPr>
        <w:t>。招标方对已发出的招标文件进行必要澄清、答复、修改或补充的，将于投标截止日期5天前在财政部门指定的政府采购信息发布媒体上发布更正公告，不另作通知。如果答疑、澄清或修改的内容可能影响投标文件编制的</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招标采购单位将于投标截止日期15天前以网上公告的形式通知所有已报名的投标人，答疑内容是招标文件的组成部分。</w:t>
      </w:r>
    </w:p>
    <w:p w14:paraId="44BFD1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518F29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419B28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4.招标文件的澄清、答复、修改或补充都应该通过本招标机构以法定形式发布，采购人非通过本机构，不得擅自澄清、答复、修改或补充招标文件。</w:t>
      </w:r>
      <w:bookmarkStart w:id="151" w:name="_Toc458697269"/>
      <w:bookmarkStart w:id="152" w:name="_Toc454196067"/>
      <w:bookmarkStart w:id="153" w:name="_Toc12546"/>
    </w:p>
    <w:p w14:paraId="71A93CDA">
      <w:pPr>
        <w:spacing w:line="360" w:lineRule="auto"/>
        <w:jc w:val="center"/>
        <w:outlineLvl w:val="9"/>
        <w:rPr>
          <w:rFonts w:hint="eastAsia" w:ascii="宋体" w:hAnsi="宋体" w:eastAsia="宋体" w:cs="宋体"/>
          <w:b/>
          <w:bCs/>
          <w:color w:val="auto"/>
          <w:sz w:val="24"/>
          <w:szCs w:val="24"/>
          <w:highlight w:val="none"/>
        </w:rPr>
      </w:pPr>
    </w:p>
    <w:p w14:paraId="676AF492">
      <w:pPr>
        <w:spacing w:line="360" w:lineRule="auto"/>
        <w:jc w:val="center"/>
        <w:outlineLvl w:val="9"/>
        <w:rPr>
          <w:rFonts w:hint="eastAsia" w:ascii="宋体" w:hAnsi="宋体" w:eastAsia="宋体" w:cs="宋体"/>
          <w:b/>
          <w:bCs/>
          <w:color w:val="auto"/>
          <w:sz w:val="24"/>
          <w:szCs w:val="24"/>
          <w:highlight w:val="none"/>
        </w:rPr>
      </w:pPr>
    </w:p>
    <w:p w14:paraId="205F54FA">
      <w:pPr>
        <w:spacing w:line="360" w:lineRule="auto"/>
        <w:jc w:val="center"/>
        <w:outlineLvl w:val="1"/>
        <w:rPr>
          <w:rFonts w:hint="eastAsia" w:ascii="宋体" w:hAnsi="宋体" w:eastAsia="宋体" w:cs="宋体"/>
          <w:b/>
          <w:bCs/>
          <w:color w:val="auto"/>
          <w:sz w:val="24"/>
          <w:szCs w:val="24"/>
          <w:highlight w:val="none"/>
        </w:rPr>
      </w:pPr>
      <w:bookmarkStart w:id="154" w:name="_Toc15370"/>
      <w:bookmarkStart w:id="155" w:name="_Toc24041"/>
      <w:bookmarkStart w:id="156" w:name="_Toc28467"/>
      <w:r>
        <w:rPr>
          <w:rFonts w:hint="eastAsia" w:ascii="宋体" w:hAnsi="宋体" w:eastAsia="宋体" w:cs="宋体"/>
          <w:b/>
          <w:bCs/>
          <w:color w:val="auto"/>
          <w:sz w:val="24"/>
          <w:szCs w:val="24"/>
          <w:highlight w:val="none"/>
        </w:rPr>
        <w:t>三、投标文件的编制</w:t>
      </w:r>
      <w:bookmarkEnd w:id="151"/>
      <w:bookmarkEnd w:id="152"/>
      <w:bookmarkEnd w:id="153"/>
      <w:bookmarkEnd w:id="154"/>
      <w:bookmarkEnd w:id="155"/>
      <w:bookmarkEnd w:id="156"/>
    </w:p>
    <w:p w14:paraId="79174DA7">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▲（一）投标文件的组成</w:t>
      </w:r>
    </w:p>
    <w:p w14:paraId="7CCFD990">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投标文件</w:t>
      </w:r>
      <w:r>
        <w:rPr>
          <w:rFonts w:hint="eastAsia" w:ascii="宋体" w:hAnsi="宋体"/>
          <w:b/>
          <w:bCs/>
          <w:color w:val="auto"/>
          <w:sz w:val="24"/>
          <w:highlight w:val="none"/>
        </w:rPr>
        <w:t>（包含电子投标文件和电子备份投标文件）</w:t>
      </w:r>
      <w:r>
        <w:rPr>
          <w:rFonts w:hint="eastAsia" w:ascii="宋体" w:hAnsi="宋体"/>
          <w:b/>
          <w:color w:val="auto"/>
          <w:sz w:val="24"/>
          <w:highlight w:val="none"/>
        </w:rPr>
        <w:t>由资格审查资料、资信商务及技术文件、投标报价文件三</w:t>
      </w:r>
      <w:r>
        <w:rPr>
          <w:rFonts w:hint="eastAsia" w:ascii="宋体" w:hAnsi="宋体"/>
          <w:b/>
          <w:color w:val="auto"/>
          <w:sz w:val="24"/>
          <w:highlight w:val="none"/>
          <w:lang w:eastAsia="zh-CN"/>
        </w:rPr>
        <w:t>部分</w:t>
      </w:r>
      <w:r>
        <w:rPr>
          <w:rFonts w:hint="eastAsia" w:ascii="宋体" w:hAnsi="宋体"/>
          <w:b/>
          <w:color w:val="auto"/>
          <w:sz w:val="24"/>
          <w:highlight w:val="none"/>
        </w:rPr>
        <w:t>组成。其中电子投标文件中所</w:t>
      </w:r>
      <w:r>
        <w:rPr>
          <w:rFonts w:hint="eastAsia" w:ascii="宋体" w:hAnsi="宋体"/>
          <w:b/>
          <w:color w:val="auto"/>
          <w:sz w:val="24"/>
          <w:highlight w:val="none"/>
          <w:lang w:eastAsia="zh-CN"/>
        </w:rPr>
        <w:t>需</w:t>
      </w:r>
      <w:r>
        <w:rPr>
          <w:rFonts w:hint="eastAsia" w:ascii="宋体" w:hAnsi="宋体"/>
          <w:b/>
          <w:color w:val="auto"/>
          <w:sz w:val="24"/>
          <w:highlight w:val="none"/>
        </w:rPr>
        <w:t>加盖公章部分均采用CA签章。</w:t>
      </w:r>
    </w:p>
    <w:p w14:paraId="673654D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1.资格审查文件：</w:t>
      </w:r>
    </w:p>
    <w:p w14:paraId="2FB61B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（1）具有独立承担民事责任的能力：投标人须在投标文件中出具符合以下情况的证明材料复印件（五选一）：</w:t>
      </w:r>
    </w:p>
    <w:p w14:paraId="412C7F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①如投标人是企业（包括合伙企业），提供在工商部门注册的有效“企业法人营业执照”或“营业执照”；</w:t>
      </w:r>
    </w:p>
    <w:p w14:paraId="38F275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②如投标人是事业单位，提供有效的“事业单位法人证书”；</w:t>
      </w:r>
    </w:p>
    <w:p w14:paraId="693E3B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③如投标人是非企业专业服务机构的，提供执业许可证等证明文件；</w:t>
      </w:r>
    </w:p>
    <w:p w14:paraId="516498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④如投标人是个体工商户，提供有效的“个体工商户营业执照”；</w:t>
      </w:r>
    </w:p>
    <w:p w14:paraId="61C5B8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⑤如投标人是自然人，提供有效的自然人身份证明（居民身份证正反面或公安机关出具的临时居民身份证正反面或港澳台胞证或护照）。</w:t>
      </w:r>
    </w:p>
    <w:p w14:paraId="060674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（2）法定代表人身份证复印件或法定代表人授权委托书</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格式见附件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23C5AB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（3）联合体协议书（联合体投标时提供）（格式见附件）</w:t>
      </w:r>
      <w:r>
        <w:rPr>
          <w:rFonts w:hint="eastAsia" w:ascii="宋体" w:hAnsi="宋体" w:cs="宋体"/>
          <w:color w:val="auto"/>
          <w:sz w:val="24"/>
          <w:highlight w:val="none"/>
          <w:lang w:eastAsia="zh-CN"/>
        </w:rPr>
        <w:t>、</w:t>
      </w:r>
      <w:r>
        <w:rPr>
          <w:rFonts w:hint="eastAsia" w:ascii="宋体" w:hAnsi="宋体" w:eastAsia="宋体" w:cs="宋体"/>
          <w:bCs/>
          <w:color w:val="auto"/>
          <w:sz w:val="24"/>
          <w:highlight w:val="none"/>
        </w:rPr>
        <w:t>分包协议（分包时提供，格式见附件）</w:t>
      </w:r>
      <w:r>
        <w:rPr>
          <w:rFonts w:hint="eastAsia" w:ascii="宋体" w:hAnsi="宋体" w:eastAsia="宋体" w:cs="宋体"/>
          <w:color w:val="auto"/>
          <w:sz w:val="24"/>
          <w:highlight w:val="none"/>
        </w:rPr>
        <w:t>；</w:t>
      </w:r>
    </w:p>
    <w:p w14:paraId="3833D0D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符合参加政府采购活动应当具备的一般条件的承诺函</w:t>
      </w:r>
      <w:r>
        <w:rPr>
          <w:rFonts w:hint="eastAsia" w:ascii="宋体" w:hAnsi="宋体" w:eastAsia="宋体" w:cs="宋体"/>
          <w:color w:val="auto"/>
          <w:sz w:val="24"/>
          <w:highlight w:val="none"/>
        </w:rPr>
        <w:t>（格式见附件）</w:t>
      </w:r>
      <w:r>
        <w:rPr>
          <w:rFonts w:hint="eastAsia" w:ascii="宋体" w:hAnsi="宋体" w:cs="宋体"/>
          <w:color w:val="auto"/>
          <w:sz w:val="24"/>
          <w:highlight w:val="none"/>
          <w:lang w:eastAsia="zh-CN"/>
        </w:rPr>
        <w:t>；</w:t>
      </w:r>
    </w:p>
    <w:p w14:paraId="076DD1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 </w:t>
      </w:r>
    </w:p>
    <w:p w14:paraId="7993D10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w:t>
      </w:r>
      <w:r>
        <w:rPr>
          <w:rFonts w:hint="eastAsia" w:ascii="宋体" w:hAnsi="宋体" w:cs="宋体"/>
          <w:color w:val="auto"/>
          <w:sz w:val="24"/>
          <w:highlight w:val="none"/>
        </w:rPr>
        <w:t>中小企业声明函（格式见附件）</w:t>
      </w:r>
      <w:r>
        <w:rPr>
          <w:rFonts w:hint="eastAsia" w:ascii="宋体" w:hAnsi="宋体" w:cs="宋体"/>
          <w:color w:val="auto"/>
          <w:sz w:val="24"/>
          <w:highlight w:val="none"/>
          <w:lang w:eastAsia="zh-CN"/>
        </w:rPr>
        <w:t>；</w:t>
      </w:r>
    </w:p>
    <w:p w14:paraId="6C021C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）浙江政府采购网注册正式供应商的网络截图或承诺中标后30天内注册为浙江政府采购网正式供应商（须提供承诺书）；</w:t>
      </w:r>
    </w:p>
    <w:p w14:paraId="5D6FA0A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）东阳市政府采购代理机构社会评价表（格式见附件）</w:t>
      </w:r>
      <w:r>
        <w:rPr>
          <w:rFonts w:hint="eastAsia" w:ascii="宋体" w:hAnsi="宋体" w:cs="宋体"/>
          <w:color w:val="auto"/>
          <w:sz w:val="24"/>
          <w:highlight w:val="none"/>
          <w:lang w:eastAsia="zh-CN"/>
        </w:rPr>
        <w:t>；</w:t>
      </w:r>
    </w:p>
    <w:p w14:paraId="0542CF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）投标声明书</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格式见附件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78736B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 xml:space="preserve">）政府采购活动现场确认声明书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格式见附件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0AF221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）投标人情况介绍；</w:t>
      </w:r>
    </w:p>
    <w:p w14:paraId="4D31C7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）投标人认为有必要提供的</w:t>
      </w:r>
      <w:r>
        <w:rPr>
          <w:rFonts w:hint="eastAsia" w:ascii="宋体" w:hAnsi="宋体" w:cs="宋体"/>
          <w:color w:val="auto"/>
          <w:sz w:val="24"/>
          <w:highlight w:val="none"/>
          <w:lang w:eastAsia="zh-CN"/>
        </w:rPr>
        <w:t>其他</w:t>
      </w:r>
      <w:r>
        <w:rPr>
          <w:rFonts w:hint="eastAsia" w:ascii="宋体" w:hAnsi="宋体" w:eastAsia="宋体" w:cs="宋体"/>
          <w:color w:val="auto"/>
          <w:sz w:val="24"/>
          <w:highlight w:val="none"/>
        </w:rPr>
        <w:t>文件。</w:t>
      </w:r>
    </w:p>
    <w:p w14:paraId="1E45E2E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2.商务技术文件</w:t>
      </w:r>
    </w:p>
    <w:p w14:paraId="7C657B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462D10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542A95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22E84D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（4）项目理解；</w:t>
      </w:r>
    </w:p>
    <w:p w14:paraId="58D781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（5）规划构思；</w:t>
      </w:r>
    </w:p>
    <w:p w14:paraId="380ACF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（6）工作计划；</w:t>
      </w:r>
    </w:p>
    <w:p w14:paraId="01AA8A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（7）拟派项目组人员；</w:t>
      </w:r>
    </w:p>
    <w:p w14:paraId="3099C8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（8）同类业绩（格式见附件）；</w:t>
      </w:r>
    </w:p>
    <w:p w14:paraId="5FD4E22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（9）企业荣誉；</w:t>
      </w:r>
    </w:p>
    <w:p w14:paraId="5B8986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（10）认证证书；</w:t>
      </w:r>
    </w:p>
    <w:p w14:paraId="374C02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（11）质量保证措施；</w:t>
      </w:r>
    </w:p>
    <w:p w14:paraId="49068B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（12）服务承诺；</w:t>
      </w:r>
    </w:p>
    <w:p w14:paraId="049842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（13）服务费承诺书（格式见附件）；</w:t>
      </w:r>
    </w:p>
    <w:p w14:paraId="61ADE8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（14）投标人需要说明的其他文件和说明。</w:t>
      </w:r>
    </w:p>
    <w:p w14:paraId="544169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3.报价文件</w:t>
      </w:r>
    </w:p>
    <w:p w14:paraId="36A8BE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（1）投标函（格式见附件）； </w:t>
      </w:r>
    </w:p>
    <w:p w14:paraId="0F3009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中小企业声明函（格式见附件）</w:t>
      </w:r>
      <w:r>
        <w:rPr>
          <w:rFonts w:hint="eastAsia" w:ascii="宋体" w:hAnsi="宋体" w:eastAsia="宋体" w:cs="宋体"/>
          <w:color w:val="auto"/>
          <w:sz w:val="24"/>
          <w:highlight w:val="none"/>
        </w:rPr>
        <w:t>；</w:t>
      </w:r>
    </w:p>
    <w:p w14:paraId="0180F8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监狱企业证明文件；</w:t>
      </w:r>
    </w:p>
    <w:p w14:paraId="7AD34F77">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残疾人福利性单位声明函（格式见附件）；</w:t>
      </w:r>
    </w:p>
    <w:p w14:paraId="45B9C7DD">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（5）开标一览表（格式见附件）； </w:t>
      </w:r>
    </w:p>
    <w:p w14:paraId="5566DCE6">
      <w:pPr>
        <w:spacing w:line="360" w:lineRule="auto"/>
        <w:ind w:firstLine="480" w:firstLineChars="200"/>
        <w:rPr>
          <w:rFonts w:hint="eastAsia" w:ascii="宋体" w:hAnsi="宋体" w:eastAsia="宋体" w:cs="宋体"/>
          <w:b/>
          <w:bCs/>
          <w:color w:val="auto"/>
          <w:sz w:val="24"/>
          <w:highlight w:val="none"/>
        </w:rPr>
      </w:pPr>
      <w:r>
        <w:rPr>
          <w:rFonts w:hint="eastAsia" w:ascii="宋体" w:hAnsi="宋体" w:cs="宋体"/>
          <w:color w:val="auto"/>
          <w:sz w:val="24"/>
          <w:highlight w:val="none"/>
          <w:lang w:val="en-US" w:eastAsia="zh-CN"/>
        </w:rPr>
        <w:t>（6）投标人针对报价需要说明的其他文件和说明（格式自拟）</w:t>
      </w:r>
      <w:r>
        <w:rPr>
          <w:rFonts w:hint="eastAsia" w:ascii="宋体" w:hAnsi="宋体" w:eastAsia="宋体" w:cs="宋体"/>
          <w:color w:val="auto"/>
          <w:sz w:val="24"/>
          <w:highlight w:val="none"/>
        </w:rPr>
        <w:t>。</w:t>
      </w:r>
    </w:p>
    <w:p w14:paraId="49E9C0F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▲（二）投标文件的语言及计量</w:t>
      </w:r>
    </w:p>
    <w:p w14:paraId="1ADFDA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41BBF4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2.投标计量单位，应采用中华人民共和国法定计量单位（货币单位：人民币元），否则视同未响应。</w:t>
      </w:r>
    </w:p>
    <w:p w14:paraId="6BDFB8B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▲（三）投标报价</w:t>
      </w:r>
    </w:p>
    <w:p w14:paraId="4E5288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1.投标报价应按招标文件中相关附表格式填写。</w:t>
      </w:r>
    </w:p>
    <w:p w14:paraId="48BC94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rPr>
        <w:t>投标报价是履行合同的最终价格，</w:t>
      </w:r>
      <w:r>
        <w:rPr>
          <w:rFonts w:hint="eastAsia" w:ascii="宋体" w:hAnsi="宋体" w:cs="仿宋_GB2312"/>
          <w:color w:val="auto"/>
          <w:sz w:val="24"/>
          <w:highlight w:val="none"/>
        </w:rPr>
        <w:t>应包括</w:t>
      </w:r>
      <w:r>
        <w:rPr>
          <w:rFonts w:hint="default" w:ascii="宋体" w:hAnsi="宋体"/>
          <w:color w:val="auto"/>
          <w:sz w:val="24"/>
          <w:highlight w:val="none"/>
          <w:lang w:eastAsia="zh-CN"/>
        </w:rPr>
        <w:t>调查经费、研究经</w:t>
      </w:r>
      <w:r>
        <w:rPr>
          <w:rFonts w:hint="eastAsia" w:ascii="宋体" w:hAnsi="宋体"/>
          <w:color w:val="auto"/>
          <w:sz w:val="24"/>
          <w:highlight w:val="none"/>
          <w:lang w:eastAsia="zh-CN"/>
        </w:rPr>
        <w:t>费</w:t>
      </w:r>
      <w:r>
        <w:rPr>
          <w:rFonts w:hint="default" w:ascii="宋体" w:hAnsi="宋体"/>
          <w:color w:val="auto"/>
          <w:sz w:val="24"/>
          <w:highlight w:val="none"/>
          <w:lang w:eastAsia="zh-CN"/>
        </w:rPr>
        <w:t>、评</w:t>
      </w:r>
      <w:r>
        <w:rPr>
          <w:rFonts w:hint="eastAsia" w:ascii="宋体" w:hAnsi="宋体"/>
          <w:color w:val="auto"/>
          <w:sz w:val="24"/>
          <w:highlight w:val="none"/>
          <w:lang w:eastAsia="zh-CN"/>
        </w:rPr>
        <w:t>审会务费</w:t>
      </w:r>
      <w:r>
        <w:rPr>
          <w:rFonts w:hint="default" w:ascii="宋体" w:hAnsi="宋体"/>
          <w:color w:val="auto"/>
          <w:sz w:val="24"/>
          <w:highlight w:val="none"/>
          <w:lang w:eastAsia="zh-CN"/>
        </w:rPr>
        <w:t>、专家咨询费、招标代理费和税费等</w:t>
      </w:r>
      <w:r>
        <w:rPr>
          <w:rFonts w:hint="eastAsia" w:ascii="宋体" w:hAnsi="宋体"/>
          <w:color w:val="auto"/>
          <w:sz w:val="24"/>
          <w:highlight w:val="none"/>
          <w:lang w:eastAsia="zh-CN"/>
        </w:rPr>
        <w:t>本项目相关的一切费用和税金</w:t>
      </w:r>
      <w:r>
        <w:rPr>
          <w:rFonts w:hint="eastAsia" w:ascii="宋体" w:hAnsi="宋体" w:cs="仿宋_GB2312"/>
          <w:color w:val="auto"/>
          <w:sz w:val="24"/>
          <w:highlight w:val="none"/>
        </w:rPr>
        <w:t>。</w:t>
      </w:r>
      <w:r>
        <w:rPr>
          <w:rFonts w:hint="eastAsia" w:ascii="宋体" w:hAnsi="宋体" w:cs="宋体"/>
          <w:color w:val="auto"/>
          <w:sz w:val="24"/>
          <w:highlight w:val="none"/>
        </w:rPr>
        <w:t>投标人投标报价为投标人所能承受的整个项目的一次性最终最低报价，如有漏项，视同已包含在本项目投标报价中，</w:t>
      </w:r>
      <w:r>
        <w:rPr>
          <w:rFonts w:hint="eastAsia" w:ascii="宋体" w:hAnsi="宋体"/>
          <w:color w:val="auto"/>
          <w:sz w:val="24"/>
          <w:highlight w:val="none"/>
        </w:rPr>
        <w:t>合同总价</w:t>
      </w:r>
      <w:r>
        <w:rPr>
          <w:rFonts w:hint="eastAsia" w:ascii="宋体" w:hAnsi="宋体"/>
          <w:color w:val="auto"/>
          <w:sz w:val="24"/>
          <w:highlight w:val="none"/>
          <w:lang w:eastAsia="zh-CN"/>
        </w:rPr>
        <w:t>不作</w:t>
      </w:r>
      <w:r>
        <w:rPr>
          <w:rFonts w:hint="eastAsia" w:ascii="宋体" w:hAnsi="宋体"/>
          <w:color w:val="auto"/>
          <w:sz w:val="24"/>
          <w:highlight w:val="none"/>
        </w:rPr>
        <w:t>调整</w:t>
      </w:r>
      <w:r>
        <w:rPr>
          <w:rFonts w:hint="eastAsia" w:ascii="宋体" w:hAnsi="宋体" w:cs="宋体"/>
          <w:color w:val="auto"/>
          <w:sz w:val="24"/>
          <w:highlight w:val="none"/>
        </w:rPr>
        <w:t>。</w:t>
      </w:r>
    </w:p>
    <w:p w14:paraId="1E40BCA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（四）投标文件的有效期</w:t>
      </w:r>
    </w:p>
    <w:p w14:paraId="6020D1DE">
      <w:pPr>
        <w:spacing w:line="360" w:lineRule="auto"/>
        <w:ind w:firstLine="480" w:firstLineChars="200"/>
        <w:rPr>
          <w:rFonts w:hint="eastAsia" w:ascii="宋体" w:hAnsi="宋体" w:eastAsia="宋体" w:cs="宋体"/>
          <w:color w:val="auto"/>
          <w:sz w:val="24"/>
          <w:highlight w:val="none"/>
        </w:rPr>
      </w:pPr>
      <w:bookmarkStart w:id="157" w:name="_Toc450548873"/>
      <w:bookmarkStart w:id="158" w:name="_Toc405368930"/>
      <w:r>
        <w:rPr>
          <w:rFonts w:hint="eastAsia" w:ascii="宋体" w:hAnsi="宋体" w:eastAsia="宋体" w:cs="宋体"/>
          <w:color w:val="auto"/>
          <w:sz w:val="24"/>
          <w:highlight w:val="none"/>
        </w:rPr>
        <w:t>▲1.自投标截止日起</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天投标文件应保持有效。有效期不足的投标文件将被拒绝。</w:t>
      </w:r>
    </w:p>
    <w:p w14:paraId="151778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2.在特殊情况下，招标人可与投标人协商延长投标书的有效期，这种要求和答复均以书面形式进行。</w:t>
      </w:r>
    </w:p>
    <w:p w14:paraId="6D3D6A9A">
      <w:pPr>
        <w:spacing w:line="360" w:lineRule="auto"/>
        <w:ind w:firstLine="480" w:firstLineChars="200"/>
        <w:rPr>
          <w:rFonts w:hint="eastAsia" w:ascii="宋体" w:hAnsi="宋体" w:eastAsia="宋体" w:cs="宋体"/>
          <w:color w:val="auto"/>
          <w:sz w:val="24"/>
          <w:highlight w:val="none"/>
        </w:rPr>
      </w:pPr>
      <w:bookmarkStart w:id="159" w:name="_Toc407182105"/>
      <w:r>
        <w:rPr>
          <w:rFonts w:hint="eastAsia" w:ascii="宋体" w:hAnsi="宋体" w:eastAsia="宋体" w:cs="宋体"/>
          <w:color w:val="auto"/>
          <w:sz w:val="24"/>
          <w:highlight w:val="none"/>
        </w:rPr>
        <w:t>3.投标人可拒绝接受延期要求，若同意延长有效期的投标人，则不能修改投标文件。</w:t>
      </w:r>
      <w:bookmarkEnd w:id="159"/>
      <w:r>
        <w:rPr>
          <w:rFonts w:hint="eastAsia" w:ascii="宋体" w:hAnsi="宋体" w:eastAsia="宋体" w:cs="宋体"/>
          <w:color w:val="auto"/>
          <w:sz w:val="24"/>
          <w:highlight w:val="none"/>
        </w:rPr>
        <w:t xml:space="preserve"> </w:t>
      </w:r>
    </w:p>
    <w:p w14:paraId="11F2C4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4.中标人的投标文件自开标之日起至合同履行完毕止均应保持有效。</w:t>
      </w:r>
    </w:p>
    <w:bookmarkEnd w:id="157"/>
    <w:bookmarkEnd w:id="158"/>
    <w:p w14:paraId="4C3752FB">
      <w:pPr>
        <w:spacing w:line="360" w:lineRule="auto"/>
        <w:ind w:firstLine="482" w:firstLineChars="200"/>
        <w:rPr>
          <w:rFonts w:hint="eastAsia" w:ascii="宋体" w:hAnsi="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w:t>
      </w:r>
      <w:r>
        <w:rPr>
          <w:rFonts w:hint="eastAsia" w:ascii="宋体" w:hAnsi="宋体" w:cs="宋体"/>
          <w:b/>
          <w:color w:val="auto"/>
          <w:sz w:val="24"/>
          <w:highlight w:val="none"/>
        </w:rPr>
        <w:t>履约保证金</w:t>
      </w:r>
    </w:p>
    <w:p w14:paraId="5E4FDE8C">
      <w:pPr>
        <w:numPr>
          <w:ilvl w:val="0"/>
          <w:numId w:val="0"/>
        </w:numPr>
        <w:spacing w:line="360" w:lineRule="auto"/>
        <w:ind w:firstLine="480" w:firstLineChars="200"/>
        <w:rPr>
          <w:rFonts w:hint="default" w:ascii="宋体" w:hAnsi="宋体" w:eastAsia="宋体" w:cs="宋体"/>
          <w:b/>
          <w:color w:val="auto"/>
          <w:sz w:val="24"/>
          <w:highlight w:val="none"/>
          <w:lang w:val="en-US" w:eastAsia="zh-CN"/>
        </w:rPr>
      </w:pPr>
      <w:r>
        <w:rPr>
          <w:rFonts w:hint="eastAsia" w:ascii="宋体" w:hAnsi="宋体" w:cs="宋体"/>
          <w:color w:val="auto"/>
          <w:sz w:val="24"/>
          <w:highlight w:val="none"/>
          <w:lang w:val="en-US" w:eastAsia="zh-CN"/>
        </w:rPr>
        <w:t>本项目不收取履约保证金。</w:t>
      </w:r>
    </w:p>
    <w:p w14:paraId="668B477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▲（六）投标文件的签署</w:t>
      </w:r>
    </w:p>
    <w:p w14:paraId="433DFE36">
      <w:pPr>
        <w:numPr>
          <w:ilvl w:val="0"/>
          <w:numId w:val="0"/>
        </w:numPr>
        <w:spacing w:line="360" w:lineRule="auto"/>
        <w:ind w:firstLine="480" w:firstLineChars="200"/>
        <w:rPr>
          <w:rFonts w:ascii="宋体" w:hAnsi="宋体" w:cs="宋体"/>
          <w:color w:val="auto"/>
          <w:sz w:val="24"/>
          <w:highlight w:val="none"/>
        </w:rPr>
      </w:pPr>
      <w:r>
        <w:rPr>
          <w:rFonts w:ascii="宋体" w:hAnsi="宋体" w:eastAsia="宋体" w:cs="宋体"/>
          <w:color w:val="auto"/>
          <w:kern w:val="2"/>
          <w:sz w:val="24"/>
          <w:szCs w:val="24"/>
          <w:highlight w:val="none"/>
          <w:lang w:val="en-US" w:eastAsia="zh-CN" w:bidi="ar-SA"/>
        </w:rPr>
        <w:t>1.</w:t>
      </w:r>
      <w:r>
        <w:rPr>
          <w:rFonts w:hint="eastAsia" w:ascii="宋体" w:hAnsi="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2658183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 投标文件需盖章签字的地方必须由投标人法定代表人或法定代表人的授权委托人签署并加盖单位公章，投标人应写全称。</w:t>
      </w:r>
    </w:p>
    <w:p w14:paraId="1F668A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3.投标文件不得涂改，若有修改错漏处，须加盖单位公章和由法定代表人或授权委托人签字或盖章。投标文件因字迹潦草或表达不清所引起的后果由投标人负责。</w:t>
      </w:r>
    </w:p>
    <w:p w14:paraId="71A4678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）投标文件的上传、递交、修改和撤回</w:t>
      </w:r>
    </w:p>
    <w:p w14:paraId="3780DD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1.投标人应当在投标截止时间前在“政采云”（电子交易平台）上自行上传加密的电子投标文件。</w:t>
      </w:r>
    </w:p>
    <w:p w14:paraId="0F4D73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2.未按规定上传的投标文件将被拒绝，由此造成投标文件解密失败或被误投的风险由投标人承担。</w:t>
      </w:r>
    </w:p>
    <w:p w14:paraId="6AF468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3.投标人未在“政采云”（电子交易平台）上自行上传加密的电子投标文件，仅提交电子备份投标文件的，投标无效。</w:t>
      </w:r>
    </w:p>
    <w:p w14:paraId="7E3074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33B461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13B87A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53F533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6.电子投标文件无法解密或解密失败时，投标人提供了电子备份投标文件的，以电子备份投标文件作为评审依据，否则视为投标文件撤回。投标文件已按时解密的，电子备份投标文件自动失效。</w:t>
      </w:r>
    </w:p>
    <w:p w14:paraId="5636042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）投标无效的情形</w:t>
      </w:r>
    </w:p>
    <w:p w14:paraId="2DD34D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实质上没有响应招标文件要求的投标将被视为无效投标。投标人不得通过修正或</w:t>
      </w:r>
      <w:r>
        <w:rPr>
          <w:rFonts w:hint="eastAsia" w:ascii="宋体" w:hAnsi="宋体" w:cs="宋体"/>
          <w:color w:val="auto"/>
          <w:sz w:val="24"/>
          <w:highlight w:val="none"/>
          <w:lang w:eastAsia="zh-CN"/>
        </w:rPr>
        <w:t>撤销</w:t>
      </w:r>
      <w:r>
        <w:rPr>
          <w:rFonts w:hint="eastAsia" w:ascii="宋体" w:hAnsi="宋体" w:eastAsia="宋体" w:cs="宋体"/>
          <w:color w:val="auto"/>
          <w:sz w:val="24"/>
          <w:highlight w:val="none"/>
        </w:rPr>
        <w:t>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6207580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1.在符合性审查和商务评审时，如发现下列情形之一的，投标文件将被视为无效：</w:t>
      </w:r>
    </w:p>
    <w:p w14:paraId="433410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108981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（2）在开评标时出现电子投标文件无法解密或解密失败等情况，投标人未提供电子备份投标文件，无法对投标人继续进行评审的；</w:t>
      </w:r>
    </w:p>
    <w:p w14:paraId="69AF7E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14:paraId="424A88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53EF66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（5）资格证明文件不全的，或者不符合招标文件标明的资格要求的，及未提供招标文件中标有“ ▲”特殊符号的证明文件的；</w:t>
      </w:r>
    </w:p>
    <w:p w14:paraId="051E8D49">
      <w:pPr>
        <w:spacing w:line="45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（6）本项目投标截止之日前三年内，相关主体在“信用中国”网站、中国政府采购网有失信行为或被列入受惩黑名单。</w:t>
      </w:r>
    </w:p>
    <w:p w14:paraId="1B51543C">
      <w:pPr>
        <w:pStyle w:val="10"/>
        <w:ind w:firstLineChars="200"/>
        <w:rPr>
          <w:color w:val="auto"/>
          <w:highlight w:val="none"/>
        </w:rPr>
      </w:pPr>
    </w:p>
    <w:p w14:paraId="789D42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（7）投标文件无法定代表人签字</w:t>
      </w:r>
      <w:r>
        <w:rPr>
          <w:rFonts w:hint="eastAsia" w:ascii="宋体" w:hAnsi="宋体" w:cs="宋体"/>
          <w:color w:val="auto"/>
          <w:sz w:val="24"/>
          <w:highlight w:val="none"/>
          <w:lang w:eastAsia="zh-CN"/>
        </w:rPr>
        <w:t>，</w:t>
      </w:r>
      <w:r>
        <w:rPr>
          <w:rFonts w:hint="eastAsia" w:ascii="宋体" w:hAnsi="宋体" w:cs="宋体"/>
          <w:color w:val="auto"/>
          <w:sz w:val="24"/>
          <w:highlight w:val="none"/>
        </w:rPr>
        <w:t>或未提供法定代表人授权委托书、投标声明书或者填写项目不齐全的；</w:t>
      </w:r>
    </w:p>
    <w:p w14:paraId="34D25F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（8）投标代表人未能出具身份证明或与法定代表人授权委托人身份不符的； </w:t>
      </w:r>
    </w:p>
    <w:p w14:paraId="14D6E4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（9）投标文件格式未按招标文件附件规定的格式、未按招标文件规定的内容编制投标文件的或者内容虚假的、未按规定签字或盖章的；</w:t>
      </w:r>
    </w:p>
    <w:p w14:paraId="4975CD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（10）投标文件的实质性内容未使用中文表述的或意思表述不明确、前后矛盾的或者使用计量单位不符合招标文件要求的（经评标委员会认定并允许其当场更正的笔误除外）；</w:t>
      </w:r>
    </w:p>
    <w:p w14:paraId="0633DE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（11）投标有效期、服务期（交货期）、质保期、付款方式等商务条款不能满足招标文件要求的；</w:t>
      </w:r>
    </w:p>
    <w:p w14:paraId="3DC56B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（12）未实质性响应招标文件要求或者投标文件有招标方不能接受的附加条件的；</w:t>
      </w:r>
    </w:p>
    <w:p w14:paraId="231318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（13）招标文件规定的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投标无效的情况；</w:t>
      </w:r>
    </w:p>
    <w:p w14:paraId="319414E4">
      <w:pPr>
        <w:tabs>
          <w:tab w:val="left" w:pos="401"/>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（14）法律、法规规定的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投标无效情况。</w:t>
      </w:r>
    </w:p>
    <w:p w14:paraId="237EA0FC">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2.在技术资信评审时，如发现下列情形之一的，投标文件将被视为无效：</w:t>
      </w:r>
    </w:p>
    <w:p w14:paraId="2E5CD53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（1）投标人未在规定的时间内对电子询标函进行澄清回复、拒绝澄清回复或澄清回复的内容改变了投标文件的实质性内容的；</w:t>
      </w:r>
    </w:p>
    <w:p w14:paraId="01DCD1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（2）投标文件标明的响应或偏离与事实不符的或虚假投标的；</w:t>
      </w:r>
    </w:p>
    <w:p w14:paraId="5E5056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（3）明显不符合招标文件质量标准的，或者与招标文件中标有“ ▲”特殊符号的技术指标、主要功能项目发生实质性偏离的；</w:t>
      </w:r>
    </w:p>
    <w:p w14:paraId="45FC14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（4）招标文件中允许偏离的技术、性能指标或者辅助功能发生较大负偏离的，经评标委员会认定对项目实际使用造成影响的；</w:t>
      </w:r>
    </w:p>
    <w:p w14:paraId="695FD7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（5）投标技术方案不明确，存在一个或一个以上备选（替代）投标方案的；</w:t>
      </w:r>
    </w:p>
    <w:p w14:paraId="7172E4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（6）与其他参加本次投标供应商的投标文件的文字表述内容相同连续20行以上或者差错相同2处以上的；</w:t>
      </w:r>
    </w:p>
    <w:p w14:paraId="43247D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（7）在资信及商务标、技术标内出现商务报价；</w:t>
      </w:r>
    </w:p>
    <w:p w14:paraId="6B8995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（8）招标文件规定的</w:t>
      </w:r>
      <w:r>
        <w:rPr>
          <w:rFonts w:hint="eastAsia" w:ascii="宋体" w:hAnsi="宋体" w:cs="宋体"/>
          <w:color w:val="auto"/>
          <w:sz w:val="24"/>
          <w:highlight w:val="none"/>
          <w:lang w:eastAsia="zh-CN"/>
        </w:rPr>
        <w:t>其他</w:t>
      </w:r>
      <w:r>
        <w:rPr>
          <w:rFonts w:hint="eastAsia" w:ascii="宋体" w:hAnsi="宋体" w:eastAsia="宋体" w:cs="宋体"/>
          <w:color w:val="auto"/>
          <w:sz w:val="24"/>
          <w:highlight w:val="none"/>
        </w:rPr>
        <w:t>投标无效的情况；</w:t>
      </w:r>
    </w:p>
    <w:p w14:paraId="152C8F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（9）法律、法规规定的</w:t>
      </w:r>
      <w:r>
        <w:rPr>
          <w:rFonts w:hint="eastAsia" w:ascii="宋体" w:hAnsi="宋体" w:cs="宋体"/>
          <w:color w:val="auto"/>
          <w:sz w:val="24"/>
          <w:highlight w:val="none"/>
          <w:lang w:eastAsia="zh-CN"/>
        </w:rPr>
        <w:t>其他</w:t>
      </w:r>
      <w:r>
        <w:rPr>
          <w:rFonts w:hint="eastAsia" w:ascii="宋体" w:hAnsi="宋体" w:eastAsia="宋体" w:cs="宋体"/>
          <w:color w:val="auto"/>
          <w:sz w:val="24"/>
          <w:highlight w:val="none"/>
        </w:rPr>
        <w:t>投标无效情况。</w:t>
      </w:r>
    </w:p>
    <w:p w14:paraId="5E00375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3.在报价评审时，如发现下列情形之一的，投标文件将被视为无效：</w:t>
      </w:r>
    </w:p>
    <w:p w14:paraId="53F921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（1）投标人未在规定的时间内对电子询标函进行澄清回复、拒绝澄清回复或者澄清回复的内容改变了投标文件的实质性内容的；</w:t>
      </w:r>
    </w:p>
    <w:p w14:paraId="6C6EBC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未填写投标报价或</w:t>
      </w:r>
      <w:r>
        <w:rPr>
          <w:rFonts w:hint="eastAsia" w:ascii="宋体" w:hAnsi="宋体" w:eastAsia="宋体" w:cs="宋体"/>
          <w:color w:val="auto"/>
          <w:sz w:val="24"/>
          <w:highlight w:val="none"/>
        </w:rPr>
        <w:t>未采用人民币报价或者未按照招标文件标明的币种报价的；</w:t>
      </w:r>
    </w:p>
    <w:p w14:paraId="605584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（3）投标报价具有选择性的，或者开标价格与投标文件承诺的优惠（折扣）价格不一致的；</w:t>
      </w:r>
    </w:p>
    <w:p w14:paraId="6FD53C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w:t>
      </w:r>
      <w:r>
        <w:rPr>
          <w:rFonts w:hint="eastAsia" w:ascii="宋体" w:hAnsi="宋体" w:cs="宋体"/>
          <w:color w:val="auto"/>
          <w:sz w:val="24"/>
          <w:highlight w:val="none"/>
          <w:lang w:val="en-US" w:eastAsia="zh-CN"/>
        </w:rPr>
        <w:t>高于</w:t>
      </w:r>
      <w:r>
        <w:rPr>
          <w:rFonts w:hint="eastAsia" w:ascii="宋体" w:hAnsi="宋体" w:eastAsia="宋体" w:cs="宋体"/>
          <w:color w:val="auto"/>
          <w:sz w:val="24"/>
          <w:highlight w:val="none"/>
        </w:rPr>
        <w:t>用户设定的最高限价或预算金额的；</w:t>
      </w:r>
    </w:p>
    <w:p w14:paraId="2666A3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（5）招标文件规定的</w:t>
      </w:r>
      <w:r>
        <w:rPr>
          <w:rFonts w:hint="eastAsia" w:ascii="宋体" w:hAnsi="宋体" w:cs="宋体"/>
          <w:color w:val="auto"/>
          <w:sz w:val="24"/>
          <w:highlight w:val="none"/>
          <w:lang w:eastAsia="zh-CN"/>
        </w:rPr>
        <w:t>其他</w:t>
      </w:r>
      <w:r>
        <w:rPr>
          <w:rFonts w:hint="eastAsia" w:ascii="宋体" w:hAnsi="宋体" w:eastAsia="宋体" w:cs="宋体"/>
          <w:color w:val="auto"/>
          <w:sz w:val="24"/>
          <w:highlight w:val="none"/>
        </w:rPr>
        <w:t>投标无效的情况；</w:t>
      </w:r>
    </w:p>
    <w:p w14:paraId="72AC18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（6）法律、法规规定的</w:t>
      </w:r>
      <w:r>
        <w:rPr>
          <w:rFonts w:hint="eastAsia" w:ascii="宋体" w:hAnsi="宋体" w:cs="宋体"/>
          <w:color w:val="auto"/>
          <w:sz w:val="24"/>
          <w:highlight w:val="none"/>
          <w:lang w:eastAsia="zh-CN"/>
        </w:rPr>
        <w:t>其他</w:t>
      </w:r>
      <w:r>
        <w:rPr>
          <w:rFonts w:hint="eastAsia" w:ascii="宋体" w:hAnsi="宋体" w:eastAsia="宋体" w:cs="宋体"/>
          <w:color w:val="auto"/>
          <w:sz w:val="24"/>
          <w:highlight w:val="none"/>
        </w:rPr>
        <w:t>投标无效情况。</w:t>
      </w:r>
    </w:p>
    <w:p w14:paraId="434A747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b/>
          <w:bCs/>
          <w:color w:val="auto"/>
          <w:sz w:val="24"/>
          <w:highlight w:val="none"/>
        </w:rPr>
        <w:t>除政府采购法律法规规定的恶意串通、视同串通投标情形外，在不影响公平竞争的前提下，采购人、采购代理机构应在采购文件中明确规定参加同一个标段（包）的供应商存在下列情形之一的，其投标（响应）文件无效：</w:t>
      </w:r>
      <w:r>
        <w:rPr>
          <w:rFonts w:hint="eastAsia" w:ascii="宋体" w:hAnsi="宋体"/>
          <w:color w:val="auto"/>
          <w:sz w:val="24"/>
          <w:highlight w:val="none"/>
        </w:rPr>
        <w:t>（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383D193C">
      <w:pPr>
        <w:spacing w:line="360" w:lineRule="auto"/>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highlight w:val="none"/>
        </w:rPr>
        <w:t>5.被拒绝的投标文件为无效。</w:t>
      </w:r>
    </w:p>
    <w:p w14:paraId="6FB7CE01">
      <w:pPr>
        <w:spacing w:line="360" w:lineRule="auto"/>
        <w:ind w:firstLine="482" w:firstLineChars="200"/>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t>6.《中小企业声明函》类型错误，投标无效。</w:t>
      </w:r>
    </w:p>
    <w:p w14:paraId="5BF68C7D">
      <w:pPr>
        <w:spacing w:line="360" w:lineRule="auto"/>
        <w:ind w:firstLine="482" w:firstLineChars="200"/>
        <w:rPr>
          <w:rFonts w:hint="default"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t>7.《中小企业声明函》填写行业错误或者未填写行业的，投标无效。但错填为“采购文件确定的行业”等类似瑕疵的，投标有效。</w:t>
      </w:r>
    </w:p>
    <w:p w14:paraId="1CC5E617">
      <w:pPr>
        <w:spacing w:line="360" w:lineRule="auto"/>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根据有关法律、法规规定为无效、废标的，按法律、法规规定执行。</w:t>
      </w:r>
      <w:bookmarkStart w:id="160" w:name="_Toc458697270"/>
      <w:bookmarkStart w:id="161" w:name="_Toc1745"/>
    </w:p>
    <w:p w14:paraId="5C88E41A">
      <w:pPr>
        <w:spacing w:line="360" w:lineRule="auto"/>
        <w:ind w:firstLine="482" w:firstLineChars="200"/>
        <w:jc w:val="center"/>
        <w:outlineLvl w:val="9"/>
        <w:rPr>
          <w:rFonts w:hint="eastAsia" w:ascii="宋体" w:hAnsi="宋体" w:eastAsia="宋体" w:cs="宋体"/>
          <w:b/>
          <w:bCs/>
          <w:color w:val="auto"/>
          <w:sz w:val="24"/>
          <w:szCs w:val="24"/>
          <w:highlight w:val="none"/>
        </w:rPr>
      </w:pPr>
    </w:p>
    <w:p w14:paraId="6580E7D9">
      <w:pPr>
        <w:spacing w:line="360" w:lineRule="auto"/>
        <w:ind w:firstLine="482" w:firstLineChars="200"/>
        <w:jc w:val="center"/>
        <w:outlineLvl w:val="9"/>
        <w:rPr>
          <w:rFonts w:hint="eastAsia" w:ascii="宋体" w:hAnsi="宋体" w:eastAsia="宋体" w:cs="宋体"/>
          <w:b/>
          <w:bCs/>
          <w:color w:val="auto"/>
          <w:sz w:val="24"/>
          <w:szCs w:val="24"/>
          <w:highlight w:val="none"/>
        </w:rPr>
      </w:pPr>
    </w:p>
    <w:p w14:paraId="57624823">
      <w:pPr>
        <w:spacing w:line="360" w:lineRule="auto"/>
        <w:ind w:firstLine="482" w:firstLineChars="200"/>
        <w:jc w:val="center"/>
        <w:outlineLvl w:val="9"/>
        <w:rPr>
          <w:rFonts w:hint="eastAsia" w:ascii="宋体" w:hAnsi="宋体" w:eastAsia="宋体" w:cs="宋体"/>
          <w:b/>
          <w:bCs/>
          <w:color w:val="auto"/>
          <w:sz w:val="24"/>
          <w:szCs w:val="24"/>
          <w:highlight w:val="none"/>
        </w:rPr>
      </w:pPr>
    </w:p>
    <w:p w14:paraId="2C734CA3">
      <w:pPr>
        <w:spacing w:line="360" w:lineRule="auto"/>
        <w:ind w:firstLine="482" w:firstLineChars="200"/>
        <w:jc w:val="center"/>
        <w:outlineLvl w:val="9"/>
        <w:rPr>
          <w:rFonts w:hint="eastAsia" w:ascii="宋体" w:hAnsi="宋体" w:eastAsia="宋体" w:cs="宋体"/>
          <w:b/>
          <w:bCs/>
          <w:color w:val="auto"/>
          <w:sz w:val="24"/>
          <w:szCs w:val="24"/>
          <w:highlight w:val="none"/>
        </w:rPr>
      </w:pPr>
    </w:p>
    <w:p w14:paraId="5B2103A9">
      <w:pPr>
        <w:spacing w:line="360" w:lineRule="auto"/>
        <w:ind w:firstLine="482" w:firstLineChars="200"/>
        <w:jc w:val="center"/>
        <w:outlineLvl w:val="9"/>
        <w:rPr>
          <w:rFonts w:hint="eastAsia" w:ascii="宋体" w:hAnsi="宋体" w:eastAsia="宋体" w:cs="宋体"/>
          <w:b/>
          <w:bCs/>
          <w:color w:val="auto"/>
          <w:sz w:val="24"/>
          <w:szCs w:val="24"/>
          <w:highlight w:val="none"/>
        </w:rPr>
      </w:pPr>
    </w:p>
    <w:p w14:paraId="2DDBF1F0">
      <w:pPr>
        <w:spacing w:line="360" w:lineRule="auto"/>
        <w:ind w:firstLine="482" w:firstLineChars="200"/>
        <w:jc w:val="center"/>
        <w:outlineLvl w:val="9"/>
        <w:rPr>
          <w:rFonts w:hint="eastAsia" w:ascii="宋体" w:hAnsi="宋体" w:eastAsia="宋体" w:cs="宋体"/>
          <w:b/>
          <w:bCs/>
          <w:color w:val="auto"/>
          <w:sz w:val="24"/>
          <w:szCs w:val="24"/>
          <w:highlight w:val="none"/>
        </w:rPr>
      </w:pPr>
    </w:p>
    <w:p w14:paraId="2A9D092A">
      <w:pPr>
        <w:spacing w:line="360" w:lineRule="auto"/>
        <w:ind w:firstLine="482" w:firstLineChars="200"/>
        <w:jc w:val="center"/>
        <w:outlineLvl w:val="9"/>
        <w:rPr>
          <w:rFonts w:hint="eastAsia" w:ascii="宋体" w:hAnsi="宋体" w:eastAsia="宋体" w:cs="宋体"/>
          <w:b/>
          <w:bCs/>
          <w:color w:val="auto"/>
          <w:sz w:val="24"/>
          <w:szCs w:val="24"/>
          <w:highlight w:val="none"/>
        </w:rPr>
      </w:pPr>
    </w:p>
    <w:p w14:paraId="7A1C3FDD">
      <w:pPr>
        <w:spacing w:line="360" w:lineRule="auto"/>
        <w:ind w:firstLine="482" w:firstLineChars="200"/>
        <w:jc w:val="center"/>
        <w:outlineLvl w:val="9"/>
        <w:rPr>
          <w:rFonts w:hint="eastAsia" w:ascii="宋体" w:hAnsi="宋体" w:eastAsia="宋体" w:cs="宋体"/>
          <w:b/>
          <w:bCs/>
          <w:color w:val="auto"/>
          <w:sz w:val="24"/>
          <w:szCs w:val="24"/>
          <w:highlight w:val="none"/>
        </w:rPr>
      </w:pPr>
    </w:p>
    <w:p w14:paraId="7753378A">
      <w:pPr>
        <w:spacing w:line="360" w:lineRule="auto"/>
        <w:ind w:firstLine="482" w:firstLineChars="200"/>
        <w:jc w:val="center"/>
        <w:outlineLvl w:val="9"/>
        <w:rPr>
          <w:rFonts w:hint="eastAsia" w:ascii="宋体" w:hAnsi="宋体" w:eastAsia="宋体" w:cs="宋体"/>
          <w:b/>
          <w:bCs/>
          <w:color w:val="auto"/>
          <w:sz w:val="24"/>
          <w:szCs w:val="24"/>
          <w:highlight w:val="none"/>
        </w:rPr>
      </w:pPr>
    </w:p>
    <w:p w14:paraId="12EEC33E">
      <w:pPr>
        <w:spacing w:line="360" w:lineRule="auto"/>
        <w:ind w:firstLine="482" w:firstLineChars="200"/>
        <w:jc w:val="center"/>
        <w:outlineLvl w:val="9"/>
        <w:rPr>
          <w:rFonts w:hint="eastAsia" w:ascii="宋体" w:hAnsi="宋体" w:eastAsia="宋体" w:cs="宋体"/>
          <w:b/>
          <w:bCs/>
          <w:color w:val="auto"/>
          <w:sz w:val="24"/>
          <w:szCs w:val="24"/>
          <w:highlight w:val="none"/>
        </w:rPr>
      </w:pPr>
    </w:p>
    <w:p w14:paraId="2A011D91">
      <w:pPr>
        <w:spacing w:line="360" w:lineRule="auto"/>
        <w:ind w:firstLine="482" w:firstLineChars="200"/>
        <w:jc w:val="center"/>
        <w:outlineLvl w:val="9"/>
        <w:rPr>
          <w:rFonts w:hint="eastAsia" w:ascii="宋体" w:hAnsi="宋体" w:eastAsia="宋体" w:cs="宋体"/>
          <w:b/>
          <w:bCs/>
          <w:color w:val="auto"/>
          <w:sz w:val="24"/>
          <w:szCs w:val="24"/>
          <w:highlight w:val="none"/>
        </w:rPr>
      </w:pPr>
    </w:p>
    <w:p w14:paraId="3B26F8B8">
      <w:pPr>
        <w:spacing w:line="360" w:lineRule="auto"/>
        <w:jc w:val="center"/>
        <w:outlineLvl w:val="9"/>
        <w:rPr>
          <w:rFonts w:hint="eastAsia" w:ascii="宋体" w:hAnsi="宋体" w:eastAsia="宋体" w:cs="宋体"/>
          <w:b/>
          <w:bCs/>
          <w:color w:val="auto"/>
          <w:sz w:val="24"/>
          <w:szCs w:val="24"/>
          <w:highlight w:val="none"/>
        </w:rPr>
      </w:pPr>
      <w:bookmarkStart w:id="162" w:name="_Toc15902"/>
      <w:bookmarkStart w:id="163" w:name="_Toc6014"/>
    </w:p>
    <w:p w14:paraId="0E7C1EFD">
      <w:pPr>
        <w:spacing w:line="360" w:lineRule="auto"/>
        <w:jc w:val="center"/>
        <w:outlineLvl w:val="1"/>
        <w:rPr>
          <w:rFonts w:hint="eastAsia" w:ascii="宋体" w:hAnsi="宋体" w:eastAsia="宋体" w:cs="宋体"/>
          <w:b/>
          <w:bCs/>
          <w:color w:val="auto"/>
          <w:sz w:val="24"/>
          <w:szCs w:val="24"/>
          <w:highlight w:val="none"/>
        </w:rPr>
      </w:pPr>
      <w:bookmarkStart w:id="164" w:name="_Toc27129"/>
      <w:r>
        <w:rPr>
          <w:rFonts w:hint="eastAsia" w:ascii="宋体" w:hAnsi="宋体" w:eastAsia="宋体" w:cs="宋体"/>
          <w:b/>
          <w:bCs/>
          <w:color w:val="auto"/>
          <w:sz w:val="24"/>
          <w:szCs w:val="24"/>
          <w:highlight w:val="none"/>
        </w:rPr>
        <w:t>四、开标</w:t>
      </w:r>
      <w:bookmarkEnd w:id="160"/>
      <w:bookmarkEnd w:id="161"/>
      <w:bookmarkEnd w:id="162"/>
      <w:bookmarkEnd w:id="163"/>
      <w:bookmarkEnd w:id="164"/>
    </w:p>
    <w:p w14:paraId="0224D2F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（一）开标准备   </w:t>
      </w:r>
    </w:p>
    <w:p w14:paraId="1159A605">
      <w:pPr>
        <w:spacing w:line="360" w:lineRule="auto"/>
        <w:ind w:firstLine="480" w:firstLineChars="200"/>
        <w:rPr>
          <w:color w:val="auto"/>
          <w:sz w:val="24"/>
          <w:highlight w:val="none"/>
        </w:rPr>
      </w:pPr>
      <w:r>
        <w:rPr>
          <w:color w:val="auto"/>
          <w:sz w:val="24"/>
          <w:highlight w:val="none"/>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w:t>
      </w:r>
      <w:r>
        <w:rPr>
          <w:rFonts w:hint="eastAsia"/>
          <w:color w:val="auto"/>
          <w:sz w:val="24"/>
          <w:highlight w:val="none"/>
        </w:rPr>
        <w:t>或提供社保缴纳承诺函</w:t>
      </w:r>
      <w:r>
        <w:rPr>
          <w:color w:val="auto"/>
          <w:sz w:val="24"/>
          <w:highlight w:val="none"/>
        </w:rPr>
        <w:t>】准时在线出席电子开标会议，随时关注开标进度，如在开标过程中有电子询标，应在规定的时间内对电子询标函进行澄清、答复。超过规定时间的询标函将不予接受，评标为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14:paraId="01919AB4">
      <w:pPr>
        <w:spacing w:line="360" w:lineRule="auto"/>
        <w:ind w:firstLine="480" w:firstLineChars="200"/>
        <w:rPr>
          <w:color w:val="auto"/>
          <w:sz w:val="24"/>
          <w:highlight w:val="none"/>
        </w:rPr>
      </w:pPr>
      <w:r>
        <w:rPr>
          <w:color w:val="auto"/>
          <w:sz w:val="24"/>
          <w:highlight w:val="none"/>
        </w:rPr>
        <w:t>投标人未按招标文件要求派代表参加电子开标会议的，视同认可开标结果，不得对开标过程及开标结果提出质疑。</w:t>
      </w:r>
    </w:p>
    <w:p w14:paraId="629BADD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（二）电子招投标开标程序</w:t>
      </w:r>
    </w:p>
    <w:p w14:paraId="7C2D8BF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1.开标会由招标代理机构主持，主持人宣布开标会议开始；</w:t>
      </w:r>
    </w:p>
    <w:p w14:paraId="748B9B8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2.主持人宣布评标室会议纪律及评标期间的有关事项；告知应当回避的情形</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提请有关人员回避；</w:t>
      </w:r>
    </w:p>
    <w:p w14:paraId="43587C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3.开标及评审程序</w:t>
      </w:r>
    </w:p>
    <w:p w14:paraId="5D35D1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3.1在开标时间截止后30分钟内由各投标人自行对投标文件进行解密；</w:t>
      </w:r>
    </w:p>
    <w:p w14:paraId="2204F6D2">
      <w:p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3.2由采购人进行资格审查，通过资格审查的投标人进入商务技术响应文件进行评审；</w:t>
      </w:r>
    </w:p>
    <w:p w14:paraId="0F7411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3.3系统对各投标人的商务技术进行汇总</w:t>
      </w:r>
      <w:r>
        <w:rPr>
          <w:rFonts w:hint="eastAsia" w:ascii="宋体" w:hAnsi="宋体" w:cs="宋体"/>
          <w:color w:val="auto"/>
          <w:sz w:val="24"/>
          <w:szCs w:val="24"/>
          <w:highlight w:val="none"/>
          <w:lang w:eastAsia="zh-CN"/>
        </w:rPr>
        <w:t>并公布商务技术得分</w:t>
      </w:r>
      <w:r>
        <w:rPr>
          <w:rFonts w:hint="eastAsia" w:ascii="宋体" w:hAnsi="宋体" w:eastAsia="宋体" w:cs="宋体"/>
          <w:color w:val="auto"/>
          <w:sz w:val="24"/>
          <w:highlight w:val="none"/>
        </w:rPr>
        <w:t>；</w:t>
      </w:r>
    </w:p>
    <w:p w14:paraId="7054B8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3.4在系统上公开报价开标情况；</w:t>
      </w:r>
    </w:p>
    <w:p w14:paraId="113139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3.5评标委员会对报价情况进行评审；</w:t>
      </w:r>
    </w:p>
    <w:p w14:paraId="124678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3.6在系统上公布评审结果。</w:t>
      </w:r>
    </w:p>
    <w:p w14:paraId="034C9BC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特别说明：政采云公司如对电子化开标及评审程序有调整的，按调整后的程序操作。</w:t>
      </w:r>
    </w:p>
    <w:p w14:paraId="6E85C81F">
      <w:pPr>
        <w:numPr>
          <w:ilvl w:val="0"/>
          <w:numId w:val="0"/>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highlight w:val="none"/>
        </w:rPr>
        <w:t>本项目采用政采云电子招投标开标及评审程序，开评标时出现电子投标文件无法解密或解密失败等情况时，采购代理机构可上传投标人的电子备份投标文件继续评审。</w:t>
      </w:r>
      <w:bookmarkStart w:id="165" w:name="_Toc16686"/>
      <w:bookmarkStart w:id="166" w:name="_Toc458697271"/>
    </w:p>
    <w:p w14:paraId="5DD2D431">
      <w:pPr>
        <w:numPr>
          <w:ilvl w:val="0"/>
          <w:numId w:val="0"/>
        </w:numPr>
        <w:spacing w:line="360" w:lineRule="auto"/>
        <w:ind w:leftChars="0"/>
        <w:jc w:val="center"/>
        <w:outlineLvl w:val="9"/>
        <w:rPr>
          <w:rFonts w:hint="eastAsia" w:ascii="宋体" w:hAnsi="宋体" w:eastAsia="宋体" w:cs="宋体"/>
          <w:b/>
          <w:bCs/>
          <w:color w:val="auto"/>
          <w:sz w:val="24"/>
          <w:szCs w:val="24"/>
          <w:highlight w:val="none"/>
        </w:rPr>
      </w:pPr>
    </w:p>
    <w:p w14:paraId="263A0E08">
      <w:pPr>
        <w:numPr>
          <w:ilvl w:val="0"/>
          <w:numId w:val="0"/>
        </w:numPr>
        <w:spacing w:line="360" w:lineRule="auto"/>
        <w:ind w:leftChars="0"/>
        <w:jc w:val="center"/>
        <w:outlineLvl w:val="9"/>
        <w:rPr>
          <w:rFonts w:hint="eastAsia" w:ascii="宋体" w:hAnsi="宋体" w:eastAsia="宋体" w:cs="宋体"/>
          <w:b/>
          <w:bCs/>
          <w:color w:val="auto"/>
          <w:sz w:val="24"/>
          <w:szCs w:val="24"/>
          <w:highlight w:val="none"/>
        </w:rPr>
      </w:pPr>
    </w:p>
    <w:p w14:paraId="5134E932">
      <w:pPr>
        <w:numPr>
          <w:ilvl w:val="0"/>
          <w:numId w:val="0"/>
        </w:numPr>
        <w:spacing w:line="360" w:lineRule="auto"/>
        <w:ind w:leftChars="0"/>
        <w:jc w:val="center"/>
        <w:outlineLvl w:val="1"/>
        <w:rPr>
          <w:rFonts w:hint="eastAsia" w:ascii="宋体" w:hAnsi="宋体" w:eastAsia="宋体" w:cs="宋体"/>
          <w:b/>
          <w:bCs/>
          <w:color w:val="auto"/>
          <w:sz w:val="24"/>
          <w:szCs w:val="24"/>
          <w:highlight w:val="none"/>
        </w:rPr>
      </w:pPr>
      <w:bookmarkStart w:id="167" w:name="_Toc27207"/>
      <w:bookmarkStart w:id="168" w:name="_Toc15227"/>
      <w:bookmarkStart w:id="169" w:name="_Toc6961"/>
      <w:r>
        <w:rPr>
          <w:rFonts w:hint="eastAsia" w:ascii="宋体" w:hAnsi="宋体" w:eastAsia="宋体" w:cs="宋体"/>
          <w:b/>
          <w:bCs/>
          <w:color w:val="auto"/>
          <w:sz w:val="24"/>
          <w:szCs w:val="24"/>
          <w:highlight w:val="none"/>
        </w:rPr>
        <w:t>五、评标</w:t>
      </w:r>
      <w:bookmarkEnd w:id="165"/>
      <w:bookmarkEnd w:id="166"/>
      <w:bookmarkEnd w:id="167"/>
      <w:bookmarkEnd w:id="168"/>
      <w:bookmarkEnd w:id="169"/>
    </w:p>
    <w:p w14:paraId="45E463BC">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（一）组建评标委员会</w:t>
      </w:r>
    </w:p>
    <w:p w14:paraId="769AEF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本项目评标委员会由政府采购评审专家</w:t>
      </w:r>
      <w:r>
        <w:rPr>
          <w:rFonts w:hint="eastAsia" w:ascii="宋体" w:hAnsi="宋体" w:eastAsia="宋体" w:cs="宋体"/>
          <w:color w:val="auto"/>
          <w:sz w:val="24"/>
          <w:highlight w:val="none"/>
          <w:u w:val="single"/>
        </w:rPr>
        <w:t>4</w:t>
      </w:r>
      <w:r>
        <w:rPr>
          <w:rFonts w:hint="eastAsia" w:ascii="宋体" w:hAnsi="宋体" w:eastAsia="宋体" w:cs="宋体"/>
          <w:color w:val="auto"/>
          <w:sz w:val="24"/>
          <w:highlight w:val="none"/>
        </w:rPr>
        <w:t>人和采购人代表</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共</w:t>
      </w:r>
      <w:r>
        <w:rPr>
          <w:rFonts w:hint="eastAsia" w:ascii="宋体" w:hAnsi="宋体" w:eastAsia="宋体" w:cs="宋体"/>
          <w:color w:val="auto"/>
          <w:sz w:val="24"/>
          <w:highlight w:val="none"/>
          <w:u w:val="single"/>
        </w:rPr>
        <w:t>5</w:t>
      </w:r>
      <w:r>
        <w:rPr>
          <w:rFonts w:hint="eastAsia" w:ascii="宋体" w:hAnsi="宋体" w:eastAsia="宋体" w:cs="宋体"/>
          <w:color w:val="auto"/>
          <w:sz w:val="24"/>
          <w:highlight w:val="none"/>
        </w:rPr>
        <w:t>人组成。（允许采购人不推荐采购人代表参加，如采购人不推荐采购人代表参加评审时，评标委员会5人）都从评标专家库中抽取）。</w:t>
      </w:r>
    </w:p>
    <w:p w14:paraId="3142D94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（二）评标的方式</w:t>
      </w:r>
    </w:p>
    <w:p w14:paraId="57B6B0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本项目采用不公开方式评标，评标的依据为招标文件和投标文件。</w:t>
      </w:r>
    </w:p>
    <w:p w14:paraId="5D1320B3">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（三）评标程序</w:t>
      </w:r>
    </w:p>
    <w:p w14:paraId="6171AB4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1.形式审查</w:t>
      </w:r>
    </w:p>
    <w:p w14:paraId="1294FCC9">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招标方工作人员协助评标委员会对投标人的商务技术文件、报价投标文件的完整性、合法性等进行审查。</w:t>
      </w:r>
    </w:p>
    <w:p w14:paraId="44CB5949">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bCs/>
          <w:color w:val="auto"/>
          <w:sz w:val="24"/>
          <w:highlight w:val="none"/>
        </w:rPr>
        <w:t>实质审查与比较</w:t>
      </w:r>
    </w:p>
    <w:p w14:paraId="6007F921">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（1）评标委员会审查投标文件的实质性内容是否符合招标文件的实质性要求。</w:t>
      </w:r>
    </w:p>
    <w:p w14:paraId="2A46F4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（2）评标委员会将对投标人的投标文件进行审查、核对</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如有疑问</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将对投标人进行电子询标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投标人须在规定的时间内向评标委员会澄清有关问题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并在政采云上进行询标答复。</w:t>
      </w:r>
    </w:p>
    <w:p w14:paraId="0D6F12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未在规定的时间内进行澄清、拒绝澄清或者澄清的内容改变了投标文件的实质性内容的，评标委员会有权对该投标文件作出不利于投标人的评判。评标委员会认为投标人不符合招标文件实质性要求明确时，可不经过询标而直接予以无效标认定，但代理机构应将无效标原因当场告知投标人。</w:t>
      </w:r>
    </w:p>
    <w:p w14:paraId="64CA12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（3）各投标人的技术得分为所有评委的有效评分的算术平均数，由指定专人进行计算复核。</w:t>
      </w:r>
    </w:p>
    <w:p w14:paraId="7103B6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（4）招标方工作人员协助评标委员会审核商务报价有无计算错误，并根据本项目的评分标准计算各投标人的商务报价得分。</w:t>
      </w:r>
    </w:p>
    <w:p w14:paraId="3D5B70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（5）评标委员会完成评标后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招标方工作人员对系统中的得分汇总进行复核</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计算出本项目最终得分，评标委员会按评标原则推荐中标候选人并起草评标报告。</w:t>
      </w:r>
    </w:p>
    <w:p w14:paraId="681B80F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（四）澄清问题的形式</w:t>
      </w:r>
    </w:p>
    <w:p w14:paraId="1E8BB1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46A3B96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（五）错误修正</w:t>
      </w:r>
    </w:p>
    <w:p w14:paraId="1C8BED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投标文件如果出现计算或表达上的错误，修正错误的原则如下：</w:t>
      </w:r>
    </w:p>
    <w:p w14:paraId="212523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1.投标文件中开标一览表（报价表）内容</w:t>
      </w:r>
      <w:r>
        <w:rPr>
          <w:rFonts w:hint="eastAsia" w:ascii="宋体" w:hAnsi="宋体" w:cs="宋体"/>
          <w:color w:val="auto"/>
          <w:sz w:val="24"/>
          <w:highlight w:val="none"/>
          <w:lang w:eastAsia="zh-CN"/>
        </w:rPr>
        <w:t>与</w:t>
      </w:r>
      <w:r>
        <w:rPr>
          <w:rFonts w:hint="eastAsia" w:ascii="宋体" w:hAnsi="宋体" w:eastAsia="宋体" w:cs="宋体"/>
          <w:color w:val="auto"/>
          <w:sz w:val="24"/>
          <w:highlight w:val="none"/>
        </w:rPr>
        <w:t>投标文件中相应内容不一致的，以开标一览表（报价表）为准；</w:t>
      </w:r>
    </w:p>
    <w:p w14:paraId="748333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728D53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3FC7DF2B">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.总价金额与按单价汇总金额不一致的，以单价金额计算结果为准；</w:t>
      </w:r>
    </w:p>
    <w:p w14:paraId="249287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5.政采云系统投标报价与投标文件中开标一览表（报价表）相应内容不一致的，以开标一览表（报价表）为准。</w:t>
      </w:r>
    </w:p>
    <w:p w14:paraId="66E0C3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6.对不同文字文本投标文件的解释发生异议的，以中文文本为准。</w:t>
      </w:r>
    </w:p>
    <w:p w14:paraId="336ED7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49D2532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（六）评标原则和评标办法</w:t>
      </w:r>
    </w:p>
    <w:p w14:paraId="27F2D1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1.评审专家必须公平、公正评审，遵纪守法，客观、廉洁地履行职责。</w:t>
      </w:r>
    </w:p>
    <w:p w14:paraId="1C9F40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2.评审专家在评审开始前，应关闭并上交随身携带的各种通信工具。</w:t>
      </w:r>
    </w:p>
    <w:p w14:paraId="1E3A00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3.评审专家在评审过程中，未经许可不得中途离开评审现场，不得迟到早退。</w:t>
      </w:r>
    </w:p>
    <w:p w14:paraId="6EFD27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4.评审专家和工作人员不得透露评审过程中的讨论情况和评审结果。</w:t>
      </w:r>
    </w:p>
    <w:p w14:paraId="297834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87F0A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4EB380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8FAEA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8.评审专家在评审过程中不得将自己的观点强加给其他评审专家，评审专家应自主发表见解，对评审意见承担个人责任。</w:t>
      </w:r>
    </w:p>
    <w:p w14:paraId="23BA7E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7F7EB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385A0C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11.评审专家应当遵守评审工作纪律，不得泄露评审文件、评审情况和评审中获悉的商业秘密。</w:t>
      </w:r>
    </w:p>
    <w:p w14:paraId="139226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11D543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12.招标文件内容违反国家有关强制性规定的，评审委员会应当停止评审并向采购代理机构说明情况。</w:t>
      </w:r>
    </w:p>
    <w:p w14:paraId="3B9D0F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13.评审专家应当配合采购代理机构答复投标人提出的质疑。</w:t>
      </w:r>
    </w:p>
    <w:p w14:paraId="722DA9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14.评审专家应当配合财政部门的投诉处理工作。</w:t>
      </w:r>
    </w:p>
    <w:p w14:paraId="3E62E6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15.评审专家有如下行为之一的，责令改正，给予警告，可以并处一千元以下的罚款：</w:t>
      </w:r>
    </w:p>
    <w:p w14:paraId="6BED17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4A272B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②在得知自己为评审专家身份后至评审结束前时段内私下接触投标人的；</w:t>
      </w:r>
    </w:p>
    <w:p w14:paraId="1590A6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0BDEF0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108358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⑤未按招标文件规定的评审方法和标准进行评审的。</w:t>
      </w:r>
    </w:p>
    <w:p w14:paraId="3949E6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7B31B4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352ED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77ECDB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35B5A8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7DB40C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17.评标办法。</w:t>
      </w:r>
    </w:p>
    <w:p w14:paraId="1E0DF9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637D31A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（七）评标过程的监控</w:t>
      </w:r>
    </w:p>
    <w:p w14:paraId="37977B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本项目评标过程实行全程录音、录像监控，投标人在评标过程中所进行的试图影响评标结果的不公正活动，可能导致其投标被拒绝。</w:t>
      </w:r>
    </w:p>
    <w:p w14:paraId="485C487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（八）其他</w:t>
      </w:r>
    </w:p>
    <w:p w14:paraId="4FA417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采购过程中出现以下情形，导致电子交易平台无法正常运行，或者无法保证电子交易的公平、公正和安全时，采购组织机构可中止电子交易活动：</w:t>
      </w:r>
    </w:p>
    <w:p w14:paraId="107DBB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电子交易平台发生故障而无法登录访问的；</w:t>
      </w:r>
    </w:p>
    <w:p w14:paraId="442535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2、电子交易平台应用或数据库出现错误，不能进行正常操作的；</w:t>
      </w:r>
    </w:p>
    <w:p w14:paraId="79F1FA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3、电子交易平台发现严重安全漏洞，有潜在泄密危险的；</w:t>
      </w:r>
    </w:p>
    <w:p w14:paraId="2C86BD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4、病毒发作导致不能进行正常操作的；</w:t>
      </w:r>
    </w:p>
    <w:p w14:paraId="5F9EC3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5、其他无法保证电子交易的公平、公正和安全的情况。</w:t>
      </w:r>
    </w:p>
    <w:p w14:paraId="7DF917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出现前款规定情形，不影响采购公平、公正性的，采购组织机构可以待上述情形消除后继续组织电子交易活动；影响或可能影响采购公平、公正性的，应当重新采购。</w:t>
      </w:r>
      <w:bookmarkStart w:id="170" w:name="_Toc14439"/>
      <w:bookmarkStart w:id="171" w:name="_Toc458697272"/>
    </w:p>
    <w:p w14:paraId="710F9785">
      <w:pPr>
        <w:spacing w:line="360" w:lineRule="auto"/>
        <w:ind w:firstLine="482" w:firstLineChars="200"/>
        <w:jc w:val="center"/>
        <w:outlineLvl w:val="9"/>
        <w:rPr>
          <w:rFonts w:hint="eastAsia" w:ascii="宋体" w:hAnsi="宋体" w:eastAsia="宋体" w:cs="宋体"/>
          <w:b/>
          <w:bCs/>
          <w:color w:val="auto"/>
          <w:sz w:val="24"/>
          <w:szCs w:val="24"/>
          <w:highlight w:val="none"/>
        </w:rPr>
      </w:pPr>
    </w:p>
    <w:p w14:paraId="3E4A737E">
      <w:pPr>
        <w:spacing w:line="360" w:lineRule="auto"/>
        <w:jc w:val="center"/>
        <w:outlineLvl w:val="9"/>
        <w:rPr>
          <w:rFonts w:hint="eastAsia" w:ascii="宋体" w:hAnsi="宋体" w:eastAsia="宋体" w:cs="宋体"/>
          <w:b/>
          <w:bCs/>
          <w:color w:val="auto"/>
          <w:sz w:val="24"/>
          <w:szCs w:val="24"/>
          <w:highlight w:val="none"/>
        </w:rPr>
      </w:pPr>
    </w:p>
    <w:p w14:paraId="1D749495">
      <w:pPr>
        <w:spacing w:line="360" w:lineRule="auto"/>
        <w:jc w:val="center"/>
        <w:outlineLvl w:val="9"/>
        <w:rPr>
          <w:rFonts w:hint="eastAsia" w:ascii="宋体" w:hAnsi="宋体" w:eastAsia="宋体" w:cs="宋体"/>
          <w:b/>
          <w:bCs/>
          <w:color w:val="auto"/>
          <w:sz w:val="24"/>
          <w:szCs w:val="24"/>
          <w:highlight w:val="none"/>
        </w:rPr>
      </w:pPr>
    </w:p>
    <w:p w14:paraId="7A8E20C0">
      <w:pPr>
        <w:spacing w:line="360" w:lineRule="auto"/>
        <w:jc w:val="center"/>
        <w:outlineLvl w:val="9"/>
        <w:rPr>
          <w:rFonts w:hint="eastAsia" w:ascii="宋体" w:hAnsi="宋体" w:eastAsia="宋体" w:cs="宋体"/>
          <w:b/>
          <w:bCs/>
          <w:color w:val="auto"/>
          <w:sz w:val="24"/>
          <w:szCs w:val="24"/>
          <w:highlight w:val="none"/>
        </w:rPr>
      </w:pPr>
    </w:p>
    <w:p w14:paraId="186B6A71">
      <w:pPr>
        <w:spacing w:line="360" w:lineRule="auto"/>
        <w:jc w:val="center"/>
        <w:outlineLvl w:val="1"/>
        <w:rPr>
          <w:rFonts w:hint="eastAsia" w:ascii="宋体" w:hAnsi="宋体" w:eastAsia="宋体" w:cs="宋体"/>
          <w:b/>
          <w:bCs/>
          <w:color w:val="auto"/>
          <w:sz w:val="24"/>
          <w:szCs w:val="24"/>
          <w:highlight w:val="none"/>
        </w:rPr>
      </w:pPr>
      <w:bookmarkStart w:id="172" w:name="_Toc32677"/>
      <w:bookmarkStart w:id="173" w:name="_Toc25154"/>
      <w:bookmarkStart w:id="174" w:name="_Toc7365"/>
      <w:r>
        <w:rPr>
          <w:rFonts w:hint="eastAsia" w:ascii="宋体" w:hAnsi="宋体" w:eastAsia="宋体" w:cs="宋体"/>
          <w:b/>
          <w:bCs/>
          <w:color w:val="auto"/>
          <w:sz w:val="24"/>
          <w:szCs w:val="24"/>
          <w:highlight w:val="none"/>
        </w:rPr>
        <w:t>六、定标</w:t>
      </w:r>
      <w:bookmarkEnd w:id="170"/>
      <w:bookmarkEnd w:id="171"/>
      <w:bookmarkEnd w:id="172"/>
      <w:bookmarkEnd w:id="173"/>
      <w:bookmarkEnd w:id="174"/>
    </w:p>
    <w:p w14:paraId="413B0E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（一）确定中标人。</w:t>
      </w:r>
      <w:r>
        <w:rPr>
          <w:rFonts w:hint="eastAsia" w:ascii="宋体" w:hAnsi="宋体" w:eastAsia="宋体" w:cs="宋体"/>
          <w:b/>
          <w:bCs/>
          <w:color w:val="auto"/>
          <w:sz w:val="24"/>
          <w:highlight w:val="none"/>
        </w:rPr>
        <w:t>本项目由采购人授权评标委员会确定中标人。</w:t>
      </w:r>
    </w:p>
    <w:p w14:paraId="27D47CE4">
      <w:pPr>
        <w:spacing w:line="360" w:lineRule="auto"/>
        <w:ind w:firstLine="480" w:firstLineChars="200"/>
        <w:rPr>
          <w:rFonts w:hint="eastAsia" w:ascii="宋体" w:hAnsi="宋体" w:cs="宋体"/>
          <w:color w:val="auto"/>
          <w:sz w:val="24"/>
          <w:szCs w:val="24"/>
          <w:highlight w:val="none"/>
        </w:rPr>
      </w:pPr>
      <w:bookmarkStart w:id="175" w:name="_Toc458697273"/>
      <w:r>
        <w:rPr>
          <w:rFonts w:hint="eastAsia" w:ascii="宋体" w:hAnsi="宋体" w:cs="宋体"/>
          <w:color w:val="auto"/>
          <w:sz w:val="24"/>
          <w:szCs w:val="24"/>
          <w:highlight w:val="none"/>
        </w:rPr>
        <w:t>1.招标方在评标结束后2个工作日内将评标报告交采购人确认。</w:t>
      </w:r>
    </w:p>
    <w:p w14:paraId="787374E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2.采购人应在收到评标报告后5个工作日内对评标结果进行确认。如有投标人对评标结果提出质疑的，采购人可在质疑处理完毕后确定中标人。</w:t>
      </w:r>
    </w:p>
    <w:p w14:paraId="6A88B12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3.采购人依法确定中标人后2个工作日内，招标方以书面形式发出《中标通知书》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并同时在相关网站上发布中标公告。</w:t>
      </w:r>
    </w:p>
    <w:p w14:paraId="36BA52D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4.确定中标人后，中标人应在三个工作日内，向招标方领取《中标通知书》，否则按放弃中标资格处理，并因违反诚信原则，提交财政部门列入政府采购黑名单。</w:t>
      </w:r>
      <w:bookmarkStart w:id="176" w:name="_Toc4796"/>
    </w:p>
    <w:p w14:paraId="5956CD8C">
      <w:pPr>
        <w:spacing w:line="360" w:lineRule="auto"/>
        <w:jc w:val="center"/>
        <w:outlineLvl w:val="9"/>
        <w:rPr>
          <w:rFonts w:hint="eastAsia" w:ascii="宋体" w:hAnsi="宋体" w:eastAsia="宋体" w:cs="宋体"/>
          <w:b/>
          <w:bCs/>
          <w:color w:val="auto"/>
          <w:sz w:val="24"/>
          <w:szCs w:val="24"/>
          <w:highlight w:val="none"/>
        </w:rPr>
      </w:pPr>
    </w:p>
    <w:p w14:paraId="712FF485">
      <w:pPr>
        <w:spacing w:line="360" w:lineRule="auto"/>
        <w:jc w:val="center"/>
        <w:outlineLvl w:val="9"/>
        <w:rPr>
          <w:rFonts w:hint="eastAsia" w:ascii="宋体" w:hAnsi="宋体" w:eastAsia="宋体" w:cs="宋体"/>
          <w:b/>
          <w:bCs/>
          <w:color w:val="auto"/>
          <w:sz w:val="24"/>
          <w:szCs w:val="24"/>
          <w:highlight w:val="none"/>
        </w:rPr>
      </w:pPr>
    </w:p>
    <w:p w14:paraId="149B7DA2">
      <w:pPr>
        <w:spacing w:line="360" w:lineRule="auto"/>
        <w:jc w:val="center"/>
        <w:outlineLvl w:val="9"/>
        <w:rPr>
          <w:rFonts w:hint="eastAsia" w:ascii="宋体" w:hAnsi="宋体" w:eastAsia="宋体" w:cs="宋体"/>
          <w:b/>
          <w:bCs/>
          <w:color w:val="auto"/>
          <w:sz w:val="24"/>
          <w:szCs w:val="24"/>
          <w:highlight w:val="none"/>
        </w:rPr>
      </w:pPr>
    </w:p>
    <w:p w14:paraId="412B3450">
      <w:pPr>
        <w:spacing w:line="360" w:lineRule="auto"/>
        <w:jc w:val="center"/>
        <w:outlineLvl w:val="9"/>
        <w:rPr>
          <w:rFonts w:hint="eastAsia" w:ascii="宋体" w:hAnsi="宋体" w:eastAsia="宋体" w:cs="宋体"/>
          <w:b/>
          <w:bCs/>
          <w:color w:val="auto"/>
          <w:sz w:val="24"/>
          <w:szCs w:val="24"/>
          <w:highlight w:val="none"/>
        </w:rPr>
      </w:pPr>
    </w:p>
    <w:p w14:paraId="55E55570">
      <w:pPr>
        <w:spacing w:line="360" w:lineRule="auto"/>
        <w:jc w:val="center"/>
        <w:outlineLvl w:val="9"/>
        <w:rPr>
          <w:rFonts w:hint="eastAsia" w:ascii="宋体" w:hAnsi="宋体" w:eastAsia="宋体" w:cs="宋体"/>
          <w:b/>
          <w:bCs/>
          <w:color w:val="auto"/>
          <w:sz w:val="24"/>
          <w:szCs w:val="24"/>
          <w:highlight w:val="none"/>
        </w:rPr>
      </w:pPr>
    </w:p>
    <w:p w14:paraId="5A0BA56B">
      <w:pPr>
        <w:spacing w:line="360" w:lineRule="auto"/>
        <w:jc w:val="center"/>
        <w:outlineLvl w:val="9"/>
        <w:rPr>
          <w:rFonts w:hint="eastAsia" w:ascii="宋体" w:hAnsi="宋体" w:eastAsia="宋体" w:cs="宋体"/>
          <w:b/>
          <w:bCs/>
          <w:color w:val="auto"/>
          <w:sz w:val="24"/>
          <w:szCs w:val="24"/>
          <w:highlight w:val="none"/>
        </w:rPr>
      </w:pPr>
    </w:p>
    <w:p w14:paraId="412297D0">
      <w:pPr>
        <w:spacing w:line="360" w:lineRule="auto"/>
        <w:jc w:val="center"/>
        <w:outlineLvl w:val="9"/>
        <w:rPr>
          <w:rFonts w:hint="eastAsia" w:ascii="宋体" w:hAnsi="宋体" w:eastAsia="宋体" w:cs="宋体"/>
          <w:b/>
          <w:bCs/>
          <w:color w:val="auto"/>
          <w:sz w:val="24"/>
          <w:szCs w:val="24"/>
          <w:highlight w:val="none"/>
        </w:rPr>
      </w:pPr>
    </w:p>
    <w:p w14:paraId="7ECDEFAA">
      <w:pPr>
        <w:spacing w:line="360" w:lineRule="auto"/>
        <w:jc w:val="center"/>
        <w:outlineLvl w:val="9"/>
        <w:rPr>
          <w:rFonts w:hint="eastAsia" w:ascii="宋体" w:hAnsi="宋体" w:eastAsia="宋体" w:cs="宋体"/>
          <w:b/>
          <w:bCs/>
          <w:color w:val="auto"/>
          <w:sz w:val="24"/>
          <w:szCs w:val="24"/>
          <w:highlight w:val="none"/>
        </w:rPr>
      </w:pPr>
    </w:p>
    <w:p w14:paraId="06DE8F20">
      <w:pPr>
        <w:spacing w:line="360" w:lineRule="auto"/>
        <w:jc w:val="center"/>
        <w:outlineLvl w:val="9"/>
        <w:rPr>
          <w:rFonts w:hint="eastAsia" w:ascii="宋体" w:hAnsi="宋体" w:eastAsia="宋体" w:cs="宋体"/>
          <w:b/>
          <w:bCs/>
          <w:color w:val="auto"/>
          <w:sz w:val="24"/>
          <w:szCs w:val="24"/>
          <w:highlight w:val="none"/>
        </w:rPr>
      </w:pPr>
    </w:p>
    <w:p w14:paraId="7AD7AAFD">
      <w:pPr>
        <w:spacing w:line="360" w:lineRule="auto"/>
        <w:jc w:val="center"/>
        <w:outlineLvl w:val="9"/>
        <w:rPr>
          <w:rFonts w:hint="eastAsia" w:ascii="宋体" w:hAnsi="宋体" w:eastAsia="宋体" w:cs="宋体"/>
          <w:b/>
          <w:bCs/>
          <w:color w:val="auto"/>
          <w:sz w:val="24"/>
          <w:szCs w:val="24"/>
          <w:highlight w:val="none"/>
        </w:rPr>
      </w:pPr>
    </w:p>
    <w:p w14:paraId="351D9E7B">
      <w:pPr>
        <w:spacing w:line="360" w:lineRule="auto"/>
        <w:jc w:val="center"/>
        <w:outlineLvl w:val="9"/>
        <w:rPr>
          <w:rFonts w:hint="eastAsia" w:ascii="宋体" w:hAnsi="宋体" w:eastAsia="宋体" w:cs="宋体"/>
          <w:b/>
          <w:bCs/>
          <w:color w:val="auto"/>
          <w:sz w:val="24"/>
          <w:szCs w:val="24"/>
          <w:highlight w:val="none"/>
        </w:rPr>
      </w:pPr>
    </w:p>
    <w:p w14:paraId="064CF4DD">
      <w:pPr>
        <w:spacing w:line="360" w:lineRule="auto"/>
        <w:jc w:val="center"/>
        <w:outlineLvl w:val="9"/>
        <w:rPr>
          <w:rFonts w:hint="eastAsia" w:ascii="宋体" w:hAnsi="宋体" w:eastAsia="宋体" w:cs="宋体"/>
          <w:b/>
          <w:bCs/>
          <w:color w:val="auto"/>
          <w:sz w:val="24"/>
          <w:szCs w:val="24"/>
          <w:highlight w:val="none"/>
        </w:rPr>
      </w:pPr>
    </w:p>
    <w:p w14:paraId="7E8CE857">
      <w:pPr>
        <w:spacing w:line="360" w:lineRule="auto"/>
        <w:jc w:val="center"/>
        <w:outlineLvl w:val="9"/>
        <w:rPr>
          <w:rFonts w:hint="eastAsia" w:ascii="宋体" w:hAnsi="宋体" w:eastAsia="宋体" w:cs="宋体"/>
          <w:b/>
          <w:bCs/>
          <w:color w:val="auto"/>
          <w:sz w:val="24"/>
          <w:szCs w:val="24"/>
          <w:highlight w:val="none"/>
        </w:rPr>
      </w:pPr>
    </w:p>
    <w:p w14:paraId="2618CDE5">
      <w:pPr>
        <w:spacing w:line="360" w:lineRule="auto"/>
        <w:jc w:val="center"/>
        <w:outlineLvl w:val="9"/>
        <w:rPr>
          <w:rFonts w:hint="eastAsia" w:ascii="宋体" w:hAnsi="宋体" w:eastAsia="宋体" w:cs="宋体"/>
          <w:b/>
          <w:bCs/>
          <w:color w:val="auto"/>
          <w:sz w:val="24"/>
          <w:szCs w:val="24"/>
          <w:highlight w:val="none"/>
        </w:rPr>
      </w:pPr>
    </w:p>
    <w:p w14:paraId="1D09E698">
      <w:pPr>
        <w:spacing w:line="360" w:lineRule="auto"/>
        <w:jc w:val="center"/>
        <w:outlineLvl w:val="9"/>
        <w:rPr>
          <w:rFonts w:hint="eastAsia" w:ascii="宋体" w:hAnsi="宋体" w:eastAsia="宋体" w:cs="宋体"/>
          <w:b/>
          <w:bCs/>
          <w:color w:val="auto"/>
          <w:sz w:val="24"/>
          <w:szCs w:val="24"/>
          <w:highlight w:val="none"/>
        </w:rPr>
      </w:pPr>
    </w:p>
    <w:p w14:paraId="3BE9A216">
      <w:pPr>
        <w:spacing w:line="360" w:lineRule="auto"/>
        <w:jc w:val="center"/>
        <w:outlineLvl w:val="9"/>
        <w:rPr>
          <w:rFonts w:hint="eastAsia" w:ascii="宋体" w:hAnsi="宋体" w:eastAsia="宋体" w:cs="宋体"/>
          <w:b/>
          <w:bCs/>
          <w:color w:val="auto"/>
          <w:sz w:val="24"/>
          <w:szCs w:val="24"/>
          <w:highlight w:val="none"/>
        </w:rPr>
      </w:pPr>
    </w:p>
    <w:p w14:paraId="06423D8D">
      <w:pPr>
        <w:spacing w:line="360" w:lineRule="auto"/>
        <w:jc w:val="center"/>
        <w:outlineLvl w:val="9"/>
        <w:rPr>
          <w:rFonts w:hint="eastAsia" w:ascii="宋体" w:hAnsi="宋体" w:eastAsia="宋体" w:cs="宋体"/>
          <w:b/>
          <w:bCs/>
          <w:color w:val="auto"/>
          <w:sz w:val="24"/>
          <w:szCs w:val="24"/>
          <w:highlight w:val="none"/>
        </w:rPr>
      </w:pPr>
    </w:p>
    <w:p w14:paraId="52045A30">
      <w:pPr>
        <w:spacing w:line="360" w:lineRule="auto"/>
        <w:jc w:val="center"/>
        <w:outlineLvl w:val="9"/>
        <w:rPr>
          <w:rFonts w:hint="eastAsia" w:ascii="宋体" w:hAnsi="宋体" w:eastAsia="宋体" w:cs="宋体"/>
          <w:b/>
          <w:bCs/>
          <w:color w:val="auto"/>
          <w:sz w:val="24"/>
          <w:szCs w:val="24"/>
          <w:highlight w:val="none"/>
        </w:rPr>
      </w:pPr>
    </w:p>
    <w:p w14:paraId="2248069D">
      <w:pPr>
        <w:spacing w:line="360" w:lineRule="auto"/>
        <w:jc w:val="center"/>
        <w:outlineLvl w:val="9"/>
        <w:rPr>
          <w:rFonts w:hint="eastAsia" w:ascii="宋体" w:hAnsi="宋体" w:eastAsia="宋体" w:cs="宋体"/>
          <w:b/>
          <w:bCs/>
          <w:color w:val="auto"/>
          <w:sz w:val="24"/>
          <w:szCs w:val="24"/>
          <w:highlight w:val="none"/>
        </w:rPr>
      </w:pPr>
    </w:p>
    <w:p w14:paraId="46D61FB1">
      <w:pPr>
        <w:spacing w:line="360" w:lineRule="auto"/>
        <w:jc w:val="center"/>
        <w:outlineLvl w:val="9"/>
        <w:rPr>
          <w:rFonts w:hint="eastAsia" w:ascii="宋体" w:hAnsi="宋体" w:eastAsia="宋体" w:cs="宋体"/>
          <w:b/>
          <w:bCs/>
          <w:color w:val="auto"/>
          <w:sz w:val="24"/>
          <w:szCs w:val="24"/>
          <w:highlight w:val="none"/>
        </w:rPr>
      </w:pPr>
    </w:p>
    <w:p w14:paraId="34FDD574">
      <w:pPr>
        <w:spacing w:line="360" w:lineRule="auto"/>
        <w:jc w:val="center"/>
        <w:outlineLvl w:val="9"/>
        <w:rPr>
          <w:rFonts w:hint="eastAsia" w:ascii="宋体" w:hAnsi="宋体" w:eastAsia="宋体" w:cs="宋体"/>
          <w:b/>
          <w:bCs/>
          <w:color w:val="auto"/>
          <w:sz w:val="24"/>
          <w:szCs w:val="24"/>
          <w:highlight w:val="none"/>
        </w:rPr>
      </w:pPr>
    </w:p>
    <w:p w14:paraId="21922E81">
      <w:pPr>
        <w:spacing w:line="360" w:lineRule="auto"/>
        <w:jc w:val="center"/>
        <w:outlineLvl w:val="1"/>
        <w:rPr>
          <w:rFonts w:hint="eastAsia" w:ascii="宋体" w:hAnsi="宋体" w:eastAsia="宋体" w:cs="宋体"/>
          <w:b/>
          <w:bCs/>
          <w:color w:val="auto"/>
          <w:sz w:val="24"/>
          <w:szCs w:val="24"/>
          <w:highlight w:val="none"/>
        </w:rPr>
      </w:pPr>
      <w:bookmarkStart w:id="177" w:name="_Toc28506"/>
      <w:bookmarkStart w:id="178" w:name="_Toc22531"/>
      <w:bookmarkStart w:id="179" w:name="_Toc26939"/>
      <w:r>
        <w:rPr>
          <w:rFonts w:hint="eastAsia" w:ascii="宋体" w:hAnsi="宋体" w:eastAsia="宋体" w:cs="宋体"/>
          <w:b/>
          <w:bCs/>
          <w:color w:val="auto"/>
          <w:sz w:val="24"/>
          <w:szCs w:val="24"/>
          <w:highlight w:val="none"/>
        </w:rPr>
        <w:t>七、合同授予</w:t>
      </w:r>
      <w:bookmarkEnd w:id="175"/>
      <w:bookmarkEnd w:id="176"/>
      <w:bookmarkEnd w:id="177"/>
      <w:bookmarkEnd w:id="178"/>
      <w:bookmarkEnd w:id="179"/>
    </w:p>
    <w:p w14:paraId="37E915F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（一）签订合同</w:t>
      </w:r>
    </w:p>
    <w:p w14:paraId="00FA727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2A3004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5FAE1B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446DD5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050AC48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5.采购合同由采购人与成交人根据采购文件、磋商响应文件等内容通过政府采购电子交易平台在线签订，自动备案。</w:t>
      </w:r>
    </w:p>
    <w:p w14:paraId="3A5675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6.政府采购货物和服务项目不得收取质量保证金。政府采购工程以及与工程建设有关的货物、服务，采用招标方式采购的，按国家和省有关规定执行。</w:t>
      </w:r>
    </w:p>
    <w:p w14:paraId="6E62B963">
      <w:pPr>
        <w:pStyle w:val="19"/>
        <w:pageBreakBefore/>
        <w:snapToGrid w:val="0"/>
        <w:spacing w:before="120" w:after="120" w:line="360" w:lineRule="auto"/>
        <w:jc w:val="center"/>
        <w:outlineLvl w:val="0"/>
        <w:rPr>
          <w:rFonts w:hint="eastAsia" w:ascii="宋体" w:hAnsi="宋体" w:eastAsia="宋体" w:cs="宋体"/>
          <w:b/>
          <w:color w:val="auto"/>
          <w:sz w:val="28"/>
          <w:szCs w:val="28"/>
          <w:highlight w:val="none"/>
        </w:rPr>
      </w:pPr>
      <w:bookmarkStart w:id="180" w:name="_Toc15545"/>
      <w:bookmarkStart w:id="181" w:name="_Toc30446"/>
      <w:bookmarkStart w:id="182" w:name="_Toc10054"/>
      <w:bookmarkStart w:id="183" w:name="_Toc27373"/>
      <w:r>
        <w:rPr>
          <w:rFonts w:hint="eastAsia" w:ascii="宋体" w:hAnsi="宋体" w:eastAsia="宋体" w:cs="宋体"/>
          <w:b/>
          <w:color w:val="auto"/>
          <w:sz w:val="28"/>
          <w:szCs w:val="28"/>
          <w:highlight w:val="none"/>
        </w:rPr>
        <w:t>第四章  评标办法及评分标准</w:t>
      </w:r>
      <w:bookmarkEnd w:id="180"/>
      <w:bookmarkEnd w:id="181"/>
      <w:bookmarkEnd w:id="182"/>
      <w:bookmarkEnd w:id="183"/>
    </w:p>
    <w:p w14:paraId="07AF8C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为公正、公平、科学地选择中标人，根据《中华人民共和国政府采购法》等有关法律法规的规定，并结合本项目的实际，制定本办法。</w:t>
      </w:r>
    </w:p>
    <w:p w14:paraId="283CB6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本办法适用于</w:t>
      </w:r>
      <w:r>
        <w:rPr>
          <w:rFonts w:hint="eastAsia" w:ascii="宋体" w:hAnsi="宋体" w:cs="宋体"/>
          <w:color w:val="auto"/>
          <w:sz w:val="24"/>
          <w:highlight w:val="none"/>
          <w:lang w:eastAsia="zh-CN"/>
        </w:rPr>
        <w:t>东阳市国民经济和社会发展“十五五”规划《基本思路》和《纲要草案》服务采购项目(第二次）</w:t>
      </w:r>
      <w:r>
        <w:rPr>
          <w:rFonts w:hint="eastAsia" w:ascii="宋体" w:hAnsi="宋体" w:eastAsia="宋体" w:cs="宋体"/>
          <w:color w:val="auto"/>
          <w:sz w:val="24"/>
          <w:highlight w:val="none"/>
        </w:rPr>
        <w:t>的评标。</w:t>
      </w:r>
    </w:p>
    <w:p w14:paraId="1C8239FD">
      <w:pPr>
        <w:spacing w:beforeLines="0" w:afterLines="0" w:line="360" w:lineRule="auto"/>
        <w:ind w:firstLine="482" w:firstLineChars="200"/>
        <w:outlineLvl w:val="1"/>
        <w:rPr>
          <w:rFonts w:hint="eastAsia" w:ascii="宋体" w:hAnsi="宋体" w:eastAsia="宋体" w:cs="宋体"/>
          <w:b/>
          <w:color w:val="auto"/>
          <w:sz w:val="24"/>
          <w:highlight w:val="none"/>
        </w:rPr>
      </w:pPr>
      <w:bookmarkStart w:id="184" w:name="_Toc26724"/>
      <w:bookmarkStart w:id="185" w:name="_Toc13236"/>
      <w:bookmarkStart w:id="186" w:name="_Toc12525"/>
      <w:bookmarkStart w:id="187" w:name="_Toc18268"/>
      <w:bookmarkStart w:id="188" w:name="_Toc4062"/>
      <w:bookmarkStart w:id="189" w:name="_Toc31315"/>
      <w:bookmarkStart w:id="190" w:name="_Toc26574"/>
      <w:bookmarkStart w:id="191" w:name="_Toc7375"/>
      <w:bookmarkStart w:id="192" w:name="_Toc15422"/>
      <w:bookmarkStart w:id="193" w:name="_Toc452728219"/>
      <w:r>
        <w:rPr>
          <w:rFonts w:hint="eastAsia" w:ascii="宋体" w:hAnsi="宋体" w:eastAsia="宋体" w:cs="宋体"/>
          <w:b/>
          <w:color w:val="auto"/>
          <w:sz w:val="24"/>
          <w:highlight w:val="none"/>
        </w:rPr>
        <w:t>一、总则</w:t>
      </w:r>
      <w:bookmarkEnd w:id="184"/>
      <w:bookmarkEnd w:id="185"/>
      <w:bookmarkEnd w:id="186"/>
      <w:bookmarkEnd w:id="187"/>
      <w:bookmarkEnd w:id="188"/>
      <w:bookmarkEnd w:id="189"/>
      <w:bookmarkEnd w:id="190"/>
      <w:bookmarkEnd w:id="191"/>
      <w:bookmarkEnd w:id="192"/>
      <w:bookmarkEnd w:id="193"/>
    </w:p>
    <w:p w14:paraId="62FA8BE4">
      <w:pPr>
        <w:spacing w:beforeLines="0" w:after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20分</w:t>
      </w:r>
      <w:r>
        <w:rPr>
          <w:rFonts w:hint="eastAsia" w:ascii="宋体" w:hAnsi="宋体" w:eastAsia="宋体" w:cs="宋体"/>
          <w:color w:val="auto"/>
          <w:sz w:val="24"/>
          <w:highlight w:val="none"/>
        </w:rPr>
        <w:t>，技术、商务、资信及其他分</w:t>
      </w:r>
      <w:r>
        <w:rPr>
          <w:rFonts w:hint="eastAsia" w:ascii="宋体" w:hAnsi="宋体" w:cs="宋体"/>
          <w:color w:val="auto"/>
          <w:sz w:val="24"/>
          <w:highlight w:val="none"/>
          <w:lang w:val="en-US" w:eastAsia="zh-CN"/>
        </w:rPr>
        <w:t>80分</w:t>
      </w:r>
      <w:r>
        <w:rPr>
          <w:rFonts w:hint="eastAsia" w:ascii="宋体" w:hAnsi="宋体" w:eastAsia="宋体" w:cs="宋体"/>
          <w:color w:val="auto"/>
          <w:sz w:val="24"/>
          <w:highlight w:val="none"/>
        </w:rPr>
        <w:t>；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排名第二的投标人为候补中标候选人</w:t>
      </w:r>
      <w:r>
        <w:rPr>
          <w:rFonts w:hint="eastAsia" w:ascii="宋体" w:hAnsi="宋体" w:cs="宋体"/>
          <w:color w:val="auto"/>
          <w:sz w:val="24"/>
          <w:highlight w:val="none"/>
          <w:lang w:eastAsia="zh-CN"/>
        </w:rPr>
        <w:t>（</w:t>
      </w:r>
      <w:r>
        <w:rPr>
          <w:rFonts w:hint="eastAsia" w:ascii="宋体" w:hAnsi="宋体" w:cs="宋体"/>
          <w:color w:val="auto"/>
          <w:sz w:val="24"/>
          <w:highlight w:val="none"/>
        </w:rPr>
        <w:t>有效投标人为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家时推荐2名中标候选人，有效投标人大于 3 家时，推荐 3 名中标候选人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……其他投标人中标候选资格</w:t>
      </w:r>
      <w:r>
        <w:rPr>
          <w:rFonts w:hint="eastAsia" w:ascii="宋体" w:hAnsi="宋体" w:cs="宋体"/>
          <w:color w:val="auto"/>
          <w:sz w:val="24"/>
          <w:highlight w:val="none"/>
          <w:lang w:eastAsia="zh-CN"/>
        </w:rPr>
        <w:t>以此类推</w:t>
      </w:r>
      <w:r>
        <w:rPr>
          <w:rFonts w:hint="eastAsia" w:ascii="宋体" w:hAnsi="宋体" w:eastAsia="宋体" w:cs="宋体"/>
          <w:color w:val="auto"/>
          <w:sz w:val="24"/>
          <w:highlight w:val="none"/>
        </w:rPr>
        <w:t>。评分过程中采用四舍五入法，并保留小数2位。</w:t>
      </w:r>
    </w:p>
    <w:p w14:paraId="60DE6DF9">
      <w:pPr>
        <w:spacing w:beforeLines="0" w:after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投标人评标综合得分=价格分+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技术分+商务分+资信及其他分</w:t>
      </w:r>
      <w:r>
        <w:rPr>
          <w:rFonts w:hint="eastAsia" w:ascii="宋体" w:hAnsi="宋体" w:cs="宋体"/>
          <w:color w:val="auto"/>
          <w:sz w:val="24"/>
          <w:highlight w:val="none"/>
          <w:lang w:eastAsia="zh-CN"/>
        </w:rPr>
        <w:t>）</w:t>
      </w:r>
    </w:p>
    <w:p w14:paraId="4D9CE3A4">
      <w:pPr>
        <w:numPr>
          <w:ilvl w:val="0"/>
          <w:numId w:val="0"/>
        </w:numPr>
        <w:spacing w:beforeLines="0" w:afterLines="0" w:line="360" w:lineRule="auto"/>
        <w:ind w:left="0" w:leftChars="0" w:firstLine="482" w:firstLineChars="200"/>
        <w:outlineLvl w:val="1"/>
        <w:rPr>
          <w:rFonts w:hint="eastAsia" w:ascii="宋体" w:hAnsi="宋体" w:eastAsia="宋体" w:cs="宋体"/>
          <w:b/>
          <w:color w:val="auto"/>
          <w:sz w:val="24"/>
          <w:highlight w:val="none"/>
        </w:rPr>
      </w:pPr>
      <w:bookmarkStart w:id="194" w:name="_Toc452728220"/>
      <w:bookmarkStart w:id="195" w:name="_Toc27638"/>
      <w:bookmarkStart w:id="196" w:name="_Toc26676"/>
      <w:bookmarkStart w:id="197" w:name="_Toc16785"/>
      <w:bookmarkStart w:id="198" w:name="_Toc21256"/>
      <w:bookmarkStart w:id="199" w:name="_Toc6496"/>
      <w:bookmarkStart w:id="200" w:name="_Toc5765"/>
      <w:bookmarkStart w:id="201" w:name="_Toc29863"/>
      <w:bookmarkStart w:id="202" w:name="_Toc12387"/>
      <w:bookmarkStart w:id="203" w:name="_Toc6122"/>
      <w:r>
        <w:rPr>
          <w:rFonts w:hint="eastAsia" w:ascii="宋体" w:hAnsi="宋体" w:cs="宋体"/>
          <w:b/>
          <w:color w:val="auto"/>
          <w:kern w:val="2"/>
          <w:sz w:val="24"/>
          <w:szCs w:val="24"/>
          <w:highlight w:val="none"/>
          <w:lang w:val="en-US" w:eastAsia="zh-CN" w:bidi="ar-SA"/>
        </w:rPr>
        <w:t>二</w:t>
      </w:r>
      <w:r>
        <w:rPr>
          <w:rFonts w:hint="default" w:ascii="宋体" w:hAnsi="宋体" w:eastAsia="宋体" w:cs="宋体"/>
          <w:b/>
          <w:color w:val="auto"/>
          <w:kern w:val="2"/>
          <w:sz w:val="24"/>
          <w:szCs w:val="24"/>
          <w:highlight w:val="none"/>
          <w:lang w:val="en-US" w:eastAsia="zh-CN" w:bidi="ar-SA"/>
        </w:rPr>
        <w:t>、</w:t>
      </w:r>
      <w:r>
        <w:rPr>
          <w:rFonts w:hint="eastAsia" w:ascii="宋体" w:hAnsi="宋体" w:eastAsia="宋体" w:cs="宋体"/>
          <w:b/>
          <w:color w:val="auto"/>
          <w:sz w:val="24"/>
          <w:highlight w:val="none"/>
        </w:rPr>
        <w:t>评标内容及标准</w:t>
      </w:r>
      <w:bookmarkEnd w:id="194"/>
      <w:bookmarkEnd w:id="195"/>
      <w:bookmarkEnd w:id="196"/>
      <w:bookmarkEnd w:id="197"/>
      <w:bookmarkEnd w:id="198"/>
      <w:bookmarkEnd w:id="199"/>
      <w:bookmarkEnd w:id="200"/>
      <w:bookmarkEnd w:id="201"/>
      <w:bookmarkEnd w:id="202"/>
      <w:bookmarkEnd w:id="203"/>
      <w:bookmarkStart w:id="204" w:name="_Toc502652282"/>
      <w:bookmarkStart w:id="205" w:name="_Hlt452359757"/>
      <w:bookmarkStart w:id="206" w:name="_Hlt452359758"/>
    </w:p>
    <w:p w14:paraId="6F135012">
      <w:pPr>
        <w:pStyle w:val="19"/>
        <w:spacing w:before="0" w:beforeLines="0" w:after="0" w:afterLines="0"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（一）技术、商务、资信及其他分（</w:t>
      </w:r>
      <w:r>
        <w:rPr>
          <w:rFonts w:hint="eastAsia" w:ascii="宋体" w:hAnsi="宋体" w:cs="宋体"/>
          <w:b/>
          <w:bCs/>
          <w:color w:val="auto"/>
          <w:szCs w:val="24"/>
          <w:highlight w:val="none"/>
          <w:lang w:val="en-US" w:eastAsia="zh-CN"/>
        </w:rPr>
        <w:t>80分</w:t>
      </w:r>
      <w:r>
        <w:rPr>
          <w:rFonts w:hint="eastAsia" w:ascii="宋体" w:hAnsi="宋体" w:eastAsia="宋体" w:cs="宋体"/>
          <w:b/>
          <w:bCs/>
          <w:color w:val="auto"/>
          <w:szCs w:val="24"/>
          <w:highlight w:val="none"/>
        </w:rPr>
        <w:t>）</w:t>
      </w:r>
    </w:p>
    <w:p w14:paraId="04ABC23E">
      <w:pPr>
        <w:spacing w:beforeLines="0" w:after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技术、商务资信及其他分响应标书要求的投标单位全部进入商务报价评审。</w:t>
      </w:r>
    </w:p>
    <w:p w14:paraId="200A9397">
      <w:pPr>
        <w:pStyle w:val="17"/>
        <w:spacing w:beforeLines="0" w:after="0" w:afterLines="0" w:line="360" w:lineRule="auto"/>
        <w:ind w:left="0" w:leftChars="0"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20分</w:t>
      </w:r>
      <w:r>
        <w:rPr>
          <w:rFonts w:hint="eastAsia" w:ascii="宋体" w:hAnsi="宋体" w:eastAsia="宋体" w:cs="宋体"/>
          <w:b/>
          <w:bCs/>
          <w:color w:val="auto"/>
          <w:sz w:val="24"/>
          <w:highlight w:val="none"/>
        </w:rPr>
        <w:t xml:space="preserve">） </w:t>
      </w:r>
    </w:p>
    <w:p w14:paraId="3F0CF814">
      <w:pPr>
        <w:pStyle w:val="19"/>
        <w:spacing w:before="0" w:beforeLines="0" w:after="0" w:afterLines="0" w:line="360" w:lineRule="auto"/>
        <w:ind w:firstLine="464" w:firstLineChars="200"/>
        <w:rPr>
          <w:rFonts w:hint="eastAsia" w:ascii="宋体" w:hAnsi="宋体" w:eastAsia="宋体" w:cs="宋体"/>
          <w:b w:val="0"/>
          <w:bCs/>
          <w:color w:val="auto"/>
          <w:spacing w:val="-4"/>
          <w:kern w:val="2"/>
          <w:sz w:val="24"/>
          <w:szCs w:val="24"/>
          <w:highlight w:val="none"/>
          <w:lang w:val="en-US" w:eastAsia="zh-CN" w:bidi="ar-SA"/>
        </w:rPr>
      </w:pPr>
      <w:r>
        <w:rPr>
          <w:rFonts w:hint="eastAsia" w:ascii="宋体" w:hAnsi="宋体" w:eastAsia="宋体" w:cs="宋体"/>
          <w:b w:val="0"/>
          <w:bCs/>
          <w:color w:val="auto"/>
          <w:spacing w:val="-4"/>
          <w:kern w:val="2"/>
          <w:sz w:val="24"/>
          <w:szCs w:val="24"/>
          <w:highlight w:val="none"/>
          <w:lang w:val="en-US" w:eastAsia="zh-CN" w:bidi="ar-SA"/>
        </w:rPr>
        <w:t>（1）价格分采用低价优先法计算，取所有技术、资信商务得分入围投标人中，投标价格最低的投标报价为评标基准价（小型、微型企业待遇报价或监狱企业待遇报价或残疾人福利企业待遇报价低于最低投标报价时，小型、微型企业待遇报价或监狱企业待遇报价或残疾人福利企业待遇报价为评标基准价），其他投标人的价格分按照下列公式计算：</w:t>
      </w:r>
    </w:p>
    <w:p w14:paraId="5875A775">
      <w:pPr>
        <w:pStyle w:val="19"/>
        <w:spacing w:before="0" w:beforeLines="0" w:after="0" w:afterLines="0" w:line="360" w:lineRule="auto"/>
        <w:ind w:firstLine="464" w:firstLineChars="200"/>
        <w:rPr>
          <w:rFonts w:hint="default" w:ascii="宋体" w:hAnsi="宋体" w:eastAsia="宋体" w:cs="宋体"/>
          <w:b w:val="0"/>
          <w:bCs/>
          <w:color w:val="auto"/>
          <w:spacing w:val="-4"/>
          <w:kern w:val="2"/>
          <w:sz w:val="24"/>
          <w:szCs w:val="24"/>
          <w:highlight w:val="none"/>
          <w:lang w:val="en-US" w:eastAsia="zh-CN" w:bidi="ar-SA"/>
        </w:rPr>
      </w:pPr>
      <w:r>
        <w:rPr>
          <w:rFonts w:hint="eastAsia" w:ascii="宋体" w:hAnsi="宋体" w:eastAsia="宋体" w:cs="宋体"/>
          <w:b w:val="0"/>
          <w:bCs/>
          <w:color w:val="auto"/>
          <w:spacing w:val="-4"/>
          <w:kern w:val="2"/>
          <w:sz w:val="24"/>
          <w:szCs w:val="24"/>
          <w:highlight w:val="none"/>
          <w:lang w:val="en-US" w:eastAsia="zh-CN" w:bidi="ar-SA"/>
        </w:rPr>
        <w:t>价格分=评标基准价/投标报价（或小型、微型企业待遇报价或监狱企业待遇报价或残疾人福利企业待遇报价）×</w:t>
      </w:r>
      <w:r>
        <w:rPr>
          <w:rFonts w:hint="eastAsia" w:ascii="宋体" w:hAnsi="宋体" w:cs="宋体"/>
          <w:b w:val="0"/>
          <w:bCs/>
          <w:color w:val="auto"/>
          <w:spacing w:val="-4"/>
          <w:kern w:val="2"/>
          <w:sz w:val="24"/>
          <w:szCs w:val="24"/>
          <w:highlight w:val="none"/>
          <w:lang w:val="en-US" w:eastAsia="zh-CN" w:bidi="ar-SA"/>
        </w:rPr>
        <w:t>2</w:t>
      </w:r>
      <w:r>
        <w:rPr>
          <w:rFonts w:hint="eastAsia" w:ascii="宋体" w:hAnsi="宋体" w:eastAsia="宋体" w:cs="宋体"/>
          <w:b w:val="0"/>
          <w:bCs/>
          <w:color w:val="auto"/>
          <w:spacing w:val="-4"/>
          <w:kern w:val="2"/>
          <w:sz w:val="24"/>
          <w:szCs w:val="24"/>
          <w:highlight w:val="none"/>
          <w:lang w:val="en-US" w:eastAsia="zh-CN" w:bidi="ar-SA"/>
        </w:rPr>
        <w:t>0</w:t>
      </w:r>
    </w:p>
    <w:p w14:paraId="585FB8B5">
      <w:pPr>
        <w:keepNext w:val="0"/>
        <w:keepLines w:val="0"/>
        <w:pageBreakBefore w:val="0"/>
        <w:widowControl w:val="0"/>
        <w:numPr>
          <w:ilvl w:val="0"/>
          <w:numId w:val="0"/>
        </w:numPr>
        <w:tabs>
          <w:tab w:val="left" w:pos="982"/>
        </w:tabs>
        <w:kinsoku/>
        <w:wordWrap/>
        <w:overflowPunct/>
        <w:topLinePunct w:val="0"/>
        <w:autoSpaceDE/>
        <w:autoSpaceDN/>
        <w:bidi w:val="0"/>
        <w:adjustRightInd/>
        <w:snapToGrid w:val="0"/>
        <w:spacing w:line="360" w:lineRule="auto"/>
        <w:ind w:left="-2" w:leftChars="-1" w:firstLine="510" w:firstLineChars="220"/>
        <w:textAlignment w:val="auto"/>
        <w:rPr>
          <w:rFonts w:hint="eastAsia" w:ascii="宋体" w:hAnsi="宋体" w:eastAsia="宋体" w:cs="宋体"/>
          <w:b w:val="0"/>
          <w:bCs/>
          <w:color w:val="auto"/>
          <w:spacing w:val="-4"/>
          <w:sz w:val="24"/>
          <w:highlight w:val="none"/>
        </w:rPr>
      </w:pPr>
      <w:r>
        <w:rPr>
          <w:rFonts w:hint="eastAsia" w:ascii="宋体" w:hAnsi="宋体" w:eastAsia="宋体" w:cs="宋体"/>
          <w:b w:val="0"/>
          <w:bCs/>
          <w:color w:val="auto"/>
          <w:spacing w:val="-4"/>
          <w:kern w:val="2"/>
          <w:sz w:val="24"/>
          <w:szCs w:val="24"/>
          <w:highlight w:val="none"/>
          <w:lang w:val="en-US" w:eastAsia="zh-CN" w:bidi="ar-SA"/>
        </w:rPr>
        <w:t>（2）根据《关于印发&lt;政府采购促进中小企业发展管理办法&gt;的通知》(财库〔2020〕</w:t>
      </w:r>
      <w:r>
        <w:rPr>
          <w:rFonts w:hint="eastAsia" w:ascii="宋体" w:hAnsi="宋体" w:eastAsia="宋体" w:cs="宋体"/>
          <w:b w:val="0"/>
          <w:bCs/>
          <w:color w:val="auto"/>
          <w:spacing w:val="-4"/>
          <w:sz w:val="24"/>
          <w:highlight w:val="none"/>
        </w:rPr>
        <w:t>46号)文件、《财政部、司法部关于政府采购支持监狱企业发展有关问题的通知》（财库〔2014〕68号）文件及《财政部、民政部、中国残疾人联合会关于促进残疾人就业政府采购政策的通知》（财库〔2017〕141号）的规定，</w:t>
      </w:r>
      <w:r>
        <w:rPr>
          <w:rFonts w:hint="eastAsia" w:ascii="宋体" w:hAnsi="宋体" w:eastAsia="宋体" w:cs="宋体"/>
          <w:b w:val="0"/>
          <w:bCs/>
          <w:color w:val="auto"/>
          <w:spacing w:val="-4"/>
          <w:sz w:val="24"/>
          <w:highlight w:val="none"/>
          <w:lang w:eastAsia="zh-CN"/>
        </w:rPr>
        <w:t>本项目</w:t>
      </w:r>
      <w:r>
        <w:rPr>
          <w:rFonts w:hint="eastAsia" w:ascii="宋体" w:hAnsi="宋体" w:eastAsia="宋体" w:cs="宋体"/>
          <w:b w:val="0"/>
          <w:bCs/>
          <w:color w:val="auto"/>
          <w:spacing w:val="-4"/>
          <w:sz w:val="24"/>
          <w:highlight w:val="none"/>
        </w:rPr>
        <w:t>对小型和微型企业、监狱企业、残疾人福利性单位价格给</w:t>
      </w:r>
      <w:r>
        <w:rPr>
          <w:rFonts w:hint="eastAsia" w:ascii="宋体" w:hAnsi="宋体" w:cs="宋体"/>
          <w:b w:val="0"/>
          <w:bCs/>
          <w:color w:val="auto"/>
          <w:spacing w:val="-4"/>
          <w:sz w:val="24"/>
          <w:highlight w:val="none"/>
          <w:lang w:eastAsia="zh-CN"/>
        </w:rPr>
        <w:t>以</w:t>
      </w:r>
      <w:r>
        <w:rPr>
          <w:rFonts w:hint="eastAsia" w:ascii="宋体" w:hAnsi="宋体" w:eastAsia="宋体" w:cs="宋体"/>
          <w:b w:val="0"/>
          <w:bCs/>
          <w:color w:val="auto"/>
          <w:spacing w:val="-4"/>
          <w:sz w:val="24"/>
          <w:highlight w:val="none"/>
        </w:rPr>
        <w:t>扣除</w:t>
      </w:r>
      <w:r>
        <w:rPr>
          <w:rFonts w:hint="eastAsia" w:ascii="宋体" w:hAnsi="宋体" w:cs="宋体"/>
          <w:b w:val="0"/>
          <w:bCs/>
          <w:color w:val="auto"/>
          <w:spacing w:val="-4"/>
          <w:sz w:val="24"/>
          <w:highlight w:val="none"/>
          <w:lang w:eastAsia="zh-CN"/>
        </w:rPr>
        <w:t>，用扣除后的价格参与评审，但不重复享受价格扣除。</w:t>
      </w:r>
    </w:p>
    <w:p w14:paraId="43F2F9B2">
      <w:pPr>
        <w:pStyle w:val="15"/>
        <w:keepNext w:val="0"/>
        <w:keepLines w:val="0"/>
        <w:pageBreakBefore w:val="0"/>
        <w:widowControl w:val="0"/>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大中型企业与小微企业组成联合体或者允许大中型企业向一家或者多家小微企业分包的政府采购货物或服务项目，对于联合体协议或者分包意向协议约定小</w:t>
      </w:r>
      <w:r>
        <w:rPr>
          <w:rFonts w:hint="eastAsia" w:ascii="宋体" w:hAnsi="宋体" w:eastAsia="宋体" w:cs="宋体"/>
          <w:color w:val="auto"/>
          <w:sz w:val="24"/>
          <w:highlight w:val="none"/>
          <w:lang w:eastAsia="zh-CN"/>
        </w:rPr>
        <w:t>微企业的合同份额占到合同总金额40%以上</w:t>
      </w:r>
      <w:r>
        <w:rPr>
          <w:rFonts w:hint="eastAsia" w:ascii="宋体" w:hAnsi="宋体" w:eastAsia="宋体" w:cs="宋体"/>
          <w:color w:val="auto"/>
          <w:sz w:val="24"/>
          <w:highlight w:val="none"/>
        </w:rPr>
        <w:t>的，对联合体或者大中型企业的报价给予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D60661F">
      <w:pPr>
        <w:pStyle w:val="15"/>
        <w:keepNext w:val="0"/>
        <w:keepLines w:val="0"/>
        <w:pageBreakBefore w:val="0"/>
        <w:widowControl w:val="0"/>
        <w:kinsoku/>
        <w:wordWrap/>
        <w:overflowPunct/>
        <w:topLinePunct w:val="0"/>
        <w:autoSpaceDE/>
        <w:autoSpaceDN/>
        <w:bidi w:val="0"/>
        <w:adjustRightInd/>
        <w:spacing w:after="0"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符合上述要的联合体评审价格或有分包的大中型企业评审价格=联合体投标报价或有分包的大中型企业投标报价</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w:t>
      </w:r>
    </w:p>
    <w:p w14:paraId="0BFCEF60">
      <w:pPr>
        <w:pStyle w:val="15"/>
        <w:keepNext w:val="0"/>
        <w:keepLines w:val="0"/>
        <w:pageBreakBefore w:val="0"/>
        <w:widowControl w:val="0"/>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21AA7E42">
      <w:pPr>
        <w:pStyle w:val="15"/>
        <w:keepNext w:val="0"/>
        <w:keepLines w:val="0"/>
        <w:pageBreakBefore w:val="0"/>
        <w:widowControl w:val="0"/>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小型、微型型企业待遇报价的计算方法：</w:t>
      </w:r>
    </w:p>
    <w:p w14:paraId="1228437D">
      <w:pPr>
        <w:pStyle w:val="15"/>
        <w:keepNext w:val="0"/>
        <w:keepLines w:val="0"/>
        <w:pageBreakBefore w:val="0"/>
        <w:widowControl w:val="0"/>
        <w:kinsoku/>
        <w:wordWrap/>
        <w:overflowPunct/>
        <w:topLinePunct w:val="0"/>
        <w:autoSpaceDE/>
        <w:autoSpaceDN/>
        <w:bidi w:val="0"/>
        <w:adjustRightInd/>
        <w:spacing w:after="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小型、微型型企业待遇报价=小型、微型型企业投标人投标报价*（1-</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p>
    <w:p w14:paraId="7BCAB1A3">
      <w:pPr>
        <w:spacing w:beforeLines="0" w:afterLines="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（三）技术、商务、资信及</w:t>
      </w:r>
      <w:r>
        <w:rPr>
          <w:rFonts w:hint="eastAsia" w:ascii="宋体" w:hAnsi="宋体" w:cs="宋体"/>
          <w:b/>
          <w:bCs/>
          <w:color w:val="auto"/>
          <w:sz w:val="24"/>
          <w:highlight w:val="none"/>
          <w:lang w:eastAsia="zh-CN"/>
        </w:rPr>
        <w:t>其他分</w:t>
      </w:r>
      <w:r>
        <w:rPr>
          <w:rFonts w:hint="eastAsia" w:ascii="宋体" w:hAnsi="宋体" w:eastAsia="宋体" w:cs="宋体"/>
          <w:b/>
          <w:bCs/>
          <w:color w:val="auto"/>
          <w:sz w:val="24"/>
          <w:highlight w:val="none"/>
        </w:rPr>
        <w:t>的计算</w:t>
      </w:r>
    </w:p>
    <w:p w14:paraId="50FB365D">
      <w:pPr>
        <w:spacing w:before="0" w:beforeLines="0" w:after="0" w:after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技术、商务、资信及其他分按照评标委员会成员的独立评分结果的算术平均分计算，计算公式为：</w:t>
      </w:r>
    </w:p>
    <w:p w14:paraId="45582AE1">
      <w:pPr>
        <w:spacing w:before="0" w:beforeLines="0" w:after="0" w:afterLines="0"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技术商务资信及其他分=评标委员会所有成员有效评分合计数/5</w:t>
      </w:r>
    </w:p>
    <w:p w14:paraId="62D972A9">
      <w:pPr>
        <w:numPr>
          <w:ilvl w:val="0"/>
          <w:numId w:val="7"/>
        </w:numPr>
        <w:spacing w:beforeLines="0" w:afterLines="0" w:line="360" w:lineRule="auto"/>
        <w:ind w:firstLine="482" w:firstLineChars="200"/>
        <w:rPr>
          <w:rFonts w:hint="eastAsia" w:ascii="宋体" w:hAnsi="宋体" w:cs="宋体"/>
          <w:b/>
          <w:bCs/>
          <w:color w:val="auto"/>
          <w:sz w:val="24"/>
          <w:highlight w:val="none"/>
          <w:lang w:eastAsia="zh-CN"/>
        </w:rPr>
      </w:pPr>
      <w:r>
        <w:rPr>
          <w:rFonts w:hint="eastAsia" w:ascii="宋体" w:hAnsi="宋体" w:eastAsia="宋体" w:cs="宋体"/>
          <w:b/>
          <w:bCs/>
          <w:color w:val="auto"/>
          <w:sz w:val="24"/>
          <w:highlight w:val="none"/>
        </w:rPr>
        <w:t>技术分、商务分、资信及其他分评分标准，共</w:t>
      </w:r>
      <w:r>
        <w:rPr>
          <w:rFonts w:hint="eastAsia" w:ascii="宋体" w:hAnsi="宋体" w:cs="宋体"/>
          <w:b/>
          <w:bCs/>
          <w:color w:val="auto"/>
          <w:sz w:val="24"/>
          <w:highlight w:val="none"/>
          <w:lang w:val="en-US" w:eastAsia="zh-CN"/>
        </w:rPr>
        <w:t>80分</w:t>
      </w:r>
      <w:r>
        <w:rPr>
          <w:rFonts w:hint="eastAsia" w:ascii="宋体" w:hAnsi="宋体" w:cs="宋体"/>
          <w:b/>
          <w:bCs/>
          <w:color w:val="auto"/>
          <w:sz w:val="24"/>
          <w:highlight w:val="none"/>
          <w:lang w:eastAsia="zh-CN"/>
        </w:rPr>
        <w:t>。</w:t>
      </w:r>
    </w:p>
    <w:tbl>
      <w:tblPr>
        <w:tblStyle w:val="36"/>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397"/>
        <w:gridCol w:w="1279"/>
        <w:gridCol w:w="7027"/>
        <w:gridCol w:w="871"/>
      </w:tblGrid>
      <w:tr w14:paraId="7DA2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tcBorders>
              <w:top w:val="single" w:color="auto" w:sz="4" w:space="0"/>
              <w:left w:val="single" w:color="auto" w:sz="4" w:space="0"/>
              <w:bottom w:val="single" w:color="auto" w:sz="4" w:space="0"/>
              <w:right w:val="single" w:color="auto" w:sz="4" w:space="0"/>
            </w:tcBorders>
            <w:noWrap/>
            <w:vAlign w:val="center"/>
          </w:tcPr>
          <w:p w14:paraId="31D60EE6">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676" w:type="dxa"/>
            <w:gridSpan w:val="2"/>
            <w:tcBorders>
              <w:top w:val="single" w:color="auto" w:sz="4" w:space="0"/>
              <w:left w:val="single" w:color="auto" w:sz="4" w:space="0"/>
              <w:bottom w:val="single" w:color="auto" w:sz="4" w:space="0"/>
              <w:right w:val="single" w:color="auto" w:sz="4" w:space="0"/>
            </w:tcBorders>
            <w:vAlign w:val="center"/>
          </w:tcPr>
          <w:p w14:paraId="27892FE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c>
          <w:tcPr>
            <w:tcW w:w="7027" w:type="dxa"/>
            <w:tcBorders>
              <w:top w:val="single" w:color="auto" w:sz="4" w:space="0"/>
              <w:left w:val="single" w:color="auto" w:sz="4" w:space="0"/>
              <w:bottom w:val="single" w:color="auto" w:sz="4" w:space="0"/>
              <w:right w:val="single" w:color="auto" w:sz="4" w:space="0"/>
            </w:tcBorders>
            <w:noWrap/>
            <w:vAlign w:val="center"/>
          </w:tcPr>
          <w:p w14:paraId="42552773">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871" w:type="dxa"/>
            <w:tcBorders>
              <w:top w:val="single" w:color="auto" w:sz="4" w:space="0"/>
              <w:left w:val="single" w:color="auto" w:sz="4" w:space="0"/>
              <w:bottom w:val="single" w:color="auto" w:sz="4" w:space="0"/>
              <w:right w:val="single" w:color="auto" w:sz="4" w:space="0"/>
            </w:tcBorders>
            <w:noWrap/>
            <w:vAlign w:val="center"/>
          </w:tcPr>
          <w:p w14:paraId="0BD542C1">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3B66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35" w:type="dxa"/>
            <w:tcBorders>
              <w:top w:val="single" w:color="auto" w:sz="4" w:space="0"/>
              <w:left w:val="single" w:color="auto" w:sz="4" w:space="0"/>
              <w:bottom w:val="single" w:color="auto" w:sz="4" w:space="0"/>
              <w:right w:val="single" w:color="auto" w:sz="4" w:space="0"/>
            </w:tcBorders>
            <w:noWrap/>
            <w:vAlign w:val="center"/>
          </w:tcPr>
          <w:p w14:paraId="0744A44C">
            <w:pPr>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w:t>
            </w:r>
          </w:p>
        </w:tc>
        <w:tc>
          <w:tcPr>
            <w:tcW w:w="8703" w:type="dxa"/>
            <w:gridSpan w:val="3"/>
            <w:tcBorders>
              <w:top w:val="single" w:color="auto" w:sz="4" w:space="0"/>
              <w:left w:val="single" w:color="auto" w:sz="4" w:space="0"/>
              <w:bottom w:val="single" w:color="auto" w:sz="4" w:space="0"/>
              <w:right w:val="single" w:color="auto" w:sz="4" w:space="0"/>
            </w:tcBorders>
            <w:vAlign w:val="center"/>
          </w:tcPr>
          <w:p w14:paraId="1805A309">
            <w:pPr>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技术分</w:t>
            </w:r>
          </w:p>
        </w:tc>
        <w:tc>
          <w:tcPr>
            <w:tcW w:w="871" w:type="dxa"/>
            <w:tcBorders>
              <w:top w:val="single" w:color="auto" w:sz="4" w:space="0"/>
              <w:left w:val="single" w:color="auto" w:sz="4" w:space="0"/>
              <w:bottom w:val="single" w:color="auto" w:sz="4" w:space="0"/>
              <w:right w:val="single" w:color="auto" w:sz="4" w:space="0"/>
            </w:tcBorders>
            <w:noWrap/>
            <w:vAlign w:val="center"/>
          </w:tcPr>
          <w:p w14:paraId="36E4C92F">
            <w:pPr>
              <w:jc w:val="center"/>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60</w:t>
            </w:r>
            <w:r>
              <w:rPr>
                <w:rFonts w:hint="eastAsia" w:ascii="宋体" w:hAnsi="宋体" w:eastAsia="宋体" w:cs="宋体"/>
                <w:b/>
                <w:bCs w:val="0"/>
                <w:color w:val="auto"/>
                <w:sz w:val="24"/>
                <w:szCs w:val="24"/>
                <w:highlight w:val="none"/>
              </w:rPr>
              <w:t>分</w:t>
            </w:r>
          </w:p>
        </w:tc>
      </w:tr>
      <w:tr w14:paraId="56A9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35" w:type="dxa"/>
            <w:tcBorders>
              <w:left w:val="single" w:color="000000" w:sz="4" w:space="0"/>
              <w:right w:val="single" w:color="auto" w:sz="4" w:space="0"/>
            </w:tcBorders>
            <w:noWrap/>
            <w:vAlign w:val="center"/>
          </w:tcPr>
          <w:p w14:paraId="575F09B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97" w:type="dxa"/>
            <w:vMerge w:val="restart"/>
            <w:tcBorders>
              <w:left w:val="single" w:color="000000" w:sz="4" w:space="0"/>
              <w:right w:val="single" w:color="000000" w:sz="4" w:space="0"/>
            </w:tcBorders>
            <w:vAlign w:val="center"/>
          </w:tcPr>
          <w:p w14:paraId="7FD65C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技术服务能力</w:t>
            </w:r>
          </w:p>
        </w:tc>
        <w:tc>
          <w:tcPr>
            <w:tcW w:w="1279" w:type="dxa"/>
            <w:tcBorders>
              <w:left w:val="single" w:color="000000" w:sz="4" w:space="0"/>
              <w:right w:val="single" w:color="auto" w:sz="4" w:space="0"/>
            </w:tcBorders>
            <w:noWrap/>
            <w:vAlign w:val="center"/>
          </w:tcPr>
          <w:p w14:paraId="55AF7C81">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rPr>
              <w:t>项目背景</w:t>
            </w:r>
            <w:r>
              <w:rPr>
                <w:rFonts w:hint="eastAsia" w:ascii="宋体" w:hAnsi="宋体" w:cs="宋体"/>
                <w:color w:val="auto"/>
                <w:kern w:val="0"/>
                <w:sz w:val="24"/>
                <w:highlight w:val="none"/>
                <w:lang w:val="en-US" w:eastAsia="zh-CN"/>
              </w:rPr>
              <w:t>的理解</w:t>
            </w:r>
          </w:p>
        </w:tc>
        <w:tc>
          <w:tcPr>
            <w:tcW w:w="7027" w:type="dxa"/>
            <w:tcBorders>
              <w:top w:val="single" w:color="auto" w:sz="4" w:space="0"/>
              <w:left w:val="single" w:color="auto" w:sz="4" w:space="0"/>
              <w:right w:val="single" w:color="auto" w:sz="4" w:space="0"/>
            </w:tcBorders>
            <w:noWrap/>
            <w:vAlign w:val="center"/>
          </w:tcPr>
          <w:p w14:paraId="07BF7ABE">
            <w:pPr>
              <w:snapToGrid w:val="0"/>
              <w:spacing w:line="360" w:lineRule="exact"/>
              <w:textAlignment w:val="baseline"/>
              <w:rPr>
                <w:rFonts w:hint="eastAsia" w:ascii="宋体" w:hAnsi="宋体" w:eastAsia="宋体" w:cs="宋体"/>
                <w:color w:val="auto"/>
                <w:sz w:val="24"/>
                <w:highlight w:val="none"/>
              </w:rPr>
            </w:pPr>
            <w:r>
              <w:rPr>
                <w:rFonts w:hint="eastAsia" w:ascii="宋体" w:hAnsi="宋体" w:cs="宋体"/>
                <w:color w:val="auto"/>
                <w:sz w:val="24"/>
                <w:highlight w:val="none"/>
              </w:rPr>
              <w:t>投标人对本项目的认识和理解情况，包括对东阳</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十四五</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时期</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成就（0-2）和问题</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）情况；</w:t>
            </w:r>
            <w:r>
              <w:rPr>
                <w:rFonts w:hint="eastAsia" w:ascii="宋体" w:hAnsi="宋体" w:eastAsia="宋体" w:cs="宋体"/>
                <w:color w:val="auto"/>
                <w:kern w:val="0"/>
                <w:sz w:val="24"/>
                <w:highlight w:val="none"/>
                <w:lang w:bidi="ar"/>
              </w:rPr>
              <w:t>东阳</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十五五</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时期</w:t>
            </w:r>
            <w:r>
              <w:rPr>
                <w:rFonts w:hint="eastAsia" w:ascii="宋体" w:hAnsi="宋体" w:cs="宋体"/>
                <w:color w:val="auto"/>
                <w:sz w:val="24"/>
                <w:highlight w:val="none"/>
              </w:rPr>
              <w:t>面临的机遇（0-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）和</w:t>
            </w:r>
            <w:r>
              <w:rPr>
                <w:rFonts w:hint="eastAsia" w:ascii="宋体" w:hAnsi="宋体" w:cs="宋体"/>
                <w:color w:val="auto"/>
                <w:sz w:val="24"/>
                <w:highlight w:val="none"/>
                <w:lang w:val="en-US" w:eastAsia="zh-CN"/>
              </w:rPr>
              <w:t>挑战</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）等内容</w:t>
            </w:r>
            <w:r>
              <w:rPr>
                <w:rFonts w:hint="eastAsia" w:ascii="宋体" w:hAnsi="宋体" w:eastAsia="宋体" w:cs="宋体"/>
                <w:color w:val="auto"/>
                <w:sz w:val="24"/>
                <w:highlight w:val="none"/>
              </w:rPr>
              <w:t>进行综合打分</w:t>
            </w:r>
            <w:r>
              <w:rPr>
                <w:rFonts w:hint="eastAsia" w:ascii="宋体" w:hAnsi="宋体" w:cs="宋体"/>
                <w:color w:val="auto"/>
                <w:sz w:val="24"/>
                <w:highlight w:val="none"/>
              </w:rPr>
              <w:t>。</w:t>
            </w:r>
          </w:p>
        </w:tc>
        <w:tc>
          <w:tcPr>
            <w:tcW w:w="871" w:type="dxa"/>
            <w:tcBorders>
              <w:top w:val="single" w:color="auto" w:sz="4" w:space="0"/>
              <w:left w:val="single" w:color="auto" w:sz="4" w:space="0"/>
              <w:right w:val="single" w:color="auto" w:sz="4" w:space="0"/>
            </w:tcBorders>
            <w:noWrap/>
            <w:vAlign w:val="center"/>
          </w:tcPr>
          <w:p w14:paraId="51C704E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14:paraId="29CB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35" w:type="dxa"/>
            <w:tcBorders>
              <w:left w:val="single" w:color="000000" w:sz="4" w:space="0"/>
              <w:right w:val="single" w:color="auto" w:sz="4" w:space="0"/>
            </w:tcBorders>
            <w:noWrap/>
            <w:vAlign w:val="center"/>
          </w:tcPr>
          <w:p w14:paraId="6B84933B">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397" w:type="dxa"/>
            <w:vMerge w:val="continue"/>
            <w:tcBorders>
              <w:left w:val="single" w:color="000000" w:sz="4" w:space="0"/>
              <w:right w:val="single" w:color="000000" w:sz="4" w:space="0"/>
            </w:tcBorders>
            <w:vAlign w:val="center"/>
          </w:tcPr>
          <w:p w14:paraId="21705EE7">
            <w:pPr>
              <w:jc w:val="center"/>
              <w:rPr>
                <w:rFonts w:hint="eastAsia" w:ascii="宋体" w:hAnsi="宋体" w:eastAsia="宋体" w:cs="宋体"/>
                <w:color w:val="auto"/>
                <w:sz w:val="24"/>
                <w:szCs w:val="24"/>
                <w:highlight w:val="none"/>
              </w:rPr>
            </w:pPr>
          </w:p>
        </w:tc>
        <w:tc>
          <w:tcPr>
            <w:tcW w:w="1279" w:type="dxa"/>
            <w:vMerge w:val="restart"/>
            <w:tcBorders>
              <w:left w:val="single" w:color="000000" w:sz="4" w:space="0"/>
              <w:right w:val="single" w:color="auto" w:sz="4" w:space="0"/>
            </w:tcBorders>
            <w:noWrap/>
            <w:vAlign w:val="center"/>
          </w:tcPr>
          <w:p w14:paraId="01890E1C">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技术方案</w:t>
            </w:r>
          </w:p>
        </w:tc>
        <w:tc>
          <w:tcPr>
            <w:tcW w:w="7027" w:type="dxa"/>
            <w:tcBorders>
              <w:top w:val="single" w:color="auto" w:sz="4" w:space="0"/>
              <w:left w:val="single" w:color="auto" w:sz="4" w:space="0"/>
              <w:right w:val="single" w:color="auto" w:sz="4" w:space="0"/>
            </w:tcBorders>
            <w:noWrap/>
            <w:vAlign w:val="center"/>
          </w:tcPr>
          <w:p w14:paraId="18903F2D">
            <w:pPr>
              <w:snapToGrid w:val="0"/>
              <w:spacing w:line="360" w:lineRule="exact"/>
              <w:textAlignment w:val="baseline"/>
              <w:rPr>
                <w:rFonts w:hint="eastAsia" w:ascii="宋体" w:hAnsi="宋体" w:cs="宋体"/>
                <w:color w:val="auto"/>
                <w:sz w:val="24"/>
                <w:highlight w:val="none"/>
              </w:rPr>
            </w:pPr>
            <w:r>
              <w:rPr>
                <w:rFonts w:hint="eastAsia" w:ascii="宋体" w:hAnsi="宋体" w:cs="宋体"/>
                <w:color w:val="auto"/>
                <w:sz w:val="24"/>
                <w:highlight w:val="none"/>
              </w:rPr>
              <w:t>深入分析东阳</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十五五</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时期经济社会</w:t>
            </w:r>
            <w:r>
              <w:rPr>
                <w:rFonts w:hint="eastAsia" w:ascii="宋体" w:hAnsi="宋体" w:eastAsia="宋体" w:cs="宋体"/>
                <w:color w:val="auto"/>
                <w:kern w:val="0"/>
                <w:sz w:val="24"/>
                <w:highlight w:val="none"/>
                <w:lang w:val="en-US" w:eastAsia="zh-CN" w:bidi="ar"/>
              </w:rPr>
              <w:t>发展</w:t>
            </w:r>
            <w:r>
              <w:rPr>
                <w:rFonts w:hint="eastAsia" w:ascii="宋体" w:hAnsi="宋体" w:cs="宋体"/>
                <w:color w:val="auto"/>
                <w:sz w:val="24"/>
                <w:highlight w:val="none"/>
              </w:rPr>
              <w:t>具备的</w:t>
            </w:r>
            <w:r>
              <w:rPr>
                <w:rFonts w:hint="eastAsia" w:ascii="宋体" w:hAnsi="宋体" w:cs="宋体"/>
                <w:color w:val="auto"/>
                <w:sz w:val="24"/>
                <w:highlight w:val="none"/>
                <w:lang w:eastAsia="zh-CN"/>
              </w:rPr>
              <w:t>发展基础、</w:t>
            </w:r>
            <w:r>
              <w:rPr>
                <w:rFonts w:hint="eastAsia" w:ascii="宋体" w:hAnsi="宋体" w:cs="宋体"/>
                <w:color w:val="auto"/>
                <w:sz w:val="24"/>
                <w:highlight w:val="none"/>
              </w:rPr>
              <w:t>特色优势，可</w:t>
            </w:r>
            <w:r>
              <w:rPr>
                <w:rFonts w:hint="eastAsia" w:ascii="宋体" w:hAnsi="宋体" w:cs="宋体"/>
                <w:color w:val="auto"/>
                <w:sz w:val="24"/>
                <w:highlight w:val="none"/>
                <w:lang w:val="en-US" w:eastAsia="zh-CN"/>
              </w:rPr>
              <w:t>从</w:t>
            </w:r>
            <w:r>
              <w:rPr>
                <w:rFonts w:hint="eastAsia" w:ascii="宋体" w:hAnsi="宋体" w:cs="宋体"/>
                <w:color w:val="auto"/>
                <w:sz w:val="24"/>
                <w:highlight w:val="none"/>
              </w:rPr>
              <w:t>产业（0</w:t>
            </w:r>
            <w:r>
              <w:rPr>
                <w:rFonts w:ascii="宋体" w:hAnsi="宋体" w:cs="宋体"/>
                <w:color w:val="auto"/>
                <w:sz w:val="24"/>
                <w:highlight w:val="none"/>
              </w:rPr>
              <w:t>-1</w:t>
            </w:r>
            <w:r>
              <w:rPr>
                <w:rFonts w:hint="eastAsia" w:ascii="宋体" w:hAnsi="宋体" w:cs="宋体"/>
                <w:color w:val="auto"/>
                <w:sz w:val="24"/>
                <w:highlight w:val="none"/>
              </w:rPr>
              <w:t>）、区位（0</w:t>
            </w:r>
            <w:r>
              <w:rPr>
                <w:rFonts w:ascii="宋体" w:hAnsi="宋体" w:cs="宋体"/>
                <w:color w:val="auto"/>
                <w:sz w:val="24"/>
                <w:highlight w:val="none"/>
              </w:rPr>
              <w:t>-1</w:t>
            </w:r>
            <w:r>
              <w:rPr>
                <w:rFonts w:hint="eastAsia" w:ascii="宋体" w:hAnsi="宋体" w:cs="宋体"/>
                <w:color w:val="auto"/>
                <w:sz w:val="24"/>
                <w:highlight w:val="none"/>
              </w:rPr>
              <w:t>）、生态（0</w:t>
            </w:r>
            <w:r>
              <w:rPr>
                <w:rFonts w:ascii="宋体" w:hAnsi="宋体" w:cs="宋体"/>
                <w:color w:val="auto"/>
                <w:sz w:val="24"/>
                <w:highlight w:val="none"/>
              </w:rPr>
              <w:t>-1</w:t>
            </w:r>
            <w:r>
              <w:rPr>
                <w:rFonts w:hint="eastAsia" w:ascii="宋体" w:hAnsi="宋体" w:cs="宋体"/>
                <w:color w:val="auto"/>
                <w:sz w:val="24"/>
                <w:highlight w:val="none"/>
              </w:rPr>
              <w:t>）、体制（0</w:t>
            </w:r>
            <w:r>
              <w:rPr>
                <w:rFonts w:ascii="宋体" w:hAnsi="宋体" w:cs="宋体"/>
                <w:color w:val="auto"/>
                <w:sz w:val="24"/>
                <w:highlight w:val="none"/>
              </w:rPr>
              <w:t>-1</w:t>
            </w:r>
            <w:r>
              <w:rPr>
                <w:rFonts w:hint="eastAsia" w:ascii="宋体" w:hAnsi="宋体" w:cs="宋体"/>
                <w:color w:val="auto"/>
                <w:sz w:val="24"/>
                <w:highlight w:val="none"/>
              </w:rPr>
              <w:t>）等方面进行</w:t>
            </w:r>
            <w:r>
              <w:rPr>
                <w:rFonts w:hint="eastAsia" w:ascii="宋体" w:hAnsi="宋体" w:eastAsia="宋体" w:cs="宋体"/>
                <w:color w:val="auto"/>
                <w:sz w:val="24"/>
                <w:highlight w:val="none"/>
              </w:rPr>
              <w:t>综合打分</w:t>
            </w:r>
            <w:r>
              <w:rPr>
                <w:rFonts w:hint="eastAsia" w:ascii="宋体" w:hAnsi="宋体" w:cs="宋体"/>
                <w:color w:val="auto"/>
                <w:sz w:val="24"/>
                <w:highlight w:val="none"/>
              </w:rPr>
              <w:t>。</w:t>
            </w:r>
          </w:p>
        </w:tc>
        <w:tc>
          <w:tcPr>
            <w:tcW w:w="871" w:type="dxa"/>
            <w:tcBorders>
              <w:top w:val="single" w:color="auto" w:sz="4" w:space="0"/>
              <w:left w:val="single" w:color="auto" w:sz="4" w:space="0"/>
              <w:right w:val="single" w:color="auto" w:sz="4" w:space="0"/>
            </w:tcBorders>
            <w:noWrap/>
            <w:vAlign w:val="center"/>
          </w:tcPr>
          <w:p w14:paraId="67F2C1F1">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szCs w:val="24"/>
                <w:highlight w:val="none"/>
              </w:rPr>
              <w:t>分</w:t>
            </w:r>
          </w:p>
        </w:tc>
      </w:tr>
      <w:tr w14:paraId="31CC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35" w:type="dxa"/>
            <w:tcBorders>
              <w:left w:val="single" w:color="000000" w:sz="4" w:space="0"/>
              <w:right w:val="single" w:color="auto" w:sz="4" w:space="0"/>
            </w:tcBorders>
            <w:noWrap/>
            <w:vAlign w:val="center"/>
          </w:tcPr>
          <w:p w14:paraId="0B01DDB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97" w:type="dxa"/>
            <w:vMerge w:val="continue"/>
            <w:tcBorders>
              <w:left w:val="single" w:color="000000" w:sz="4" w:space="0"/>
              <w:right w:val="single" w:color="000000" w:sz="4" w:space="0"/>
            </w:tcBorders>
            <w:vAlign w:val="center"/>
          </w:tcPr>
          <w:p w14:paraId="27FFFE75">
            <w:pPr>
              <w:jc w:val="center"/>
              <w:rPr>
                <w:rFonts w:hint="eastAsia" w:ascii="宋体" w:hAnsi="宋体" w:eastAsia="宋体" w:cs="宋体"/>
                <w:color w:val="auto"/>
                <w:sz w:val="24"/>
                <w:szCs w:val="24"/>
                <w:highlight w:val="none"/>
              </w:rPr>
            </w:pPr>
          </w:p>
        </w:tc>
        <w:tc>
          <w:tcPr>
            <w:tcW w:w="1279" w:type="dxa"/>
            <w:vMerge w:val="continue"/>
            <w:tcBorders>
              <w:left w:val="single" w:color="000000" w:sz="4" w:space="0"/>
              <w:right w:val="single" w:color="auto" w:sz="4" w:space="0"/>
            </w:tcBorders>
            <w:noWrap/>
            <w:vAlign w:val="center"/>
          </w:tcPr>
          <w:p w14:paraId="48DF6B0F">
            <w:pPr>
              <w:jc w:val="center"/>
              <w:rPr>
                <w:rFonts w:hint="eastAsia" w:ascii="宋体" w:hAnsi="宋体" w:eastAsia="宋体" w:cs="宋体"/>
                <w:color w:val="auto"/>
                <w:kern w:val="0"/>
                <w:sz w:val="24"/>
                <w:highlight w:val="none"/>
              </w:rPr>
            </w:pPr>
          </w:p>
        </w:tc>
        <w:tc>
          <w:tcPr>
            <w:tcW w:w="7027" w:type="dxa"/>
            <w:tcBorders>
              <w:top w:val="single" w:color="auto" w:sz="4" w:space="0"/>
              <w:left w:val="single" w:color="auto" w:sz="4" w:space="0"/>
              <w:right w:val="single" w:color="auto" w:sz="4" w:space="0"/>
            </w:tcBorders>
            <w:noWrap/>
            <w:vAlign w:val="center"/>
          </w:tcPr>
          <w:p w14:paraId="18434FE8">
            <w:pPr>
              <w:snapToGrid w:val="0"/>
              <w:spacing w:line="360" w:lineRule="exact"/>
              <w:textAlignment w:val="baseline"/>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明确东阳“十五五”时期总体思路（</w:t>
            </w: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战略路径</w:t>
            </w: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核心</w:t>
            </w:r>
            <w:r>
              <w:rPr>
                <w:rFonts w:hint="eastAsia" w:ascii="宋体" w:hAnsi="宋体" w:cs="宋体"/>
                <w:color w:val="auto"/>
                <w:sz w:val="24"/>
                <w:highlight w:val="none"/>
              </w:rPr>
              <w:t>目标（0</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eastAsia="zh-CN"/>
              </w:rPr>
              <w:t>等</w:t>
            </w:r>
            <w:r>
              <w:rPr>
                <w:rFonts w:hint="eastAsia" w:ascii="宋体" w:hAnsi="宋体" w:cs="宋体"/>
                <w:color w:val="auto"/>
                <w:sz w:val="24"/>
                <w:highlight w:val="none"/>
              </w:rPr>
              <w:t>内容</w:t>
            </w:r>
            <w:r>
              <w:rPr>
                <w:rFonts w:hint="eastAsia" w:ascii="宋体" w:hAnsi="宋体" w:eastAsia="宋体" w:cs="宋体"/>
                <w:color w:val="auto"/>
                <w:sz w:val="24"/>
                <w:highlight w:val="none"/>
              </w:rPr>
              <w:t>进行综合打分</w:t>
            </w:r>
            <w:r>
              <w:rPr>
                <w:rFonts w:hint="eastAsia" w:ascii="宋体" w:hAnsi="宋体" w:cs="宋体"/>
                <w:color w:val="auto"/>
                <w:sz w:val="24"/>
                <w:highlight w:val="none"/>
              </w:rPr>
              <w:t>。</w:t>
            </w:r>
          </w:p>
        </w:tc>
        <w:tc>
          <w:tcPr>
            <w:tcW w:w="871" w:type="dxa"/>
            <w:tcBorders>
              <w:top w:val="single" w:color="auto" w:sz="4" w:space="0"/>
              <w:left w:val="single" w:color="auto" w:sz="4" w:space="0"/>
              <w:right w:val="single" w:color="auto" w:sz="4" w:space="0"/>
            </w:tcBorders>
            <w:noWrap/>
            <w:vAlign w:val="center"/>
          </w:tcPr>
          <w:p w14:paraId="1D606F2B">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r>
      <w:tr w14:paraId="039B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35" w:type="dxa"/>
            <w:tcBorders>
              <w:left w:val="single" w:color="000000" w:sz="4" w:space="0"/>
              <w:right w:val="single" w:color="auto" w:sz="4" w:space="0"/>
            </w:tcBorders>
            <w:noWrap/>
            <w:vAlign w:val="center"/>
          </w:tcPr>
          <w:p w14:paraId="3C15DFCE">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97" w:type="dxa"/>
            <w:vMerge w:val="continue"/>
            <w:tcBorders>
              <w:left w:val="single" w:color="000000" w:sz="4" w:space="0"/>
              <w:right w:val="single" w:color="000000" w:sz="4" w:space="0"/>
            </w:tcBorders>
            <w:vAlign w:val="center"/>
          </w:tcPr>
          <w:p w14:paraId="6DD11CA2">
            <w:pPr>
              <w:jc w:val="center"/>
              <w:rPr>
                <w:rFonts w:hint="eastAsia" w:ascii="宋体" w:hAnsi="宋体" w:eastAsia="宋体" w:cs="宋体"/>
                <w:color w:val="auto"/>
                <w:sz w:val="24"/>
                <w:szCs w:val="24"/>
                <w:highlight w:val="none"/>
              </w:rPr>
            </w:pPr>
          </w:p>
        </w:tc>
        <w:tc>
          <w:tcPr>
            <w:tcW w:w="1279" w:type="dxa"/>
            <w:vMerge w:val="continue"/>
            <w:tcBorders>
              <w:left w:val="single" w:color="000000" w:sz="4" w:space="0"/>
              <w:right w:val="single" w:color="auto" w:sz="4" w:space="0"/>
            </w:tcBorders>
            <w:noWrap/>
            <w:vAlign w:val="center"/>
          </w:tcPr>
          <w:p w14:paraId="63491D42">
            <w:pPr>
              <w:jc w:val="center"/>
              <w:rPr>
                <w:rFonts w:hint="eastAsia" w:ascii="宋体" w:hAnsi="宋体" w:eastAsia="宋体" w:cs="宋体"/>
                <w:color w:val="auto"/>
                <w:kern w:val="0"/>
                <w:sz w:val="24"/>
                <w:highlight w:val="none"/>
              </w:rPr>
            </w:pPr>
          </w:p>
        </w:tc>
        <w:tc>
          <w:tcPr>
            <w:tcW w:w="7027" w:type="dxa"/>
            <w:tcBorders>
              <w:top w:val="single" w:color="auto" w:sz="4" w:space="0"/>
              <w:left w:val="single" w:color="auto" w:sz="4" w:space="0"/>
              <w:right w:val="single" w:color="auto" w:sz="4" w:space="0"/>
            </w:tcBorders>
            <w:noWrap/>
            <w:vAlign w:val="center"/>
          </w:tcPr>
          <w:p w14:paraId="19F95173">
            <w:pPr>
              <w:snapToGrid w:val="0"/>
              <w:spacing w:line="360" w:lineRule="exact"/>
              <w:textAlignment w:val="baseline"/>
              <w:rPr>
                <w:rFonts w:hint="default" w:ascii="宋体" w:hAnsi="宋体" w:cs="宋体"/>
                <w:color w:val="auto"/>
                <w:sz w:val="24"/>
                <w:highlight w:val="none"/>
                <w:lang w:val="en-US"/>
              </w:rPr>
            </w:pPr>
            <w:r>
              <w:rPr>
                <w:rFonts w:hint="eastAsia" w:ascii="宋体" w:hAnsi="宋体" w:cs="宋体"/>
                <w:color w:val="auto"/>
                <w:sz w:val="24"/>
                <w:highlight w:val="none"/>
              </w:rPr>
              <w:t>提出</w:t>
            </w:r>
            <w:r>
              <w:rPr>
                <w:rFonts w:hint="eastAsia" w:ascii="宋体" w:hAnsi="宋体" w:cs="宋体"/>
                <w:color w:val="auto"/>
                <w:sz w:val="24"/>
                <w:highlight w:val="none"/>
                <w:lang w:val="en-US" w:eastAsia="zh-CN"/>
              </w:rPr>
              <w:t>东阳“十五五”时期重大任务和战略举措，可以从完善市场经济制度</w:t>
            </w: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、发展新质生产力</w:t>
            </w: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、科教人一体化发展</w:t>
            </w: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、开放经济发展</w:t>
            </w: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、新型城镇化建设</w:t>
            </w: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、公共服务供给</w:t>
            </w: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、文化发展</w:t>
            </w: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、生态建设</w:t>
            </w: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、现代治理体系</w:t>
            </w: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、“四个重大”谋划</w:t>
            </w: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）等方面</w:t>
            </w:r>
            <w:r>
              <w:rPr>
                <w:rFonts w:hint="eastAsia" w:ascii="宋体" w:hAnsi="宋体" w:eastAsia="宋体" w:cs="宋体"/>
                <w:color w:val="auto"/>
                <w:sz w:val="24"/>
                <w:highlight w:val="none"/>
              </w:rPr>
              <w:t>进行综合打分</w:t>
            </w:r>
            <w:r>
              <w:rPr>
                <w:rFonts w:hint="eastAsia" w:ascii="宋体" w:hAnsi="宋体" w:cs="宋体"/>
                <w:color w:val="auto"/>
                <w:sz w:val="24"/>
                <w:highlight w:val="none"/>
              </w:rPr>
              <w:t>。</w:t>
            </w:r>
          </w:p>
        </w:tc>
        <w:tc>
          <w:tcPr>
            <w:tcW w:w="871" w:type="dxa"/>
            <w:tcBorders>
              <w:top w:val="single" w:color="auto" w:sz="4" w:space="0"/>
              <w:left w:val="single" w:color="auto" w:sz="4" w:space="0"/>
              <w:right w:val="single" w:color="auto" w:sz="4" w:space="0"/>
            </w:tcBorders>
            <w:noWrap/>
            <w:vAlign w:val="center"/>
          </w:tcPr>
          <w:p w14:paraId="34BA5B2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0-20</w:t>
            </w:r>
            <w:r>
              <w:rPr>
                <w:rFonts w:hint="eastAsia" w:ascii="宋体" w:hAnsi="宋体" w:eastAsia="宋体" w:cs="宋体"/>
                <w:color w:val="auto"/>
                <w:sz w:val="24"/>
                <w:szCs w:val="24"/>
                <w:highlight w:val="none"/>
              </w:rPr>
              <w:t>分</w:t>
            </w:r>
          </w:p>
        </w:tc>
      </w:tr>
      <w:tr w14:paraId="0C14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35" w:type="dxa"/>
            <w:tcBorders>
              <w:left w:val="single" w:color="000000" w:sz="4" w:space="0"/>
              <w:right w:val="single" w:color="auto" w:sz="4" w:space="0"/>
            </w:tcBorders>
            <w:noWrap/>
            <w:vAlign w:val="center"/>
          </w:tcPr>
          <w:p w14:paraId="2D9538CB">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97" w:type="dxa"/>
            <w:vMerge w:val="continue"/>
            <w:tcBorders>
              <w:left w:val="single" w:color="000000" w:sz="4" w:space="0"/>
              <w:right w:val="single" w:color="000000" w:sz="4" w:space="0"/>
            </w:tcBorders>
            <w:vAlign w:val="center"/>
          </w:tcPr>
          <w:p w14:paraId="7A6C90F5">
            <w:pPr>
              <w:jc w:val="center"/>
              <w:rPr>
                <w:rFonts w:hint="eastAsia" w:ascii="宋体" w:hAnsi="宋体" w:eastAsia="宋体" w:cs="宋体"/>
                <w:color w:val="auto"/>
                <w:sz w:val="24"/>
                <w:szCs w:val="24"/>
                <w:highlight w:val="none"/>
              </w:rPr>
            </w:pPr>
          </w:p>
        </w:tc>
        <w:tc>
          <w:tcPr>
            <w:tcW w:w="1279" w:type="dxa"/>
            <w:vMerge w:val="restart"/>
            <w:tcBorders>
              <w:left w:val="single" w:color="000000" w:sz="4" w:space="0"/>
              <w:right w:val="single" w:color="auto" w:sz="4" w:space="0"/>
            </w:tcBorders>
            <w:noWrap/>
            <w:vAlign w:val="center"/>
          </w:tcPr>
          <w:p w14:paraId="074A9F08">
            <w:pPr>
              <w:snapToGrid w:val="0"/>
              <w:spacing w:line="360" w:lineRule="exac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实施方案</w:t>
            </w:r>
          </w:p>
        </w:tc>
        <w:tc>
          <w:tcPr>
            <w:tcW w:w="7027" w:type="dxa"/>
            <w:tcBorders>
              <w:top w:val="single" w:color="auto" w:sz="4" w:space="0"/>
              <w:left w:val="single" w:color="auto" w:sz="4" w:space="0"/>
              <w:right w:val="single" w:color="auto" w:sz="4" w:space="0"/>
            </w:tcBorders>
            <w:shd w:val="clear" w:color="auto" w:fill="auto"/>
            <w:noWrap/>
            <w:vAlign w:val="center"/>
          </w:tcPr>
          <w:p w14:paraId="1DB2DA4F">
            <w:pPr>
              <w:snapToGrid w:val="0"/>
              <w:spacing w:line="360" w:lineRule="exact"/>
              <w:textAlignment w:val="baseline"/>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根据投标人提供的</w:t>
            </w:r>
            <w:r>
              <w:rPr>
                <w:rFonts w:hint="eastAsia" w:ascii="宋体" w:hAnsi="宋体" w:cs="宋体"/>
                <w:color w:val="auto"/>
                <w:kern w:val="0"/>
                <w:sz w:val="24"/>
                <w:highlight w:val="none"/>
                <w:lang w:bidi="ar"/>
              </w:rPr>
              <w:t>项目编制</w:t>
            </w:r>
            <w:r>
              <w:rPr>
                <w:rFonts w:hint="eastAsia" w:ascii="宋体" w:hAnsi="宋体" w:cs="宋体"/>
                <w:color w:val="auto"/>
                <w:sz w:val="24"/>
                <w:highlight w:val="none"/>
              </w:rPr>
              <w:t>工作思路合理情况赋分，</w:t>
            </w:r>
            <w:r>
              <w:rPr>
                <w:rFonts w:hint="eastAsia" w:ascii="宋体" w:hAnsi="宋体" w:cs="宋体"/>
                <w:color w:val="auto"/>
                <w:kern w:val="0"/>
                <w:sz w:val="24"/>
                <w:highlight w:val="none"/>
                <w:lang w:bidi="ar"/>
              </w:rPr>
              <w:t>视编制原则（0</w:t>
            </w:r>
            <w:r>
              <w:rPr>
                <w:rFonts w:ascii="宋体" w:hAnsi="宋体" w:cs="宋体"/>
                <w:color w:val="auto"/>
                <w:kern w:val="0"/>
                <w:sz w:val="24"/>
                <w:highlight w:val="none"/>
                <w:lang w:bidi="ar"/>
              </w:rPr>
              <w:t>-2</w:t>
            </w:r>
            <w:r>
              <w:rPr>
                <w:rFonts w:hint="eastAsia" w:ascii="宋体" w:hAnsi="宋体" w:cs="宋体"/>
                <w:color w:val="auto"/>
                <w:kern w:val="0"/>
                <w:sz w:val="24"/>
                <w:highlight w:val="none"/>
                <w:lang w:bidi="ar"/>
              </w:rPr>
              <w:t>）、编制程序（0</w:t>
            </w:r>
            <w:r>
              <w:rPr>
                <w:rFonts w:ascii="宋体" w:hAnsi="宋体" w:cs="宋体"/>
                <w:color w:val="auto"/>
                <w:kern w:val="0"/>
                <w:sz w:val="24"/>
                <w:highlight w:val="none"/>
                <w:lang w:bidi="ar"/>
              </w:rPr>
              <w:t>-2</w:t>
            </w:r>
            <w:r>
              <w:rPr>
                <w:rFonts w:hint="eastAsia" w:ascii="宋体" w:hAnsi="宋体" w:cs="宋体"/>
                <w:color w:val="auto"/>
                <w:kern w:val="0"/>
                <w:sz w:val="24"/>
                <w:highlight w:val="none"/>
                <w:lang w:bidi="ar"/>
              </w:rPr>
              <w:t>）、编制方法（0</w:t>
            </w:r>
            <w:r>
              <w:rPr>
                <w:rFonts w:ascii="宋体" w:hAnsi="宋体" w:cs="宋体"/>
                <w:color w:val="auto"/>
                <w:kern w:val="0"/>
                <w:sz w:val="24"/>
                <w:highlight w:val="none"/>
                <w:lang w:bidi="ar"/>
              </w:rPr>
              <w:t>-2</w:t>
            </w:r>
            <w:r>
              <w:rPr>
                <w:rFonts w:hint="eastAsia" w:ascii="宋体" w:hAnsi="宋体" w:cs="宋体"/>
                <w:color w:val="auto"/>
                <w:kern w:val="0"/>
                <w:sz w:val="24"/>
                <w:highlight w:val="none"/>
                <w:lang w:bidi="ar"/>
              </w:rPr>
              <w:t>）</w:t>
            </w:r>
            <w:r>
              <w:rPr>
                <w:rFonts w:hint="eastAsia" w:ascii="宋体" w:hAnsi="宋体" w:cs="宋体"/>
                <w:color w:val="auto"/>
                <w:sz w:val="24"/>
                <w:highlight w:val="none"/>
              </w:rPr>
              <w:t>是否具有</w:t>
            </w:r>
            <w:r>
              <w:rPr>
                <w:rFonts w:hint="eastAsia" w:ascii="宋体" w:hAnsi="宋体" w:cs="宋体"/>
                <w:color w:val="auto"/>
                <w:kern w:val="0"/>
                <w:sz w:val="24"/>
                <w:highlight w:val="none"/>
                <w:lang w:bidi="ar"/>
              </w:rPr>
              <w:t>完整性、合理性和清晰性</w:t>
            </w:r>
            <w:r>
              <w:rPr>
                <w:rFonts w:hint="eastAsia" w:ascii="宋体" w:hAnsi="宋体" w:cs="宋体"/>
                <w:color w:val="auto"/>
                <w:sz w:val="24"/>
                <w:highlight w:val="none"/>
              </w:rPr>
              <w:t>等内容</w:t>
            </w:r>
            <w:r>
              <w:rPr>
                <w:rFonts w:hint="eastAsia" w:ascii="宋体" w:hAnsi="宋体" w:eastAsia="宋体" w:cs="宋体"/>
                <w:color w:val="auto"/>
                <w:sz w:val="24"/>
                <w:highlight w:val="none"/>
              </w:rPr>
              <w:t>进行综合打分</w:t>
            </w:r>
            <w:r>
              <w:rPr>
                <w:rFonts w:hint="eastAsia" w:ascii="宋体" w:hAnsi="宋体" w:cs="宋体"/>
                <w:color w:val="auto"/>
                <w:sz w:val="24"/>
                <w:highlight w:val="none"/>
              </w:rPr>
              <w:t>。</w:t>
            </w:r>
          </w:p>
        </w:tc>
        <w:tc>
          <w:tcPr>
            <w:tcW w:w="871" w:type="dxa"/>
            <w:tcBorders>
              <w:top w:val="single" w:color="auto" w:sz="4" w:space="0"/>
              <w:left w:val="single" w:color="auto" w:sz="4" w:space="0"/>
              <w:right w:val="single" w:color="auto" w:sz="4" w:space="0"/>
            </w:tcBorders>
            <w:shd w:val="clear" w:color="auto" w:fill="auto"/>
            <w:noWrap/>
            <w:vAlign w:val="center"/>
          </w:tcPr>
          <w:p w14:paraId="65BD6D67">
            <w:pPr>
              <w:snapToGrid w:val="0"/>
              <w:spacing w:line="360" w:lineRule="exact"/>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0-6</w:t>
            </w:r>
            <w:r>
              <w:rPr>
                <w:rFonts w:hint="eastAsia" w:ascii="宋体" w:hAnsi="宋体" w:eastAsia="宋体" w:cs="宋体"/>
                <w:color w:val="auto"/>
                <w:sz w:val="24"/>
                <w:szCs w:val="24"/>
                <w:highlight w:val="none"/>
              </w:rPr>
              <w:t>分</w:t>
            </w:r>
          </w:p>
        </w:tc>
      </w:tr>
      <w:tr w14:paraId="4F0C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35" w:type="dxa"/>
            <w:tcBorders>
              <w:left w:val="single" w:color="000000" w:sz="4" w:space="0"/>
              <w:right w:val="single" w:color="auto" w:sz="4" w:space="0"/>
            </w:tcBorders>
            <w:noWrap/>
            <w:vAlign w:val="center"/>
          </w:tcPr>
          <w:p w14:paraId="29A1341A">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97" w:type="dxa"/>
            <w:vMerge w:val="continue"/>
            <w:tcBorders>
              <w:left w:val="single" w:color="000000" w:sz="4" w:space="0"/>
              <w:right w:val="single" w:color="000000" w:sz="4" w:space="0"/>
            </w:tcBorders>
            <w:vAlign w:val="center"/>
          </w:tcPr>
          <w:p w14:paraId="1CC8EFEA">
            <w:pPr>
              <w:jc w:val="center"/>
              <w:rPr>
                <w:rFonts w:hint="eastAsia" w:ascii="宋体" w:hAnsi="宋体" w:eastAsia="宋体" w:cs="宋体"/>
                <w:color w:val="auto"/>
                <w:sz w:val="24"/>
                <w:szCs w:val="24"/>
                <w:highlight w:val="none"/>
              </w:rPr>
            </w:pPr>
          </w:p>
        </w:tc>
        <w:tc>
          <w:tcPr>
            <w:tcW w:w="1279" w:type="dxa"/>
            <w:vMerge w:val="continue"/>
            <w:tcBorders>
              <w:left w:val="single" w:color="000000" w:sz="4" w:space="0"/>
              <w:right w:val="single" w:color="auto" w:sz="4" w:space="0"/>
            </w:tcBorders>
            <w:noWrap/>
            <w:vAlign w:val="center"/>
          </w:tcPr>
          <w:p w14:paraId="68213D44">
            <w:pPr>
              <w:jc w:val="center"/>
              <w:rPr>
                <w:rFonts w:hint="eastAsia" w:ascii="宋体" w:hAnsi="宋体" w:eastAsia="宋体" w:cs="宋体"/>
                <w:color w:val="auto"/>
                <w:kern w:val="0"/>
                <w:sz w:val="24"/>
                <w:highlight w:val="none"/>
              </w:rPr>
            </w:pPr>
          </w:p>
        </w:tc>
        <w:tc>
          <w:tcPr>
            <w:tcW w:w="7027" w:type="dxa"/>
            <w:tcBorders>
              <w:top w:val="single" w:color="auto" w:sz="4" w:space="0"/>
              <w:left w:val="single" w:color="auto" w:sz="4" w:space="0"/>
              <w:right w:val="single" w:color="auto" w:sz="4" w:space="0"/>
            </w:tcBorders>
            <w:shd w:val="clear" w:color="auto" w:fill="auto"/>
            <w:noWrap/>
            <w:vAlign w:val="center"/>
          </w:tcPr>
          <w:p w14:paraId="61FAE282">
            <w:pPr>
              <w:snapToGrid w:val="0"/>
              <w:spacing w:line="360" w:lineRule="exac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根据投标人针对本项目重点、难点是否把握透彻，分析准确（0-</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分），并提出切实可行的解决方案（0-</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w:t>
            </w:r>
            <w:r>
              <w:rPr>
                <w:rFonts w:hint="eastAsia" w:ascii="宋体" w:hAnsi="宋体" w:cs="宋体"/>
                <w:color w:val="auto"/>
                <w:sz w:val="24"/>
                <w:highlight w:val="none"/>
              </w:rPr>
              <w:t>等内容</w:t>
            </w:r>
            <w:r>
              <w:rPr>
                <w:rFonts w:hint="eastAsia" w:ascii="宋体" w:hAnsi="宋体" w:eastAsia="宋体" w:cs="宋体"/>
                <w:color w:val="auto"/>
                <w:sz w:val="24"/>
                <w:highlight w:val="none"/>
              </w:rPr>
              <w:t>进行综合打分</w:t>
            </w:r>
            <w:r>
              <w:rPr>
                <w:rFonts w:hint="eastAsia" w:ascii="宋体" w:hAnsi="宋体" w:cs="宋体"/>
                <w:color w:val="auto"/>
                <w:sz w:val="24"/>
                <w:highlight w:val="none"/>
              </w:rPr>
              <w:t>。</w:t>
            </w:r>
          </w:p>
        </w:tc>
        <w:tc>
          <w:tcPr>
            <w:tcW w:w="871" w:type="dxa"/>
            <w:tcBorders>
              <w:top w:val="single" w:color="auto" w:sz="4" w:space="0"/>
              <w:left w:val="single" w:color="auto" w:sz="4" w:space="0"/>
              <w:right w:val="single" w:color="auto" w:sz="4" w:space="0"/>
            </w:tcBorders>
            <w:shd w:val="clear" w:color="auto" w:fill="auto"/>
            <w:noWrap/>
            <w:vAlign w:val="center"/>
          </w:tcPr>
          <w:p w14:paraId="6747D644">
            <w:pPr>
              <w:snapToGrid w:val="0"/>
              <w:spacing w:line="360" w:lineRule="exact"/>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4</w:t>
            </w:r>
            <w:r>
              <w:rPr>
                <w:rFonts w:hint="eastAsia" w:ascii="宋体" w:hAnsi="宋体" w:eastAsia="宋体" w:cs="宋体"/>
                <w:color w:val="auto"/>
                <w:sz w:val="24"/>
                <w:szCs w:val="24"/>
                <w:highlight w:val="none"/>
              </w:rPr>
              <w:t>分</w:t>
            </w:r>
          </w:p>
        </w:tc>
      </w:tr>
      <w:tr w14:paraId="1EF0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35" w:type="dxa"/>
            <w:tcBorders>
              <w:left w:val="single" w:color="000000" w:sz="4" w:space="0"/>
              <w:right w:val="single" w:color="auto" w:sz="4" w:space="0"/>
            </w:tcBorders>
            <w:noWrap/>
            <w:vAlign w:val="center"/>
          </w:tcPr>
          <w:p w14:paraId="1BDD4411">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397" w:type="dxa"/>
            <w:vMerge w:val="continue"/>
            <w:tcBorders>
              <w:left w:val="single" w:color="000000" w:sz="4" w:space="0"/>
              <w:right w:val="single" w:color="000000" w:sz="4" w:space="0"/>
            </w:tcBorders>
            <w:vAlign w:val="center"/>
          </w:tcPr>
          <w:p w14:paraId="4F6DA9AF">
            <w:pPr>
              <w:jc w:val="center"/>
              <w:rPr>
                <w:rFonts w:hint="eastAsia" w:ascii="宋体" w:hAnsi="宋体" w:eastAsia="宋体" w:cs="宋体"/>
                <w:color w:val="auto"/>
                <w:sz w:val="24"/>
                <w:szCs w:val="24"/>
                <w:highlight w:val="none"/>
              </w:rPr>
            </w:pPr>
          </w:p>
        </w:tc>
        <w:tc>
          <w:tcPr>
            <w:tcW w:w="1279" w:type="dxa"/>
            <w:tcBorders>
              <w:left w:val="single" w:color="000000" w:sz="4" w:space="0"/>
              <w:right w:val="single" w:color="auto" w:sz="4" w:space="0"/>
            </w:tcBorders>
            <w:shd w:val="clear" w:color="auto" w:fill="auto"/>
            <w:noWrap/>
            <w:vAlign w:val="center"/>
          </w:tcPr>
          <w:p w14:paraId="30185F01">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质量保障</w:t>
            </w:r>
          </w:p>
        </w:tc>
        <w:tc>
          <w:tcPr>
            <w:tcW w:w="7027" w:type="dxa"/>
            <w:tcBorders>
              <w:top w:val="single" w:color="auto" w:sz="4" w:space="0"/>
              <w:left w:val="single" w:color="auto" w:sz="4" w:space="0"/>
              <w:right w:val="single" w:color="auto" w:sz="4" w:space="0"/>
            </w:tcBorders>
            <w:shd w:val="clear" w:color="auto" w:fill="auto"/>
            <w:noWrap/>
            <w:vAlign w:val="center"/>
          </w:tcPr>
          <w:p w14:paraId="4C87436E">
            <w:pPr>
              <w:snapToGrid w:val="0"/>
              <w:spacing w:line="360" w:lineRule="exac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质量保证措施（0-</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），具有针对性应对措施（0-</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olor w:val="auto"/>
                <w:sz w:val="24"/>
                <w:highlight w:val="none"/>
              </w:rPr>
              <w:t>等内容</w:t>
            </w:r>
            <w:r>
              <w:rPr>
                <w:rFonts w:hint="eastAsia" w:ascii="宋体" w:hAnsi="宋体" w:eastAsia="宋体" w:cs="宋体"/>
                <w:color w:val="auto"/>
                <w:sz w:val="24"/>
                <w:highlight w:val="none"/>
              </w:rPr>
              <w:t>进行综合打分</w:t>
            </w:r>
            <w:r>
              <w:rPr>
                <w:rFonts w:hint="eastAsia" w:ascii="宋体" w:hAnsi="宋体" w:cs="宋体"/>
                <w:color w:val="auto"/>
                <w:sz w:val="24"/>
                <w:highlight w:val="none"/>
              </w:rPr>
              <w:t>。</w:t>
            </w:r>
          </w:p>
        </w:tc>
        <w:tc>
          <w:tcPr>
            <w:tcW w:w="871" w:type="dxa"/>
            <w:tcBorders>
              <w:top w:val="single" w:color="auto" w:sz="4" w:space="0"/>
              <w:left w:val="single" w:color="auto" w:sz="4" w:space="0"/>
              <w:right w:val="single" w:color="auto" w:sz="4" w:space="0"/>
            </w:tcBorders>
            <w:shd w:val="clear" w:color="auto" w:fill="auto"/>
            <w:noWrap/>
            <w:vAlign w:val="center"/>
          </w:tcPr>
          <w:p w14:paraId="25C815C8">
            <w:pPr>
              <w:snapToGrid w:val="0"/>
              <w:spacing w:line="360" w:lineRule="exact"/>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4</w:t>
            </w:r>
            <w:r>
              <w:rPr>
                <w:rFonts w:hint="eastAsia" w:ascii="宋体" w:hAnsi="宋体" w:eastAsia="宋体" w:cs="宋体"/>
                <w:color w:val="auto"/>
                <w:sz w:val="24"/>
                <w:szCs w:val="24"/>
                <w:highlight w:val="none"/>
              </w:rPr>
              <w:t>分</w:t>
            </w:r>
          </w:p>
        </w:tc>
      </w:tr>
      <w:tr w14:paraId="3FF1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35" w:type="dxa"/>
            <w:tcBorders>
              <w:left w:val="single" w:color="000000" w:sz="4" w:space="0"/>
              <w:right w:val="single" w:color="auto" w:sz="4" w:space="0"/>
            </w:tcBorders>
            <w:noWrap/>
            <w:vAlign w:val="center"/>
          </w:tcPr>
          <w:p w14:paraId="1439ECA1">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397" w:type="dxa"/>
            <w:vMerge w:val="continue"/>
            <w:tcBorders>
              <w:left w:val="single" w:color="000000" w:sz="4" w:space="0"/>
              <w:right w:val="single" w:color="000000" w:sz="4" w:space="0"/>
            </w:tcBorders>
            <w:vAlign w:val="center"/>
          </w:tcPr>
          <w:p w14:paraId="6BCDEE08">
            <w:pPr>
              <w:jc w:val="center"/>
              <w:rPr>
                <w:rFonts w:hint="eastAsia" w:ascii="宋体" w:hAnsi="宋体" w:eastAsia="宋体" w:cs="宋体"/>
                <w:color w:val="auto"/>
                <w:sz w:val="24"/>
                <w:szCs w:val="24"/>
                <w:highlight w:val="none"/>
              </w:rPr>
            </w:pPr>
          </w:p>
        </w:tc>
        <w:tc>
          <w:tcPr>
            <w:tcW w:w="1279" w:type="dxa"/>
            <w:tcBorders>
              <w:left w:val="single" w:color="000000" w:sz="4" w:space="0"/>
              <w:right w:val="single" w:color="auto" w:sz="4" w:space="0"/>
            </w:tcBorders>
            <w:shd w:val="clear" w:color="auto" w:fill="auto"/>
            <w:noWrap/>
            <w:vAlign w:val="center"/>
          </w:tcPr>
          <w:p w14:paraId="11CBE7C9">
            <w:pPr>
              <w:snapToGrid w:val="0"/>
              <w:spacing w:line="360" w:lineRule="exact"/>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项目进度</w:t>
            </w:r>
          </w:p>
        </w:tc>
        <w:tc>
          <w:tcPr>
            <w:tcW w:w="7027" w:type="dxa"/>
            <w:tcBorders>
              <w:top w:val="single" w:color="auto" w:sz="4" w:space="0"/>
              <w:left w:val="single" w:color="auto" w:sz="4" w:space="0"/>
              <w:right w:val="single" w:color="auto" w:sz="4" w:space="0"/>
            </w:tcBorders>
            <w:shd w:val="clear" w:color="auto" w:fill="auto"/>
            <w:noWrap/>
            <w:vAlign w:val="top"/>
          </w:tcPr>
          <w:p w14:paraId="335FD0F7">
            <w:pPr>
              <w:snapToGrid w:val="0"/>
              <w:spacing w:line="360" w:lineRule="exac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提出合理的工作安排，包括项目实施进度控制计划(0-2)、关键时间点建议和计划(0-2)</w:t>
            </w:r>
            <w:r>
              <w:rPr>
                <w:rFonts w:hint="eastAsia" w:ascii="宋体" w:hAnsi="宋体"/>
                <w:color w:val="auto"/>
                <w:sz w:val="24"/>
                <w:highlight w:val="none"/>
              </w:rPr>
              <w:t>等内容进行</w:t>
            </w:r>
            <w:r>
              <w:rPr>
                <w:rFonts w:hint="eastAsia" w:ascii="宋体" w:hAnsi="宋体" w:eastAsia="宋体" w:cs="宋体"/>
                <w:color w:val="auto"/>
                <w:sz w:val="24"/>
                <w:highlight w:val="none"/>
              </w:rPr>
              <w:t>综合打分</w:t>
            </w:r>
            <w:r>
              <w:rPr>
                <w:rFonts w:hint="eastAsia" w:ascii="宋体" w:hAnsi="宋体" w:cs="宋体"/>
                <w:color w:val="auto"/>
                <w:sz w:val="24"/>
                <w:highlight w:val="none"/>
              </w:rPr>
              <w:t>。</w:t>
            </w:r>
          </w:p>
        </w:tc>
        <w:tc>
          <w:tcPr>
            <w:tcW w:w="871" w:type="dxa"/>
            <w:tcBorders>
              <w:top w:val="single" w:color="auto" w:sz="4" w:space="0"/>
              <w:left w:val="single" w:color="auto" w:sz="4" w:space="0"/>
              <w:right w:val="single" w:color="auto" w:sz="4" w:space="0"/>
            </w:tcBorders>
            <w:shd w:val="clear" w:color="auto" w:fill="auto"/>
            <w:noWrap/>
            <w:vAlign w:val="center"/>
          </w:tcPr>
          <w:p w14:paraId="7F752CE3">
            <w:pPr>
              <w:snapToGrid w:val="0"/>
              <w:spacing w:line="360" w:lineRule="exact"/>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0-4</w:t>
            </w:r>
            <w:r>
              <w:rPr>
                <w:rFonts w:hint="eastAsia" w:ascii="宋体" w:hAnsi="宋体" w:eastAsia="宋体" w:cs="宋体"/>
                <w:color w:val="auto"/>
                <w:sz w:val="24"/>
                <w:szCs w:val="24"/>
                <w:highlight w:val="none"/>
              </w:rPr>
              <w:t>分</w:t>
            </w:r>
          </w:p>
        </w:tc>
      </w:tr>
      <w:tr w14:paraId="194A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35" w:type="dxa"/>
            <w:tcBorders>
              <w:left w:val="single" w:color="000000" w:sz="4" w:space="0"/>
              <w:right w:val="single" w:color="auto" w:sz="4" w:space="0"/>
            </w:tcBorders>
            <w:noWrap/>
            <w:vAlign w:val="center"/>
          </w:tcPr>
          <w:p w14:paraId="7298B042">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397" w:type="dxa"/>
            <w:vMerge w:val="continue"/>
            <w:tcBorders>
              <w:left w:val="single" w:color="000000" w:sz="4" w:space="0"/>
              <w:right w:val="single" w:color="000000" w:sz="4" w:space="0"/>
            </w:tcBorders>
            <w:vAlign w:val="center"/>
          </w:tcPr>
          <w:p w14:paraId="229B8622">
            <w:pPr>
              <w:jc w:val="center"/>
              <w:rPr>
                <w:rFonts w:hint="eastAsia" w:ascii="宋体" w:hAnsi="宋体" w:eastAsia="宋体" w:cs="宋体"/>
                <w:color w:val="auto"/>
                <w:sz w:val="24"/>
                <w:szCs w:val="24"/>
                <w:highlight w:val="none"/>
              </w:rPr>
            </w:pPr>
          </w:p>
        </w:tc>
        <w:tc>
          <w:tcPr>
            <w:tcW w:w="1279" w:type="dxa"/>
            <w:tcBorders>
              <w:left w:val="single" w:color="000000" w:sz="4" w:space="0"/>
              <w:right w:val="single" w:color="auto" w:sz="4" w:space="0"/>
            </w:tcBorders>
            <w:shd w:val="clear" w:color="auto" w:fill="auto"/>
            <w:noWrap/>
            <w:vAlign w:val="center"/>
          </w:tcPr>
          <w:p w14:paraId="7243D673">
            <w:pPr>
              <w:snapToGrid w:val="0"/>
              <w:spacing w:line="360" w:lineRule="exact"/>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服务方案</w:t>
            </w:r>
          </w:p>
        </w:tc>
        <w:tc>
          <w:tcPr>
            <w:tcW w:w="7027" w:type="dxa"/>
            <w:tcBorders>
              <w:top w:val="single" w:color="auto" w:sz="4" w:space="0"/>
              <w:left w:val="single" w:color="auto" w:sz="4" w:space="0"/>
              <w:right w:val="single" w:color="auto" w:sz="4" w:space="0"/>
            </w:tcBorders>
            <w:shd w:val="clear" w:color="auto" w:fill="auto"/>
            <w:noWrap/>
            <w:vAlign w:val="top"/>
          </w:tcPr>
          <w:p w14:paraId="554931FC">
            <w:pPr>
              <w:snapToGrid w:val="0"/>
              <w:spacing w:line="360" w:lineRule="exac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根据投标人提供的</w:t>
            </w:r>
            <w:r>
              <w:rPr>
                <w:rFonts w:hint="eastAsia" w:ascii="宋体" w:hAnsi="宋体" w:cs="宋体"/>
                <w:color w:val="auto"/>
                <w:kern w:val="0"/>
                <w:sz w:val="24"/>
                <w:highlight w:val="none"/>
                <w:lang w:bidi="ar"/>
              </w:rPr>
              <w:t>服务承诺（0-</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）、为项目顺利推进提供的组织保障（0-</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olor w:val="auto"/>
                <w:sz w:val="24"/>
                <w:highlight w:val="none"/>
              </w:rPr>
              <w:t>等内容</w:t>
            </w:r>
            <w:r>
              <w:rPr>
                <w:rFonts w:hint="eastAsia" w:ascii="宋体" w:hAnsi="宋体" w:eastAsia="宋体" w:cs="宋体"/>
                <w:color w:val="auto"/>
                <w:sz w:val="24"/>
                <w:highlight w:val="none"/>
              </w:rPr>
              <w:t>进行综合打分</w:t>
            </w:r>
            <w:r>
              <w:rPr>
                <w:rFonts w:hint="eastAsia" w:ascii="宋体" w:hAnsi="宋体" w:cs="宋体"/>
                <w:color w:val="auto"/>
                <w:sz w:val="24"/>
                <w:highlight w:val="none"/>
              </w:rPr>
              <w:t>。</w:t>
            </w:r>
          </w:p>
        </w:tc>
        <w:tc>
          <w:tcPr>
            <w:tcW w:w="871" w:type="dxa"/>
            <w:tcBorders>
              <w:top w:val="single" w:color="auto" w:sz="4" w:space="0"/>
              <w:left w:val="single" w:color="auto" w:sz="4" w:space="0"/>
              <w:right w:val="single" w:color="auto" w:sz="4" w:space="0"/>
            </w:tcBorders>
            <w:shd w:val="clear" w:color="auto" w:fill="auto"/>
            <w:noWrap/>
            <w:vAlign w:val="center"/>
          </w:tcPr>
          <w:p w14:paraId="4056B869">
            <w:pPr>
              <w:snapToGrid w:val="0"/>
              <w:spacing w:line="360" w:lineRule="exact"/>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4</w:t>
            </w:r>
            <w:r>
              <w:rPr>
                <w:rFonts w:hint="eastAsia" w:ascii="宋体" w:hAnsi="宋体" w:eastAsia="宋体" w:cs="宋体"/>
                <w:color w:val="auto"/>
                <w:sz w:val="24"/>
                <w:szCs w:val="24"/>
                <w:highlight w:val="none"/>
              </w:rPr>
              <w:t>分</w:t>
            </w:r>
          </w:p>
        </w:tc>
      </w:tr>
      <w:tr w14:paraId="6511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5" w:type="dxa"/>
            <w:tcBorders>
              <w:top w:val="single" w:color="auto" w:sz="4" w:space="0"/>
              <w:left w:val="single" w:color="auto" w:sz="4" w:space="0"/>
              <w:bottom w:val="single" w:color="auto" w:sz="4" w:space="0"/>
              <w:right w:val="single" w:color="auto" w:sz="4" w:space="0"/>
            </w:tcBorders>
            <w:noWrap/>
            <w:vAlign w:val="center"/>
          </w:tcPr>
          <w:p w14:paraId="33A2417E">
            <w:pPr>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w:t>
            </w:r>
          </w:p>
        </w:tc>
        <w:tc>
          <w:tcPr>
            <w:tcW w:w="8703" w:type="dxa"/>
            <w:gridSpan w:val="3"/>
            <w:tcBorders>
              <w:top w:val="single" w:color="auto" w:sz="4" w:space="0"/>
              <w:left w:val="single" w:color="auto" w:sz="4" w:space="0"/>
              <w:bottom w:val="single" w:color="auto" w:sz="4" w:space="0"/>
              <w:right w:val="single" w:color="auto" w:sz="4" w:space="0"/>
            </w:tcBorders>
            <w:vAlign w:val="center"/>
          </w:tcPr>
          <w:p w14:paraId="63393C2F">
            <w:pPr>
              <w:jc w:val="center"/>
              <w:rPr>
                <w:rFonts w:hint="eastAsia" w:ascii="宋体" w:hAnsi="宋体" w:eastAsia="宋体" w:cs="宋体"/>
                <w:b/>
                <w:bCs w:val="0"/>
                <w:color w:val="auto"/>
                <w:highlight w:val="none"/>
              </w:rPr>
            </w:pPr>
            <w:r>
              <w:rPr>
                <w:rFonts w:hint="eastAsia" w:ascii="宋体" w:hAnsi="宋体" w:eastAsia="宋体" w:cs="宋体"/>
                <w:b/>
                <w:bCs w:val="0"/>
                <w:color w:val="auto"/>
                <w:sz w:val="24"/>
                <w:szCs w:val="24"/>
                <w:highlight w:val="none"/>
              </w:rPr>
              <w:t>商务资信及其他</w:t>
            </w:r>
            <w:r>
              <w:rPr>
                <w:rFonts w:hint="eastAsia" w:ascii="宋体" w:hAnsi="宋体" w:cs="宋体"/>
                <w:b/>
                <w:bCs w:val="0"/>
                <w:color w:val="auto"/>
                <w:sz w:val="24"/>
                <w:szCs w:val="24"/>
                <w:highlight w:val="none"/>
                <w:lang w:eastAsia="zh-CN"/>
              </w:rPr>
              <w:t>分</w:t>
            </w:r>
          </w:p>
        </w:tc>
        <w:tc>
          <w:tcPr>
            <w:tcW w:w="871" w:type="dxa"/>
            <w:tcBorders>
              <w:top w:val="single" w:color="auto" w:sz="4" w:space="0"/>
              <w:left w:val="single" w:color="auto" w:sz="4" w:space="0"/>
              <w:bottom w:val="single" w:color="auto" w:sz="4" w:space="0"/>
              <w:right w:val="single" w:color="auto" w:sz="4" w:space="0"/>
            </w:tcBorders>
            <w:noWrap/>
            <w:vAlign w:val="center"/>
          </w:tcPr>
          <w:p w14:paraId="303936D6">
            <w:pPr>
              <w:jc w:val="center"/>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20</w:t>
            </w:r>
            <w:r>
              <w:rPr>
                <w:rFonts w:hint="eastAsia" w:ascii="宋体" w:hAnsi="宋体" w:eastAsia="宋体" w:cs="宋体"/>
                <w:b/>
                <w:bCs w:val="0"/>
                <w:color w:val="auto"/>
                <w:sz w:val="24"/>
                <w:szCs w:val="24"/>
                <w:highlight w:val="none"/>
              </w:rPr>
              <w:t>分</w:t>
            </w:r>
          </w:p>
        </w:tc>
      </w:tr>
      <w:tr w14:paraId="6634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35" w:type="dxa"/>
            <w:tcBorders>
              <w:left w:val="single" w:color="auto" w:sz="4" w:space="0"/>
              <w:right w:val="single" w:color="auto" w:sz="4" w:space="0"/>
            </w:tcBorders>
            <w:noWrap/>
            <w:vAlign w:val="center"/>
          </w:tcPr>
          <w:p w14:paraId="32BBF92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397" w:type="dxa"/>
            <w:vMerge w:val="restart"/>
            <w:tcBorders>
              <w:left w:val="single" w:color="auto" w:sz="4" w:space="0"/>
              <w:right w:val="single" w:color="auto" w:sz="4" w:space="0"/>
            </w:tcBorders>
            <w:vAlign w:val="center"/>
          </w:tcPr>
          <w:p w14:paraId="6922E37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履约服务能力</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EB74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认证证书</w:t>
            </w:r>
          </w:p>
        </w:tc>
        <w:tc>
          <w:tcPr>
            <w:tcW w:w="7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85784">
            <w:pPr>
              <w:jc w:val="left"/>
              <w:rPr>
                <w:rFonts w:hint="eastAsia" w:ascii="宋体" w:hAnsi="宋体" w:eastAsia="宋体" w:cs="宋体"/>
                <w:color w:val="auto"/>
                <w:sz w:val="24"/>
                <w:szCs w:val="24"/>
                <w:highlight w:val="none"/>
                <w:lang w:val="zh-TW"/>
              </w:rPr>
            </w:pPr>
            <w:r>
              <w:rPr>
                <w:rFonts w:hint="eastAsia" w:ascii="宋体" w:hAnsi="宋体" w:eastAsia="宋体" w:cs="宋体"/>
                <w:color w:val="auto"/>
                <w:sz w:val="24"/>
                <w:highlight w:val="none"/>
                <w:lang w:eastAsia="zh-CN"/>
              </w:rPr>
              <w:t>投标人具有</w:t>
            </w:r>
            <w:r>
              <w:rPr>
                <w:rFonts w:hint="eastAsia" w:ascii="宋体" w:hAnsi="宋体" w:cs="宋体"/>
                <w:color w:val="auto"/>
                <w:sz w:val="24"/>
                <w:highlight w:val="none"/>
                <w:lang w:val="en-US" w:eastAsia="zh-CN"/>
              </w:rPr>
              <w:t>工程咨询乙级及以上资信</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质量</w:t>
            </w:r>
            <w:r>
              <w:rPr>
                <w:rFonts w:hint="eastAsia" w:ascii="宋体" w:hAnsi="宋体" w:eastAsia="宋体" w:cs="宋体"/>
                <w:color w:val="auto"/>
                <w:sz w:val="24"/>
                <w:highlight w:val="none"/>
              </w:rPr>
              <w:t>管理体系认证、</w:t>
            </w:r>
            <w:r>
              <w:rPr>
                <w:rFonts w:hint="eastAsia" w:ascii="宋体" w:hAnsi="宋体" w:cs="宋体"/>
                <w:color w:val="auto"/>
                <w:sz w:val="24"/>
                <w:highlight w:val="none"/>
                <w:lang w:val="en-US" w:eastAsia="zh-CN"/>
              </w:rPr>
              <w:t>省级智库</w:t>
            </w:r>
            <w:r>
              <w:rPr>
                <w:rFonts w:hint="eastAsia" w:ascii="宋体" w:hAnsi="宋体" w:eastAsia="宋体" w:cs="宋体"/>
                <w:color w:val="auto"/>
                <w:sz w:val="24"/>
                <w:highlight w:val="none"/>
              </w:rPr>
              <w:t>认证的，每个得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color w:val="auto"/>
                <w:sz w:val="24"/>
                <w:szCs w:val="24"/>
                <w:highlight w:val="none"/>
                <w:lang w:val="zh-TW"/>
              </w:rPr>
              <w:t>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rPr>
              <w:t>分。</w:t>
            </w:r>
          </w:p>
          <w:p w14:paraId="1042E417">
            <w:pPr>
              <w:jc w:val="left"/>
              <w:rPr>
                <w:rFonts w:hint="eastAsia" w:ascii="宋体" w:hAnsi="宋体" w:eastAsia="宋体" w:cs="宋体"/>
                <w:color w:val="auto"/>
                <w:sz w:val="24"/>
                <w:highlight w:val="none"/>
                <w:lang w:val="zh-TW" w:eastAsia="zh-CN"/>
              </w:rPr>
            </w:pPr>
            <w:r>
              <w:rPr>
                <w:rFonts w:hint="eastAsia" w:ascii="宋体" w:hAnsi="宋体" w:eastAsia="宋体" w:cs="宋体"/>
                <w:color w:val="auto"/>
                <w:sz w:val="24"/>
                <w:szCs w:val="24"/>
                <w:highlight w:val="none"/>
                <w:lang w:val="en-US" w:eastAsia="zh-CN"/>
              </w:rPr>
              <w:t>注：提供相关证书扫描件，否则不得分；如投标人为联合体，由牵头单位或其他联合体成员提供的证书均可得分。</w:t>
            </w:r>
          </w:p>
        </w:tc>
        <w:tc>
          <w:tcPr>
            <w:tcW w:w="871" w:type="dxa"/>
            <w:tcBorders>
              <w:top w:val="single" w:color="auto" w:sz="4" w:space="0"/>
              <w:left w:val="single" w:color="auto" w:sz="4" w:space="0"/>
              <w:bottom w:val="single" w:color="auto" w:sz="4" w:space="0"/>
              <w:right w:val="single" w:color="auto" w:sz="4" w:space="0"/>
            </w:tcBorders>
            <w:noWrap/>
            <w:vAlign w:val="center"/>
          </w:tcPr>
          <w:p w14:paraId="4C98AD94">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7615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635" w:type="dxa"/>
            <w:tcBorders>
              <w:left w:val="single" w:color="auto" w:sz="4" w:space="0"/>
              <w:right w:val="single" w:color="auto" w:sz="4" w:space="0"/>
            </w:tcBorders>
            <w:noWrap/>
            <w:vAlign w:val="center"/>
          </w:tcPr>
          <w:p w14:paraId="1C7EE73D">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397" w:type="dxa"/>
            <w:vMerge w:val="continue"/>
            <w:tcBorders>
              <w:left w:val="single" w:color="auto" w:sz="4" w:space="0"/>
              <w:right w:val="single" w:color="auto" w:sz="4" w:space="0"/>
            </w:tcBorders>
            <w:vAlign w:val="center"/>
          </w:tcPr>
          <w:p w14:paraId="6066948A">
            <w:pPr>
              <w:jc w:val="center"/>
              <w:rPr>
                <w:rFonts w:hint="eastAsia" w:ascii="宋体" w:hAnsi="宋体" w:eastAsia="宋体" w:cs="宋体"/>
                <w:color w:val="auto"/>
                <w:sz w:val="24"/>
                <w:szCs w:val="24"/>
                <w:highlight w:val="none"/>
              </w:rPr>
            </w:pP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9FE9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类似业绩</w:t>
            </w:r>
          </w:p>
        </w:tc>
        <w:tc>
          <w:tcPr>
            <w:tcW w:w="7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1A0A1">
            <w:pPr>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根据投标人提供的近三年（2021年1月1日起至本项目截标时间止）</w:t>
            </w:r>
            <w:r>
              <w:rPr>
                <w:rFonts w:hint="eastAsia" w:ascii="宋体" w:hAnsi="宋体" w:cs="宋体"/>
                <w:color w:val="auto"/>
                <w:sz w:val="24"/>
                <w:szCs w:val="24"/>
                <w:highlight w:val="none"/>
                <w:lang w:val="en-US" w:eastAsia="zh-CN"/>
              </w:rPr>
              <w:t>完成的地方经济社会发展规划或行动计划方案编制相关业绩，每个得0.5分，最高2分。</w:t>
            </w:r>
          </w:p>
          <w:p w14:paraId="175F6DFC">
            <w:pPr>
              <w:jc w:val="left"/>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注：提供相关</w:t>
            </w:r>
            <w:r>
              <w:rPr>
                <w:rFonts w:hint="eastAsia" w:ascii="宋体" w:hAnsi="宋体" w:cs="宋体"/>
                <w:color w:val="auto"/>
                <w:sz w:val="24"/>
                <w:szCs w:val="24"/>
                <w:highlight w:val="none"/>
                <w:lang w:val="en-US" w:eastAsia="zh-CN"/>
              </w:rPr>
              <w:t>业绩材料</w:t>
            </w:r>
            <w:r>
              <w:rPr>
                <w:rFonts w:hint="eastAsia" w:ascii="宋体" w:hAnsi="宋体" w:eastAsia="宋体" w:cs="宋体"/>
                <w:color w:val="auto"/>
                <w:sz w:val="24"/>
                <w:szCs w:val="24"/>
                <w:highlight w:val="none"/>
                <w:lang w:val="en-US" w:eastAsia="zh-CN"/>
              </w:rPr>
              <w:t>扫描件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如投标人为联合体，由牵头单位或其他联合体成员提供的业绩均可得分。</w:t>
            </w:r>
          </w:p>
        </w:tc>
        <w:tc>
          <w:tcPr>
            <w:tcW w:w="871" w:type="dxa"/>
            <w:tcBorders>
              <w:top w:val="single" w:color="auto" w:sz="4" w:space="0"/>
              <w:left w:val="single" w:color="auto" w:sz="4" w:space="0"/>
              <w:bottom w:val="single" w:color="auto" w:sz="4" w:space="0"/>
              <w:right w:val="single" w:color="auto" w:sz="4" w:space="0"/>
            </w:tcBorders>
            <w:noWrap/>
            <w:vAlign w:val="center"/>
          </w:tcPr>
          <w:p w14:paraId="0FFE3226">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0-2分</w:t>
            </w:r>
          </w:p>
        </w:tc>
      </w:tr>
      <w:tr w14:paraId="45E3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635" w:type="dxa"/>
            <w:tcBorders>
              <w:left w:val="single" w:color="auto" w:sz="4" w:space="0"/>
              <w:right w:val="single" w:color="auto" w:sz="4" w:space="0"/>
            </w:tcBorders>
            <w:noWrap/>
            <w:vAlign w:val="center"/>
          </w:tcPr>
          <w:p w14:paraId="3E0AF44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397" w:type="dxa"/>
            <w:vMerge w:val="continue"/>
            <w:tcBorders>
              <w:left w:val="single" w:color="auto" w:sz="4" w:space="0"/>
              <w:right w:val="single" w:color="auto" w:sz="4" w:space="0"/>
            </w:tcBorders>
            <w:vAlign w:val="center"/>
          </w:tcPr>
          <w:p w14:paraId="2A8587E3">
            <w:pPr>
              <w:jc w:val="center"/>
              <w:rPr>
                <w:rFonts w:hint="eastAsia" w:ascii="宋体" w:hAnsi="宋体" w:eastAsia="宋体" w:cs="宋体"/>
                <w:color w:val="auto"/>
                <w:sz w:val="24"/>
                <w:szCs w:val="24"/>
                <w:highlight w:val="none"/>
              </w:rPr>
            </w:pP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725B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企业荣誉</w:t>
            </w:r>
          </w:p>
        </w:tc>
        <w:tc>
          <w:tcPr>
            <w:tcW w:w="7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4E70C">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根据投标人提供的近</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2020-2024</w:t>
            </w:r>
            <w:r>
              <w:rPr>
                <w:rFonts w:hint="eastAsia" w:ascii="宋体" w:hAnsi="宋体" w:eastAsia="宋体" w:cs="宋体"/>
                <w:color w:val="auto"/>
                <w:sz w:val="24"/>
                <w:szCs w:val="24"/>
                <w:highlight w:val="none"/>
                <w:lang w:val="en-US" w:eastAsia="zh-CN"/>
              </w:rPr>
              <w:t>）获得</w:t>
            </w:r>
            <w:r>
              <w:rPr>
                <w:rFonts w:hint="eastAsia" w:ascii="宋体" w:hAnsi="宋体" w:cs="宋体"/>
                <w:color w:val="auto"/>
                <w:sz w:val="24"/>
                <w:szCs w:val="24"/>
                <w:highlight w:val="none"/>
                <w:lang w:val="en-US" w:eastAsia="zh-CN"/>
              </w:rPr>
              <w:t>省</w:t>
            </w:r>
            <w:r>
              <w:rPr>
                <w:rFonts w:hint="eastAsia" w:ascii="宋体" w:hAnsi="宋体" w:eastAsia="宋体" w:cs="宋体"/>
                <w:color w:val="auto"/>
                <w:sz w:val="24"/>
                <w:szCs w:val="24"/>
                <w:highlight w:val="none"/>
                <w:lang w:val="en-US" w:eastAsia="zh-CN"/>
              </w:rPr>
              <w:t>级及以上优秀课题研究成果奖的（以获奖时间为准），</w:t>
            </w:r>
            <w:r>
              <w:rPr>
                <w:rFonts w:hint="eastAsia" w:ascii="宋体" w:hAnsi="宋体" w:eastAsia="宋体" w:cs="宋体"/>
                <w:color w:val="auto"/>
                <w:kern w:val="0"/>
                <w:sz w:val="24"/>
                <w:highlight w:val="none"/>
                <w:lang w:val="en-US" w:eastAsia="zh-CN" w:bidi="ar"/>
              </w:rPr>
              <w:t>一等奖</w:t>
            </w:r>
            <w:r>
              <w:rPr>
                <w:rFonts w:hint="eastAsia" w:ascii="宋体" w:hAnsi="宋体" w:eastAsia="宋体" w:cs="宋体"/>
                <w:color w:val="auto"/>
                <w:sz w:val="24"/>
                <w:szCs w:val="24"/>
                <w:highlight w:val="none"/>
                <w:lang w:val="en-US" w:eastAsia="zh-CN"/>
              </w:rPr>
              <w:t>得3分，二等奖得2分，三等奖得1分，最高为</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分（提供证书或红头文件扫描件加盖公章，不提供不得分）。</w:t>
            </w:r>
          </w:p>
          <w:p w14:paraId="1F139A5A">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注：如投标人为联合体，由牵头单位或其他联合体成员提供的均可得分。</w:t>
            </w:r>
          </w:p>
        </w:tc>
        <w:tc>
          <w:tcPr>
            <w:tcW w:w="871" w:type="dxa"/>
            <w:tcBorders>
              <w:top w:val="single" w:color="auto" w:sz="4" w:space="0"/>
              <w:left w:val="single" w:color="auto" w:sz="4" w:space="0"/>
              <w:bottom w:val="single" w:color="auto" w:sz="4" w:space="0"/>
              <w:right w:val="single" w:color="auto" w:sz="4" w:space="0"/>
            </w:tcBorders>
            <w:noWrap/>
            <w:vAlign w:val="center"/>
          </w:tcPr>
          <w:p w14:paraId="6857B649">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0-6分</w:t>
            </w:r>
          </w:p>
        </w:tc>
      </w:tr>
      <w:tr w14:paraId="46B8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5" w:type="dxa"/>
            <w:tcBorders>
              <w:left w:val="single" w:color="auto" w:sz="4" w:space="0"/>
              <w:right w:val="single" w:color="auto" w:sz="4" w:space="0"/>
            </w:tcBorders>
            <w:noWrap/>
            <w:vAlign w:val="center"/>
          </w:tcPr>
          <w:p w14:paraId="28A554B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397" w:type="dxa"/>
            <w:vMerge w:val="continue"/>
            <w:tcBorders>
              <w:left w:val="single" w:color="auto" w:sz="4" w:space="0"/>
              <w:right w:val="single" w:color="auto" w:sz="4" w:space="0"/>
            </w:tcBorders>
            <w:vAlign w:val="center"/>
          </w:tcPr>
          <w:p w14:paraId="353ECB3F">
            <w:pPr>
              <w:jc w:val="center"/>
              <w:rPr>
                <w:rFonts w:hint="eastAsia" w:ascii="宋体" w:hAnsi="宋体" w:eastAsia="宋体" w:cs="宋体"/>
                <w:color w:val="auto"/>
                <w:sz w:val="24"/>
                <w:szCs w:val="24"/>
                <w:highlight w:val="none"/>
              </w:rPr>
            </w:pP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FE482">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bidi="ar"/>
              </w:rPr>
              <w:t>团队实力</w:t>
            </w:r>
          </w:p>
        </w:tc>
        <w:tc>
          <w:tcPr>
            <w:tcW w:w="7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63628">
            <w:pPr>
              <w:numPr>
                <w:ilvl w:val="0"/>
                <w:numId w:val="0"/>
              </w:numPr>
              <w:snapToGrid w:val="0"/>
              <w:spacing w:line="360" w:lineRule="exact"/>
              <w:textAlignment w:val="baseline"/>
              <w:rPr>
                <w:rFonts w:hint="eastAsia" w:ascii="宋体" w:hAnsi="宋体" w:cs="宋体"/>
                <w:color w:val="auto"/>
                <w:kern w:val="0"/>
                <w:sz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highlight w:val="none"/>
                <w:lang w:bidi="ar"/>
              </w:rPr>
              <w:t>项目负责人具备</w:t>
            </w:r>
            <w:r>
              <w:rPr>
                <w:rFonts w:hint="eastAsia" w:ascii="宋体" w:hAnsi="宋体" w:cs="宋体"/>
                <w:color w:val="auto"/>
                <w:kern w:val="0"/>
                <w:sz w:val="24"/>
                <w:highlight w:val="none"/>
                <w:lang w:val="en-US" w:eastAsia="zh-CN" w:bidi="ar"/>
              </w:rPr>
              <w:t>正</w:t>
            </w:r>
            <w:r>
              <w:rPr>
                <w:rFonts w:hint="eastAsia" w:ascii="宋体" w:hAnsi="宋体" w:cs="宋体"/>
                <w:color w:val="auto"/>
                <w:kern w:val="0"/>
                <w:sz w:val="24"/>
                <w:highlight w:val="none"/>
                <w:lang w:bidi="ar"/>
              </w:rPr>
              <w:t>高级职称</w:t>
            </w:r>
            <w:r>
              <w:rPr>
                <w:rFonts w:hint="eastAsia" w:ascii="宋体" w:hAnsi="宋体" w:cs="宋体"/>
                <w:color w:val="auto"/>
                <w:kern w:val="0"/>
                <w:sz w:val="24"/>
                <w:highlight w:val="none"/>
                <w:lang w:eastAsia="zh-CN" w:bidi="ar"/>
              </w:rPr>
              <w:t>的得</w:t>
            </w:r>
            <w:r>
              <w:rPr>
                <w:rFonts w:hint="eastAsia" w:ascii="宋体" w:hAnsi="宋体" w:cs="宋体"/>
                <w:color w:val="auto"/>
                <w:kern w:val="0"/>
                <w:sz w:val="24"/>
                <w:highlight w:val="none"/>
                <w:lang w:val="en-US" w:eastAsia="zh-CN" w:bidi="ar"/>
              </w:rPr>
              <w:t>1分，</w:t>
            </w:r>
            <w:r>
              <w:rPr>
                <w:rFonts w:hint="default" w:ascii="宋体" w:hAnsi="宋体" w:eastAsia="宋体" w:cs="宋体"/>
                <w:color w:val="auto"/>
                <w:kern w:val="0"/>
                <w:sz w:val="24"/>
                <w:highlight w:val="none"/>
                <w:lang w:val="en-US" w:eastAsia="zh-CN" w:bidi="ar"/>
              </w:rPr>
              <w:t>没有的不得分</w:t>
            </w:r>
            <w:r>
              <w:rPr>
                <w:rFonts w:hint="eastAsia" w:ascii="宋体" w:hAnsi="宋体" w:eastAsia="宋体" w:cs="宋体"/>
                <w:color w:val="auto"/>
                <w:kern w:val="0"/>
                <w:sz w:val="24"/>
                <w:highlight w:val="none"/>
                <w:lang w:val="en-US" w:eastAsia="zh-CN" w:bidi="ar"/>
              </w:rPr>
              <w:t>；</w:t>
            </w:r>
          </w:p>
          <w:p w14:paraId="741D71A8">
            <w:pPr>
              <w:numPr>
                <w:ilvl w:val="0"/>
                <w:numId w:val="0"/>
              </w:numPr>
              <w:snapToGrid w:val="0"/>
              <w:spacing w:line="360" w:lineRule="exact"/>
              <w:textAlignment w:val="baseline"/>
              <w:rPr>
                <w:rFonts w:hint="eastAsia" w:ascii="宋体" w:hAnsi="宋体" w:cs="宋体"/>
                <w:color w:val="auto"/>
                <w:kern w:val="0"/>
                <w:sz w:val="24"/>
                <w:highlight w:val="none"/>
                <w:lang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cs="宋体"/>
                <w:color w:val="auto"/>
                <w:kern w:val="0"/>
                <w:sz w:val="24"/>
                <w:highlight w:val="none"/>
                <w:lang w:bidi="ar"/>
              </w:rPr>
              <w:t>项目负责人</w:t>
            </w:r>
            <w:r>
              <w:rPr>
                <w:rFonts w:hint="eastAsia" w:ascii="宋体" w:hAnsi="宋体" w:cs="宋体"/>
                <w:color w:val="auto"/>
                <w:kern w:val="0"/>
                <w:sz w:val="24"/>
                <w:highlight w:val="none"/>
                <w:lang w:eastAsia="zh-CN" w:bidi="ar"/>
              </w:rPr>
              <w:t>具有</w:t>
            </w:r>
            <w:r>
              <w:rPr>
                <w:rFonts w:hint="eastAsia" w:ascii="宋体" w:hAnsi="宋体" w:cs="宋体"/>
                <w:color w:val="auto"/>
                <w:sz w:val="24"/>
                <w:szCs w:val="24"/>
                <w:highlight w:val="none"/>
                <w:lang w:val="en-US" w:eastAsia="zh-CN"/>
              </w:rPr>
              <w:t>完成省级五年经济社会发展规划纲要或中期评估报告</w:t>
            </w:r>
            <w:r>
              <w:rPr>
                <w:rFonts w:hint="eastAsia" w:ascii="宋体" w:hAnsi="宋体" w:cs="宋体"/>
                <w:color w:val="auto"/>
                <w:kern w:val="0"/>
                <w:sz w:val="24"/>
                <w:highlight w:val="none"/>
                <w:lang w:eastAsia="zh-CN" w:bidi="ar"/>
              </w:rPr>
              <w:t>经验的，一个得</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分；具有参与省级重大战略形成专报获得省领导批示的，一个得</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分；具有</w:t>
            </w:r>
            <w:r>
              <w:rPr>
                <w:rFonts w:hint="eastAsia" w:ascii="宋体" w:hAnsi="宋体" w:cs="宋体"/>
                <w:color w:val="auto"/>
                <w:sz w:val="24"/>
                <w:szCs w:val="24"/>
                <w:highlight w:val="none"/>
                <w:lang w:val="en-US" w:eastAsia="zh-CN"/>
              </w:rPr>
              <w:t>与地市级发展相关规划方案业绩经验的，一个得2分；本项最高</w:t>
            </w:r>
            <w:r>
              <w:rPr>
                <w:rFonts w:hint="eastAsia" w:ascii="宋体" w:hAnsi="宋体" w:cs="宋体"/>
                <w:color w:val="auto"/>
                <w:kern w:val="0"/>
                <w:sz w:val="24"/>
                <w:highlight w:val="none"/>
                <w:lang w:val="en-US" w:eastAsia="zh-CN" w:bidi="ar"/>
              </w:rPr>
              <w:t>6</w:t>
            </w:r>
            <w:r>
              <w:rPr>
                <w:rFonts w:hint="eastAsia" w:ascii="宋体" w:hAnsi="宋体" w:cs="宋体"/>
                <w:color w:val="auto"/>
                <w:sz w:val="24"/>
                <w:szCs w:val="24"/>
                <w:highlight w:val="none"/>
                <w:lang w:val="en-US" w:eastAsia="zh-CN"/>
              </w:rPr>
              <w:t>分（注：提供相关合同或批示件证明材料扫描件</w:t>
            </w:r>
            <w:r>
              <w:rPr>
                <w:rFonts w:hint="eastAsia" w:ascii="宋体" w:hAnsi="宋体" w:eastAsia="宋体" w:cs="宋体"/>
                <w:i w:val="0"/>
                <w:color w:val="auto"/>
                <w:kern w:val="2"/>
                <w:sz w:val="24"/>
                <w:szCs w:val="24"/>
                <w:highlight w:val="none"/>
                <w:u w:val="none"/>
                <w:lang w:val="en-US" w:eastAsia="zh-CN" w:bidi="ar-SA"/>
              </w:rPr>
              <w:t>并加盖单位公章，否则不得分</w:t>
            </w:r>
            <w:r>
              <w:rPr>
                <w:rFonts w:hint="eastAsia" w:ascii="宋体" w:hAnsi="宋体" w:cs="宋体"/>
                <w:color w:val="auto"/>
                <w:sz w:val="24"/>
                <w:szCs w:val="24"/>
                <w:highlight w:val="none"/>
                <w:lang w:val="en-US" w:eastAsia="zh-CN"/>
              </w:rPr>
              <w:t>）；</w:t>
            </w:r>
          </w:p>
          <w:p w14:paraId="4AAAABEA">
            <w:pPr>
              <w:snapToGrid w:val="0"/>
              <w:spacing w:line="360" w:lineRule="exact"/>
              <w:textAlignment w:val="baseline"/>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项目组成员（项目负责人除外）具有高级职称每个得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分，中级职称的每个得</w:t>
            </w:r>
            <w:r>
              <w:rPr>
                <w:rFonts w:hint="eastAsia" w:ascii="宋体" w:hAnsi="宋体" w:cs="宋体"/>
                <w:color w:val="auto"/>
                <w:kern w:val="0"/>
                <w:sz w:val="24"/>
                <w:highlight w:val="none"/>
                <w:lang w:val="en-US" w:eastAsia="zh-CN" w:bidi="ar"/>
              </w:rPr>
              <w:t>0.5</w:t>
            </w:r>
            <w:r>
              <w:rPr>
                <w:rFonts w:hint="eastAsia" w:ascii="宋体" w:hAnsi="宋体" w:cs="宋体"/>
                <w:color w:val="auto"/>
                <w:kern w:val="0"/>
                <w:sz w:val="24"/>
                <w:highlight w:val="none"/>
                <w:lang w:bidi="ar"/>
              </w:rPr>
              <w:t>分，</w:t>
            </w:r>
            <w:r>
              <w:rPr>
                <w:rFonts w:hint="default" w:ascii="宋体" w:hAnsi="宋体" w:eastAsia="宋体" w:cs="宋体"/>
                <w:color w:val="auto"/>
                <w:kern w:val="0"/>
                <w:sz w:val="24"/>
                <w:highlight w:val="none"/>
                <w:lang w:val="en-US" w:eastAsia="zh-CN" w:bidi="ar"/>
              </w:rPr>
              <w:t>没有的不得分</w:t>
            </w:r>
            <w:r>
              <w:rPr>
                <w:rFonts w:hint="eastAsia" w:ascii="宋体" w:hAnsi="宋体" w:eastAsia="宋体" w:cs="宋体"/>
                <w:color w:val="auto"/>
                <w:kern w:val="0"/>
                <w:sz w:val="24"/>
                <w:highlight w:val="none"/>
                <w:lang w:val="en-US" w:eastAsia="zh-CN" w:bidi="ar"/>
              </w:rPr>
              <w:t>，</w:t>
            </w:r>
            <w:r>
              <w:rPr>
                <w:rFonts w:hint="eastAsia" w:ascii="宋体" w:hAnsi="宋体" w:cs="宋体"/>
                <w:color w:val="auto"/>
                <w:kern w:val="0"/>
                <w:sz w:val="24"/>
                <w:highlight w:val="none"/>
                <w:lang w:bidi="ar"/>
              </w:rPr>
              <w:t>本项最高</w:t>
            </w:r>
            <w:r>
              <w:rPr>
                <w:rFonts w:hint="eastAsia" w:ascii="宋体" w:hAnsi="宋体" w:cs="宋体"/>
                <w:color w:val="auto"/>
                <w:kern w:val="0"/>
                <w:sz w:val="24"/>
                <w:highlight w:val="none"/>
                <w:lang w:eastAsia="zh-CN" w:bidi="ar"/>
              </w:rPr>
              <w:t>得</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w:t>
            </w:r>
            <w:r>
              <w:rPr>
                <w:rFonts w:hint="eastAsia" w:ascii="宋体" w:hAnsi="宋体" w:eastAsia="宋体" w:cs="宋体"/>
                <w:color w:val="auto"/>
                <w:kern w:val="0"/>
                <w:sz w:val="24"/>
                <w:highlight w:val="none"/>
                <w:lang w:val="en-US" w:eastAsia="zh-CN" w:bidi="ar"/>
              </w:rPr>
              <w:t>。</w:t>
            </w:r>
          </w:p>
          <w:p w14:paraId="390BAD7C">
            <w:pPr>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注：</w:t>
            </w:r>
            <w:r>
              <w:rPr>
                <w:rFonts w:hint="eastAsia" w:ascii="宋体" w:hAnsi="宋体" w:eastAsia="宋体" w:cs="宋体"/>
                <w:i w:val="0"/>
                <w:color w:val="auto"/>
                <w:kern w:val="2"/>
                <w:sz w:val="24"/>
                <w:szCs w:val="24"/>
                <w:highlight w:val="none"/>
                <w:u w:val="none"/>
                <w:lang w:val="en-US" w:eastAsia="zh-CN" w:bidi="ar-SA"/>
              </w:rPr>
              <w:t>项目人员须为本单位正式职工，提供相关证明材料及职称证书描件并加盖单位公章，否则不得分。</w:t>
            </w:r>
          </w:p>
        </w:tc>
        <w:tc>
          <w:tcPr>
            <w:tcW w:w="871" w:type="dxa"/>
            <w:tcBorders>
              <w:top w:val="single" w:color="auto" w:sz="4" w:space="0"/>
              <w:left w:val="single" w:color="auto" w:sz="4" w:space="0"/>
              <w:bottom w:val="single" w:color="auto" w:sz="4" w:space="0"/>
              <w:right w:val="single" w:color="auto" w:sz="4" w:space="0"/>
            </w:tcBorders>
            <w:noWrap/>
            <w:vAlign w:val="center"/>
          </w:tcPr>
          <w:p w14:paraId="15B30229">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0-9分</w:t>
            </w:r>
          </w:p>
        </w:tc>
      </w:tr>
    </w:tbl>
    <w:p w14:paraId="5E2BF5B5">
      <w:pPr>
        <w:pStyle w:val="2"/>
        <w:keepNext w:val="0"/>
        <w:keepLines w:val="0"/>
        <w:pageBreakBefore/>
        <w:numPr>
          <w:ilvl w:val="0"/>
          <w:numId w:val="8"/>
        </w:numPr>
        <w:spacing w:line="240" w:lineRule="auto"/>
        <w:jc w:val="center"/>
        <w:rPr>
          <w:rFonts w:hint="eastAsia" w:ascii="宋体" w:hAnsi="宋体" w:eastAsia="宋体" w:cs="宋体"/>
          <w:bCs w:val="0"/>
          <w:color w:val="auto"/>
          <w:sz w:val="32"/>
          <w:szCs w:val="32"/>
          <w:highlight w:val="none"/>
        </w:rPr>
      </w:pPr>
      <w:bookmarkStart w:id="207" w:name="_Toc9224"/>
      <w:bookmarkStart w:id="208" w:name="_Toc19975"/>
      <w:bookmarkStart w:id="209" w:name="_Toc10496"/>
      <w:bookmarkStart w:id="210" w:name="_Toc30523"/>
      <w:r>
        <w:rPr>
          <w:rFonts w:hint="eastAsia" w:ascii="宋体" w:hAnsi="宋体" w:cs="宋体"/>
          <w:bCs w:val="0"/>
          <w:color w:val="auto"/>
          <w:sz w:val="32"/>
          <w:szCs w:val="32"/>
          <w:highlight w:val="none"/>
          <w:lang w:eastAsia="zh-CN"/>
        </w:rPr>
        <w:t>合</w:t>
      </w:r>
      <w:r>
        <w:rPr>
          <w:rFonts w:hint="eastAsia" w:ascii="宋体" w:hAnsi="宋体" w:eastAsia="宋体" w:cs="宋体"/>
          <w:bCs w:val="0"/>
          <w:color w:val="auto"/>
          <w:sz w:val="32"/>
          <w:szCs w:val="32"/>
          <w:highlight w:val="none"/>
        </w:rPr>
        <w:t>同主要条款</w:t>
      </w:r>
      <w:bookmarkEnd w:id="204"/>
      <w:bookmarkEnd w:id="207"/>
      <w:bookmarkEnd w:id="208"/>
      <w:bookmarkEnd w:id="209"/>
      <w:bookmarkEnd w:id="210"/>
    </w:p>
    <w:p w14:paraId="1869E753">
      <w:pPr>
        <w:pStyle w:val="3"/>
        <w:jc w:val="center"/>
        <w:rPr>
          <w:rFonts w:hint="eastAsia" w:ascii="宋体" w:hAnsi="宋体" w:eastAsia="宋体" w:cs="宋体"/>
          <w:bCs w:val="0"/>
          <w:color w:val="auto"/>
          <w:sz w:val="24"/>
          <w:szCs w:val="24"/>
          <w:highlight w:val="none"/>
        </w:rPr>
      </w:pPr>
      <w:bookmarkStart w:id="211" w:name="_Toc26461"/>
      <w:bookmarkStart w:id="212" w:name="_Toc28805"/>
      <w:bookmarkStart w:id="213" w:name="_Toc28195"/>
      <w:bookmarkStart w:id="214" w:name="_Toc29793"/>
      <w:bookmarkStart w:id="215" w:name="_Toc17793"/>
      <w:bookmarkStart w:id="216" w:name="_Toc22775"/>
      <w:bookmarkStart w:id="217" w:name="_Toc14942605"/>
      <w:bookmarkStart w:id="218" w:name="_Toc26017"/>
      <w:bookmarkStart w:id="219" w:name="_Toc5762"/>
      <w:r>
        <w:rPr>
          <w:rFonts w:hint="eastAsia" w:ascii="宋体" w:hAnsi="宋体" w:eastAsia="宋体" w:cs="宋体"/>
          <w:bCs w:val="0"/>
          <w:color w:val="auto"/>
          <w:sz w:val="24"/>
          <w:szCs w:val="24"/>
          <w:highlight w:val="none"/>
        </w:rPr>
        <w:t>东阳市政府采购合同（样本）</w:t>
      </w:r>
      <w:bookmarkEnd w:id="211"/>
      <w:bookmarkEnd w:id="212"/>
      <w:bookmarkEnd w:id="213"/>
      <w:bookmarkEnd w:id="214"/>
      <w:bookmarkEnd w:id="215"/>
      <w:bookmarkEnd w:id="216"/>
      <w:bookmarkEnd w:id="217"/>
      <w:bookmarkEnd w:id="218"/>
      <w:bookmarkEnd w:id="219"/>
    </w:p>
    <w:p w14:paraId="3D050BDF">
      <w:pPr>
        <w:snapToGrid w:val="0"/>
        <w:spacing w:before="120" w:after="12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               合同号：</w:t>
      </w:r>
    </w:p>
    <w:p w14:paraId="588F7771">
      <w:pPr>
        <w:snapToGrid w:val="0"/>
        <w:spacing w:before="120" w:after="12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甲方（买方）：</w:t>
      </w:r>
    </w:p>
    <w:p w14:paraId="67DEDA56">
      <w:pPr>
        <w:snapToGrid w:val="0"/>
        <w:spacing w:before="120" w:after="12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乙方（卖方）：</w:t>
      </w:r>
    </w:p>
    <w:p w14:paraId="5B7CD278">
      <w:pPr>
        <w:snapToGrid w:val="0"/>
        <w:spacing w:before="120" w:after="12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鉴证方（招标方）：</w:t>
      </w:r>
    </w:p>
    <w:p w14:paraId="413C0E96">
      <w:pPr>
        <w:snapToGrid w:val="0"/>
        <w:spacing w:before="120" w:after="120" w:line="400" w:lineRule="exact"/>
        <w:ind w:firstLine="49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甲、乙双方根据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浙江鼎峰工程咨询有限公司</w:t>
      </w:r>
      <w:r>
        <w:rPr>
          <w:rFonts w:hint="eastAsia" w:ascii="宋体" w:hAnsi="宋体" w:eastAsia="宋体" w:cs="宋体"/>
          <w:color w:val="auto"/>
          <w:sz w:val="24"/>
          <w:highlight w:val="none"/>
        </w:rPr>
        <w:t>关于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项目公开招标的结果，签署本合同。</w:t>
      </w:r>
    </w:p>
    <w:p w14:paraId="104F8CE5">
      <w:pPr>
        <w:snapToGrid w:val="0"/>
        <w:spacing w:before="120" w:after="120"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一、服务内容：</w:t>
      </w:r>
    </w:p>
    <w:p w14:paraId="6A6C3653">
      <w:pPr>
        <w:snapToGrid w:val="0"/>
        <w:spacing w:before="120" w:after="120"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二、合同金额</w:t>
      </w:r>
    </w:p>
    <w:p w14:paraId="63305AC6">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本合同金额为（大写）：__________________元（￥__________元）人民币。</w:t>
      </w:r>
    </w:p>
    <w:p w14:paraId="6BDE5785">
      <w:pPr>
        <w:snapToGrid w:val="0"/>
        <w:spacing w:before="120" w:after="120" w:line="400" w:lineRule="exact"/>
        <w:outlineLvl w:val="1"/>
        <w:rPr>
          <w:rFonts w:hint="eastAsia" w:ascii="宋体" w:hAnsi="宋体" w:eastAsia="宋体" w:cs="宋体"/>
          <w:b/>
          <w:color w:val="auto"/>
          <w:sz w:val="24"/>
          <w:highlight w:val="none"/>
        </w:rPr>
      </w:pPr>
      <w:bookmarkStart w:id="220" w:name="_Toc6658"/>
      <w:bookmarkStart w:id="221" w:name="_Toc23710"/>
      <w:bookmarkStart w:id="222" w:name="_Toc15866"/>
      <w:bookmarkStart w:id="223" w:name="_Toc3454"/>
      <w:bookmarkStart w:id="224" w:name="_Toc10067"/>
      <w:r>
        <w:rPr>
          <w:rFonts w:hint="eastAsia" w:ascii="宋体" w:hAnsi="宋体" w:eastAsia="宋体" w:cs="宋体"/>
          <w:b/>
          <w:color w:val="auto"/>
          <w:sz w:val="24"/>
          <w:highlight w:val="none"/>
        </w:rPr>
        <w:t>三、技术资料</w:t>
      </w:r>
      <w:bookmarkEnd w:id="220"/>
      <w:bookmarkEnd w:id="221"/>
      <w:bookmarkEnd w:id="222"/>
      <w:bookmarkEnd w:id="223"/>
      <w:bookmarkEnd w:id="224"/>
    </w:p>
    <w:p w14:paraId="062EF389">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1.乙方应按招标文件规定的时间向甲方提供有关技术资料。</w:t>
      </w:r>
    </w:p>
    <w:p w14:paraId="09E918A2">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0E8F389">
      <w:pPr>
        <w:snapToGrid w:val="0"/>
        <w:spacing w:before="120" w:after="120" w:line="400" w:lineRule="exact"/>
        <w:ind w:left="410" w:hanging="410"/>
        <w:outlineLvl w:val="1"/>
        <w:rPr>
          <w:rFonts w:hint="eastAsia" w:ascii="宋体" w:hAnsi="宋体" w:eastAsia="宋体" w:cs="宋体"/>
          <w:b/>
          <w:color w:val="auto"/>
          <w:sz w:val="24"/>
          <w:highlight w:val="none"/>
        </w:rPr>
      </w:pPr>
      <w:bookmarkStart w:id="225" w:name="_Toc31106"/>
      <w:bookmarkStart w:id="226" w:name="_Toc6540"/>
      <w:bookmarkStart w:id="227" w:name="_Toc27876"/>
      <w:bookmarkStart w:id="228" w:name="_Toc16078"/>
      <w:bookmarkStart w:id="229" w:name="_Toc210"/>
      <w:r>
        <w:rPr>
          <w:rFonts w:hint="eastAsia" w:ascii="宋体" w:hAnsi="宋体" w:eastAsia="宋体" w:cs="宋体"/>
          <w:b/>
          <w:color w:val="auto"/>
          <w:sz w:val="24"/>
          <w:highlight w:val="none"/>
        </w:rPr>
        <w:t>四、知识产权</w:t>
      </w:r>
      <w:bookmarkEnd w:id="225"/>
      <w:bookmarkEnd w:id="226"/>
      <w:bookmarkEnd w:id="227"/>
      <w:bookmarkEnd w:id="228"/>
      <w:bookmarkEnd w:id="229"/>
    </w:p>
    <w:p w14:paraId="7D5FFBFC">
      <w:pPr>
        <w:snapToGrid w:val="0"/>
        <w:spacing w:before="120" w:after="120" w:line="400" w:lineRule="exact"/>
        <w:ind w:left="426" w:leftChars="203" w:firstLine="12" w:firstLineChars="5"/>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乙方应保证提供服务过程中不会侵犯任何第三方的知识产权。</w:t>
      </w:r>
    </w:p>
    <w:p w14:paraId="35EA6858">
      <w:pPr>
        <w:snapToGrid w:val="0"/>
        <w:spacing w:before="120" w:after="120" w:line="400" w:lineRule="exact"/>
        <w:ind w:left="426" w:leftChars="203" w:firstLine="12" w:firstLineChars="5"/>
        <w:rPr>
          <w:rFonts w:hint="eastAsia" w:ascii="宋体" w:hAnsi="宋体" w:eastAsia="宋体" w:cs="宋体"/>
          <w:color w:val="auto"/>
          <w:sz w:val="24"/>
          <w:highlight w:val="none"/>
        </w:rPr>
      </w:pPr>
      <w:r>
        <w:rPr>
          <w:rFonts w:hint="eastAsia" w:ascii="宋体" w:hAnsi="宋体" w:eastAsia="宋体" w:cs="宋体"/>
          <w:color w:val="auto"/>
          <w:sz w:val="24"/>
          <w:highlight w:val="none"/>
        </w:rPr>
        <w:t>若乙方提供的服务或资料侵犯他人知识产权的，则乙方承担相应赔偿责任。</w:t>
      </w:r>
    </w:p>
    <w:p w14:paraId="4F59F7FA">
      <w:pPr>
        <w:snapToGrid w:val="0"/>
        <w:spacing w:before="120" w:after="120" w:line="400" w:lineRule="exact"/>
        <w:outlineLvl w:val="1"/>
        <w:rPr>
          <w:rFonts w:hint="eastAsia" w:ascii="宋体" w:hAnsi="宋体" w:eastAsia="宋体" w:cs="宋体"/>
          <w:b/>
          <w:color w:val="auto"/>
          <w:sz w:val="24"/>
          <w:highlight w:val="none"/>
        </w:rPr>
      </w:pPr>
      <w:bookmarkStart w:id="230" w:name="_Toc31909"/>
      <w:bookmarkStart w:id="231" w:name="_Toc13646"/>
      <w:bookmarkStart w:id="232" w:name="_Toc16256"/>
      <w:bookmarkStart w:id="233" w:name="_Toc21228"/>
      <w:bookmarkStart w:id="234" w:name="_Toc2553"/>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、转包或分包</w:t>
      </w:r>
      <w:bookmarkEnd w:id="230"/>
      <w:bookmarkEnd w:id="231"/>
      <w:bookmarkEnd w:id="232"/>
      <w:bookmarkEnd w:id="233"/>
      <w:bookmarkEnd w:id="234"/>
    </w:p>
    <w:p w14:paraId="0E38199C">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1.本合同范围的服务，应由乙方直接供应，不得转让他人供应；</w:t>
      </w:r>
    </w:p>
    <w:p w14:paraId="0C5B484E">
      <w:pPr>
        <w:snapToGrid w:val="0"/>
        <w:spacing w:before="120" w:after="120"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2.如发现转包行为，甲方有权解除合同，并追究乙方的违约责任。</w:t>
      </w:r>
    </w:p>
    <w:p w14:paraId="129D70CF">
      <w:pPr>
        <w:snapToGrid w:val="0"/>
        <w:spacing w:before="120" w:after="120" w:line="400" w:lineRule="exact"/>
        <w:outlineLvl w:val="1"/>
        <w:rPr>
          <w:rFonts w:hint="eastAsia" w:ascii="宋体" w:hAnsi="宋体" w:eastAsia="宋体" w:cs="宋体"/>
          <w:b/>
          <w:color w:val="auto"/>
          <w:sz w:val="24"/>
          <w:highlight w:val="none"/>
        </w:rPr>
      </w:pPr>
      <w:bookmarkStart w:id="235" w:name="_Toc28819"/>
      <w:bookmarkStart w:id="236" w:name="_Toc28972"/>
      <w:bookmarkStart w:id="237" w:name="_Toc27899"/>
      <w:bookmarkStart w:id="238" w:name="_Toc9072"/>
      <w:bookmarkStart w:id="239" w:name="_Toc31114"/>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、合同履行时间、履行方式及履行地点</w:t>
      </w:r>
      <w:bookmarkEnd w:id="235"/>
      <w:bookmarkEnd w:id="236"/>
      <w:bookmarkEnd w:id="237"/>
      <w:bookmarkEnd w:id="238"/>
      <w:bookmarkEnd w:id="239"/>
    </w:p>
    <w:p w14:paraId="7BA87362">
      <w:pPr>
        <w:snapToGrid w:val="0"/>
        <w:spacing w:before="120" w:after="120"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1. </w:t>
      </w:r>
      <w:r>
        <w:rPr>
          <w:rFonts w:hint="eastAsia" w:ascii="宋体" w:hAnsi="宋体" w:eastAsia="宋体" w:cs="宋体"/>
          <w:color w:val="auto"/>
          <w:sz w:val="24"/>
          <w:highlight w:val="none"/>
        </w:rPr>
        <w:t>履行时间</w:t>
      </w:r>
      <w:r>
        <w:rPr>
          <w:rFonts w:hint="eastAsia" w:ascii="宋体" w:hAnsi="宋体" w:eastAsia="宋体" w:cs="宋体"/>
          <w:bCs/>
          <w:color w:val="auto"/>
          <w:sz w:val="24"/>
          <w:highlight w:val="none"/>
        </w:rPr>
        <w:t>：</w:t>
      </w:r>
    </w:p>
    <w:p w14:paraId="24B7A4D1">
      <w:pPr>
        <w:snapToGrid w:val="0"/>
        <w:spacing w:before="120" w:after="120"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2. </w:t>
      </w:r>
      <w:r>
        <w:rPr>
          <w:rFonts w:hint="eastAsia" w:ascii="宋体" w:hAnsi="宋体" w:eastAsia="宋体" w:cs="宋体"/>
          <w:color w:val="auto"/>
          <w:sz w:val="24"/>
          <w:highlight w:val="none"/>
        </w:rPr>
        <w:t>履行方式</w:t>
      </w:r>
      <w:r>
        <w:rPr>
          <w:rFonts w:hint="eastAsia" w:ascii="宋体" w:hAnsi="宋体" w:eastAsia="宋体" w:cs="宋体"/>
          <w:bCs/>
          <w:color w:val="auto"/>
          <w:sz w:val="24"/>
          <w:highlight w:val="none"/>
        </w:rPr>
        <w:t>：</w:t>
      </w:r>
    </w:p>
    <w:p w14:paraId="7B95A3C1">
      <w:pPr>
        <w:snapToGrid w:val="0"/>
        <w:spacing w:before="120" w:after="120" w:line="400" w:lineRule="exact"/>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 </w:t>
      </w:r>
      <w:r>
        <w:rPr>
          <w:rFonts w:hint="eastAsia" w:ascii="宋体" w:hAnsi="宋体" w:eastAsia="宋体" w:cs="宋体"/>
          <w:color w:val="auto"/>
          <w:sz w:val="24"/>
          <w:highlight w:val="none"/>
        </w:rPr>
        <w:t>履行地点</w:t>
      </w:r>
      <w:r>
        <w:rPr>
          <w:rFonts w:hint="eastAsia" w:ascii="宋体" w:hAnsi="宋体" w:eastAsia="宋体" w:cs="宋体"/>
          <w:bCs/>
          <w:color w:val="auto"/>
          <w:sz w:val="24"/>
          <w:highlight w:val="none"/>
        </w:rPr>
        <w:t>：</w:t>
      </w:r>
    </w:p>
    <w:p w14:paraId="02EE00B5">
      <w:pPr>
        <w:snapToGrid w:val="0"/>
        <w:spacing w:before="120" w:after="120" w:line="40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、付款方式：</w:t>
      </w:r>
    </w:p>
    <w:p w14:paraId="0BFB65D9">
      <w:pPr>
        <w:snapToGrid w:val="0"/>
        <w:spacing w:before="120" w:after="120" w:line="40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、税费</w:t>
      </w:r>
    </w:p>
    <w:p w14:paraId="5062BBBD">
      <w:pPr>
        <w:snapToGrid w:val="0"/>
        <w:spacing w:before="120" w:after="12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本合同执行中相关的一切税费均由乙方负担。</w:t>
      </w:r>
    </w:p>
    <w:p w14:paraId="0E16D7BC">
      <w:pPr>
        <w:snapToGrid w:val="0"/>
        <w:spacing w:before="120" w:after="120" w:line="400" w:lineRule="exact"/>
        <w:ind w:left="410" w:hanging="410"/>
        <w:outlineLvl w:val="1"/>
        <w:rPr>
          <w:rFonts w:hint="eastAsia" w:ascii="宋体" w:hAnsi="宋体" w:eastAsia="宋体" w:cs="宋体"/>
          <w:color w:val="auto"/>
          <w:sz w:val="24"/>
          <w:highlight w:val="none"/>
        </w:rPr>
      </w:pPr>
      <w:bookmarkStart w:id="240" w:name="_Toc661"/>
      <w:bookmarkStart w:id="241" w:name="_Toc14918"/>
      <w:bookmarkStart w:id="242" w:name="_Toc31318"/>
      <w:bookmarkStart w:id="243" w:name="_Toc15292"/>
      <w:bookmarkStart w:id="244" w:name="_Toc2908"/>
      <w:r>
        <w:rPr>
          <w:rFonts w:hint="eastAsia" w:ascii="宋体" w:hAnsi="宋体" w:cs="宋体"/>
          <w:b/>
          <w:color w:val="auto"/>
          <w:sz w:val="24"/>
          <w:highlight w:val="none"/>
          <w:lang w:val="en-US" w:eastAsia="zh-CN"/>
        </w:rPr>
        <w:t>九</w:t>
      </w:r>
      <w:r>
        <w:rPr>
          <w:rFonts w:hint="eastAsia" w:ascii="宋体" w:hAnsi="宋体" w:eastAsia="宋体" w:cs="宋体"/>
          <w:b/>
          <w:color w:val="auto"/>
          <w:sz w:val="24"/>
          <w:highlight w:val="none"/>
        </w:rPr>
        <w:t>、质量保证及后续服务</w:t>
      </w:r>
      <w:bookmarkEnd w:id="240"/>
      <w:bookmarkEnd w:id="241"/>
      <w:bookmarkEnd w:id="242"/>
      <w:bookmarkEnd w:id="243"/>
      <w:bookmarkEnd w:id="244"/>
    </w:p>
    <w:p w14:paraId="16073905">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乙方应按招标文件规定向甲方提供服务。</w:t>
      </w:r>
    </w:p>
    <w:p w14:paraId="7DEF1152">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乙方提供的服务成果在服务质量保证期内发生故障，乙方应负责免费提供后续服务。对达不到要求者，根据实际情况，经双方协商，可按以下办法处理：</w:t>
      </w:r>
    </w:p>
    <w:p w14:paraId="1099FDD4">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重做：由乙方承担所发生的全部费用。</w:t>
      </w:r>
    </w:p>
    <w:p w14:paraId="0379FCA9">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贬值处理：由甲乙双方合议定价。</w:t>
      </w:r>
    </w:p>
    <w:p w14:paraId="303F11F3">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解除合同。</w:t>
      </w:r>
    </w:p>
    <w:p w14:paraId="490B0237">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如在使用过程中发生问题，乙方在接到甲方通知后</w:t>
      </w:r>
      <w:r>
        <w:rPr>
          <w:rFonts w:hint="eastAsia" w:ascii="宋体" w:hAnsi="宋体" w:eastAsia="宋体" w:cs="宋体"/>
          <w:color w:val="auto"/>
          <w:sz w:val="24"/>
          <w:highlight w:val="none"/>
          <w:u w:val="single"/>
        </w:rPr>
        <w:t>48</w:t>
      </w:r>
      <w:r>
        <w:rPr>
          <w:rFonts w:hint="eastAsia" w:ascii="宋体" w:hAnsi="宋体" w:eastAsia="宋体" w:cs="宋体"/>
          <w:color w:val="auto"/>
          <w:sz w:val="24"/>
          <w:highlight w:val="none"/>
        </w:rPr>
        <w:t>小时内到达甲方现场。</w:t>
      </w:r>
    </w:p>
    <w:p w14:paraId="77DD258C">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在服务质量保证期内，乙方应对出现的质量及安全问题负责处理解决并承担一切费用。</w:t>
      </w:r>
    </w:p>
    <w:p w14:paraId="344EAD17">
      <w:pPr>
        <w:snapToGrid w:val="0"/>
        <w:spacing w:before="120" w:after="120" w:line="400" w:lineRule="exact"/>
        <w:outlineLvl w:val="1"/>
        <w:rPr>
          <w:rFonts w:hint="eastAsia" w:ascii="宋体" w:hAnsi="宋体" w:eastAsia="宋体" w:cs="宋体"/>
          <w:b/>
          <w:color w:val="auto"/>
          <w:sz w:val="24"/>
          <w:highlight w:val="none"/>
        </w:rPr>
      </w:pPr>
      <w:bookmarkStart w:id="245" w:name="_Toc7430"/>
      <w:bookmarkStart w:id="246" w:name="_Toc3894"/>
      <w:bookmarkStart w:id="247" w:name="_Toc28566"/>
      <w:bookmarkStart w:id="248" w:name="_Toc15810"/>
      <w:bookmarkStart w:id="249" w:name="_Toc15631"/>
      <w:r>
        <w:rPr>
          <w:rFonts w:hint="eastAsia" w:ascii="宋体" w:hAnsi="宋体" w:eastAsia="宋体" w:cs="宋体"/>
          <w:b/>
          <w:color w:val="auto"/>
          <w:sz w:val="24"/>
          <w:highlight w:val="none"/>
        </w:rPr>
        <w:t>十、违约责任</w:t>
      </w:r>
      <w:bookmarkEnd w:id="245"/>
      <w:bookmarkEnd w:id="246"/>
      <w:bookmarkEnd w:id="247"/>
      <w:bookmarkEnd w:id="248"/>
      <w:bookmarkEnd w:id="249"/>
    </w:p>
    <w:p w14:paraId="6A8D142B">
      <w:pPr>
        <w:snapToGrid w:val="0"/>
        <w:spacing w:before="120" w:after="120" w:line="400" w:lineRule="exact"/>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1．甲方无正当理由拒收接受服务的，甲方向乙方偿付合同款项百分之五作为违约金</w:t>
      </w:r>
      <w:r>
        <w:rPr>
          <w:rFonts w:hint="eastAsia" w:ascii="宋体" w:hAnsi="宋体" w:cs="宋体"/>
          <w:color w:val="auto"/>
          <w:sz w:val="24"/>
          <w:highlight w:val="none"/>
          <w:lang w:eastAsia="zh-CN"/>
        </w:rPr>
        <w:t>。</w:t>
      </w:r>
    </w:p>
    <w:p w14:paraId="5F07889A">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甲方无故逾期验收和办理款项支付手续的</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甲方应按逾期付款总额每日万分之五向乙方支付违约金。</w:t>
      </w:r>
    </w:p>
    <w:p w14:paraId="0E6B054E">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4AF69490">
      <w:pPr>
        <w:snapToGrid w:val="0"/>
        <w:spacing w:before="120" w:after="120" w:line="400" w:lineRule="exact"/>
        <w:outlineLvl w:val="1"/>
        <w:rPr>
          <w:rFonts w:hint="eastAsia" w:ascii="宋体" w:hAnsi="宋体" w:eastAsia="宋体" w:cs="宋体"/>
          <w:b/>
          <w:color w:val="auto"/>
          <w:sz w:val="24"/>
          <w:highlight w:val="none"/>
        </w:rPr>
      </w:pPr>
      <w:bookmarkStart w:id="250" w:name="_Toc23439"/>
      <w:bookmarkStart w:id="251" w:name="_Toc2934"/>
      <w:bookmarkStart w:id="252" w:name="_Toc13770"/>
      <w:bookmarkStart w:id="253" w:name="_Toc15875"/>
      <w:bookmarkStart w:id="254" w:name="_Toc14738"/>
      <w:r>
        <w:rPr>
          <w:rFonts w:hint="eastAsia" w:ascii="宋体" w:hAnsi="宋体" w:eastAsia="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eastAsia="宋体" w:cs="宋体"/>
          <w:b/>
          <w:color w:val="auto"/>
          <w:sz w:val="24"/>
          <w:highlight w:val="none"/>
        </w:rPr>
        <w:t>、不可抗力事件处理</w:t>
      </w:r>
      <w:bookmarkEnd w:id="250"/>
      <w:bookmarkEnd w:id="251"/>
      <w:bookmarkEnd w:id="252"/>
      <w:bookmarkEnd w:id="253"/>
      <w:bookmarkEnd w:id="254"/>
    </w:p>
    <w:p w14:paraId="43737FB9">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在合同有效期内，任何一方因不可抗力事件导致不能履行合同，则合同履行期可延长，其延长期与不可抗力影响期相同。</w:t>
      </w:r>
    </w:p>
    <w:p w14:paraId="7C38CE91">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不可抗力事件发生后，应立即通知对方，并寄送有关权威机构出具的证明。</w:t>
      </w:r>
    </w:p>
    <w:p w14:paraId="3DAA181A">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不可抗力事件延续120天以上，双方应通过友好协商，确定是否继续履行合同。</w:t>
      </w:r>
    </w:p>
    <w:p w14:paraId="57EF3EDD">
      <w:pPr>
        <w:snapToGrid w:val="0"/>
        <w:spacing w:before="120" w:after="120" w:line="400" w:lineRule="exact"/>
        <w:outlineLvl w:val="1"/>
        <w:rPr>
          <w:rFonts w:hint="eastAsia" w:ascii="宋体" w:hAnsi="宋体" w:eastAsia="宋体" w:cs="宋体"/>
          <w:b/>
          <w:color w:val="auto"/>
          <w:sz w:val="24"/>
          <w:highlight w:val="none"/>
        </w:rPr>
      </w:pPr>
      <w:bookmarkStart w:id="255" w:name="_Toc7805"/>
      <w:bookmarkStart w:id="256" w:name="_Toc30711"/>
      <w:bookmarkStart w:id="257" w:name="_Toc32568"/>
      <w:bookmarkStart w:id="258" w:name="_Toc26613"/>
      <w:bookmarkStart w:id="259" w:name="_Toc2741"/>
      <w:r>
        <w:rPr>
          <w:rFonts w:hint="eastAsia" w:ascii="宋体" w:hAnsi="宋体" w:eastAsia="宋体" w:cs="宋体"/>
          <w:b/>
          <w:color w:val="auto"/>
          <w:sz w:val="24"/>
          <w:highlight w:val="none"/>
        </w:rPr>
        <w:t>十</w:t>
      </w:r>
      <w:r>
        <w:rPr>
          <w:rFonts w:hint="eastAsia" w:ascii="宋体" w:hAnsi="宋体" w:cs="宋体"/>
          <w:b/>
          <w:color w:val="auto"/>
          <w:sz w:val="24"/>
          <w:highlight w:val="none"/>
          <w:lang w:val="en-US" w:eastAsia="zh-CN"/>
        </w:rPr>
        <w:t>二</w:t>
      </w:r>
      <w:r>
        <w:rPr>
          <w:rFonts w:hint="eastAsia" w:ascii="宋体" w:hAnsi="宋体" w:eastAsia="宋体" w:cs="宋体"/>
          <w:b/>
          <w:color w:val="auto"/>
          <w:sz w:val="24"/>
          <w:highlight w:val="none"/>
        </w:rPr>
        <w:t>、诉讼</w:t>
      </w:r>
      <w:bookmarkEnd w:id="255"/>
      <w:bookmarkEnd w:id="256"/>
      <w:bookmarkEnd w:id="257"/>
      <w:bookmarkEnd w:id="258"/>
      <w:bookmarkEnd w:id="259"/>
    </w:p>
    <w:p w14:paraId="77A7BAB0">
      <w:pPr>
        <w:snapToGrid w:val="0"/>
        <w:spacing w:before="120" w:after="120"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双方在执行合同中所发生的一切争议，应通过协商解决。如协商不成，可向甲方所在地法院起诉。</w:t>
      </w:r>
    </w:p>
    <w:p w14:paraId="295473D0">
      <w:pPr>
        <w:snapToGrid w:val="0"/>
        <w:spacing w:before="120" w:after="120" w:line="400" w:lineRule="exact"/>
        <w:outlineLvl w:val="1"/>
        <w:rPr>
          <w:rFonts w:hint="eastAsia" w:ascii="宋体" w:hAnsi="宋体" w:eastAsia="宋体" w:cs="宋体"/>
          <w:b/>
          <w:color w:val="auto"/>
          <w:sz w:val="24"/>
          <w:highlight w:val="none"/>
        </w:rPr>
      </w:pPr>
      <w:bookmarkStart w:id="260" w:name="_Toc28911"/>
      <w:bookmarkStart w:id="261" w:name="_Toc21705"/>
      <w:bookmarkStart w:id="262" w:name="_Toc26670"/>
      <w:bookmarkStart w:id="263" w:name="_Toc9966"/>
      <w:bookmarkStart w:id="264" w:name="_Toc22001"/>
      <w:r>
        <w:rPr>
          <w:rFonts w:hint="eastAsia" w:ascii="宋体" w:hAnsi="宋体" w:eastAsia="宋体" w:cs="宋体"/>
          <w:b/>
          <w:color w:val="auto"/>
          <w:sz w:val="24"/>
          <w:highlight w:val="none"/>
        </w:rPr>
        <w:t>十</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、合同生效及</w:t>
      </w:r>
      <w:r>
        <w:rPr>
          <w:rFonts w:hint="eastAsia" w:ascii="宋体" w:hAnsi="宋体" w:cs="宋体"/>
          <w:b/>
          <w:color w:val="auto"/>
          <w:sz w:val="24"/>
          <w:highlight w:val="none"/>
          <w:lang w:eastAsia="zh-CN"/>
        </w:rPr>
        <w:t>其他</w:t>
      </w:r>
      <w:bookmarkEnd w:id="260"/>
      <w:bookmarkEnd w:id="261"/>
      <w:bookmarkEnd w:id="262"/>
      <w:bookmarkEnd w:id="263"/>
      <w:bookmarkEnd w:id="264"/>
    </w:p>
    <w:p w14:paraId="65BB0322">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合同经三方法定代表人或授权代表签字并加盖单位公章后，报东阳市财政局采监科备案后生效。</w:t>
      </w:r>
    </w:p>
    <w:p w14:paraId="6C419CDA">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合同执行中涉及采购资金和采购内容修改或补充的，须经财政部门审批，并</w:t>
      </w:r>
      <w:r>
        <w:rPr>
          <w:rFonts w:hint="eastAsia" w:ascii="宋体" w:hAnsi="宋体" w:cs="宋体"/>
          <w:color w:val="auto"/>
          <w:sz w:val="24"/>
          <w:highlight w:val="none"/>
          <w:lang w:eastAsia="zh-CN"/>
        </w:rPr>
        <w:t>签订</w:t>
      </w:r>
      <w:r>
        <w:rPr>
          <w:rFonts w:hint="eastAsia" w:ascii="宋体" w:hAnsi="宋体" w:eastAsia="宋体" w:cs="宋体"/>
          <w:color w:val="auto"/>
          <w:sz w:val="24"/>
          <w:highlight w:val="none"/>
        </w:rPr>
        <w:t>书面补充协议报政府采购监督管理部门备案，方可作为主合同不可分割的一部分。</w:t>
      </w:r>
    </w:p>
    <w:p w14:paraId="1FD95EED">
      <w:pPr>
        <w:snapToGrid w:val="0"/>
        <w:spacing w:before="120" w:after="12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3.本合同未尽事宜，遵照《中华人民共和国民法典》有关条文执行。</w:t>
      </w:r>
    </w:p>
    <w:p w14:paraId="6F5D612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4.本合同一式六份，东阳市财政局采监科、招标代理机构各执一份，甲、乙双方各执二份，其都具有同等法律效力。</w:t>
      </w:r>
    </w:p>
    <w:p w14:paraId="030FF299">
      <w:pPr>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5.后附政府采购廉洁承诺书。</w:t>
      </w:r>
    </w:p>
    <w:p w14:paraId="705DA493">
      <w:pPr>
        <w:spacing w:before="120" w:after="120" w:line="400" w:lineRule="exact"/>
        <w:rPr>
          <w:rFonts w:hint="eastAsia" w:ascii="宋体" w:hAnsi="宋体" w:eastAsia="宋体" w:cs="宋体"/>
          <w:b/>
          <w:bCs/>
          <w:color w:val="auto"/>
          <w:sz w:val="24"/>
          <w:highlight w:val="none"/>
        </w:rPr>
      </w:pPr>
    </w:p>
    <w:p w14:paraId="1A406AC5">
      <w:pPr>
        <w:spacing w:before="120" w:after="120" w:line="40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甲方（盖公章）：                       乙方（盖公章）：</w:t>
      </w:r>
    </w:p>
    <w:p w14:paraId="2713A650">
      <w:pPr>
        <w:snapToGrid w:val="0"/>
        <w:spacing w:before="120" w:after="120" w:line="400" w:lineRule="exact"/>
        <w:ind w:leftChars="-1" w:hanging="2"/>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法定代表人或受委托人                 法定代表人或受委托人</w:t>
      </w:r>
    </w:p>
    <w:p w14:paraId="4D4D6293">
      <w:pPr>
        <w:snapToGrid w:val="0"/>
        <w:spacing w:before="120" w:after="120" w:line="400" w:lineRule="exact"/>
        <w:ind w:left="1" w:leftChars="-28" w:hanging="60"/>
        <w:rPr>
          <w:rFonts w:hint="eastAsia" w:ascii="宋体" w:hAnsi="宋体" w:eastAsia="宋体" w:cs="宋体"/>
          <w:color w:val="auto"/>
          <w:sz w:val="24"/>
          <w:highlight w:val="none"/>
        </w:rPr>
      </w:pPr>
      <w:r>
        <w:rPr>
          <w:rFonts w:hint="eastAsia" w:ascii="宋体" w:hAnsi="宋体" w:eastAsia="宋体" w:cs="宋体"/>
          <w:color w:val="auto"/>
          <w:sz w:val="24"/>
          <w:highlight w:val="none"/>
        </w:rPr>
        <w:t>（签字）                             （签字）</w:t>
      </w:r>
    </w:p>
    <w:p w14:paraId="0371B12C">
      <w:pPr>
        <w:snapToGrid w:val="0"/>
        <w:spacing w:before="120" w:after="120" w:line="400" w:lineRule="exact"/>
        <w:ind w:leftChars="-1" w:hanging="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地址： </w:t>
      </w:r>
    </w:p>
    <w:p w14:paraId="7799A1E7">
      <w:pPr>
        <w:snapToGrid w:val="0"/>
        <w:spacing w:before="120" w:after="120" w:line="400" w:lineRule="exact"/>
        <w:ind w:leftChars="-1" w:hanging="2"/>
        <w:rPr>
          <w:rFonts w:hint="eastAsia" w:ascii="宋体" w:hAnsi="宋体" w:eastAsia="宋体" w:cs="宋体"/>
          <w:color w:val="auto"/>
          <w:sz w:val="24"/>
          <w:highlight w:val="none"/>
        </w:rPr>
      </w:pPr>
      <w:r>
        <w:rPr>
          <w:rFonts w:hint="eastAsia" w:ascii="宋体" w:hAnsi="宋体" w:eastAsia="宋体" w:cs="宋体"/>
          <w:color w:val="auto"/>
          <w:sz w:val="24"/>
          <w:highlight w:val="none"/>
        </w:rPr>
        <w:t>邮编：                               邮编：</w:t>
      </w:r>
    </w:p>
    <w:p w14:paraId="3707C017">
      <w:pPr>
        <w:snapToGrid w:val="0"/>
        <w:spacing w:before="120" w:after="120" w:line="400" w:lineRule="exact"/>
        <w:ind w:leftChars="-1" w:hanging="2"/>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14:paraId="4E3C9920">
      <w:pPr>
        <w:snapToGrid w:val="0"/>
        <w:spacing w:before="120" w:after="120" w:line="400" w:lineRule="exact"/>
        <w:ind w:leftChars="-1" w:hanging="2"/>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传真：</w:t>
      </w:r>
    </w:p>
    <w:p w14:paraId="02CAF660">
      <w:pPr>
        <w:snapToGrid w:val="0"/>
        <w:spacing w:before="120" w:after="120" w:line="400" w:lineRule="exact"/>
        <w:ind w:leftChars="-1" w:hanging="2"/>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14:paraId="716BD355">
      <w:pPr>
        <w:snapToGrid w:val="0"/>
        <w:spacing w:before="120" w:after="120" w:line="400" w:lineRule="exact"/>
        <w:ind w:leftChars="-1" w:hanging="2"/>
        <w:rPr>
          <w:rFonts w:hint="eastAsia" w:ascii="宋体" w:hAnsi="宋体" w:eastAsia="宋体" w:cs="宋体"/>
          <w:color w:val="auto"/>
          <w:sz w:val="24"/>
          <w:highlight w:val="none"/>
        </w:rPr>
      </w:pPr>
      <w:r>
        <w:rPr>
          <w:rFonts w:hint="eastAsia" w:ascii="宋体" w:hAnsi="宋体" w:cs="宋体"/>
          <w:color w:val="auto"/>
          <w:sz w:val="24"/>
          <w:highlight w:val="none"/>
          <w:lang w:eastAsia="zh-CN"/>
        </w:rPr>
        <w:t>账号</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账号</w:t>
      </w:r>
      <w:r>
        <w:rPr>
          <w:rFonts w:hint="eastAsia" w:ascii="宋体" w:hAnsi="宋体" w:eastAsia="宋体" w:cs="宋体"/>
          <w:color w:val="auto"/>
          <w:sz w:val="24"/>
          <w:highlight w:val="none"/>
        </w:rPr>
        <w:t>：</w:t>
      </w:r>
    </w:p>
    <w:p w14:paraId="5135BA2D">
      <w:pPr>
        <w:snapToGrid w:val="0"/>
        <w:spacing w:before="156" w:after="156" w:line="400" w:lineRule="exact"/>
        <w:rPr>
          <w:rFonts w:hint="eastAsia" w:ascii="宋体" w:hAnsi="宋体" w:eastAsia="宋体" w:cs="宋体"/>
          <w:color w:val="auto"/>
          <w:sz w:val="24"/>
          <w:highlight w:val="none"/>
        </w:rPr>
      </w:pPr>
    </w:p>
    <w:p w14:paraId="397319D4">
      <w:pPr>
        <w:snapToGrid w:val="0"/>
        <w:spacing w:before="156" w:after="156"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鉴证方</w:t>
      </w:r>
      <w:r>
        <w:rPr>
          <w:rFonts w:hint="eastAsia" w:ascii="宋体" w:hAnsi="宋体" w:cs="宋体"/>
          <w:color w:val="auto"/>
          <w:sz w:val="24"/>
          <w:highlight w:val="none"/>
          <w:lang w:eastAsia="zh-CN"/>
        </w:rPr>
        <w:t>：</w:t>
      </w:r>
    </w:p>
    <w:p w14:paraId="34A762E2">
      <w:pPr>
        <w:snapToGrid w:val="0"/>
        <w:spacing w:before="156" w:after="156"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法定代表人或主要负责人</w:t>
      </w:r>
      <w:r>
        <w:rPr>
          <w:rFonts w:hint="eastAsia" w:ascii="宋体" w:hAnsi="宋体" w:cs="宋体"/>
          <w:color w:val="auto"/>
          <w:sz w:val="24"/>
          <w:highlight w:val="none"/>
          <w:lang w:eastAsia="zh-CN"/>
        </w:rPr>
        <w:t>：</w:t>
      </w:r>
    </w:p>
    <w:p w14:paraId="66800C5F">
      <w:pPr>
        <w:spacing w:line="40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签约地点：                            签约时间：</w:t>
      </w:r>
    </w:p>
    <w:p w14:paraId="69E0EC58">
      <w:pPr>
        <w:spacing w:line="400" w:lineRule="exact"/>
        <w:rPr>
          <w:rFonts w:hint="eastAsia" w:ascii="宋体" w:hAnsi="宋体" w:eastAsia="宋体" w:cs="宋体"/>
          <w:color w:val="auto"/>
          <w:sz w:val="24"/>
          <w:highlight w:val="none"/>
        </w:rPr>
      </w:pPr>
    </w:p>
    <w:p w14:paraId="48008D2A">
      <w:pPr>
        <w:rPr>
          <w:rFonts w:hint="eastAsia" w:ascii="宋体" w:hAnsi="宋体" w:eastAsia="宋体" w:cs="宋体"/>
          <w:color w:val="auto"/>
          <w:sz w:val="24"/>
          <w:highlight w:val="none"/>
        </w:rPr>
      </w:pPr>
    </w:p>
    <w:p w14:paraId="0262CC75">
      <w:pPr>
        <w:pStyle w:val="3"/>
        <w:rPr>
          <w:rFonts w:hint="eastAsia" w:ascii="宋体" w:hAnsi="宋体" w:eastAsia="宋体" w:cs="宋体"/>
          <w:color w:val="auto"/>
          <w:highlight w:val="none"/>
        </w:rPr>
      </w:pPr>
      <w:bookmarkStart w:id="265" w:name="_Toc7616"/>
      <w:bookmarkStart w:id="266" w:name="_Toc4510"/>
      <w:bookmarkStart w:id="267" w:name="_Toc7242"/>
      <w:bookmarkStart w:id="268" w:name="_Toc13489"/>
      <w:bookmarkStart w:id="269" w:name="_Toc32369"/>
      <w:bookmarkStart w:id="270" w:name="_Toc27839"/>
      <w:r>
        <w:rPr>
          <w:rFonts w:hint="eastAsia" w:ascii="宋体" w:hAnsi="宋体" w:eastAsia="宋体" w:cs="宋体"/>
          <w:b/>
          <w:color w:val="auto"/>
          <w:sz w:val="24"/>
          <w:highlight w:val="none"/>
        </w:rPr>
        <w:t>注：签订合同时，可以使用项目相关国家标准合同文本。</w:t>
      </w:r>
      <w:bookmarkEnd w:id="265"/>
      <w:bookmarkEnd w:id="266"/>
      <w:bookmarkEnd w:id="267"/>
      <w:bookmarkEnd w:id="268"/>
      <w:bookmarkEnd w:id="269"/>
      <w:bookmarkEnd w:id="270"/>
    </w:p>
    <w:p w14:paraId="162CEEB1">
      <w:pPr>
        <w:pageBreakBefore/>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政府采购廉洁承诺书</w:t>
      </w:r>
    </w:p>
    <w:p w14:paraId="3A24B8F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（中标人须将此表附在合同后）</w:t>
      </w:r>
    </w:p>
    <w:p w14:paraId="73F33BBF">
      <w:pPr>
        <w:spacing w:line="360" w:lineRule="auto"/>
        <w:jc w:val="center"/>
        <w:rPr>
          <w:rFonts w:hint="eastAsia" w:ascii="宋体" w:hAnsi="宋体" w:eastAsia="宋体" w:cs="宋体"/>
          <w:b/>
          <w:color w:val="auto"/>
          <w:sz w:val="24"/>
          <w:highlight w:val="none"/>
        </w:rPr>
      </w:pPr>
    </w:p>
    <w:p w14:paraId="1DCABB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p w14:paraId="1EBB93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w:t>
      </w:r>
    </w:p>
    <w:p w14:paraId="06E6D39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1BD82A5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参与政府采购活动时，除具备采购文件规定的资格、资质要求外，我方还将严格遵守有关法律、法规、政策以及国家、地方关于廉政建设的各项规定。</w:t>
      </w:r>
    </w:p>
    <w:p w14:paraId="7AD45A1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遵循公开、公平、公正、诚实信用原则，不发生损害上述原则及各方当事人合法权益得不正当竞争行为。</w:t>
      </w:r>
    </w:p>
    <w:p w14:paraId="7BAE656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与政府采购各方当事人保持正常的业务交往，不向采购人、采购代理机构、监督机构、评审专家、工作人员及其他参与采购活动的人员提供不正当利益。主要有：</w:t>
      </w:r>
    </w:p>
    <w:p w14:paraId="45CC2C6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（一）向上述人员赠送礼金、有价证券、贵重物品及回扣、好处费、感谢费等。</w:t>
      </w:r>
    </w:p>
    <w:p w14:paraId="417EBF2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（二）为上述人员或单位报销应由对方支付的费用。</w:t>
      </w:r>
    </w:p>
    <w:p w14:paraId="43AE77C8">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（三）暗示为上述人员装修住房、婚丧嫁娶、配偶子女的工作安排以及出国（境）、旅游等提供方便。</w:t>
      </w:r>
    </w:p>
    <w:p w14:paraId="4C5F154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（四）为上述人员或单位提供可能影响采购活动开展的宴请、健身、娱乐等活动。</w:t>
      </w:r>
    </w:p>
    <w:p w14:paraId="6CB240B9">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严格执行采购合同，自觉按合同办事；在合同执行过程中，不发生本承诺书第三条中所列不良行为。    </w:t>
      </w:r>
    </w:p>
    <w:p w14:paraId="7D50532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发现采购活动各方当事人有违规、违纪、违法行为的，及时提醒对方，情节严重的，主动向其主管部门或纪检监察、司法等机关举报。</w:t>
      </w:r>
    </w:p>
    <w:p w14:paraId="19715EC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19B7657F">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本承诺书自签署之日起生效。</w:t>
      </w:r>
    </w:p>
    <w:p w14:paraId="00CA3883">
      <w:pPr>
        <w:spacing w:line="360" w:lineRule="auto"/>
        <w:ind w:left="840" w:hanging="840" w:hangingChars="350"/>
        <w:jc w:val="center"/>
        <w:rPr>
          <w:rFonts w:hint="eastAsia" w:ascii="宋体" w:hAnsi="宋体" w:eastAsia="宋体" w:cs="宋体"/>
          <w:color w:val="auto"/>
          <w:sz w:val="24"/>
          <w:highlight w:val="none"/>
        </w:rPr>
      </w:pPr>
    </w:p>
    <w:p w14:paraId="583132FB">
      <w:pPr>
        <w:spacing w:line="360" w:lineRule="auto"/>
        <w:ind w:left="840" w:hanging="840" w:hangingChars="3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投标人（盖章）：</w:t>
      </w:r>
    </w:p>
    <w:p w14:paraId="7AA5E45A">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p>
    <w:p w14:paraId="0DD26AF6">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AF98820">
      <w:pPr>
        <w:spacing w:line="360" w:lineRule="auto"/>
        <w:ind w:left="840" w:hanging="840" w:hangingChars="350"/>
        <w:rPr>
          <w:rFonts w:hint="eastAsia" w:ascii="宋体" w:hAnsi="宋体" w:eastAsia="宋体" w:cs="宋体"/>
          <w:color w:val="auto"/>
          <w:sz w:val="24"/>
          <w:highlight w:val="none"/>
        </w:rPr>
      </w:pPr>
    </w:p>
    <w:p w14:paraId="307CDC05">
      <w:pPr>
        <w:pStyle w:val="19"/>
        <w:pageBreakBefore/>
        <w:snapToGrid w:val="0"/>
        <w:spacing w:before="120" w:after="120" w:line="360" w:lineRule="auto"/>
        <w:jc w:val="center"/>
        <w:outlineLvl w:val="0"/>
        <w:rPr>
          <w:rFonts w:hint="eastAsia" w:ascii="宋体" w:hAnsi="宋体" w:eastAsia="宋体" w:cs="宋体"/>
          <w:b/>
          <w:color w:val="auto"/>
          <w:sz w:val="28"/>
          <w:szCs w:val="28"/>
          <w:highlight w:val="none"/>
        </w:rPr>
      </w:pPr>
      <w:bookmarkStart w:id="271" w:name="_Toc12966"/>
      <w:bookmarkStart w:id="272" w:name="_Toc20537"/>
      <w:bookmarkStart w:id="273" w:name="_Toc16364"/>
      <w:bookmarkStart w:id="274" w:name="_Toc3144"/>
      <w:r>
        <w:rPr>
          <w:rFonts w:hint="eastAsia" w:ascii="宋体" w:hAnsi="宋体" w:eastAsia="宋体" w:cs="宋体"/>
          <w:b/>
          <w:color w:val="auto"/>
          <w:sz w:val="28"/>
          <w:szCs w:val="28"/>
          <w:highlight w:val="none"/>
        </w:rPr>
        <w:t>第六章　投标文件组成内容及格式</w:t>
      </w:r>
      <w:bookmarkEnd w:id="271"/>
      <w:bookmarkEnd w:id="272"/>
      <w:bookmarkEnd w:id="273"/>
      <w:bookmarkEnd w:id="274"/>
    </w:p>
    <w:bookmarkEnd w:id="205"/>
    <w:bookmarkEnd w:id="206"/>
    <w:p w14:paraId="053218DF">
      <w:pPr>
        <w:pStyle w:val="19"/>
        <w:spacing w:before="120" w:after="120" w:line="360" w:lineRule="auto"/>
        <w:rPr>
          <w:rFonts w:hint="eastAsia" w:ascii="宋体" w:hAnsi="宋体" w:eastAsia="宋体" w:cs="宋体"/>
          <w:color w:val="auto"/>
          <w:szCs w:val="24"/>
          <w:highlight w:val="none"/>
          <w:u w:val="single"/>
        </w:rPr>
      </w:pPr>
    </w:p>
    <w:p w14:paraId="09EEED31">
      <w:pPr>
        <w:pStyle w:val="3"/>
        <w:jc w:val="center"/>
        <w:rPr>
          <w:rFonts w:hint="eastAsia" w:ascii="宋体" w:hAnsi="宋体" w:eastAsia="宋体" w:cs="宋体"/>
          <w:b w:val="0"/>
          <w:color w:val="auto"/>
          <w:sz w:val="24"/>
          <w:szCs w:val="24"/>
          <w:highlight w:val="none"/>
        </w:rPr>
      </w:pPr>
      <w:bookmarkStart w:id="275" w:name="_Toc10290"/>
      <w:bookmarkStart w:id="276" w:name="_Toc30003"/>
      <w:bookmarkStart w:id="277" w:name="_Toc11864"/>
      <w:bookmarkStart w:id="278" w:name="_Toc2441"/>
      <w:bookmarkStart w:id="279" w:name="_Toc672"/>
      <w:bookmarkStart w:id="280" w:name="_Toc405368940"/>
      <w:r>
        <w:rPr>
          <w:rFonts w:hint="eastAsia" w:ascii="宋体" w:hAnsi="宋体" w:eastAsia="宋体" w:cs="宋体"/>
          <w:b w:val="0"/>
          <w:color w:val="auto"/>
          <w:sz w:val="24"/>
          <w:szCs w:val="24"/>
          <w:highlight w:val="none"/>
        </w:rPr>
        <w:t>一、纸质投标文件封面格式</w:t>
      </w:r>
      <w:bookmarkEnd w:id="275"/>
      <w:bookmarkEnd w:id="276"/>
      <w:bookmarkEnd w:id="277"/>
      <w:bookmarkEnd w:id="278"/>
      <w:bookmarkEnd w:id="279"/>
      <w:bookmarkEnd w:id="280"/>
    </w:p>
    <w:p w14:paraId="3955A166">
      <w:pPr>
        <w:rPr>
          <w:rFonts w:hint="eastAsia" w:ascii="宋体" w:hAnsi="宋体" w:eastAsia="宋体" w:cs="宋体"/>
          <w:color w:val="auto"/>
          <w:sz w:val="24"/>
          <w:highlight w:val="none"/>
        </w:rPr>
      </w:pPr>
    </w:p>
    <w:p w14:paraId="2B456814">
      <w:pPr>
        <w:rPr>
          <w:rFonts w:hint="eastAsia" w:ascii="宋体" w:hAnsi="宋体" w:eastAsia="宋体" w:cs="宋体"/>
          <w:color w:val="auto"/>
          <w:sz w:val="24"/>
          <w:highlight w:val="none"/>
        </w:rPr>
      </w:pPr>
    </w:p>
    <w:p w14:paraId="43B5940B">
      <w:pPr>
        <w:rPr>
          <w:rFonts w:hint="eastAsia" w:ascii="宋体" w:hAnsi="宋体" w:eastAsia="宋体" w:cs="宋体"/>
          <w:color w:val="auto"/>
          <w:sz w:val="24"/>
          <w:highlight w:val="none"/>
        </w:rPr>
      </w:pPr>
    </w:p>
    <w:p w14:paraId="2AEE7A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1.纸质投标文件封面格式： </w:t>
      </w:r>
    </w:p>
    <w:p w14:paraId="39F49D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正本/或副本</w:t>
      </w:r>
    </w:p>
    <w:p w14:paraId="6295DBE2">
      <w:pPr>
        <w:spacing w:line="360" w:lineRule="auto"/>
        <w:rPr>
          <w:rFonts w:hint="eastAsia" w:ascii="宋体" w:hAnsi="宋体" w:eastAsia="宋体" w:cs="宋体"/>
          <w:color w:val="auto"/>
          <w:sz w:val="24"/>
          <w:highlight w:val="none"/>
        </w:rPr>
      </w:pPr>
    </w:p>
    <w:p w14:paraId="75C33A90">
      <w:pPr>
        <w:spacing w:line="360" w:lineRule="auto"/>
        <w:rPr>
          <w:rFonts w:hint="eastAsia" w:ascii="宋体" w:hAnsi="宋体" w:eastAsia="宋体" w:cs="宋体"/>
          <w:color w:val="auto"/>
          <w:sz w:val="24"/>
          <w:highlight w:val="none"/>
        </w:rPr>
      </w:pPr>
    </w:p>
    <w:p w14:paraId="38B28EF2">
      <w:pPr>
        <w:spacing w:line="360" w:lineRule="auto"/>
        <w:rPr>
          <w:rFonts w:hint="eastAsia" w:ascii="宋体" w:hAnsi="宋体" w:eastAsia="宋体" w:cs="宋体"/>
          <w:color w:val="auto"/>
          <w:sz w:val="24"/>
          <w:highlight w:val="none"/>
        </w:rPr>
      </w:pPr>
    </w:p>
    <w:p w14:paraId="62D6F9CD">
      <w:pPr>
        <w:spacing w:line="360" w:lineRule="auto"/>
        <w:rPr>
          <w:rFonts w:hint="eastAsia" w:ascii="宋体" w:hAnsi="宋体" w:eastAsia="宋体" w:cs="宋体"/>
          <w:color w:val="auto"/>
          <w:sz w:val="24"/>
          <w:highlight w:val="none"/>
        </w:rPr>
      </w:pPr>
    </w:p>
    <w:p w14:paraId="35D5EBAE">
      <w:pPr>
        <w:spacing w:line="360" w:lineRule="auto"/>
        <w:rPr>
          <w:rFonts w:hint="eastAsia" w:ascii="宋体" w:hAnsi="宋体" w:eastAsia="宋体" w:cs="宋体"/>
          <w:color w:val="auto"/>
          <w:sz w:val="24"/>
          <w:highlight w:val="none"/>
        </w:rPr>
      </w:pPr>
    </w:p>
    <w:p w14:paraId="4F8FBFC2">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资格审查文件、商务技术文件、报价文件（相应选择一个投标文件封面外包装名称）</w:t>
      </w:r>
    </w:p>
    <w:p w14:paraId="2D3B6EE2">
      <w:pPr>
        <w:spacing w:line="48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p>
    <w:p w14:paraId="4A6022B9">
      <w:pPr>
        <w:spacing w:line="48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p>
    <w:p w14:paraId="7F53F104">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标项：</w:t>
      </w:r>
    </w:p>
    <w:p w14:paraId="316235B5">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p w14:paraId="60F8EEF7">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p w14:paraId="583933D4">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C0176D9">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A0410E2">
      <w:pPr>
        <w:spacing w:line="360" w:lineRule="auto"/>
        <w:rPr>
          <w:rFonts w:hint="eastAsia" w:ascii="宋体" w:hAnsi="宋体" w:eastAsia="宋体" w:cs="宋体"/>
          <w:color w:val="auto"/>
          <w:sz w:val="24"/>
          <w:highlight w:val="none"/>
        </w:rPr>
      </w:pPr>
    </w:p>
    <w:p w14:paraId="35EF01B8">
      <w:pPr>
        <w:rPr>
          <w:rFonts w:hint="eastAsia" w:ascii="宋体" w:hAnsi="宋体" w:eastAsia="宋体" w:cs="宋体"/>
          <w:color w:val="auto"/>
          <w:sz w:val="24"/>
          <w:highlight w:val="none"/>
        </w:rPr>
      </w:pPr>
    </w:p>
    <w:p w14:paraId="131E4E3A">
      <w:pPr>
        <w:rPr>
          <w:rFonts w:hint="eastAsia" w:ascii="宋体" w:hAnsi="宋体" w:eastAsia="宋体" w:cs="宋体"/>
          <w:color w:val="auto"/>
          <w:sz w:val="24"/>
          <w:highlight w:val="none"/>
        </w:rPr>
      </w:pPr>
    </w:p>
    <w:p w14:paraId="1DF5FBA7">
      <w:pPr>
        <w:spacing w:line="360" w:lineRule="auto"/>
        <w:rPr>
          <w:rFonts w:hint="eastAsia" w:ascii="宋体" w:hAnsi="宋体" w:eastAsia="宋体" w:cs="宋体"/>
          <w:b/>
          <w:color w:val="auto"/>
          <w:sz w:val="24"/>
          <w:highlight w:val="none"/>
        </w:rPr>
      </w:pPr>
    </w:p>
    <w:p w14:paraId="5894C4C2">
      <w:pPr>
        <w:spacing w:line="360" w:lineRule="auto"/>
        <w:rPr>
          <w:rFonts w:hint="eastAsia" w:ascii="宋体" w:hAnsi="宋体" w:eastAsia="宋体" w:cs="宋体"/>
          <w:color w:val="auto"/>
          <w:sz w:val="24"/>
          <w:highlight w:val="none"/>
        </w:rPr>
      </w:pPr>
    </w:p>
    <w:p w14:paraId="0603D50D">
      <w:pPr>
        <w:rPr>
          <w:rFonts w:hint="eastAsia"/>
          <w:color w:val="auto"/>
          <w:highlight w:val="none"/>
        </w:rPr>
      </w:pPr>
    </w:p>
    <w:p w14:paraId="7D8DAD94">
      <w:pPr>
        <w:spacing w:line="360" w:lineRule="auto"/>
        <w:rPr>
          <w:rFonts w:hint="eastAsia" w:ascii="宋体" w:hAnsi="宋体" w:eastAsia="宋体" w:cs="宋体"/>
          <w:b/>
          <w:color w:val="auto"/>
          <w:sz w:val="24"/>
          <w:highlight w:val="none"/>
        </w:rPr>
      </w:pPr>
    </w:p>
    <w:p w14:paraId="559D018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2.资格审查文件：</w:t>
      </w:r>
    </w:p>
    <w:p w14:paraId="638828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（1）具有独立承担民事责任的能力：投标人须在投标文件中出具符合以下情况的证明材料复印件（五选一）：</w:t>
      </w:r>
    </w:p>
    <w:p w14:paraId="1491EA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①如投标人是企业（包括合伙企业），提供在工商部门注册的有效“企业法人营业执照”或“营业执照”；</w:t>
      </w:r>
    </w:p>
    <w:p w14:paraId="34D21D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②如投标人是事业单位，提供有效的“事业单位法人证书”；</w:t>
      </w:r>
    </w:p>
    <w:p w14:paraId="7BB389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③如投标人是非企业专业服务机构的，提供执业许可证等证明文件；</w:t>
      </w:r>
    </w:p>
    <w:p w14:paraId="2C1293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④如投标人是个体工商户，提供有效的“个体工商户营业执照”；</w:t>
      </w:r>
    </w:p>
    <w:p w14:paraId="1282D3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⑤如投标人是自然人，提供有效的自然人身份证明（居民身份证正反面或公安机关出具的临时居民身份证正反面或港澳台胞证或护照）。</w:t>
      </w:r>
    </w:p>
    <w:p w14:paraId="74675E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（2）法定代表人身份证复印件或法定代表人授权委托书</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格式见附件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062A96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（3）联合体协议书（联合体投标时提供）（格式见附件）</w:t>
      </w:r>
      <w:r>
        <w:rPr>
          <w:rFonts w:hint="eastAsia" w:ascii="宋体" w:hAnsi="宋体" w:cs="宋体"/>
          <w:color w:val="auto"/>
          <w:sz w:val="24"/>
          <w:highlight w:val="none"/>
          <w:lang w:eastAsia="zh-CN"/>
        </w:rPr>
        <w:t>、</w:t>
      </w:r>
      <w:r>
        <w:rPr>
          <w:rFonts w:hint="eastAsia" w:ascii="宋体" w:hAnsi="宋体" w:eastAsia="宋体" w:cs="宋体"/>
          <w:bCs/>
          <w:color w:val="auto"/>
          <w:sz w:val="24"/>
          <w:highlight w:val="none"/>
        </w:rPr>
        <w:t>分包协议（分包时提供，格式见附件）</w:t>
      </w:r>
      <w:r>
        <w:rPr>
          <w:rFonts w:hint="eastAsia" w:ascii="宋体" w:hAnsi="宋体" w:eastAsia="宋体" w:cs="宋体"/>
          <w:color w:val="auto"/>
          <w:sz w:val="24"/>
          <w:highlight w:val="none"/>
        </w:rPr>
        <w:t>；</w:t>
      </w:r>
    </w:p>
    <w:p w14:paraId="6955F42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符合参加政府采购活动应当具备的一般条件的承诺函</w:t>
      </w:r>
      <w:r>
        <w:rPr>
          <w:rFonts w:hint="eastAsia" w:ascii="宋体" w:hAnsi="宋体" w:eastAsia="宋体" w:cs="宋体"/>
          <w:color w:val="auto"/>
          <w:sz w:val="24"/>
          <w:highlight w:val="none"/>
        </w:rPr>
        <w:t>（格式见附件）</w:t>
      </w:r>
      <w:r>
        <w:rPr>
          <w:rFonts w:hint="eastAsia" w:ascii="宋体" w:hAnsi="宋体" w:cs="宋体"/>
          <w:color w:val="auto"/>
          <w:sz w:val="24"/>
          <w:highlight w:val="none"/>
          <w:lang w:eastAsia="zh-CN"/>
        </w:rPr>
        <w:t>；</w:t>
      </w:r>
    </w:p>
    <w:p w14:paraId="7CEA42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 </w:t>
      </w:r>
    </w:p>
    <w:p w14:paraId="233D788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w:t>
      </w:r>
      <w:r>
        <w:rPr>
          <w:rFonts w:hint="eastAsia" w:ascii="宋体" w:hAnsi="宋体" w:cs="宋体"/>
          <w:color w:val="auto"/>
          <w:sz w:val="24"/>
          <w:highlight w:val="none"/>
        </w:rPr>
        <w:t>中小企业声明函（格式见附件）</w:t>
      </w:r>
      <w:r>
        <w:rPr>
          <w:rFonts w:hint="eastAsia" w:ascii="宋体" w:hAnsi="宋体" w:cs="宋体"/>
          <w:color w:val="auto"/>
          <w:sz w:val="24"/>
          <w:highlight w:val="none"/>
          <w:lang w:eastAsia="zh-CN"/>
        </w:rPr>
        <w:t>；</w:t>
      </w:r>
    </w:p>
    <w:p w14:paraId="0980A1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）浙江政府采购网注册正式供应商的网络截图或承诺中标后30天内注册为浙江政府采购网正式供应商（须提供承诺书）；</w:t>
      </w:r>
    </w:p>
    <w:p w14:paraId="2D09EFB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）东阳市政府采购代理机构社会评价表（格式见附件）</w:t>
      </w:r>
      <w:r>
        <w:rPr>
          <w:rFonts w:hint="eastAsia" w:ascii="宋体" w:hAnsi="宋体" w:cs="宋体"/>
          <w:color w:val="auto"/>
          <w:sz w:val="24"/>
          <w:highlight w:val="none"/>
          <w:lang w:eastAsia="zh-CN"/>
        </w:rPr>
        <w:t>；</w:t>
      </w:r>
    </w:p>
    <w:p w14:paraId="49C563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 xml:space="preserve">）投标声明书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格式见附件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04F7A3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 xml:space="preserve">）政府采购活动现场确认声明书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格式见附件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504E99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）投标人情况介绍；</w:t>
      </w:r>
    </w:p>
    <w:p w14:paraId="6D7872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）投标人认为有必要提供的</w:t>
      </w:r>
      <w:r>
        <w:rPr>
          <w:rFonts w:hint="eastAsia" w:ascii="宋体" w:hAnsi="宋体" w:cs="宋体"/>
          <w:color w:val="auto"/>
          <w:sz w:val="24"/>
          <w:highlight w:val="none"/>
          <w:lang w:eastAsia="zh-CN"/>
        </w:rPr>
        <w:t>其他</w:t>
      </w:r>
      <w:r>
        <w:rPr>
          <w:rFonts w:hint="eastAsia" w:ascii="宋体" w:hAnsi="宋体" w:eastAsia="宋体" w:cs="宋体"/>
          <w:color w:val="auto"/>
          <w:sz w:val="24"/>
          <w:highlight w:val="none"/>
        </w:rPr>
        <w:t>文件。</w:t>
      </w:r>
    </w:p>
    <w:p w14:paraId="20972FA0">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.商务技术文件</w:t>
      </w:r>
    </w:p>
    <w:p w14:paraId="651B5E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508DC3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19327F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499A01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（4）项目理解；</w:t>
      </w:r>
    </w:p>
    <w:p w14:paraId="176B2E3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（5）规划构思；</w:t>
      </w:r>
    </w:p>
    <w:p w14:paraId="6707B8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（6）工作计划；</w:t>
      </w:r>
    </w:p>
    <w:p w14:paraId="18CE45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（7）拟派项目组人员；</w:t>
      </w:r>
    </w:p>
    <w:p w14:paraId="6D1923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（8）同类业绩（格式见附件）；</w:t>
      </w:r>
    </w:p>
    <w:p w14:paraId="0D4085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（9）企业荣誉；</w:t>
      </w:r>
    </w:p>
    <w:p w14:paraId="0782B5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（10）认证证书；</w:t>
      </w:r>
    </w:p>
    <w:p w14:paraId="257312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（11）质量保证措施；</w:t>
      </w:r>
    </w:p>
    <w:p w14:paraId="0AE945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（12）服务承诺；</w:t>
      </w:r>
    </w:p>
    <w:p w14:paraId="30B87C1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（13）服务费承诺书（格式见附件）；</w:t>
      </w:r>
    </w:p>
    <w:p w14:paraId="209996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（14）投标人需要说明的其他文件和说明。</w:t>
      </w:r>
    </w:p>
    <w:p w14:paraId="1F81F667">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.报价文件</w:t>
      </w:r>
    </w:p>
    <w:p w14:paraId="6F0A4E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（1）投标函（格式见附件）； </w:t>
      </w:r>
    </w:p>
    <w:p w14:paraId="1E7FE3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中小企业声明函（格式见附件）</w:t>
      </w:r>
      <w:r>
        <w:rPr>
          <w:rFonts w:hint="eastAsia" w:ascii="宋体" w:hAnsi="宋体" w:eastAsia="宋体" w:cs="宋体"/>
          <w:color w:val="auto"/>
          <w:sz w:val="24"/>
          <w:highlight w:val="none"/>
        </w:rPr>
        <w:t>；</w:t>
      </w:r>
    </w:p>
    <w:p w14:paraId="5A2182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监狱企业证明文件；</w:t>
      </w:r>
    </w:p>
    <w:p w14:paraId="18ACF0E1">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残疾人福利性单位声明函（格式见附件）；</w:t>
      </w:r>
    </w:p>
    <w:p w14:paraId="2BA15469">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（5）开标一览表（格式见附件）； </w:t>
      </w:r>
    </w:p>
    <w:p w14:paraId="319225B5">
      <w:pPr>
        <w:spacing w:line="360" w:lineRule="auto"/>
        <w:ind w:firstLine="480" w:firstLineChars="200"/>
        <w:rPr>
          <w:rFonts w:hint="eastAsia" w:ascii="宋体" w:hAnsi="宋体" w:eastAsia="宋体" w:cs="宋体"/>
          <w:b/>
          <w:bCs/>
          <w:color w:val="auto"/>
          <w:sz w:val="24"/>
          <w:highlight w:val="none"/>
        </w:rPr>
      </w:pPr>
      <w:r>
        <w:rPr>
          <w:rFonts w:hint="eastAsia" w:ascii="宋体" w:hAnsi="宋体" w:cs="宋体"/>
          <w:color w:val="auto"/>
          <w:sz w:val="24"/>
          <w:highlight w:val="none"/>
          <w:lang w:val="en-US" w:eastAsia="zh-CN"/>
        </w:rPr>
        <w:t>（6）投标人针对报价需要说明的其他文件和说明（格式自拟）</w:t>
      </w:r>
      <w:r>
        <w:rPr>
          <w:rFonts w:hint="eastAsia" w:ascii="宋体" w:hAnsi="宋体" w:eastAsia="宋体" w:cs="宋体"/>
          <w:color w:val="auto"/>
          <w:sz w:val="24"/>
          <w:highlight w:val="none"/>
        </w:rPr>
        <w:t>。</w:t>
      </w:r>
    </w:p>
    <w:p w14:paraId="7A3FFDB5">
      <w:pPr>
        <w:spacing w:line="360" w:lineRule="auto"/>
        <w:rPr>
          <w:rFonts w:hint="eastAsia" w:ascii="宋体" w:hAnsi="宋体" w:eastAsia="宋体" w:cs="宋体"/>
          <w:b/>
          <w:bCs/>
          <w:color w:val="auto"/>
          <w:sz w:val="24"/>
          <w:highlight w:val="none"/>
        </w:rPr>
      </w:pPr>
    </w:p>
    <w:p w14:paraId="15C0B3DE">
      <w:pPr>
        <w:spacing w:line="360" w:lineRule="auto"/>
        <w:rPr>
          <w:rFonts w:hint="eastAsia" w:ascii="宋体" w:hAnsi="宋体" w:eastAsia="宋体" w:cs="宋体"/>
          <w:b/>
          <w:bCs/>
          <w:color w:val="auto"/>
          <w:sz w:val="24"/>
          <w:highlight w:val="none"/>
        </w:rPr>
      </w:pPr>
    </w:p>
    <w:p w14:paraId="43262F9E">
      <w:pPr>
        <w:pStyle w:val="3"/>
        <w:keepNext w:val="0"/>
        <w:keepLines w:val="0"/>
        <w:pageBreakBefore/>
        <w:spacing w:line="360" w:lineRule="auto"/>
        <w:rPr>
          <w:rFonts w:hint="eastAsia" w:ascii="宋体" w:hAnsi="宋体" w:eastAsia="宋体" w:cs="宋体"/>
          <w:b w:val="0"/>
          <w:color w:val="auto"/>
          <w:sz w:val="24"/>
          <w:szCs w:val="24"/>
          <w:highlight w:val="none"/>
        </w:rPr>
      </w:pPr>
      <w:bookmarkStart w:id="281" w:name="_Toc19341"/>
      <w:bookmarkStart w:id="282" w:name="_Toc27356"/>
      <w:bookmarkStart w:id="283" w:name="_Toc10826"/>
      <w:r>
        <w:rPr>
          <w:rFonts w:hint="eastAsia" w:ascii="宋体" w:hAnsi="宋体" w:eastAsia="宋体" w:cs="宋体"/>
          <w:b w:val="0"/>
          <w:color w:val="auto"/>
          <w:sz w:val="24"/>
          <w:szCs w:val="24"/>
          <w:highlight w:val="none"/>
        </w:rPr>
        <w:t>附件一：投标声明书</w:t>
      </w:r>
      <w:bookmarkEnd w:id="281"/>
      <w:bookmarkEnd w:id="282"/>
      <w:bookmarkEnd w:id="283"/>
    </w:p>
    <w:p w14:paraId="038A742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投标声明书</w:t>
      </w:r>
    </w:p>
    <w:p w14:paraId="3662FFF0">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185DFAC7">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ED64486">
      <w:pPr>
        <w:snapToGrid w:val="0"/>
        <w:spacing w:before="120" w:beforeLines="50" w:after="50" w:line="276" w:lineRule="auto"/>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（投标人名称）的法定代表人，我方愿意参加贵方组织的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项目的投标，为便于贵方公正、择优地确定中标人及其投标服务，我方就本次投标有关事项郑重声明如下：</w:t>
      </w:r>
    </w:p>
    <w:p w14:paraId="0B00D2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1.我方向贵方提交的所有投标文件、资料都是准确的和真实的。若有违背，我公司愿为由此而产生的一切后果负责。</w:t>
      </w:r>
    </w:p>
    <w:p w14:paraId="20CBDC85">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2.我方不是采购人的附属机构；在获知本项目采购信息后，与采购人聘请的为此项目提供咨询服务的公司及其附属机构没有任何联系。</w:t>
      </w:r>
    </w:p>
    <w:p w14:paraId="7BF345F6">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3.我方诚意提请贵方关注：近期有</w:t>
      </w:r>
      <w:r>
        <w:rPr>
          <w:rFonts w:hint="eastAsia" w:ascii="宋体" w:hAnsi="宋体" w:eastAsia="宋体" w:cs="宋体"/>
          <w:color w:val="auto"/>
          <w:sz w:val="24"/>
          <w:highlight w:val="none"/>
          <w:u w:val="single"/>
        </w:rPr>
        <w:t xml:space="preserve">      （采购内容）</w:t>
      </w:r>
      <w:r>
        <w:rPr>
          <w:rFonts w:hint="eastAsia" w:ascii="宋体" w:hAnsi="宋体" w:eastAsia="宋体" w:cs="宋体"/>
          <w:color w:val="auto"/>
          <w:sz w:val="24"/>
          <w:highlight w:val="none"/>
        </w:rPr>
        <w:t>等方面的重大决策和事项有：</w:t>
      </w:r>
    </w:p>
    <w:p w14:paraId="36AA5A1D">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0F5C03B3">
      <w:pPr>
        <w:snapToGrid w:val="0"/>
        <w:spacing w:before="120" w:beforeLines="50"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w:t>
      </w:r>
    </w:p>
    <w:p w14:paraId="53541E17">
      <w:pPr>
        <w:pStyle w:val="17"/>
        <w:snapToGrid w:val="0"/>
        <w:spacing w:line="276"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4.我方及由本人担任法定代表人的其他机构最近三年内被通报或者被处罚的违法行为有：</w:t>
      </w:r>
    </w:p>
    <w:p w14:paraId="3DB931B5">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609492C2">
      <w:pPr>
        <w:snapToGrid w:val="0"/>
        <w:spacing w:before="120" w:beforeLines="50" w:line="276"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w:t>
      </w:r>
    </w:p>
    <w:p w14:paraId="48E17AC6">
      <w:pPr>
        <w:snapToGrid w:val="0"/>
        <w:spacing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5.以上事项如有虚假或隐瞒，我方愿意承担一切后果，并不再寻求任何旨在减轻或免除法律责任的辩解。</w:t>
      </w:r>
    </w:p>
    <w:p w14:paraId="661A7E21">
      <w:pPr>
        <w:pStyle w:val="18"/>
        <w:tabs>
          <w:tab w:val="left" w:pos="939"/>
        </w:tabs>
        <w:snapToGrid w:val="0"/>
        <w:spacing w:line="276" w:lineRule="auto"/>
        <w:ind w:left="773" w:leftChars="150" w:hanging="458" w:hangingChars="191"/>
        <w:rPr>
          <w:rFonts w:hint="eastAsia" w:ascii="宋体" w:hAnsi="宋体" w:eastAsia="宋体" w:cs="宋体"/>
          <w:color w:val="auto"/>
          <w:sz w:val="24"/>
          <w:highlight w:val="none"/>
        </w:rPr>
      </w:pPr>
    </w:p>
    <w:p w14:paraId="70CFB236">
      <w:pPr>
        <w:pStyle w:val="112"/>
        <w:snapToGrid w:val="0"/>
        <w:spacing w:before="120" w:beforeLines="50" w:line="276" w:lineRule="auto"/>
        <w:ind w:firstLine="200"/>
        <w:rPr>
          <w:rFonts w:hint="eastAsia" w:ascii="宋体" w:hAnsi="宋体" w:eastAsia="宋体" w:cs="宋体"/>
          <w:color w:val="auto"/>
          <w:szCs w:val="24"/>
          <w:highlight w:val="none"/>
        </w:rPr>
      </w:pPr>
    </w:p>
    <w:p w14:paraId="0DB19A54">
      <w:pPr>
        <w:snapToGrid w:val="0"/>
        <w:spacing w:before="120" w:beforeLines="50" w:line="276" w:lineRule="auto"/>
        <w:ind w:firstLine="319" w:firstLineChars="133"/>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z w:val="24"/>
          <w:highlight w:val="none"/>
          <w:u w:val="single"/>
        </w:rPr>
        <w:t xml:space="preserve">             </w:t>
      </w:r>
    </w:p>
    <w:p w14:paraId="4ABD2706">
      <w:pPr>
        <w:snapToGrid w:val="0"/>
        <w:spacing w:before="120" w:beforeLines="50" w:after="50" w:line="27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B377425">
      <w:pPr>
        <w:snapToGrid w:val="0"/>
        <w:spacing w:before="120" w:beforeLines="50" w:after="50" w:line="276" w:lineRule="auto"/>
        <w:ind w:firstLine="6240" w:firstLineChars="26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99CA212">
      <w:pPr>
        <w:snapToGrid w:val="0"/>
        <w:spacing w:before="120" w:beforeLines="50" w:after="50" w:line="276" w:lineRule="auto"/>
        <w:ind w:firstLine="6240" w:firstLineChars="2600"/>
        <w:rPr>
          <w:rFonts w:hint="eastAsia" w:ascii="宋体" w:hAnsi="宋体" w:eastAsia="宋体" w:cs="宋体"/>
          <w:color w:val="auto"/>
          <w:sz w:val="24"/>
          <w:highlight w:val="none"/>
        </w:rPr>
      </w:pPr>
    </w:p>
    <w:p w14:paraId="3E4F8986">
      <w:pPr>
        <w:snapToGrid w:val="0"/>
        <w:spacing w:before="120" w:beforeLines="50" w:after="50" w:line="276" w:lineRule="auto"/>
        <w:ind w:firstLine="6240" w:firstLineChars="2600"/>
        <w:rPr>
          <w:rFonts w:hint="eastAsia" w:ascii="宋体" w:hAnsi="宋体" w:eastAsia="宋体" w:cs="宋体"/>
          <w:color w:val="auto"/>
          <w:sz w:val="24"/>
          <w:highlight w:val="none"/>
        </w:rPr>
      </w:pPr>
    </w:p>
    <w:p w14:paraId="3B89AB3F">
      <w:pPr>
        <w:snapToGrid w:val="0"/>
        <w:spacing w:before="120" w:beforeLines="50" w:after="50" w:line="276" w:lineRule="auto"/>
        <w:ind w:firstLine="6240" w:firstLineChars="2600"/>
        <w:rPr>
          <w:rFonts w:hint="eastAsia" w:ascii="宋体" w:hAnsi="宋体" w:eastAsia="宋体" w:cs="宋体"/>
          <w:color w:val="auto"/>
          <w:sz w:val="24"/>
          <w:highlight w:val="none"/>
        </w:rPr>
      </w:pPr>
    </w:p>
    <w:p w14:paraId="74E8C12E">
      <w:pPr>
        <w:pStyle w:val="3"/>
        <w:keepNext w:val="0"/>
        <w:keepLines w:val="0"/>
        <w:pageBreakBefore/>
        <w:spacing w:line="360" w:lineRule="auto"/>
        <w:rPr>
          <w:rFonts w:ascii="宋体" w:hAnsi="宋体" w:eastAsia="宋体" w:cs="宋体"/>
          <w:b w:val="0"/>
          <w:bCs w:val="0"/>
          <w:color w:val="auto"/>
          <w:sz w:val="24"/>
          <w:szCs w:val="24"/>
          <w:highlight w:val="none"/>
        </w:rPr>
      </w:pPr>
      <w:bookmarkStart w:id="284" w:name="_Toc24340"/>
      <w:bookmarkStart w:id="285" w:name="_Toc30843"/>
      <w:bookmarkStart w:id="286" w:name="_Toc23315"/>
      <w:bookmarkStart w:id="287" w:name="_Toc7476"/>
      <w:bookmarkStart w:id="288" w:name="_Toc6804"/>
      <w:bookmarkStart w:id="289" w:name="_Toc29004"/>
      <w:bookmarkStart w:id="290" w:name="_Toc20667"/>
      <w:bookmarkStart w:id="291" w:name="_Toc10320"/>
      <w:r>
        <w:rPr>
          <w:rFonts w:hint="eastAsia" w:ascii="宋体" w:hAnsi="宋体" w:eastAsia="宋体" w:cs="宋体"/>
          <w:b w:val="0"/>
          <w:bCs w:val="0"/>
          <w:color w:val="auto"/>
          <w:sz w:val="24"/>
          <w:szCs w:val="24"/>
          <w:highlight w:val="none"/>
        </w:rPr>
        <w:t>附件二：</w:t>
      </w:r>
      <w:bookmarkEnd w:id="284"/>
      <w:bookmarkEnd w:id="285"/>
      <w:r>
        <w:rPr>
          <w:rFonts w:hint="eastAsia" w:ascii="宋体" w:hAnsi="宋体" w:eastAsia="宋体" w:cs="宋体"/>
          <w:b w:val="0"/>
          <w:bCs w:val="0"/>
          <w:color w:val="auto"/>
          <w:sz w:val="24"/>
          <w:szCs w:val="24"/>
          <w:highlight w:val="none"/>
        </w:rPr>
        <w:t>符合参加政府采购活动应当具备的一般条件的承诺函</w:t>
      </w:r>
      <w:bookmarkEnd w:id="286"/>
      <w:bookmarkEnd w:id="287"/>
      <w:bookmarkEnd w:id="288"/>
      <w:bookmarkEnd w:id="289"/>
    </w:p>
    <w:p w14:paraId="4763360A">
      <w:pPr>
        <w:pStyle w:val="32"/>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3E5186E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60560B71">
      <w:pPr>
        <w:pStyle w:val="32"/>
        <w:spacing w:before="0" w:after="0" w:line="360" w:lineRule="auto"/>
        <w:ind w:firstLine="480" w:firstLineChars="20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5E724B5C">
      <w:pPr>
        <w:pStyle w:val="32"/>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0703F219">
      <w:pPr>
        <w:pStyle w:val="32"/>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3D9CA246">
      <w:pPr>
        <w:pStyle w:val="32"/>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462CBA96">
      <w:pPr>
        <w:pStyle w:val="32"/>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3477E05D">
      <w:pPr>
        <w:pStyle w:val="32"/>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1F48CCB7">
      <w:pPr>
        <w:pStyle w:val="32"/>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1DFA23FD">
      <w:pPr>
        <w:pStyle w:val="32"/>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011645E8">
      <w:pPr>
        <w:pStyle w:val="32"/>
        <w:spacing w:before="0" w:after="0" w:line="360" w:lineRule="auto"/>
        <w:ind w:firstLine="480" w:firstLineChars="200"/>
        <w:jc w:val="both"/>
        <w:rPr>
          <w:color w:val="auto"/>
          <w:kern w:val="2"/>
          <w:highlight w:val="none"/>
        </w:rPr>
      </w:pPr>
      <w:r>
        <w:rPr>
          <w:rFonts w:hint="eastAsia"/>
          <w:color w:val="auto"/>
          <w:kern w:val="2"/>
          <w:highlight w:val="none"/>
        </w:rPr>
        <w:t>（二）未被信用中国www.creditchina.gov.cn</w:t>
      </w:r>
      <w:r>
        <w:rPr>
          <w:rFonts w:hint="eastAsia"/>
          <w:color w:val="auto"/>
          <w:kern w:val="2"/>
          <w:highlight w:val="none"/>
          <w:lang w:eastAsia="zh-CN"/>
        </w:rPr>
        <w:t>）</w:t>
      </w:r>
      <w:r>
        <w:rPr>
          <w:rFonts w:hint="eastAsia"/>
          <w:color w:val="auto"/>
          <w:kern w:val="2"/>
          <w:highlight w:val="none"/>
        </w:rPr>
        <w:t>、中国政府采购网（www.ccgp.gov.cn）列入失信被执行人、重大税收违法案件当事人名单、政府采购严重违法失信行为记录名单。</w:t>
      </w:r>
    </w:p>
    <w:p w14:paraId="59C5A45D">
      <w:pPr>
        <w:pStyle w:val="32"/>
        <w:spacing w:before="0" w:after="0" w:line="360" w:lineRule="auto"/>
        <w:ind w:firstLine="480" w:firstLineChars="200"/>
        <w:jc w:val="both"/>
        <w:rPr>
          <w:color w:val="auto"/>
          <w:kern w:val="2"/>
          <w:highlight w:val="none"/>
        </w:rPr>
      </w:pPr>
      <w:r>
        <w:rPr>
          <w:rFonts w:hint="eastAsia"/>
          <w:color w:val="auto"/>
          <w:kern w:val="2"/>
          <w:highlight w:val="none"/>
        </w:rPr>
        <w:t>（三）不存在以下情况：</w:t>
      </w:r>
    </w:p>
    <w:p w14:paraId="2B1D369E">
      <w:pPr>
        <w:pStyle w:val="32"/>
        <w:spacing w:before="0" w:after="0" w:line="360" w:lineRule="auto"/>
        <w:ind w:firstLine="480" w:firstLineChars="20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3CA23F92">
      <w:pPr>
        <w:pStyle w:val="32"/>
        <w:spacing w:before="0" w:after="0" w:line="360" w:lineRule="auto"/>
        <w:ind w:firstLine="480" w:firstLineChars="20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1DA60C13">
      <w:pPr>
        <w:pStyle w:val="32"/>
        <w:spacing w:before="0" w:after="0" w:line="360" w:lineRule="auto"/>
        <w:ind w:left="480"/>
        <w:jc w:val="both"/>
        <w:rPr>
          <w:color w:val="auto"/>
          <w:kern w:val="2"/>
          <w:highlight w:val="none"/>
        </w:rPr>
      </w:pPr>
    </w:p>
    <w:p w14:paraId="3DE2FA14">
      <w:pPr>
        <w:pStyle w:val="32"/>
        <w:spacing w:before="0" w:after="0" w:line="360" w:lineRule="auto"/>
        <w:ind w:left="480"/>
        <w:jc w:val="both"/>
        <w:rPr>
          <w:color w:val="auto"/>
          <w:kern w:val="2"/>
          <w:highlight w:val="none"/>
        </w:rPr>
      </w:pPr>
    </w:p>
    <w:p w14:paraId="23C3D49C">
      <w:pPr>
        <w:pStyle w:val="32"/>
        <w:spacing w:before="0" w:after="0" w:line="360" w:lineRule="auto"/>
        <w:ind w:left="480"/>
        <w:jc w:val="both"/>
        <w:rPr>
          <w:color w:val="auto"/>
          <w:kern w:val="2"/>
          <w:highlight w:val="none"/>
        </w:rPr>
      </w:pPr>
    </w:p>
    <w:p w14:paraId="008D52CE">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7E69EA8C">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02B1B4E8">
      <w:pPr>
        <w:rPr>
          <w:rFonts w:ascii="宋体" w:hAnsi="宋体" w:cs="宋体"/>
          <w:color w:val="auto"/>
          <w:sz w:val="24"/>
          <w:highlight w:val="none"/>
        </w:rPr>
      </w:pPr>
    </w:p>
    <w:p w14:paraId="7D1DFC11">
      <w:pPr>
        <w:pStyle w:val="3"/>
        <w:keepNext w:val="0"/>
        <w:keepLines w:val="0"/>
        <w:pageBreakBefore/>
        <w:spacing w:line="360" w:lineRule="auto"/>
        <w:rPr>
          <w:rFonts w:hint="eastAsia" w:ascii="宋体" w:hAnsi="宋体" w:eastAsia="宋体" w:cs="宋体"/>
          <w:b w:val="0"/>
          <w:bCs w:val="0"/>
          <w:color w:val="auto"/>
          <w:sz w:val="24"/>
          <w:szCs w:val="24"/>
          <w:highlight w:val="none"/>
        </w:rPr>
      </w:pPr>
      <w:bookmarkStart w:id="292" w:name="_Toc10272"/>
      <w:bookmarkStart w:id="293" w:name="_Toc17503"/>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：政府采购活动现场确认声明书</w:t>
      </w:r>
      <w:bookmarkEnd w:id="290"/>
      <w:bookmarkEnd w:id="291"/>
      <w:bookmarkEnd w:id="292"/>
      <w:bookmarkEnd w:id="293"/>
    </w:p>
    <w:p w14:paraId="305FA7F1">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政府采购活动现场确认声明书</w:t>
      </w:r>
    </w:p>
    <w:p w14:paraId="5F8C1394">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浙江鼎峰工程咨询有限公司</w:t>
      </w:r>
      <w:r>
        <w:rPr>
          <w:rFonts w:hint="eastAsia" w:ascii="宋体" w:hAnsi="宋体" w:eastAsia="宋体" w:cs="宋体"/>
          <w:color w:val="auto"/>
          <w:sz w:val="24"/>
          <w:highlight w:val="none"/>
        </w:rPr>
        <w:t xml:space="preserve"> :</w:t>
      </w:r>
    </w:p>
    <w:p w14:paraId="63C3171A">
      <w:pPr>
        <w:snapToGrid w:val="0"/>
        <w:spacing w:before="120" w:beforeLines="50" w:after="50" w:line="276"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（授权代表姓名），经由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（法定代表人姓名）合法授权参加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）政府采购活动．经与本单位法人代表（负责人）联系确认，现就有关公平竞争事项郑重声明如下</w:t>
      </w:r>
      <w:r>
        <w:rPr>
          <w:rFonts w:hint="eastAsia" w:ascii="宋体" w:hAnsi="宋体" w:cs="宋体"/>
          <w:color w:val="auto"/>
          <w:sz w:val="24"/>
          <w:highlight w:val="none"/>
          <w:lang w:eastAsia="zh-CN"/>
        </w:rPr>
        <w:t>：</w:t>
      </w:r>
    </w:p>
    <w:p w14:paraId="674E2657">
      <w:pPr>
        <w:snapToGrid w:val="0"/>
        <w:spacing w:before="120" w:beforeLines="50" w:after="50" w:line="276" w:lineRule="auto"/>
        <w:outlineLvl w:val="1"/>
        <w:rPr>
          <w:rFonts w:hint="eastAsia" w:ascii="宋体" w:hAnsi="宋体" w:eastAsia="宋体" w:cs="宋体"/>
          <w:color w:val="auto"/>
          <w:sz w:val="24"/>
          <w:highlight w:val="none"/>
        </w:rPr>
      </w:pPr>
      <w:bookmarkStart w:id="294" w:name="_Toc14043"/>
      <w:bookmarkStart w:id="295" w:name="_Toc890"/>
      <w:bookmarkStart w:id="296" w:name="_Toc5973"/>
      <w:bookmarkStart w:id="297" w:name="_Toc29357"/>
      <w:bookmarkStart w:id="298" w:name="_Toc17639"/>
      <w:r>
        <w:rPr>
          <w:rFonts w:hint="eastAsia" w:ascii="宋体" w:hAnsi="宋体" w:eastAsia="宋体" w:cs="宋体"/>
          <w:color w:val="auto"/>
          <w:sz w:val="24"/>
          <w:highlight w:val="none"/>
        </w:rPr>
        <w:t>一、本单位与采购人</w:t>
      </w:r>
      <w:r>
        <w:rPr>
          <w:rFonts w:hint="eastAsia" w:ascii="宋体" w:hAnsi="宋体" w:cs="宋体"/>
          <w:color w:val="auto"/>
          <w:sz w:val="24"/>
          <w:highlight w:val="none"/>
          <w:lang w:eastAsia="zh-CN"/>
        </w:rPr>
        <w:t>之间□</w:t>
      </w:r>
      <w:r>
        <w:rPr>
          <w:rFonts w:hint="eastAsia" w:ascii="宋体" w:hAnsi="宋体" w:eastAsia="宋体" w:cs="宋体"/>
          <w:color w:val="auto"/>
          <w:sz w:val="24"/>
          <w:highlight w:val="none"/>
        </w:rPr>
        <w:t>不存在利害关系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存在下列利害关系</w:t>
      </w:r>
      <w:r>
        <w:rPr>
          <w:rFonts w:hint="eastAsia" w:ascii="宋体" w:hAnsi="宋体" w:cs="宋体"/>
          <w:color w:val="auto"/>
          <w:sz w:val="24"/>
          <w:highlight w:val="none"/>
          <w:lang w:eastAsia="zh-CN"/>
        </w:rPr>
        <w:t>：</w:t>
      </w:r>
      <w:bookmarkEnd w:id="294"/>
      <w:bookmarkEnd w:id="295"/>
      <w:bookmarkEnd w:id="296"/>
      <w:bookmarkEnd w:id="297"/>
      <w:bookmarkEnd w:id="298"/>
    </w:p>
    <w:p w14:paraId="6C6E60C2">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B．行政隶属关系</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C．业务指导关系  D．其他可能影响采购公正的利害关系（如有，请如实说明）。</w:t>
      </w:r>
    </w:p>
    <w:p w14:paraId="6B3DE8A9">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cs="宋体"/>
          <w:color w:val="auto"/>
          <w:sz w:val="24"/>
          <w:highlight w:val="none"/>
          <w:lang w:eastAsia="zh-CN"/>
        </w:rPr>
        <w:t>现已</w:t>
      </w:r>
      <w:r>
        <w:rPr>
          <w:rFonts w:hint="eastAsia" w:ascii="宋体" w:hAnsi="宋体" w:eastAsia="宋体" w:cs="宋体"/>
          <w:color w:val="auto"/>
          <w:sz w:val="24"/>
          <w:highlight w:val="none"/>
        </w:rPr>
        <w:t>清楚知道参加本项目采购活动的其他所有供应商名称，本单位</w:t>
      </w:r>
      <w:r>
        <w:rPr>
          <w:rFonts w:hint="eastAsia" w:ascii="宋体" w:hAnsi="宋体" w:cs="宋体"/>
          <w:color w:val="auto"/>
          <w:sz w:val="24"/>
          <w:highlight w:val="none"/>
          <w:lang w:eastAsia="zh-CN"/>
        </w:rPr>
        <w:t xml:space="preserve"> </w:t>
      </w:r>
      <w:r>
        <w:rPr>
          <w:rFonts w:hint="eastAsia" w:ascii="宋体" w:hAnsi="宋体" w:eastAsia="宋体" w:cs="宋体"/>
          <w:color w:val="auto"/>
          <w:sz w:val="24"/>
          <w:highlight w:val="none"/>
        </w:rPr>
        <w:t xml:space="preserve">与其他所有供应商之间均不存在利害关系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与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（供应商名称）之间存在下列利害关系</w:t>
      </w:r>
      <w:r>
        <w:rPr>
          <w:rFonts w:hint="eastAsia" w:ascii="宋体" w:hAnsi="宋体" w:cs="宋体"/>
          <w:color w:val="auto"/>
          <w:sz w:val="24"/>
          <w:highlight w:val="none"/>
          <w:lang w:eastAsia="zh-CN"/>
        </w:rPr>
        <w:t>：</w:t>
      </w:r>
    </w:p>
    <w:p w14:paraId="2AB3ED87">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A．法定代表人或负责人或实际控制人是同一人B．法定代表人或负责人或实际控制人是夫妻关系</w:t>
      </w:r>
    </w:p>
    <w:p w14:paraId="0D36ED3C">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14:paraId="0D3A9EF4">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14:paraId="7D6690EC">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14:paraId="742B46D4">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14:paraId="38BA1DDA">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14:paraId="3BE46019">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w:t>
      </w:r>
      <w:r>
        <w:rPr>
          <w:rFonts w:hint="eastAsia" w:ascii="宋体" w:hAnsi="宋体" w:cs="宋体"/>
          <w:color w:val="auto"/>
          <w:sz w:val="24"/>
          <w:highlight w:val="none"/>
          <w:lang w:eastAsia="zh-CN"/>
        </w:rPr>
        <w:t>主营业务</w:t>
      </w:r>
      <w:r>
        <w:rPr>
          <w:rFonts w:hint="eastAsia" w:ascii="宋体" w:hAnsi="宋体" w:eastAsia="宋体" w:cs="宋体"/>
          <w:color w:val="auto"/>
          <w:sz w:val="24"/>
          <w:highlight w:val="none"/>
        </w:rPr>
        <w:t>收入 50 ％以上）或重要财务往来关系（如融资）等其他实质性控制关系</w:t>
      </w:r>
    </w:p>
    <w:p w14:paraId="798D562B">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14:paraId="60EB72D7">
      <w:pPr>
        <w:snapToGrid w:val="0"/>
        <w:spacing w:before="120" w:beforeLines="50" w:after="50" w:line="276" w:lineRule="auto"/>
        <w:outlineLvl w:val="1"/>
        <w:rPr>
          <w:rFonts w:hint="eastAsia" w:ascii="宋体" w:hAnsi="宋体" w:eastAsia="宋体" w:cs="宋体"/>
          <w:color w:val="auto"/>
          <w:sz w:val="24"/>
          <w:highlight w:val="none"/>
        </w:rPr>
      </w:pPr>
      <w:bookmarkStart w:id="299" w:name="_Toc18730"/>
      <w:bookmarkStart w:id="300" w:name="_Toc21446"/>
      <w:bookmarkStart w:id="301" w:name="_Toc3000"/>
      <w:bookmarkStart w:id="302" w:name="_Toc21603"/>
      <w:bookmarkStart w:id="303" w:name="_Toc1840"/>
      <w:r>
        <w:rPr>
          <w:rFonts w:hint="eastAsia" w:ascii="宋体" w:hAnsi="宋体" w:eastAsia="宋体" w:cs="宋体"/>
          <w:color w:val="auto"/>
          <w:sz w:val="24"/>
          <w:highlight w:val="none"/>
        </w:rPr>
        <w:t>三、现</w:t>
      </w:r>
      <w:r>
        <w:rPr>
          <w:rFonts w:hint="eastAsia" w:ascii="宋体" w:hAnsi="宋体" w:cs="宋体"/>
          <w:color w:val="auto"/>
          <w:sz w:val="24"/>
          <w:highlight w:val="none"/>
          <w:lang w:val="en-US" w:eastAsia="zh-CN"/>
        </w:rPr>
        <w:t>已</w:t>
      </w:r>
      <w:r>
        <w:rPr>
          <w:rFonts w:hint="eastAsia" w:ascii="宋体" w:hAnsi="宋体" w:eastAsia="宋体" w:cs="宋体"/>
          <w:color w:val="auto"/>
          <w:sz w:val="24"/>
          <w:highlight w:val="none"/>
        </w:rPr>
        <w:t>清楚知道并严格遵守政府采购法律法规和现场纪律。</w:t>
      </w:r>
      <w:bookmarkEnd w:id="299"/>
      <w:bookmarkEnd w:id="300"/>
      <w:bookmarkEnd w:id="301"/>
      <w:bookmarkEnd w:id="302"/>
      <w:bookmarkEnd w:id="303"/>
    </w:p>
    <w:p w14:paraId="0D42850F">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项利害关系。</w:t>
      </w:r>
    </w:p>
    <w:p w14:paraId="1C77631C">
      <w:pPr>
        <w:snapToGrid w:val="0"/>
        <w:spacing w:before="120" w:beforeLines="50" w:after="50" w:line="276" w:lineRule="auto"/>
        <w:rPr>
          <w:rFonts w:hint="eastAsia" w:ascii="宋体" w:hAnsi="宋体" w:eastAsia="宋体" w:cs="宋体"/>
          <w:color w:val="auto"/>
          <w:sz w:val="24"/>
          <w:highlight w:val="none"/>
        </w:rPr>
      </w:pPr>
    </w:p>
    <w:p w14:paraId="2C014B8D">
      <w:pPr>
        <w:snapToGrid w:val="0"/>
        <w:spacing w:before="120" w:beforeLines="50" w:after="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2D22063E">
      <w:pPr>
        <w:snapToGrid w:val="0"/>
        <w:spacing w:before="120" w:beforeLines="50" w:after="50" w:line="276"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年   月   日</w:t>
      </w:r>
    </w:p>
    <w:p w14:paraId="6AFDA845">
      <w:pPr>
        <w:pStyle w:val="3"/>
        <w:keepNext w:val="0"/>
        <w:keepLines w:val="0"/>
        <w:pageBreakBefore/>
        <w:spacing w:line="276" w:lineRule="auto"/>
        <w:rPr>
          <w:rFonts w:hint="eastAsia" w:ascii="宋体" w:hAnsi="宋体" w:eastAsia="宋体" w:cs="宋体"/>
          <w:b w:val="0"/>
          <w:color w:val="auto"/>
          <w:sz w:val="24"/>
          <w:szCs w:val="24"/>
          <w:highlight w:val="none"/>
        </w:rPr>
      </w:pPr>
      <w:bookmarkStart w:id="304" w:name="_Toc32006"/>
      <w:bookmarkStart w:id="305" w:name="_Toc6268"/>
      <w:bookmarkStart w:id="306" w:name="_Toc9763"/>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四</w:t>
      </w:r>
      <w:r>
        <w:rPr>
          <w:rFonts w:hint="eastAsia" w:ascii="宋体" w:hAnsi="宋体" w:eastAsia="宋体" w:cs="宋体"/>
          <w:b w:val="0"/>
          <w:color w:val="auto"/>
          <w:sz w:val="24"/>
          <w:szCs w:val="24"/>
          <w:highlight w:val="none"/>
        </w:rPr>
        <w:t>：法定代表人授权委托书</w:t>
      </w:r>
      <w:bookmarkEnd w:id="304"/>
      <w:bookmarkEnd w:id="305"/>
      <w:bookmarkEnd w:id="306"/>
    </w:p>
    <w:p w14:paraId="25C96FC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法定代表人授权委托书</w:t>
      </w:r>
    </w:p>
    <w:p w14:paraId="25F10371">
      <w:pPr>
        <w:keepNext w:val="0"/>
        <w:keepLines w:val="0"/>
        <w:pageBreakBefore w:val="0"/>
        <w:widowControl w:val="0"/>
        <w:kinsoku/>
        <w:wordWrap/>
        <w:overflowPunct/>
        <w:topLinePunct w:val="0"/>
        <w:autoSpaceDE/>
        <w:autoSpaceDN/>
        <w:bidi w:val="0"/>
        <w:adjustRightInd/>
        <w:snapToGrid w:val="0"/>
        <w:spacing w:line="192" w:lineRule="auto"/>
        <w:jc w:val="center"/>
        <w:textAlignment w:val="auto"/>
        <w:rPr>
          <w:rFonts w:hint="eastAsia" w:ascii="宋体" w:hAnsi="宋体" w:eastAsia="宋体" w:cs="宋体"/>
          <w:b/>
          <w:color w:val="auto"/>
          <w:kern w:val="0"/>
          <w:sz w:val="32"/>
          <w:szCs w:val="32"/>
          <w:highlight w:val="none"/>
        </w:rPr>
      </w:pPr>
      <w:bookmarkStart w:id="307" w:name="_Toc7647"/>
      <w:bookmarkStart w:id="308" w:name="_Toc29666"/>
      <w:bookmarkStart w:id="309" w:name="_Toc14243"/>
      <w:r>
        <w:rPr>
          <w:rFonts w:hint="eastAsia" w:ascii="宋体" w:hAnsi="宋体" w:eastAsia="宋体" w:cs="宋体"/>
          <w:b/>
          <w:color w:val="auto"/>
          <w:kern w:val="0"/>
          <w:sz w:val="32"/>
          <w:szCs w:val="32"/>
          <w:highlight w:val="none"/>
          <w:lang w:val="zh-CN"/>
        </w:rPr>
        <w:t>（适用于非联合体投标）</w:t>
      </w:r>
      <w:bookmarkEnd w:id="307"/>
      <w:bookmarkEnd w:id="308"/>
      <w:bookmarkEnd w:id="309"/>
    </w:p>
    <w:p w14:paraId="2AB7B822">
      <w:pPr>
        <w:keepNext w:val="0"/>
        <w:keepLines w:val="0"/>
        <w:pageBreakBefore w:val="0"/>
        <w:widowControl w:val="0"/>
        <w:kinsoku/>
        <w:wordWrap/>
        <w:overflowPunct/>
        <w:topLinePunct w:val="0"/>
        <w:autoSpaceDE/>
        <w:autoSpaceDN/>
        <w:bidi w:val="0"/>
        <w:adjustRightInd/>
        <w:snapToGrid w:val="0"/>
        <w:spacing w:before="120" w:beforeLines="50" w:after="50" w:line="216" w:lineRule="auto"/>
        <w:textAlignment w:val="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06FD984E">
      <w:pPr>
        <w:keepNext w:val="0"/>
        <w:keepLines w:val="0"/>
        <w:pageBreakBefore w:val="0"/>
        <w:widowControl w:val="0"/>
        <w:kinsoku/>
        <w:wordWrap/>
        <w:overflowPunct/>
        <w:topLinePunct w:val="0"/>
        <w:autoSpaceDE/>
        <w:autoSpaceDN/>
        <w:bidi w:val="0"/>
        <w:adjustRightInd/>
        <w:snapToGrid w:val="0"/>
        <w:spacing w:before="120" w:beforeLines="50" w:after="50" w:line="216"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（投标人名称）的法定代表人，现授权委托本单位在职职工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color w:val="auto"/>
          <w:sz w:val="24"/>
          <w:highlight w:val="none"/>
        </w:rPr>
        <w:t>姓名、身份证号</w:t>
      </w:r>
      <w:r>
        <w:rPr>
          <w:rFonts w:hint="eastAsia" w:ascii="宋体" w:hAnsi="宋体" w:eastAsia="宋体" w:cs="宋体"/>
          <w:color w:val="auto"/>
          <w:sz w:val="24"/>
          <w:highlight w:val="none"/>
        </w:rPr>
        <w:t>）以我方的名义参加</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（项目名称）</w:t>
      </w:r>
      <w:r>
        <w:rPr>
          <w:rFonts w:hint="eastAsia" w:ascii="宋体" w:hAnsi="宋体" w:eastAsia="宋体" w:cs="宋体"/>
          <w:color w:val="auto"/>
          <w:sz w:val="24"/>
          <w:highlight w:val="none"/>
        </w:rPr>
        <w:t>的投标活动，并代表我方全权办理针对上述项目的投标、开标、评标、签约等具体事务和签署相关文件。</w:t>
      </w:r>
    </w:p>
    <w:p w14:paraId="5C143AFA">
      <w:pPr>
        <w:keepNext w:val="0"/>
        <w:keepLines w:val="0"/>
        <w:pageBreakBefore w:val="0"/>
        <w:widowControl w:val="0"/>
        <w:kinsoku/>
        <w:wordWrap/>
        <w:overflowPunct/>
        <w:topLinePunct w:val="0"/>
        <w:autoSpaceDE/>
        <w:autoSpaceDN/>
        <w:bidi w:val="0"/>
        <w:adjustRightInd/>
        <w:snapToGrid w:val="0"/>
        <w:spacing w:before="120" w:beforeLines="50" w:after="50" w:line="216"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我方对委托代理人的签名事项负全部责任。</w:t>
      </w:r>
    </w:p>
    <w:p w14:paraId="463A10E9">
      <w:pPr>
        <w:keepNext w:val="0"/>
        <w:keepLines w:val="0"/>
        <w:pageBreakBefore w:val="0"/>
        <w:widowControl w:val="0"/>
        <w:kinsoku/>
        <w:wordWrap/>
        <w:overflowPunct/>
        <w:topLinePunct w:val="0"/>
        <w:autoSpaceDE/>
        <w:autoSpaceDN/>
        <w:bidi w:val="0"/>
        <w:adjustRightInd/>
        <w:snapToGrid w:val="0"/>
        <w:spacing w:before="120" w:beforeLines="50" w:after="50" w:line="216"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在撤销授权的书面通知以前，本授权书一直有效。</w:t>
      </w:r>
      <w:r>
        <w:rPr>
          <w:rFonts w:hint="eastAsia" w:ascii="宋体" w:hAnsi="宋体" w:eastAsia="宋体" w:cs="宋体"/>
          <w:color w:val="auto"/>
          <w:sz w:val="24"/>
          <w:highlight w:val="none"/>
        </w:rPr>
        <w:t>委托代理人在授权书有效期内签署的所有文件不因授权的撤销而失效。</w:t>
      </w:r>
    </w:p>
    <w:p w14:paraId="7A99A6A6">
      <w:pPr>
        <w:keepNext w:val="0"/>
        <w:keepLines w:val="0"/>
        <w:pageBreakBefore w:val="0"/>
        <w:widowControl w:val="0"/>
        <w:kinsoku/>
        <w:wordWrap/>
        <w:overflowPunct/>
        <w:topLinePunct w:val="0"/>
        <w:autoSpaceDE/>
        <w:autoSpaceDN/>
        <w:bidi w:val="0"/>
        <w:adjustRightInd/>
        <w:snapToGrid w:val="0"/>
        <w:spacing w:before="120" w:beforeLines="50" w:after="50" w:line="216"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5567A855">
      <w:pPr>
        <w:keepNext w:val="0"/>
        <w:keepLines w:val="0"/>
        <w:pageBreakBefore w:val="0"/>
        <w:widowControl w:val="0"/>
        <w:kinsoku/>
        <w:wordWrap/>
        <w:overflowPunct/>
        <w:topLinePunct w:val="0"/>
        <w:autoSpaceDE/>
        <w:autoSpaceDN/>
        <w:bidi w:val="0"/>
        <w:adjustRightInd/>
        <w:snapToGrid w:val="0"/>
        <w:spacing w:before="120" w:beforeLines="50" w:after="50" w:line="216"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法定代表人签名：</w:t>
      </w:r>
      <w:r>
        <w:rPr>
          <w:rFonts w:hint="eastAsia" w:ascii="宋体" w:hAnsi="宋体" w:eastAsia="宋体" w:cs="宋体"/>
          <w:color w:val="auto"/>
          <w:sz w:val="24"/>
          <w:highlight w:val="none"/>
          <w:u w:val="single"/>
        </w:rPr>
        <w:t xml:space="preserve">          </w:t>
      </w:r>
    </w:p>
    <w:p w14:paraId="5582E7E9">
      <w:pPr>
        <w:keepNext w:val="0"/>
        <w:keepLines w:val="0"/>
        <w:pageBreakBefore w:val="0"/>
        <w:widowControl w:val="0"/>
        <w:kinsoku/>
        <w:wordWrap/>
        <w:overflowPunct/>
        <w:topLinePunct w:val="0"/>
        <w:autoSpaceDE/>
        <w:autoSpaceDN/>
        <w:bidi w:val="0"/>
        <w:adjustRightInd/>
        <w:snapToGrid w:val="0"/>
        <w:spacing w:before="120" w:beforeLines="50" w:after="50" w:line="216"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74B0B8FA">
      <w:pPr>
        <w:keepNext w:val="0"/>
        <w:keepLines w:val="0"/>
        <w:pageBreakBefore w:val="0"/>
        <w:widowControl w:val="0"/>
        <w:kinsoku/>
        <w:wordWrap/>
        <w:overflowPunct/>
        <w:topLinePunct w:val="0"/>
        <w:autoSpaceDE/>
        <w:autoSpaceDN/>
        <w:bidi w:val="0"/>
        <w:adjustRightInd/>
        <w:snapToGrid w:val="0"/>
        <w:spacing w:before="156" w:beforeLines="50" w:after="50" w:line="216" w:lineRule="auto"/>
        <w:textAlignment w:val="auto"/>
        <w:rPr>
          <w:b/>
          <w:bCs/>
          <w:color w:val="auto"/>
          <w:sz w:val="24"/>
          <w:highlight w:val="none"/>
        </w:rPr>
      </w:pPr>
      <w:r>
        <w:rPr>
          <w:rFonts w:hint="eastAsia"/>
          <w:b/>
          <w:bCs/>
          <w:color w:val="auto"/>
          <w:sz w:val="24"/>
          <w:highlight w:val="none"/>
        </w:rPr>
        <w:t>注：后附</w:t>
      </w:r>
      <w:r>
        <w:rPr>
          <w:b/>
          <w:bCs/>
          <w:color w:val="auto"/>
          <w:sz w:val="24"/>
          <w:highlight w:val="none"/>
        </w:rPr>
        <w:t>委托代理人身份证</w:t>
      </w:r>
      <w:r>
        <w:rPr>
          <w:rFonts w:hint="eastAsia"/>
          <w:b/>
          <w:bCs/>
          <w:color w:val="auto"/>
          <w:sz w:val="24"/>
          <w:highlight w:val="none"/>
        </w:rPr>
        <w:t>扫描件</w:t>
      </w:r>
      <w:r>
        <w:rPr>
          <w:b/>
          <w:bCs/>
          <w:color w:val="auto"/>
          <w:sz w:val="24"/>
          <w:highlight w:val="none"/>
        </w:rPr>
        <w:t>（正反双面）：</w:t>
      </w:r>
    </w:p>
    <w:p w14:paraId="1EAAAF41">
      <w:pPr>
        <w:keepNext w:val="0"/>
        <w:keepLines w:val="0"/>
        <w:pageBreakBefore w:val="0"/>
        <w:widowControl w:val="0"/>
        <w:kinsoku/>
        <w:wordWrap/>
        <w:overflowPunct/>
        <w:topLinePunct w:val="0"/>
        <w:autoSpaceDE/>
        <w:autoSpaceDN/>
        <w:bidi w:val="0"/>
        <w:adjustRightInd/>
        <w:snapToGrid w:val="0"/>
        <w:spacing w:before="156" w:beforeLines="50" w:after="50" w:line="216" w:lineRule="auto"/>
        <w:ind w:firstLine="6600" w:firstLineChars="2750"/>
        <w:textAlignment w:val="auto"/>
        <w:rPr>
          <w:color w:val="auto"/>
          <w:sz w:val="24"/>
          <w:highlight w:val="none"/>
        </w:rPr>
      </w:pPr>
      <w:r>
        <w:rPr>
          <w:color w:val="auto"/>
          <w:sz w:val="24"/>
          <w:highlight w:val="none"/>
        </w:rPr>
        <w:t>投标人公章：</w:t>
      </w:r>
    </w:p>
    <w:p w14:paraId="5DC185C8">
      <w:pPr>
        <w:keepNext w:val="0"/>
        <w:keepLines w:val="0"/>
        <w:pageBreakBefore w:val="0"/>
        <w:widowControl w:val="0"/>
        <w:kinsoku/>
        <w:wordWrap/>
        <w:overflowPunct/>
        <w:topLinePunct w:val="0"/>
        <w:autoSpaceDE/>
        <w:autoSpaceDN/>
        <w:bidi w:val="0"/>
        <w:adjustRightInd/>
        <w:snapToGrid w:val="0"/>
        <w:spacing w:before="156" w:beforeLines="50" w:after="50" w:line="216" w:lineRule="auto"/>
        <w:ind w:firstLine="6600" w:firstLineChars="2750"/>
        <w:textAlignment w:val="auto"/>
        <w:rPr>
          <w:color w:val="auto"/>
          <w:sz w:val="24"/>
          <w:highlight w:val="none"/>
        </w:rPr>
      </w:pPr>
      <w:r>
        <w:rPr>
          <w:color w:val="auto"/>
          <w:sz w:val="24"/>
          <w:highlight w:val="none"/>
        </w:rPr>
        <w:t>年    月    日</w:t>
      </w:r>
    </w:p>
    <w:p w14:paraId="5FE0E8AF">
      <w:pPr>
        <w:pStyle w:val="3"/>
        <w:spacing w:line="192" w:lineRule="auto"/>
        <w:jc w:val="center"/>
        <w:rPr>
          <w:color w:val="auto"/>
          <w:highlight w:val="none"/>
        </w:rPr>
      </w:pPr>
      <w:bookmarkStart w:id="310" w:name="_Toc29915"/>
      <w:bookmarkStart w:id="311" w:name="_Toc21411"/>
      <w:bookmarkStart w:id="312" w:name="_Toc17695"/>
      <w:r>
        <w:rPr>
          <w:rFonts w:hint="eastAsia" w:ascii="仿宋_GB2312" w:hAnsi="仿宋" w:eastAsia="仿宋_GB2312" w:cs="仿宋_GB2312"/>
          <w:color w:val="auto"/>
          <w:kern w:val="0"/>
          <w:sz w:val="32"/>
          <w:highlight w:val="none"/>
          <w:lang w:val="zh-CN"/>
        </w:rPr>
        <w:t>（适用于联合体投标）</w:t>
      </w:r>
      <w:bookmarkEnd w:id="310"/>
      <w:bookmarkEnd w:id="311"/>
      <w:bookmarkEnd w:id="312"/>
    </w:p>
    <w:p w14:paraId="3ECAF056">
      <w:pPr>
        <w:keepNext w:val="0"/>
        <w:keepLines w:val="0"/>
        <w:pageBreakBefore w:val="0"/>
        <w:widowControl w:val="0"/>
        <w:kinsoku/>
        <w:wordWrap/>
        <w:overflowPunct/>
        <w:topLinePunct w:val="0"/>
        <w:autoSpaceDE/>
        <w:autoSpaceDN/>
        <w:bidi w:val="0"/>
        <w:adjustRightInd/>
        <w:snapToGrid w:val="0"/>
        <w:spacing w:before="156" w:beforeLines="50" w:after="50" w:line="216" w:lineRule="auto"/>
        <w:textAlignment w:val="auto"/>
        <w:rPr>
          <w:b/>
          <w:bCs/>
          <w:color w:val="auto"/>
          <w:sz w:val="24"/>
          <w:highlight w:val="none"/>
        </w:rPr>
      </w:pPr>
      <w:r>
        <w:rPr>
          <w:bCs/>
          <w:color w:val="auto"/>
          <w:sz w:val="24"/>
          <w:highlight w:val="none"/>
        </w:rPr>
        <w:t>致：</w:t>
      </w:r>
      <w:r>
        <w:rPr>
          <w:color w:val="auto"/>
          <w:sz w:val="24"/>
          <w:highlight w:val="none"/>
        </w:rPr>
        <w:t>______（招标采购单位名称）：</w:t>
      </w:r>
    </w:p>
    <w:p w14:paraId="1B024C15">
      <w:pPr>
        <w:keepNext w:val="0"/>
        <w:keepLines w:val="0"/>
        <w:pageBreakBefore w:val="0"/>
        <w:widowControl w:val="0"/>
        <w:kinsoku/>
        <w:wordWrap/>
        <w:overflowPunct/>
        <w:topLinePunct w:val="0"/>
        <w:autoSpaceDE/>
        <w:autoSpaceDN/>
        <w:bidi w:val="0"/>
        <w:adjustRightInd/>
        <w:snapToGrid w:val="0"/>
        <w:spacing w:before="156" w:beforeLines="50" w:after="50" w:line="216" w:lineRule="auto"/>
        <w:ind w:firstLine="720" w:firstLineChars="300"/>
        <w:textAlignment w:val="auto"/>
        <w:rPr>
          <w:color w:val="auto"/>
          <w:sz w:val="24"/>
          <w:highlight w:val="none"/>
        </w:rPr>
      </w:pPr>
      <w:r>
        <w:rPr>
          <w:color w:val="auto"/>
          <w:sz w:val="24"/>
          <w:highlight w:val="none"/>
        </w:rPr>
        <w:t>我________（姓名）系_____</w:t>
      </w:r>
      <w:r>
        <w:rPr>
          <w:color w:val="auto"/>
          <w:sz w:val="24"/>
          <w:highlight w:val="none"/>
          <w:u w:val="single"/>
        </w:rPr>
        <w:t xml:space="preserve"> </w:t>
      </w:r>
      <w:r>
        <w:rPr>
          <w:color w:val="auto"/>
          <w:sz w:val="24"/>
          <w:highlight w:val="none"/>
        </w:rPr>
        <w:t>（投标人名称）的法定代表人，现授权委托本单位在职职工</w:t>
      </w:r>
      <w:r>
        <w:rPr>
          <w:color w:val="auto"/>
          <w:sz w:val="24"/>
          <w:highlight w:val="none"/>
          <w:u w:val="single"/>
        </w:rPr>
        <w:t xml:space="preserve">               </w:t>
      </w:r>
      <w:r>
        <w:rPr>
          <w:color w:val="auto"/>
          <w:sz w:val="24"/>
          <w:highlight w:val="none"/>
        </w:rPr>
        <w:t>（姓名、身份证号）以我方的名义参加</w:t>
      </w:r>
      <w:r>
        <w:rPr>
          <w:rFonts w:hint="eastAsia"/>
          <w:color w:val="auto"/>
          <w:sz w:val="24"/>
          <w:highlight w:val="none"/>
          <w:u w:val="single"/>
        </w:rPr>
        <w:t xml:space="preserve">        （项目名称） </w:t>
      </w:r>
      <w:r>
        <w:rPr>
          <w:color w:val="auto"/>
          <w:sz w:val="24"/>
          <w:highlight w:val="none"/>
        </w:rPr>
        <w:t>的投标活动，并代表我方全权办理针对上述项目的投标、开标、评标等具体事务和签署相关文件。</w:t>
      </w:r>
    </w:p>
    <w:p w14:paraId="57C3E2F1">
      <w:pPr>
        <w:keepNext w:val="0"/>
        <w:keepLines w:val="0"/>
        <w:pageBreakBefore w:val="0"/>
        <w:widowControl w:val="0"/>
        <w:kinsoku/>
        <w:wordWrap/>
        <w:overflowPunct/>
        <w:topLinePunct w:val="0"/>
        <w:autoSpaceDE/>
        <w:autoSpaceDN/>
        <w:bidi w:val="0"/>
        <w:adjustRightInd/>
        <w:snapToGrid w:val="0"/>
        <w:spacing w:before="156" w:beforeLines="50" w:after="50" w:line="216" w:lineRule="auto"/>
        <w:ind w:firstLine="480" w:firstLineChars="200"/>
        <w:textAlignment w:val="auto"/>
        <w:rPr>
          <w:color w:val="auto"/>
          <w:sz w:val="24"/>
          <w:highlight w:val="none"/>
        </w:rPr>
      </w:pPr>
      <w:r>
        <w:rPr>
          <w:color w:val="auto"/>
          <w:sz w:val="24"/>
          <w:highlight w:val="none"/>
        </w:rPr>
        <w:t>我方对委托代理人的签名事项负全部责任。</w:t>
      </w:r>
    </w:p>
    <w:p w14:paraId="0564F632">
      <w:pPr>
        <w:keepNext w:val="0"/>
        <w:keepLines w:val="0"/>
        <w:pageBreakBefore w:val="0"/>
        <w:widowControl w:val="0"/>
        <w:kinsoku/>
        <w:wordWrap/>
        <w:overflowPunct/>
        <w:topLinePunct w:val="0"/>
        <w:autoSpaceDE/>
        <w:autoSpaceDN/>
        <w:bidi w:val="0"/>
        <w:adjustRightInd/>
        <w:snapToGrid w:val="0"/>
        <w:spacing w:before="156" w:beforeLines="50" w:after="50" w:line="216" w:lineRule="auto"/>
        <w:ind w:firstLine="480"/>
        <w:textAlignment w:val="auto"/>
        <w:rPr>
          <w:color w:val="auto"/>
          <w:sz w:val="24"/>
          <w:highlight w:val="none"/>
        </w:rPr>
      </w:pPr>
      <w:r>
        <w:rPr>
          <w:color w:val="auto"/>
          <w:sz w:val="24"/>
          <w:highlight w:val="none"/>
          <w:u w:val="single"/>
        </w:rPr>
        <w:t>在撤销授权的书面通知以前，本授权书一直有效</w:t>
      </w:r>
      <w:r>
        <w:rPr>
          <w:color w:val="auto"/>
          <w:sz w:val="24"/>
          <w:highlight w:val="none"/>
        </w:rPr>
        <w:t>。委托代理人在授权书有效期内签署的所有文件不因授权的撤销而失效。</w:t>
      </w:r>
    </w:p>
    <w:p w14:paraId="287EEAC5">
      <w:pPr>
        <w:keepNext w:val="0"/>
        <w:keepLines w:val="0"/>
        <w:pageBreakBefore w:val="0"/>
        <w:widowControl w:val="0"/>
        <w:kinsoku/>
        <w:wordWrap/>
        <w:overflowPunct/>
        <w:topLinePunct w:val="0"/>
        <w:autoSpaceDE/>
        <w:autoSpaceDN/>
        <w:bidi w:val="0"/>
        <w:adjustRightInd/>
        <w:snapToGrid w:val="0"/>
        <w:spacing w:before="156" w:beforeLines="50" w:after="50" w:line="216" w:lineRule="auto"/>
        <w:ind w:firstLine="480"/>
        <w:textAlignment w:val="auto"/>
        <w:rPr>
          <w:color w:val="auto"/>
          <w:sz w:val="24"/>
          <w:highlight w:val="none"/>
        </w:rPr>
      </w:pPr>
      <w:r>
        <w:rPr>
          <w:color w:val="auto"/>
          <w:sz w:val="24"/>
          <w:highlight w:val="none"/>
        </w:rPr>
        <w:t>委托代理人无转委托权，特此委托。</w:t>
      </w:r>
    </w:p>
    <w:p w14:paraId="26F6FB0E">
      <w:pPr>
        <w:keepNext w:val="0"/>
        <w:keepLines w:val="0"/>
        <w:pageBreakBefore w:val="0"/>
        <w:widowControl w:val="0"/>
        <w:kinsoku/>
        <w:wordWrap/>
        <w:overflowPunct/>
        <w:topLinePunct w:val="0"/>
        <w:autoSpaceDE/>
        <w:autoSpaceDN/>
        <w:bidi w:val="0"/>
        <w:adjustRightInd/>
        <w:snapToGrid w:val="0"/>
        <w:spacing w:before="156" w:beforeLines="50" w:after="50" w:line="216" w:lineRule="auto"/>
        <w:textAlignment w:val="auto"/>
        <w:rPr>
          <w:color w:val="auto"/>
          <w:sz w:val="24"/>
          <w:highlight w:val="none"/>
          <w:u w:val="single"/>
        </w:rPr>
      </w:pPr>
      <w:r>
        <w:rPr>
          <w:color w:val="auto"/>
          <w:sz w:val="24"/>
          <w:highlight w:val="none"/>
        </w:rPr>
        <w:t>委托代理人签名：</w:t>
      </w:r>
      <w:r>
        <w:rPr>
          <w:color w:val="auto"/>
          <w:sz w:val="24"/>
          <w:highlight w:val="none"/>
          <w:u w:val="single"/>
        </w:rPr>
        <w:t xml:space="preserve">           </w:t>
      </w:r>
      <w:r>
        <w:rPr>
          <w:color w:val="auto"/>
          <w:sz w:val="24"/>
          <w:highlight w:val="none"/>
        </w:rPr>
        <w:t xml:space="preserve">          法定代表人签名：</w:t>
      </w:r>
      <w:r>
        <w:rPr>
          <w:color w:val="auto"/>
          <w:sz w:val="24"/>
          <w:highlight w:val="none"/>
          <w:u w:val="single"/>
        </w:rPr>
        <w:t xml:space="preserve">             </w:t>
      </w:r>
    </w:p>
    <w:p w14:paraId="64F8678C">
      <w:pPr>
        <w:keepNext w:val="0"/>
        <w:keepLines w:val="0"/>
        <w:pageBreakBefore w:val="0"/>
        <w:widowControl w:val="0"/>
        <w:kinsoku/>
        <w:wordWrap/>
        <w:overflowPunct/>
        <w:topLinePunct w:val="0"/>
        <w:autoSpaceDE/>
        <w:autoSpaceDN/>
        <w:bidi w:val="0"/>
        <w:adjustRightInd/>
        <w:snapToGrid w:val="0"/>
        <w:spacing w:before="156" w:beforeLines="50" w:after="50" w:line="216" w:lineRule="auto"/>
        <w:ind w:firstLine="960" w:firstLineChars="400"/>
        <w:textAlignment w:val="auto"/>
        <w:rPr>
          <w:color w:val="auto"/>
          <w:sz w:val="24"/>
          <w:highlight w:val="none"/>
          <w:u w:val="single"/>
        </w:rPr>
      </w:pPr>
      <w:r>
        <w:rPr>
          <w:color w:val="auto"/>
          <w:sz w:val="24"/>
          <w:highlight w:val="none"/>
        </w:rPr>
        <w:t>职务：</w:t>
      </w:r>
      <w:r>
        <w:rPr>
          <w:color w:val="auto"/>
          <w:sz w:val="24"/>
          <w:highlight w:val="none"/>
          <w:u w:val="single"/>
        </w:rPr>
        <w:t xml:space="preserve">           </w:t>
      </w:r>
      <w:r>
        <w:rPr>
          <w:color w:val="auto"/>
          <w:sz w:val="24"/>
          <w:highlight w:val="none"/>
        </w:rPr>
        <w:t xml:space="preserve">                    职务：</w:t>
      </w:r>
      <w:r>
        <w:rPr>
          <w:color w:val="auto"/>
          <w:sz w:val="24"/>
          <w:highlight w:val="none"/>
          <w:u w:val="single"/>
        </w:rPr>
        <w:t xml:space="preserve">             </w:t>
      </w:r>
    </w:p>
    <w:p w14:paraId="72DE0121">
      <w:pPr>
        <w:keepNext w:val="0"/>
        <w:keepLines w:val="0"/>
        <w:pageBreakBefore w:val="0"/>
        <w:widowControl w:val="0"/>
        <w:kinsoku/>
        <w:wordWrap/>
        <w:overflowPunct/>
        <w:topLinePunct w:val="0"/>
        <w:autoSpaceDE/>
        <w:autoSpaceDN/>
        <w:bidi w:val="0"/>
        <w:adjustRightInd/>
        <w:snapToGrid w:val="0"/>
        <w:spacing w:before="156" w:beforeLines="50" w:after="50" w:line="216" w:lineRule="auto"/>
        <w:textAlignment w:val="auto"/>
        <w:rPr>
          <w:b/>
          <w:bCs/>
          <w:color w:val="auto"/>
          <w:sz w:val="24"/>
          <w:highlight w:val="none"/>
        </w:rPr>
      </w:pPr>
      <w:r>
        <w:rPr>
          <w:rFonts w:hint="eastAsia"/>
          <w:b/>
          <w:bCs/>
          <w:color w:val="auto"/>
          <w:sz w:val="24"/>
          <w:highlight w:val="none"/>
        </w:rPr>
        <w:t>注：后附</w:t>
      </w:r>
      <w:r>
        <w:rPr>
          <w:b/>
          <w:bCs/>
          <w:color w:val="auto"/>
          <w:sz w:val="24"/>
          <w:highlight w:val="none"/>
        </w:rPr>
        <w:t>委托代理人身份证</w:t>
      </w:r>
      <w:r>
        <w:rPr>
          <w:rFonts w:hint="eastAsia"/>
          <w:b/>
          <w:bCs/>
          <w:color w:val="auto"/>
          <w:sz w:val="24"/>
          <w:highlight w:val="none"/>
        </w:rPr>
        <w:t>扫描件</w:t>
      </w:r>
      <w:r>
        <w:rPr>
          <w:b/>
          <w:bCs/>
          <w:color w:val="auto"/>
          <w:sz w:val="24"/>
          <w:highlight w:val="none"/>
        </w:rPr>
        <w:t>（正反双面）：</w:t>
      </w:r>
    </w:p>
    <w:p w14:paraId="06F2C852">
      <w:pPr>
        <w:keepNext w:val="0"/>
        <w:keepLines w:val="0"/>
        <w:pageBreakBefore w:val="0"/>
        <w:widowControl w:val="0"/>
        <w:kinsoku/>
        <w:wordWrap/>
        <w:overflowPunct/>
        <w:topLinePunct w:val="0"/>
        <w:autoSpaceDE/>
        <w:autoSpaceDN/>
        <w:bidi w:val="0"/>
        <w:adjustRightInd/>
        <w:snapToGrid w:val="0"/>
        <w:spacing w:before="156" w:beforeLines="50" w:after="50" w:line="216" w:lineRule="auto"/>
        <w:jc w:val="center"/>
        <w:textAlignment w:val="auto"/>
        <w:rPr>
          <w:color w:val="auto"/>
          <w:sz w:val="24"/>
          <w:highlight w:val="none"/>
          <w:lang w:val="zh-CN"/>
        </w:rPr>
      </w:pPr>
      <w:r>
        <w:rPr>
          <w:rFonts w:hint="eastAsia"/>
          <w:color w:val="auto"/>
          <w:sz w:val="24"/>
          <w:highlight w:val="none"/>
        </w:rPr>
        <w:t xml:space="preserve">                                </w:t>
      </w:r>
      <w:r>
        <w:rPr>
          <w:rFonts w:hint="eastAsia"/>
          <w:color w:val="auto"/>
          <w:sz w:val="24"/>
          <w:highlight w:val="none"/>
          <w:lang w:val="zh-CN"/>
        </w:rPr>
        <w:t>联合体成员名称</w:t>
      </w:r>
      <w:r>
        <w:rPr>
          <w:color w:val="auto"/>
          <w:sz w:val="24"/>
          <w:highlight w:val="none"/>
          <w:lang w:val="zh-CN"/>
        </w:rPr>
        <w:t>(公章)：</w:t>
      </w:r>
    </w:p>
    <w:p w14:paraId="63FEDEC9">
      <w:pPr>
        <w:keepNext w:val="0"/>
        <w:keepLines w:val="0"/>
        <w:pageBreakBefore w:val="0"/>
        <w:widowControl w:val="0"/>
        <w:kinsoku/>
        <w:wordWrap/>
        <w:overflowPunct/>
        <w:topLinePunct w:val="0"/>
        <w:autoSpaceDE/>
        <w:autoSpaceDN/>
        <w:bidi w:val="0"/>
        <w:adjustRightInd/>
        <w:snapToGrid w:val="0"/>
        <w:spacing w:before="156" w:beforeLines="50" w:after="50" w:line="216" w:lineRule="auto"/>
        <w:jc w:val="center"/>
        <w:textAlignment w:val="auto"/>
        <w:rPr>
          <w:color w:val="auto"/>
          <w:sz w:val="24"/>
          <w:highlight w:val="none"/>
          <w:lang w:val="zh-CN"/>
        </w:rPr>
      </w:pPr>
      <w:r>
        <w:rPr>
          <w:rFonts w:hint="eastAsia"/>
          <w:color w:val="auto"/>
          <w:sz w:val="24"/>
          <w:highlight w:val="none"/>
        </w:rPr>
        <w:t xml:space="preserve">                                     </w:t>
      </w:r>
      <w:r>
        <w:rPr>
          <w:rFonts w:hint="eastAsia"/>
          <w:color w:val="auto"/>
          <w:sz w:val="24"/>
          <w:highlight w:val="none"/>
          <w:lang w:val="zh-CN"/>
        </w:rPr>
        <w:t>联合体成员名称</w:t>
      </w:r>
      <w:r>
        <w:rPr>
          <w:color w:val="auto"/>
          <w:sz w:val="24"/>
          <w:highlight w:val="none"/>
          <w:lang w:val="zh-CN"/>
        </w:rPr>
        <w:t>(公章)：</w:t>
      </w:r>
    </w:p>
    <w:p w14:paraId="40047C5F">
      <w:pPr>
        <w:keepNext w:val="0"/>
        <w:keepLines w:val="0"/>
        <w:pageBreakBefore w:val="0"/>
        <w:widowControl w:val="0"/>
        <w:kinsoku/>
        <w:wordWrap/>
        <w:overflowPunct/>
        <w:topLinePunct w:val="0"/>
        <w:autoSpaceDE/>
        <w:autoSpaceDN/>
        <w:bidi w:val="0"/>
        <w:adjustRightInd/>
        <w:snapToGrid w:val="0"/>
        <w:spacing w:before="156" w:beforeLines="50" w:after="50" w:line="216" w:lineRule="auto"/>
        <w:jc w:val="center"/>
        <w:textAlignment w:val="auto"/>
        <w:rPr>
          <w:rFonts w:hint="eastAsia"/>
          <w:color w:val="auto"/>
          <w:sz w:val="24"/>
          <w:highlight w:val="none"/>
        </w:rPr>
      </w:pPr>
      <w:r>
        <w:rPr>
          <w:rFonts w:hint="eastAsia"/>
          <w:color w:val="auto"/>
          <w:sz w:val="24"/>
          <w:highlight w:val="none"/>
        </w:rPr>
        <w:t xml:space="preserve">                                  ……</w:t>
      </w:r>
    </w:p>
    <w:p w14:paraId="2385F475">
      <w:pPr>
        <w:keepNext w:val="0"/>
        <w:keepLines w:val="0"/>
        <w:pageBreakBefore w:val="0"/>
        <w:widowControl w:val="0"/>
        <w:kinsoku/>
        <w:wordWrap/>
        <w:overflowPunct/>
        <w:topLinePunct w:val="0"/>
        <w:autoSpaceDE/>
        <w:autoSpaceDN/>
        <w:bidi w:val="0"/>
        <w:adjustRightInd/>
        <w:snapToGrid w:val="0"/>
        <w:spacing w:before="156" w:beforeLines="50" w:after="50" w:line="216" w:lineRule="auto"/>
        <w:jc w:val="center"/>
        <w:textAlignment w:val="auto"/>
        <w:rPr>
          <w:color w:val="auto"/>
          <w:sz w:val="24"/>
          <w:highlight w:val="none"/>
        </w:rPr>
      </w:pPr>
      <w:r>
        <w:rPr>
          <w:rFonts w:hint="eastAsia"/>
          <w:color w:val="auto"/>
          <w:sz w:val="24"/>
          <w:highlight w:val="none"/>
        </w:rPr>
        <w:t xml:space="preserve">                                  </w:t>
      </w:r>
      <w:r>
        <w:rPr>
          <w:color w:val="auto"/>
          <w:sz w:val="24"/>
          <w:highlight w:val="none"/>
        </w:rPr>
        <w:t>年    月    日</w:t>
      </w:r>
    </w:p>
    <w:p w14:paraId="7BF805CC">
      <w:pPr>
        <w:keepNext w:val="0"/>
        <w:keepLines w:val="0"/>
        <w:pageBreakBefore w:val="0"/>
        <w:widowControl w:val="0"/>
        <w:kinsoku/>
        <w:wordWrap/>
        <w:overflowPunct/>
        <w:topLinePunct w:val="0"/>
        <w:autoSpaceDE/>
        <w:autoSpaceDN/>
        <w:bidi w:val="0"/>
        <w:adjustRightInd/>
        <w:snapToGrid w:val="0"/>
        <w:spacing w:before="50" w:after="156" w:afterLines="50" w:line="216" w:lineRule="auto"/>
        <w:jc w:val="left"/>
        <w:textAlignment w:val="auto"/>
        <w:rPr>
          <w:color w:val="auto"/>
          <w:sz w:val="24"/>
          <w:highlight w:val="none"/>
        </w:rPr>
      </w:pPr>
      <w:r>
        <w:rPr>
          <w:b/>
          <w:color w:val="auto"/>
          <w:sz w:val="24"/>
          <w:highlight w:val="none"/>
        </w:rPr>
        <w:t>*</w:t>
      </w:r>
      <w:r>
        <w:rPr>
          <w:color w:val="auto"/>
          <w:sz w:val="24"/>
          <w:highlight w:val="none"/>
        </w:rPr>
        <w:t>注：此表格格式不得修改。</w:t>
      </w:r>
    </w:p>
    <w:p w14:paraId="0F24EF3F">
      <w:pPr>
        <w:keepNext w:val="0"/>
        <w:keepLines w:val="0"/>
        <w:pageBreakBefore w:val="0"/>
        <w:widowControl w:val="0"/>
        <w:kinsoku/>
        <w:wordWrap/>
        <w:overflowPunct/>
        <w:topLinePunct w:val="0"/>
        <w:autoSpaceDE/>
        <w:autoSpaceDN/>
        <w:bidi w:val="0"/>
        <w:adjustRightInd/>
        <w:spacing w:line="216"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77BDDAC">
      <w:pPr>
        <w:pStyle w:val="3"/>
        <w:keepNext w:val="0"/>
        <w:keepLines w:val="0"/>
        <w:pageBreakBefore/>
        <w:spacing w:line="276" w:lineRule="auto"/>
        <w:rPr>
          <w:rFonts w:hint="eastAsia" w:ascii="宋体" w:hAnsi="宋体" w:eastAsia="宋体" w:cs="宋体"/>
          <w:b/>
          <w:bCs/>
          <w:color w:val="auto"/>
          <w:kern w:val="2"/>
          <w:sz w:val="28"/>
          <w:szCs w:val="28"/>
          <w:highlight w:val="none"/>
          <w:lang w:val="en-US" w:eastAsia="zh-CN" w:bidi="ar-SA"/>
        </w:rPr>
      </w:pPr>
      <w:bookmarkStart w:id="313" w:name="_Toc24835"/>
      <w:bookmarkStart w:id="314" w:name="_Toc20587"/>
      <w:bookmarkStart w:id="315" w:name="_Toc2254"/>
      <w:bookmarkStart w:id="316" w:name="_Toc16461"/>
      <w:r>
        <w:rPr>
          <w:rFonts w:hint="eastAsia" w:ascii="宋体" w:hAnsi="宋体" w:eastAsia="宋体" w:cs="宋体"/>
          <w:b w:val="0"/>
          <w:color w:val="auto"/>
          <w:sz w:val="24"/>
          <w:szCs w:val="24"/>
          <w:highlight w:val="none"/>
          <w:lang w:eastAsia="zh-CN"/>
        </w:rPr>
        <w:t>附件</w:t>
      </w:r>
      <w:r>
        <w:rPr>
          <w:rFonts w:hint="eastAsia" w:ascii="宋体" w:hAnsi="宋体" w:eastAsia="宋体" w:cs="宋体"/>
          <w:b w:val="0"/>
          <w:color w:val="auto"/>
          <w:sz w:val="24"/>
          <w:szCs w:val="24"/>
          <w:highlight w:val="none"/>
          <w:lang w:val="en-US" w:eastAsia="zh-CN"/>
        </w:rPr>
        <w:t>五：</w:t>
      </w:r>
      <w:r>
        <w:rPr>
          <w:rFonts w:hint="eastAsia" w:ascii="宋体" w:hAnsi="宋体" w:eastAsia="宋体" w:cs="宋体"/>
          <w:b w:val="0"/>
          <w:bCs w:val="0"/>
          <w:color w:val="auto"/>
          <w:kern w:val="2"/>
          <w:sz w:val="24"/>
          <w:szCs w:val="24"/>
          <w:highlight w:val="none"/>
          <w:lang w:val="en-US" w:eastAsia="zh-CN" w:bidi="ar-SA"/>
        </w:rPr>
        <w:t>联合体协议书（联合体投标时提供）</w:t>
      </w:r>
      <w:bookmarkEnd w:id="313"/>
      <w:bookmarkEnd w:id="314"/>
      <w:bookmarkEnd w:id="315"/>
      <w:bookmarkEnd w:id="316"/>
    </w:p>
    <w:p w14:paraId="4B0EE855">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联合体协议书</w:t>
      </w:r>
    </w:p>
    <w:p w14:paraId="13F24883">
      <w:pPr>
        <w:snapToGrid w:val="0"/>
        <w:spacing w:line="360" w:lineRule="auto"/>
        <w:ind w:firstLine="576"/>
        <w:rPr>
          <w:rFonts w:ascii="宋体" w:hAnsi="宋体" w:cs="宋体"/>
          <w:color w:val="auto"/>
          <w:kern w:val="1"/>
          <w:highlight w:val="none"/>
        </w:rPr>
      </w:pPr>
      <w:r>
        <w:rPr>
          <w:rFonts w:hint="eastAsia" w:ascii="仿宋_GB2312" w:hAnsi="仿宋" w:eastAsia="仿宋_GB2312" w:cs="仿宋_GB2312"/>
          <w:b/>
          <w:bCs/>
          <w:color w:val="auto"/>
          <w:kern w:val="0"/>
          <w:sz w:val="24"/>
          <w:highlight w:val="none"/>
          <w:u w:val="single"/>
        </w:rPr>
        <w:t>（以联合体形式投标的，提供联合协议；本项目不接受联合体投标或者投标人不以联合体形式投标的，则不需要提供）</w:t>
      </w:r>
    </w:p>
    <w:p w14:paraId="2B7101E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31B628D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41A1553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729E6B9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1A695DA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提供的全部货物/服务由小微企业制造/服务，其合同份额占到合同总金额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3A8CA2C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024BCDFE">
      <w:pPr>
        <w:snapToGrid w:val="0"/>
        <w:spacing w:line="360" w:lineRule="auto"/>
        <w:ind w:firstLine="576"/>
        <w:outlineLvl w:val="1"/>
        <w:rPr>
          <w:rFonts w:asciiTheme="minorEastAsia" w:hAnsiTheme="minorEastAsia" w:eastAsiaTheme="minorEastAsia" w:cstheme="minorEastAsia"/>
          <w:color w:val="auto"/>
          <w:kern w:val="0"/>
          <w:sz w:val="24"/>
          <w:highlight w:val="none"/>
          <w:lang w:val="zh-CN"/>
        </w:rPr>
      </w:pPr>
      <w:bookmarkStart w:id="317" w:name="_Toc8152"/>
      <w:bookmarkStart w:id="318" w:name="_Toc6828"/>
      <w:bookmarkStart w:id="319" w:name="_Toc8617"/>
      <w:bookmarkStart w:id="320" w:name="_Toc8557"/>
      <w:bookmarkStart w:id="321" w:name="_Toc14227"/>
      <w:r>
        <w:rPr>
          <w:rFonts w:hint="eastAsia" w:asciiTheme="minorEastAsia" w:hAnsiTheme="minorEastAsia" w:eastAsiaTheme="minorEastAsia" w:cstheme="minorEastAsia"/>
          <w:color w:val="auto"/>
          <w:kern w:val="0"/>
          <w:sz w:val="24"/>
          <w:highlight w:val="none"/>
          <w:lang w:val="zh-CN"/>
        </w:rPr>
        <w:t>六、有关本次联合投标的其他事宜：</w:t>
      </w:r>
      <w:bookmarkEnd w:id="317"/>
      <w:bookmarkEnd w:id="318"/>
      <w:bookmarkEnd w:id="319"/>
      <w:bookmarkEnd w:id="320"/>
      <w:bookmarkEnd w:id="321"/>
    </w:p>
    <w:p w14:paraId="2FEBD56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53DD49E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2D25C0E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5C102D3B">
      <w:pPr>
        <w:snapToGrid w:val="0"/>
        <w:spacing w:line="360" w:lineRule="auto"/>
        <w:ind w:firstLine="5040" w:firstLineChars="2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14:paraId="4D0FF4A4">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9D9FA24">
      <w:pPr>
        <w:snapToGrid w:val="0"/>
        <w:spacing w:line="360" w:lineRule="auto"/>
        <w:ind w:right="480"/>
        <w:rPr>
          <w:rFonts w:asciiTheme="minorEastAsia" w:hAnsiTheme="minorEastAsia" w:eastAsiaTheme="minorEastAsia" w:cstheme="minorEastAsia"/>
          <w:b/>
          <w:color w:val="auto"/>
          <w:kern w:val="0"/>
          <w:sz w:val="32"/>
          <w:szCs w:val="32"/>
          <w:highlight w:val="none"/>
          <w:lang w:val="zh-CN"/>
        </w:rPr>
        <w:sectPr>
          <w:footerReference r:id="rId6" w:type="first"/>
          <w:footerReference r:id="rId5" w:type="default"/>
          <w:pgSz w:w="11906" w:h="16838"/>
          <w:pgMar w:top="1276" w:right="1361" w:bottom="1247" w:left="1418" w:header="851" w:footer="992" w:gutter="0"/>
          <w:pgNumType w:fmt="decimal" w:start="2"/>
          <w:cols w:space="720" w:num="1"/>
          <w:docGrid w:linePitch="312" w:charSpace="0"/>
        </w:sectPr>
      </w:pPr>
    </w:p>
    <w:p w14:paraId="72D41942">
      <w:pPr>
        <w:pStyle w:val="3"/>
        <w:keepNext w:val="0"/>
        <w:keepLines w:val="0"/>
        <w:pageBreakBefore/>
        <w:spacing w:line="276" w:lineRule="auto"/>
        <w:rPr>
          <w:rFonts w:hint="eastAsia" w:ascii="宋体" w:hAnsi="宋体" w:eastAsia="宋体" w:cs="宋体"/>
          <w:b w:val="0"/>
          <w:color w:val="auto"/>
          <w:sz w:val="24"/>
          <w:szCs w:val="24"/>
          <w:highlight w:val="none"/>
          <w:lang w:val="en-US" w:eastAsia="zh-CN"/>
        </w:rPr>
      </w:pPr>
      <w:bookmarkStart w:id="322" w:name="_Toc13904"/>
      <w:bookmarkStart w:id="323" w:name="_Toc8641"/>
      <w:bookmarkStart w:id="324" w:name="_Toc31166"/>
      <w:r>
        <w:rPr>
          <w:rFonts w:hint="eastAsia" w:ascii="宋体" w:hAnsi="宋体" w:eastAsia="宋体" w:cs="宋体"/>
          <w:b w:val="0"/>
          <w:color w:val="auto"/>
          <w:sz w:val="24"/>
          <w:szCs w:val="24"/>
          <w:highlight w:val="none"/>
          <w:lang w:eastAsia="zh-CN"/>
        </w:rPr>
        <w:t>附件</w:t>
      </w:r>
      <w:r>
        <w:rPr>
          <w:rFonts w:hint="eastAsia" w:ascii="宋体" w:hAnsi="宋体" w:eastAsia="宋体" w:cs="宋体"/>
          <w:b w:val="0"/>
          <w:color w:val="auto"/>
          <w:sz w:val="24"/>
          <w:szCs w:val="24"/>
          <w:highlight w:val="none"/>
          <w:lang w:val="en-US" w:eastAsia="zh-CN"/>
        </w:rPr>
        <w:t>六：分包意向协议</w:t>
      </w:r>
      <w:bookmarkEnd w:id="322"/>
      <w:bookmarkEnd w:id="323"/>
      <w:bookmarkEnd w:id="324"/>
    </w:p>
    <w:p w14:paraId="0FD5A43F">
      <w:pPr>
        <w:snapToGrid w:val="0"/>
        <w:spacing w:line="360" w:lineRule="auto"/>
        <w:ind w:firstLine="3855" w:firstLineChars="12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1FEB6628">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w:t>
      </w:r>
      <w:r>
        <w:rPr>
          <w:rFonts w:hint="eastAsia" w:ascii="宋体" w:hAnsi="宋体" w:cs="宋体"/>
          <w:b/>
          <w:color w:val="auto"/>
          <w:sz w:val="24"/>
          <w:highlight w:val="none"/>
          <w:lang w:val="en-US" w:eastAsia="zh-CN"/>
        </w:rPr>
        <w:t>采购人不同意分包或者</w:t>
      </w:r>
      <w:r>
        <w:rPr>
          <w:rFonts w:hint="eastAsia" w:ascii="宋体" w:hAnsi="宋体" w:eastAsia="宋体" w:cs="宋体"/>
          <w:b/>
          <w:color w:val="auto"/>
          <w:sz w:val="24"/>
          <w:highlight w:val="none"/>
        </w:rPr>
        <w:t>投标人中标后不以分包方式履行合同的，则不需要提供</w:t>
      </w:r>
      <w:r>
        <w:rPr>
          <w:rFonts w:hint="eastAsia" w:ascii="宋体" w:hAnsi="宋体" w:eastAsia="宋体" w:cs="宋体"/>
          <w:color w:val="auto"/>
          <w:sz w:val="24"/>
          <w:highlight w:val="none"/>
        </w:rPr>
        <w:t>）</w:t>
      </w:r>
    </w:p>
    <w:p w14:paraId="475C5CC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426F7BA">
      <w:pPr>
        <w:snapToGrid w:val="0"/>
        <w:spacing w:line="360" w:lineRule="auto"/>
        <w:ind w:firstLine="576"/>
        <w:outlineLvl w:val="1"/>
        <w:rPr>
          <w:rFonts w:hint="eastAsia" w:ascii="宋体" w:hAnsi="宋体" w:eastAsia="宋体" w:cs="宋体"/>
          <w:color w:val="auto"/>
          <w:kern w:val="0"/>
          <w:sz w:val="24"/>
          <w:highlight w:val="none"/>
          <w:lang w:val="zh-CN"/>
        </w:rPr>
      </w:pPr>
      <w:bookmarkStart w:id="325" w:name="_Toc20310"/>
      <w:bookmarkStart w:id="326" w:name="_Toc13636"/>
      <w:bookmarkStart w:id="327" w:name="_Toc20138"/>
      <w:bookmarkStart w:id="328" w:name="_Toc14946"/>
      <w:bookmarkStart w:id="329" w:name="_Toc25767"/>
      <w:r>
        <w:rPr>
          <w:rFonts w:hint="eastAsia" w:ascii="宋体" w:hAnsi="宋体" w:eastAsia="宋体" w:cs="宋体"/>
          <w:color w:val="auto"/>
          <w:kern w:val="0"/>
          <w:sz w:val="24"/>
          <w:highlight w:val="none"/>
          <w:lang w:val="zh-CN"/>
        </w:rPr>
        <w:t>一、分包标的及数量</w:t>
      </w:r>
      <w:bookmarkEnd w:id="325"/>
      <w:bookmarkEnd w:id="326"/>
      <w:bookmarkEnd w:id="327"/>
      <w:bookmarkEnd w:id="328"/>
      <w:bookmarkEnd w:id="329"/>
    </w:p>
    <w:p w14:paraId="6960C9C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47CEC4E5">
      <w:pPr>
        <w:snapToGrid w:val="0"/>
        <w:spacing w:line="360" w:lineRule="auto"/>
        <w:ind w:firstLine="576"/>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2829AA7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72EC9645">
      <w:pPr>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A6A7A7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4A4EEF0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2BBA94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5EA6C524">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3A2EB5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r>
        <w:rPr>
          <w:rFonts w:hint="eastAsia" w:ascii="宋体" w:hAnsi="宋体" w:eastAsia="宋体" w:cs="宋体"/>
          <w:color w:val="auto"/>
          <w:highlight w:val="none"/>
          <w:u w:val="single"/>
        </w:rPr>
        <w:t xml:space="preserve">                                                                            </w:t>
      </w:r>
    </w:p>
    <w:p w14:paraId="46A84E6C">
      <w:pPr>
        <w:snapToGrid w:val="0"/>
        <w:spacing w:line="360" w:lineRule="auto"/>
        <w:ind w:firstLine="576"/>
        <w:rPr>
          <w:rFonts w:hint="eastAsia" w:ascii="宋体" w:hAnsi="宋体" w:eastAsia="宋体" w:cs="宋体"/>
          <w:color w:val="auto"/>
          <w:kern w:val="0"/>
          <w:sz w:val="24"/>
          <w:highlight w:val="none"/>
          <w:lang w:val="zh-CN"/>
        </w:rPr>
      </w:pPr>
    </w:p>
    <w:p w14:paraId="57842DB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r>
        <w:rPr>
          <w:rFonts w:hint="eastAsia" w:ascii="宋体" w:hAnsi="宋体" w:eastAsia="宋体" w:cs="宋体"/>
          <w:color w:val="auto"/>
          <w:highlight w:val="none"/>
          <w:u w:val="single"/>
        </w:rPr>
        <w:t xml:space="preserve">                                                                              </w:t>
      </w:r>
    </w:p>
    <w:p w14:paraId="71E07331">
      <w:pPr>
        <w:snapToGrid w:val="0"/>
        <w:spacing w:line="360" w:lineRule="auto"/>
        <w:rPr>
          <w:rFonts w:hint="eastAsia" w:ascii="宋体" w:hAnsi="宋体" w:eastAsia="宋体" w:cs="宋体"/>
          <w:color w:val="auto"/>
          <w:kern w:val="0"/>
          <w:sz w:val="24"/>
          <w:highlight w:val="none"/>
          <w:lang w:val="zh-CN"/>
        </w:rPr>
      </w:pPr>
    </w:p>
    <w:p w14:paraId="044CFAEC">
      <w:pPr>
        <w:snapToGrid w:val="0"/>
        <w:spacing w:line="360" w:lineRule="auto"/>
        <w:ind w:firstLine="480" w:firstLineChars="200"/>
        <w:outlineLvl w:val="1"/>
        <w:rPr>
          <w:rFonts w:hint="eastAsia" w:ascii="宋体" w:hAnsi="宋体" w:eastAsia="宋体" w:cs="宋体"/>
          <w:color w:val="auto"/>
          <w:kern w:val="0"/>
          <w:sz w:val="24"/>
          <w:highlight w:val="none"/>
          <w:lang w:val="zh-CN"/>
        </w:rPr>
      </w:pPr>
      <w:bookmarkStart w:id="330" w:name="_Toc13566"/>
      <w:bookmarkStart w:id="331" w:name="_Toc13378"/>
      <w:bookmarkStart w:id="332" w:name="_Toc32675"/>
      <w:bookmarkStart w:id="333" w:name="_Toc3728"/>
      <w:bookmarkStart w:id="334" w:name="_Toc6875"/>
      <w:r>
        <w:rPr>
          <w:rFonts w:hint="eastAsia" w:ascii="宋体" w:hAnsi="宋体" w:eastAsia="宋体" w:cs="宋体"/>
          <w:color w:val="auto"/>
          <w:kern w:val="0"/>
          <w:sz w:val="24"/>
          <w:highlight w:val="none"/>
          <w:lang w:val="zh-CN"/>
        </w:rPr>
        <w:t>七、其他</w:t>
      </w:r>
      <w:bookmarkEnd w:id="330"/>
      <w:bookmarkEnd w:id="331"/>
      <w:bookmarkEnd w:id="332"/>
      <w:bookmarkEnd w:id="333"/>
      <w:bookmarkEnd w:id="334"/>
    </w:p>
    <w:p w14:paraId="0A8B8D59">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（分包供应商名称）提供的货物/服务全部由小微企业制造/服务，</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sz w:val="24"/>
          <w:highlight w:val="none"/>
        </w:rPr>
        <w:t>。</w:t>
      </w:r>
    </w:p>
    <w:p w14:paraId="0CA29768">
      <w:pPr>
        <w:snapToGrid w:val="0"/>
        <w:spacing w:line="360" w:lineRule="auto"/>
        <w:ind w:firstLine="576"/>
        <w:rPr>
          <w:rFonts w:hint="eastAsia" w:ascii="宋体" w:hAnsi="宋体" w:eastAsia="宋体" w:cs="宋体"/>
          <w:b/>
          <w:color w:val="auto"/>
          <w:kern w:val="0"/>
          <w:sz w:val="24"/>
          <w:highlight w:val="none"/>
          <w:lang w:val="zh-CN"/>
        </w:rPr>
      </w:pPr>
    </w:p>
    <w:p w14:paraId="11D1F918">
      <w:pPr>
        <w:snapToGrid w:val="0"/>
        <w:spacing w:line="360" w:lineRule="auto"/>
        <w:ind w:firstLine="576"/>
        <w:rPr>
          <w:rFonts w:hint="eastAsia" w:ascii="宋体" w:hAnsi="宋体" w:eastAsia="宋体" w:cs="宋体"/>
          <w:b/>
          <w:color w:val="auto"/>
          <w:kern w:val="0"/>
          <w:sz w:val="24"/>
          <w:highlight w:val="none"/>
          <w:lang w:val="zh-CN"/>
        </w:rPr>
      </w:pPr>
    </w:p>
    <w:p w14:paraId="0F43DD1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C4978D1">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6F3FE6CF">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1F469329">
      <w:pPr>
        <w:snapToGrid w:val="0"/>
        <w:spacing w:line="360" w:lineRule="auto"/>
        <w:rPr>
          <w:rFonts w:hint="eastAsia" w:ascii="宋体" w:hAnsi="宋体" w:eastAsia="宋体" w:cs="宋体"/>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宋体" w:hAnsi="宋体" w:eastAsia="宋体" w:cs="宋体"/>
          <w:color w:val="auto"/>
          <w:kern w:val="0"/>
          <w:sz w:val="24"/>
          <w:highlight w:val="none"/>
          <w:lang w:val="zh-CN"/>
        </w:rPr>
        <w:t xml:space="preserve"> 日期：  年  月   日</w:t>
      </w:r>
    </w:p>
    <w:p w14:paraId="218B4859">
      <w:pPr>
        <w:pStyle w:val="10"/>
        <w:rPr>
          <w:rFonts w:hint="eastAsia"/>
          <w:color w:val="auto"/>
          <w:highlight w:val="none"/>
        </w:rPr>
      </w:pPr>
    </w:p>
    <w:p w14:paraId="15707615">
      <w:pPr>
        <w:pStyle w:val="3"/>
        <w:rPr>
          <w:rFonts w:hint="eastAsia" w:ascii="宋体" w:hAnsi="宋体" w:eastAsia="宋体" w:cs="宋体"/>
          <w:b w:val="0"/>
          <w:color w:val="auto"/>
          <w:sz w:val="24"/>
          <w:szCs w:val="24"/>
          <w:highlight w:val="none"/>
        </w:rPr>
      </w:pPr>
      <w:bookmarkStart w:id="335" w:name="_Toc20051"/>
      <w:bookmarkStart w:id="336" w:name="_Toc19244"/>
      <w:bookmarkStart w:id="337" w:name="_Toc4354"/>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七</w:t>
      </w:r>
      <w:r>
        <w:rPr>
          <w:rFonts w:hint="eastAsia" w:ascii="宋体" w:hAnsi="宋体" w:eastAsia="宋体" w:cs="宋体"/>
          <w:b w:val="0"/>
          <w:color w:val="auto"/>
          <w:sz w:val="24"/>
          <w:szCs w:val="24"/>
          <w:highlight w:val="none"/>
        </w:rPr>
        <w:t>：投标人资信商务、技术自评得分表</w:t>
      </w:r>
      <w:bookmarkEnd w:id="335"/>
      <w:bookmarkEnd w:id="336"/>
      <w:bookmarkEnd w:id="337"/>
    </w:p>
    <w:p w14:paraId="3D03E02F">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投标人资信商务、技术自评得分表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4589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2B0CD7C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550" w:type="dxa"/>
            <w:vAlign w:val="center"/>
          </w:tcPr>
          <w:p w14:paraId="0BB0272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w:t>
            </w:r>
          </w:p>
        </w:tc>
        <w:tc>
          <w:tcPr>
            <w:tcW w:w="3200" w:type="dxa"/>
            <w:vAlign w:val="center"/>
          </w:tcPr>
          <w:p w14:paraId="4CC21CA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得分内容</w:t>
            </w:r>
          </w:p>
        </w:tc>
        <w:tc>
          <w:tcPr>
            <w:tcW w:w="916" w:type="dxa"/>
            <w:vAlign w:val="center"/>
          </w:tcPr>
          <w:p w14:paraId="7ADBB54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自评</w:t>
            </w:r>
          </w:p>
          <w:p w14:paraId="76BA417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得分</w:t>
            </w:r>
          </w:p>
        </w:tc>
        <w:tc>
          <w:tcPr>
            <w:tcW w:w="1219" w:type="dxa"/>
            <w:vAlign w:val="center"/>
          </w:tcPr>
          <w:p w14:paraId="54B7373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r>
      <w:tr w14:paraId="0D89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050919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550" w:type="dxa"/>
            <w:vAlign w:val="center"/>
          </w:tcPr>
          <w:p w14:paraId="0BDF49F4">
            <w:pPr>
              <w:jc w:val="center"/>
              <w:rPr>
                <w:rFonts w:hint="eastAsia" w:ascii="宋体" w:hAnsi="宋体" w:eastAsia="宋体" w:cs="宋体"/>
                <w:color w:val="auto"/>
                <w:sz w:val="24"/>
                <w:highlight w:val="none"/>
              </w:rPr>
            </w:pPr>
          </w:p>
        </w:tc>
        <w:tc>
          <w:tcPr>
            <w:tcW w:w="3200" w:type="dxa"/>
            <w:vAlign w:val="center"/>
          </w:tcPr>
          <w:p w14:paraId="1086D73D">
            <w:pPr>
              <w:jc w:val="center"/>
              <w:rPr>
                <w:rFonts w:hint="eastAsia" w:ascii="宋体" w:hAnsi="宋体" w:eastAsia="宋体" w:cs="宋体"/>
                <w:color w:val="auto"/>
                <w:sz w:val="24"/>
                <w:highlight w:val="none"/>
              </w:rPr>
            </w:pPr>
          </w:p>
        </w:tc>
        <w:tc>
          <w:tcPr>
            <w:tcW w:w="916" w:type="dxa"/>
            <w:vAlign w:val="center"/>
          </w:tcPr>
          <w:p w14:paraId="27C5A31A">
            <w:pPr>
              <w:jc w:val="center"/>
              <w:rPr>
                <w:rFonts w:hint="eastAsia" w:ascii="宋体" w:hAnsi="宋体" w:eastAsia="宋体" w:cs="宋体"/>
                <w:color w:val="auto"/>
                <w:sz w:val="24"/>
                <w:highlight w:val="none"/>
              </w:rPr>
            </w:pPr>
          </w:p>
        </w:tc>
        <w:tc>
          <w:tcPr>
            <w:tcW w:w="1219" w:type="dxa"/>
            <w:vAlign w:val="center"/>
          </w:tcPr>
          <w:p w14:paraId="3984DA6F">
            <w:pPr>
              <w:jc w:val="center"/>
              <w:rPr>
                <w:rFonts w:hint="eastAsia" w:ascii="宋体" w:hAnsi="宋体" w:eastAsia="宋体" w:cs="宋体"/>
                <w:color w:val="auto"/>
                <w:sz w:val="24"/>
                <w:highlight w:val="none"/>
              </w:rPr>
            </w:pPr>
          </w:p>
        </w:tc>
      </w:tr>
      <w:tr w14:paraId="4114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55953F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550" w:type="dxa"/>
            <w:vAlign w:val="center"/>
          </w:tcPr>
          <w:p w14:paraId="4DFFB531">
            <w:pPr>
              <w:jc w:val="center"/>
              <w:rPr>
                <w:rFonts w:hint="eastAsia" w:ascii="宋体" w:hAnsi="宋体" w:eastAsia="宋体" w:cs="宋体"/>
                <w:color w:val="auto"/>
                <w:sz w:val="24"/>
                <w:highlight w:val="none"/>
              </w:rPr>
            </w:pPr>
          </w:p>
        </w:tc>
        <w:tc>
          <w:tcPr>
            <w:tcW w:w="3200" w:type="dxa"/>
            <w:vAlign w:val="center"/>
          </w:tcPr>
          <w:p w14:paraId="12A2E9F2">
            <w:pPr>
              <w:jc w:val="center"/>
              <w:rPr>
                <w:rFonts w:hint="eastAsia" w:ascii="宋体" w:hAnsi="宋体" w:eastAsia="宋体" w:cs="宋体"/>
                <w:color w:val="auto"/>
                <w:sz w:val="24"/>
                <w:highlight w:val="none"/>
              </w:rPr>
            </w:pPr>
          </w:p>
        </w:tc>
        <w:tc>
          <w:tcPr>
            <w:tcW w:w="916" w:type="dxa"/>
            <w:vAlign w:val="center"/>
          </w:tcPr>
          <w:p w14:paraId="3E331240">
            <w:pPr>
              <w:jc w:val="center"/>
              <w:rPr>
                <w:rFonts w:hint="eastAsia" w:ascii="宋体" w:hAnsi="宋体" w:eastAsia="宋体" w:cs="宋体"/>
                <w:color w:val="auto"/>
                <w:sz w:val="24"/>
                <w:highlight w:val="none"/>
              </w:rPr>
            </w:pPr>
          </w:p>
        </w:tc>
        <w:tc>
          <w:tcPr>
            <w:tcW w:w="1219" w:type="dxa"/>
            <w:vAlign w:val="center"/>
          </w:tcPr>
          <w:p w14:paraId="16088B1B">
            <w:pPr>
              <w:jc w:val="center"/>
              <w:rPr>
                <w:rFonts w:hint="eastAsia" w:ascii="宋体" w:hAnsi="宋体" w:eastAsia="宋体" w:cs="宋体"/>
                <w:color w:val="auto"/>
                <w:sz w:val="24"/>
                <w:highlight w:val="none"/>
              </w:rPr>
            </w:pPr>
          </w:p>
        </w:tc>
      </w:tr>
      <w:tr w14:paraId="715F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B95965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550" w:type="dxa"/>
            <w:vAlign w:val="center"/>
          </w:tcPr>
          <w:p w14:paraId="381EAF89">
            <w:pPr>
              <w:jc w:val="center"/>
              <w:rPr>
                <w:rFonts w:hint="eastAsia" w:ascii="宋体" w:hAnsi="宋体" w:eastAsia="宋体" w:cs="宋体"/>
                <w:color w:val="auto"/>
                <w:sz w:val="24"/>
                <w:highlight w:val="none"/>
              </w:rPr>
            </w:pPr>
          </w:p>
        </w:tc>
        <w:tc>
          <w:tcPr>
            <w:tcW w:w="3200" w:type="dxa"/>
            <w:vAlign w:val="center"/>
          </w:tcPr>
          <w:p w14:paraId="08A49E3F">
            <w:pPr>
              <w:jc w:val="center"/>
              <w:rPr>
                <w:rFonts w:hint="eastAsia" w:ascii="宋体" w:hAnsi="宋体" w:eastAsia="宋体" w:cs="宋体"/>
                <w:color w:val="auto"/>
                <w:sz w:val="24"/>
                <w:highlight w:val="none"/>
              </w:rPr>
            </w:pPr>
          </w:p>
        </w:tc>
        <w:tc>
          <w:tcPr>
            <w:tcW w:w="916" w:type="dxa"/>
            <w:vAlign w:val="center"/>
          </w:tcPr>
          <w:p w14:paraId="16EBD7A4">
            <w:pPr>
              <w:jc w:val="center"/>
              <w:rPr>
                <w:rFonts w:hint="eastAsia" w:ascii="宋体" w:hAnsi="宋体" w:eastAsia="宋体" w:cs="宋体"/>
                <w:color w:val="auto"/>
                <w:sz w:val="24"/>
                <w:highlight w:val="none"/>
              </w:rPr>
            </w:pPr>
          </w:p>
        </w:tc>
        <w:tc>
          <w:tcPr>
            <w:tcW w:w="1219" w:type="dxa"/>
            <w:vAlign w:val="center"/>
          </w:tcPr>
          <w:p w14:paraId="4A5E701F">
            <w:pPr>
              <w:jc w:val="center"/>
              <w:rPr>
                <w:rFonts w:hint="eastAsia" w:ascii="宋体" w:hAnsi="宋体" w:eastAsia="宋体" w:cs="宋体"/>
                <w:color w:val="auto"/>
                <w:sz w:val="24"/>
                <w:highlight w:val="none"/>
              </w:rPr>
            </w:pPr>
          </w:p>
        </w:tc>
      </w:tr>
      <w:tr w14:paraId="30BE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FF533A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550" w:type="dxa"/>
            <w:vAlign w:val="center"/>
          </w:tcPr>
          <w:p w14:paraId="44DDF128">
            <w:pPr>
              <w:jc w:val="center"/>
              <w:rPr>
                <w:rFonts w:hint="eastAsia" w:ascii="宋体" w:hAnsi="宋体" w:eastAsia="宋体" w:cs="宋体"/>
                <w:color w:val="auto"/>
                <w:sz w:val="24"/>
                <w:highlight w:val="none"/>
              </w:rPr>
            </w:pPr>
          </w:p>
        </w:tc>
        <w:tc>
          <w:tcPr>
            <w:tcW w:w="3200" w:type="dxa"/>
            <w:vAlign w:val="center"/>
          </w:tcPr>
          <w:p w14:paraId="1026D1FC">
            <w:pPr>
              <w:jc w:val="center"/>
              <w:rPr>
                <w:rFonts w:hint="eastAsia" w:ascii="宋体" w:hAnsi="宋体" w:eastAsia="宋体" w:cs="宋体"/>
                <w:color w:val="auto"/>
                <w:sz w:val="24"/>
                <w:highlight w:val="none"/>
              </w:rPr>
            </w:pPr>
          </w:p>
        </w:tc>
        <w:tc>
          <w:tcPr>
            <w:tcW w:w="916" w:type="dxa"/>
            <w:vAlign w:val="center"/>
          </w:tcPr>
          <w:p w14:paraId="03982388">
            <w:pPr>
              <w:jc w:val="center"/>
              <w:rPr>
                <w:rFonts w:hint="eastAsia" w:ascii="宋体" w:hAnsi="宋体" w:eastAsia="宋体" w:cs="宋体"/>
                <w:color w:val="auto"/>
                <w:sz w:val="24"/>
                <w:highlight w:val="none"/>
              </w:rPr>
            </w:pPr>
          </w:p>
        </w:tc>
        <w:tc>
          <w:tcPr>
            <w:tcW w:w="1219" w:type="dxa"/>
            <w:vAlign w:val="center"/>
          </w:tcPr>
          <w:p w14:paraId="73B52CEF">
            <w:pPr>
              <w:jc w:val="center"/>
              <w:rPr>
                <w:rFonts w:hint="eastAsia" w:ascii="宋体" w:hAnsi="宋体" w:eastAsia="宋体" w:cs="宋体"/>
                <w:color w:val="auto"/>
                <w:sz w:val="24"/>
                <w:highlight w:val="none"/>
              </w:rPr>
            </w:pPr>
          </w:p>
        </w:tc>
      </w:tr>
      <w:tr w14:paraId="0673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4F2B169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550" w:type="dxa"/>
            <w:vAlign w:val="center"/>
          </w:tcPr>
          <w:p w14:paraId="23B702BC">
            <w:pPr>
              <w:jc w:val="center"/>
              <w:rPr>
                <w:rFonts w:hint="eastAsia" w:ascii="宋体" w:hAnsi="宋体" w:eastAsia="宋体" w:cs="宋体"/>
                <w:color w:val="auto"/>
                <w:sz w:val="24"/>
                <w:highlight w:val="none"/>
              </w:rPr>
            </w:pPr>
          </w:p>
        </w:tc>
        <w:tc>
          <w:tcPr>
            <w:tcW w:w="3200" w:type="dxa"/>
            <w:vAlign w:val="center"/>
          </w:tcPr>
          <w:p w14:paraId="77D028A6">
            <w:pPr>
              <w:jc w:val="center"/>
              <w:rPr>
                <w:rFonts w:hint="eastAsia" w:ascii="宋体" w:hAnsi="宋体" w:eastAsia="宋体" w:cs="宋体"/>
                <w:color w:val="auto"/>
                <w:sz w:val="24"/>
                <w:highlight w:val="none"/>
              </w:rPr>
            </w:pPr>
          </w:p>
        </w:tc>
        <w:tc>
          <w:tcPr>
            <w:tcW w:w="916" w:type="dxa"/>
            <w:vAlign w:val="center"/>
          </w:tcPr>
          <w:p w14:paraId="7FC12468">
            <w:pPr>
              <w:jc w:val="center"/>
              <w:rPr>
                <w:rFonts w:hint="eastAsia" w:ascii="宋体" w:hAnsi="宋体" w:eastAsia="宋体" w:cs="宋体"/>
                <w:color w:val="auto"/>
                <w:sz w:val="24"/>
                <w:highlight w:val="none"/>
              </w:rPr>
            </w:pPr>
          </w:p>
        </w:tc>
        <w:tc>
          <w:tcPr>
            <w:tcW w:w="1219" w:type="dxa"/>
            <w:vAlign w:val="center"/>
          </w:tcPr>
          <w:p w14:paraId="389D2B65">
            <w:pPr>
              <w:jc w:val="center"/>
              <w:rPr>
                <w:rFonts w:hint="eastAsia" w:ascii="宋体" w:hAnsi="宋体" w:eastAsia="宋体" w:cs="宋体"/>
                <w:color w:val="auto"/>
                <w:sz w:val="24"/>
                <w:highlight w:val="none"/>
              </w:rPr>
            </w:pPr>
          </w:p>
        </w:tc>
      </w:tr>
      <w:tr w14:paraId="114A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9D3C8B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550" w:type="dxa"/>
            <w:vAlign w:val="center"/>
          </w:tcPr>
          <w:p w14:paraId="2BE82504">
            <w:pPr>
              <w:jc w:val="center"/>
              <w:rPr>
                <w:rFonts w:hint="eastAsia" w:ascii="宋体" w:hAnsi="宋体" w:eastAsia="宋体" w:cs="宋体"/>
                <w:color w:val="auto"/>
                <w:sz w:val="24"/>
                <w:highlight w:val="none"/>
              </w:rPr>
            </w:pPr>
          </w:p>
        </w:tc>
        <w:tc>
          <w:tcPr>
            <w:tcW w:w="3200" w:type="dxa"/>
            <w:vAlign w:val="center"/>
          </w:tcPr>
          <w:p w14:paraId="18CD765F">
            <w:pPr>
              <w:jc w:val="center"/>
              <w:rPr>
                <w:rFonts w:hint="eastAsia" w:ascii="宋体" w:hAnsi="宋体" w:eastAsia="宋体" w:cs="宋体"/>
                <w:color w:val="auto"/>
                <w:sz w:val="24"/>
                <w:highlight w:val="none"/>
              </w:rPr>
            </w:pPr>
          </w:p>
        </w:tc>
        <w:tc>
          <w:tcPr>
            <w:tcW w:w="916" w:type="dxa"/>
            <w:vAlign w:val="center"/>
          </w:tcPr>
          <w:p w14:paraId="52C36A57">
            <w:pPr>
              <w:jc w:val="center"/>
              <w:rPr>
                <w:rFonts w:hint="eastAsia" w:ascii="宋体" w:hAnsi="宋体" w:eastAsia="宋体" w:cs="宋体"/>
                <w:color w:val="auto"/>
                <w:sz w:val="24"/>
                <w:highlight w:val="none"/>
              </w:rPr>
            </w:pPr>
          </w:p>
        </w:tc>
        <w:tc>
          <w:tcPr>
            <w:tcW w:w="1219" w:type="dxa"/>
            <w:vAlign w:val="center"/>
          </w:tcPr>
          <w:p w14:paraId="0D5EC2D8">
            <w:pPr>
              <w:jc w:val="center"/>
              <w:rPr>
                <w:rFonts w:hint="eastAsia" w:ascii="宋体" w:hAnsi="宋体" w:eastAsia="宋体" w:cs="宋体"/>
                <w:color w:val="auto"/>
                <w:sz w:val="24"/>
                <w:highlight w:val="none"/>
              </w:rPr>
            </w:pPr>
          </w:p>
        </w:tc>
      </w:tr>
      <w:tr w14:paraId="2D81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35FE0C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550" w:type="dxa"/>
            <w:vAlign w:val="center"/>
          </w:tcPr>
          <w:p w14:paraId="0177D105">
            <w:pPr>
              <w:jc w:val="center"/>
              <w:rPr>
                <w:rFonts w:hint="eastAsia" w:ascii="宋体" w:hAnsi="宋体" w:eastAsia="宋体" w:cs="宋体"/>
                <w:color w:val="auto"/>
                <w:sz w:val="24"/>
                <w:highlight w:val="none"/>
              </w:rPr>
            </w:pPr>
          </w:p>
        </w:tc>
        <w:tc>
          <w:tcPr>
            <w:tcW w:w="3200" w:type="dxa"/>
            <w:vAlign w:val="center"/>
          </w:tcPr>
          <w:p w14:paraId="1C7CA74C">
            <w:pPr>
              <w:jc w:val="center"/>
              <w:rPr>
                <w:rFonts w:hint="eastAsia" w:ascii="宋体" w:hAnsi="宋体" w:eastAsia="宋体" w:cs="宋体"/>
                <w:color w:val="auto"/>
                <w:sz w:val="24"/>
                <w:highlight w:val="none"/>
              </w:rPr>
            </w:pPr>
          </w:p>
        </w:tc>
        <w:tc>
          <w:tcPr>
            <w:tcW w:w="916" w:type="dxa"/>
            <w:vAlign w:val="center"/>
          </w:tcPr>
          <w:p w14:paraId="660FF2F7">
            <w:pPr>
              <w:jc w:val="center"/>
              <w:rPr>
                <w:rFonts w:hint="eastAsia" w:ascii="宋体" w:hAnsi="宋体" w:eastAsia="宋体" w:cs="宋体"/>
                <w:color w:val="auto"/>
                <w:sz w:val="24"/>
                <w:highlight w:val="none"/>
              </w:rPr>
            </w:pPr>
          </w:p>
        </w:tc>
        <w:tc>
          <w:tcPr>
            <w:tcW w:w="1219" w:type="dxa"/>
            <w:vAlign w:val="center"/>
          </w:tcPr>
          <w:p w14:paraId="040E43EF">
            <w:pPr>
              <w:jc w:val="center"/>
              <w:rPr>
                <w:rFonts w:hint="eastAsia" w:ascii="宋体" w:hAnsi="宋体" w:eastAsia="宋体" w:cs="宋体"/>
                <w:color w:val="auto"/>
                <w:sz w:val="24"/>
                <w:highlight w:val="none"/>
              </w:rPr>
            </w:pPr>
          </w:p>
        </w:tc>
      </w:tr>
      <w:tr w14:paraId="7597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46EE24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550" w:type="dxa"/>
            <w:vAlign w:val="center"/>
          </w:tcPr>
          <w:p w14:paraId="155DB1E9">
            <w:pPr>
              <w:jc w:val="center"/>
              <w:rPr>
                <w:rFonts w:hint="eastAsia" w:ascii="宋体" w:hAnsi="宋体" w:eastAsia="宋体" w:cs="宋体"/>
                <w:color w:val="auto"/>
                <w:sz w:val="24"/>
                <w:highlight w:val="none"/>
              </w:rPr>
            </w:pPr>
          </w:p>
        </w:tc>
        <w:tc>
          <w:tcPr>
            <w:tcW w:w="3200" w:type="dxa"/>
            <w:vAlign w:val="center"/>
          </w:tcPr>
          <w:p w14:paraId="12C3A78B">
            <w:pPr>
              <w:jc w:val="center"/>
              <w:rPr>
                <w:rFonts w:hint="eastAsia" w:ascii="宋体" w:hAnsi="宋体" w:eastAsia="宋体" w:cs="宋体"/>
                <w:color w:val="auto"/>
                <w:sz w:val="24"/>
                <w:highlight w:val="none"/>
              </w:rPr>
            </w:pPr>
          </w:p>
        </w:tc>
        <w:tc>
          <w:tcPr>
            <w:tcW w:w="916" w:type="dxa"/>
            <w:vAlign w:val="center"/>
          </w:tcPr>
          <w:p w14:paraId="515AC50E">
            <w:pPr>
              <w:jc w:val="center"/>
              <w:rPr>
                <w:rFonts w:hint="eastAsia" w:ascii="宋体" w:hAnsi="宋体" w:eastAsia="宋体" w:cs="宋体"/>
                <w:color w:val="auto"/>
                <w:sz w:val="24"/>
                <w:highlight w:val="none"/>
              </w:rPr>
            </w:pPr>
          </w:p>
        </w:tc>
        <w:tc>
          <w:tcPr>
            <w:tcW w:w="1219" w:type="dxa"/>
            <w:vAlign w:val="center"/>
          </w:tcPr>
          <w:p w14:paraId="66A070B3">
            <w:pPr>
              <w:jc w:val="center"/>
              <w:rPr>
                <w:rFonts w:hint="eastAsia" w:ascii="宋体" w:hAnsi="宋体" w:eastAsia="宋体" w:cs="宋体"/>
                <w:color w:val="auto"/>
                <w:sz w:val="24"/>
                <w:highlight w:val="none"/>
              </w:rPr>
            </w:pPr>
          </w:p>
        </w:tc>
      </w:tr>
      <w:tr w14:paraId="47F9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4D2D9ED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550" w:type="dxa"/>
            <w:vAlign w:val="center"/>
          </w:tcPr>
          <w:p w14:paraId="1B93C7D9">
            <w:pPr>
              <w:jc w:val="center"/>
              <w:rPr>
                <w:rFonts w:hint="eastAsia" w:ascii="宋体" w:hAnsi="宋体" w:eastAsia="宋体" w:cs="宋体"/>
                <w:color w:val="auto"/>
                <w:sz w:val="24"/>
                <w:highlight w:val="none"/>
              </w:rPr>
            </w:pPr>
          </w:p>
        </w:tc>
        <w:tc>
          <w:tcPr>
            <w:tcW w:w="3200" w:type="dxa"/>
            <w:vAlign w:val="center"/>
          </w:tcPr>
          <w:p w14:paraId="2BCEC7B2">
            <w:pPr>
              <w:jc w:val="center"/>
              <w:rPr>
                <w:rFonts w:hint="eastAsia" w:ascii="宋体" w:hAnsi="宋体" w:eastAsia="宋体" w:cs="宋体"/>
                <w:color w:val="auto"/>
                <w:sz w:val="24"/>
                <w:highlight w:val="none"/>
              </w:rPr>
            </w:pPr>
          </w:p>
        </w:tc>
        <w:tc>
          <w:tcPr>
            <w:tcW w:w="916" w:type="dxa"/>
            <w:vAlign w:val="center"/>
          </w:tcPr>
          <w:p w14:paraId="7E6BDBE6">
            <w:pPr>
              <w:jc w:val="center"/>
              <w:rPr>
                <w:rFonts w:hint="eastAsia" w:ascii="宋体" w:hAnsi="宋体" w:eastAsia="宋体" w:cs="宋体"/>
                <w:color w:val="auto"/>
                <w:sz w:val="24"/>
                <w:highlight w:val="none"/>
              </w:rPr>
            </w:pPr>
          </w:p>
        </w:tc>
        <w:tc>
          <w:tcPr>
            <w:tcW w:w="1219" w:type="dxa"/>
            <w:vAlign w:val="center"/>
          </w:tcPr>
          <w:p w14:paraId="2446ED7C">
            <w:pPr>
              <w:jc w:val="center"/>
              <w:rPr>
                <w:rFonts w:hint="eastAsia" w:ascii="宋体" w:hAnsi="宋体" w:eastAsia="宋体" w:cs="宋体"/>
                <w:color w:val="auto"/>
                <w:sz w:val="24"/>
                <w:highlight w:val="none"/>
              </w:rPr>
            </w:pPr>
          </w:p>
        </w:tc>
      </w:tr>
      <w:tr w14:paraId="73F6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239F412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3550" w:type="dxa"/>
            <w:vAlign w:val="center"/>
          </w:tcPr>
          <w:p w14:paraId="7010727D">
            <w:pPr>
              <w:jc w:val="center"/>
              <w:rPr>
                <w:rFonts w:hint="eastAsia" w:ascii="宋体" w:hAnsi="宋体" w:eastAsia="宋体" w:cs="宋体"/>
                <w:color w:val="auto"/>
                <w:sz w:val="24"/>
                <w:highlight w:val="none"/>
              </w:rPr>
            </w:pPr>
          </w:p>
        </w:tc>
        <w:tc>
          <w:tcPr>
            <w:tcW w:w="3200" w:type="dxa"/>
            <w:vAlign w:val="center"/>
          </w:tcPr>
          <w:p w14:paraId="5E5D36E3">
            <w:pPr>
              <w:jc w:val="center"/>
              <w:rPr>
                <w:rFonts w:hint="eastAsia" w:ascii="宋体" w:hAnsi="宋体" w:eastAsia="宋体" w:cs="宋体"/>
                <w:color w:val="auto"/>
                <w:sz w:val="24"/>
                <w:highlight w:val="none"/>
              </w:rPr>
            </w:pPr>
          </w:p>
        </w:tc>
        <w:tc>
          <w:tcPr>
            <w:tcW w:w="916" w:type="dxa"/>
            <w:vAlign w:val="center"/>
          </w:tcPr>
          <w:p w14:paraId="13D8F4AE">
            <w:pPr>
              <w:jc w:val="center"/>
              <w:rPr>
                <w:rFonts w:hint="eastAsia" w:ascii="宋体" w:hAnsi="宋体" w:eastAsia="宋体" w:cs="宋体"/>
                <w:color w:val="auto"/>
                <w:sz w:val="24"/>
                <w:highlight w:val="none"/>
              </w:rPr>
            </w:pPr>
          </w:p>
        </w:tc>
        <w:tc>
          <w:tcPr>
            <w:tcW w:w="1219" w:type="dxa"/>
            <w:vAlign w:val="center"/>
          </w:tcPr>
          <w:p w14:paraId="66E4B8C3">
            <w:pPr>
              <w:jc w:val="center"/>
              <w:rPr>
                <w:rFonts w:hint="eastAsia" w:ascii="宋体" w:hAnsi="宋体" w:eastAsia="宋体" w:cs="宋体"/>
                <w:color w:val="auto"/>
                <w:sz w:val="24"/>
                <w:highlight w:val="none"/>
              </w:rPr>
            </w:pPr>
          </w:p>
        </w:tc>
      </w:tr>
      <w:tr w14:paraId="676F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75982F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3550" w:type="dxa"/>
            <w:vAlign w:val="center"/>
          </w:tcPr>
          <w:p w14:paraId="7D168A5D">
            <w:pPr>
              <w:jc w:val="center"/>
              <w:rPr>
                <w:rFonts w:hint="eastAsia" w:ascii="宋体" w:hAnsi="宋体" w:eastAsia="宋体" w:cs="宋体"/>
                <w:color w:val="auto"/>
                <w:sz w:val="24"/>
                <w:highlight w:val="none"/>
              </w:rPr>
            </w:pPr>
          </w:p>
        </w:tc>
        <w:tc>
          <w:tcPr>
            <w:tcW w:w="3200" w:type="dxa"/>
            <w:vAlign w:val="center"/>
          </w:tcPr>
          <w:p w14:paraId="5183993B">
            <w:pPr>
              <w:jc w:val="center"/>
              <w:rPr>
                <w:rFonts w:hint="eastAsia" w:ascii="宋体" w:hAnsi="宋体" w:eastAsia="宋体" w:cs="宋体"/>
                <w:color w:val="auto"/>
                <w:sz w:val="24"/>
                <w:highlight w:val="none"/>
              </w:rPr>
            </w:pPr>
          </w:p>
        </w:tc>
        <w:tc>
          <w:tcPr>
            <w:tcW w:w="916" w:type="dxa"/>
            <w:vAlign w:val="center"/>
          </w:tcPr>
          <w:p w14:paraId="4DEB2B15">
            <w:pPr>
              <w:jc w:val="center"/>
              <w:rPr>
                <w:rFonts w:hint="eastAsia" w:ascii="宋体" w:hAnsi="宋体" w:eastAsia="宋体" w:cs="宋体"/>
                <w:color w:val="auto"/>
                <w:sz w:val="24"/>
                <w:highlight w:val="none"/>
              </w:rPr>
            </w:pPr>
          </w:p>
        </w:tc>
        <w:tc>
          <w:tcPr>
            <w:tcW w:w="1219" w:type="dxa"/>
            <w:vAlign w:val="center"/>
          </w:tcPr>
          <w:p w14:paraId="0212D5B3">
            <w:pPr>
              <w:jc w:val="center"/>
              <w:rPr>
                <w:rFonts w:hint="eastAsia" w:ascii="宋体" w:hAnsi="宋体" w:eastAsia="宋体" w:cs="宋体"/>
                <w:color w:val="auto"/>
                <w:sz w:val="24"/>
                <w:highlight w:val="none"/>
              </w:rPr>
            </w:pPr>
          </w:p>
        </w:tc>
      </w:tr>
      <w:tr w14:paraId="6171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12460A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3550" w:type="dxa"/>
            <w:vAlign w:val="center"/>
          </w:tcPr>
          <w:p w14:paraId="611B9A2F">
            <w:pPr>
              <w:jc w:val="center"/>
              <w:rPr>
                <w:rFonts w:hint="eastAsia" w:ascii="宋体" w:hAnsi="宋体" w:eastAsia="宋体" w:cs="宋体"/>
                <w:color w:val="auto"/>
                <w:sz w:val="24"/>
                <w:highlight w:val="none"/>
              </w:rPr>
            </w:pPr>
          </w:p>
        </w:tc>
        <w:tc>
          <w:tcPr>
            <w:tcW w:w="3200" w:type="dxa"/>
            <w:vAlign w:val="center"/>
          </w:tcPr>
          <w:p w14:paraId="47543F9A">
            <w:pPr>
              <w:jc w:val="center"/>
              <w:rPr>
                <w:rFonts w:hint="eastAsia" w:ascii="宋体" w:hAnsi="宋体" w:eastAsia="宋体" w:cs="宋体"/>
                <w:color w:val="auto"/>
                <w:sz w:val="24"/>
                <w:highlight w:val="none"/>
              </w:rPr>
            </w:pPr>
          </w:p>
        </w:tc>
        <w:tc>
          <w:tcPr>
            <w:tcW w:w="916" w:type="dxa"/>
            <w:vAlign w:val="center"/>
          </w:tcPr>
          <w:p w14:paraId="7CD26E0D">
            <w:pPr>
              <w:jc w:val="center"/>
              <w:rPr>
                <w:rFonts w:hint="eastAsia" w:ascii="宋体" w:hAnsi="宋体" w:eastAsia="宋体" w:cs="宋体"/>
                <w:color w:val="auto"/>
                <w:sz w:val="24"/>
                <w:highlight w:val="none"/>
              </w:rPr>
            </w:pPr>
          </w:p>
        </w:tc>
        <w:tc>
          <w:tcPr>
            <w:tcW w:w="1219" w:type="dxa"/>
            <w:vAlign w:val="center"/>
          </w:tcPr>
          <w:p w14:paraId="0836AEC1">
            <w:pPr>
              <w:jc w:val="center"/>
              <w:rPr>
                <w:rFonts w:hint="eastAsia" w:ascii="宋体" w:hAnsi="宋体" w:eastAsia="宋体" w:cs="宋体"/>
                <w:color w:val="auto"/>
                <w:sz w:val="24"/>
                <w:highlight w:val="none"/>
              </w:rPr>
            </w:pPr>
          </w:p>
        </w:tc>
      </w:tr>
      <w:tr w14:paraId="2269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BB5797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3550" w:type="dxa"/>
            <w:vAlign w:val="center"/>
          </w:tcPr>
          <w:p w14:paraId="6C26A5A5">
            <w:pPr>
              <w:jc w:val="center"/>
              <w:rPr>
                <w:rFonts w:hint="eastAsia" w:ascii="宋体" w:hAnsi="宋体" w:eastAsia="宋体" w:cs="宋体"/>
                <w:color w:val="auto"/>
                <w:sz w:val="24"/>
                <w:highlight w:val="none"/>
              </w:rPr>
            </w:pPr>
          </w:p>
        </w:tc>
        <w:tc>
          <w:tcPr>
            <w:tcW w:w="3200" w:type="dxa"/>
            <w:vAlign w:val="center"/>
          </w:tcPr>
          <w:p w14:paraId="5D4D09AD">
            <w:pPr>
              <w:jc w:val="center"/>
              <w:rPr>
                <w:rFonts w:hint="eastAsia" w:ascii="宋体" w:hAnsi="宋体" w:eastAsia="宋体" w:cs="宋体"/>
                <w:color w:val="auto"/>
                <w:sz w:val="24"/>
                <w:highlight w:val="none"/>
              </w:rPr>
            </w:pPr>
          </w:p>
        </w:tc>
        <w:tc>
          <w:tcPr>
            <w:tcW w:w="916" w:type="dxa"/>
            <w:vAlign w:val="center"/>
          </w:tcPr>
          <w:p w14:paraId="5BAE4FB4">
            <w:pPr>
              <w:jc w:val="center"/>
              <w:rPr>
                <w:rFonts w:hint="eastAsia" w:ascii="宋体" w:hAnsi="宋体" w:eastAsia="宋体" w:cs="宋体"/>
                <w:color w:val="auto"/>
                <w:sz w:val="24"/>
                <w:highlight w:val="none"/>
              </w:rPr>
            </w:pPr>
          </w:p>
        </w:tc>
        <w:tc>
          <w:tcPr>
            <w:tcW w:w="1219" w:type="dxa"/>
            <w:vAlign w:val="center"/>
          </w:tcPr>
          <w:p w14:paraId="26CA4CB2">
            <w:pPr>
              <w:jc w:val="center"/>
              <w:rPr>
                <w:rFonts w:hint="eastAsia" w:ascii="宋体" w:hAnsi="宋体" w:eastAsia="宋体" w:cs="宋体"/>
                <w:color w:val="auto"/>
                <w:sz w:val="24"/>
                <w:highlight w:val="none"/>
              </w:rPr>
            </w:pPr>
          </w:p>
        </w:tc>
      </w:tr>
      <w:tr w14:paraId="0A23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6A3F42C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550" w:type="dxa"/>
            <w:vAlign w:val="center"/>
          </w:tcPr>
          <w:p w14:paraId="6A1C277B">
            <w:pPr>
              <w:jc w:val="center"/>
              <w:rPr>
                <w:rFonts w:hint="eastAsia" w:ascii="宋体" w:hAnsi="宋体" w:eastAsia="宋体" w:cs="宋体"/>
                <w:color w:val="auto"/>
                <w:sz w:val="24"/>
                <w:highlight w:val="none"/>
              </w:rPr>
            </w:pPr>
          </w:p>
        </w:tc>
        <w:tc>
          <w:tcPr>
            <w:tcW w:w="3200" w:type="dxa"/>
            <w:vAlign w:val="center"/>
          </w:tcPr>
          <w:p w14:paraId="5768B0EA">
            <w:pPr>
              <w:jc w:val="center"/>
              <w:rPr>
                <w:rFonts w:hint="eastAsia" w:ascii="宋体" w:hAnsi="宋体" w:eastAsia="宋体" w:cs="宋体"/>
                <w:color w:val="auto"/>
                <w:sz w:val="24"/>
                <w:highlight w:val="none"/>
              </w:rPr>
            </w:pPr>
          </w:p>
        </w:tc>
        <w:tc>
          <w:tcPr>
            <w:tcW w:w="916" w:type="dxa"/>
            <w:vAlign w:val="center"/>
          </w:tcPr>
          <w:p w14:paraId="66075A8E">
            <w:pPr>
              <w:jc w:val="center"/>
              <w:rPr>
                <w:rFonts w:hint="eastAsia" w:ascii="宋体" w:hAnsi="宋体" w:eastAsia="宋体" w:cs="宋体"/>
                <w:color w:val="auto"/>
                <w:sz w:val="24"/>
                <w:highlight w:val="none"/>
              </w:rPr>
            </w:pPr>
          </w:p>
        </w:tc>
        <w:tc>
          <w:tcPr>
            <w:tcW w:w="1219" w:type="dxa"/>
            <w:vAlign w:val="center"/>
          </w:tcPr>
          <w:p w14:paraId="14E64C09">
            <w:pPr>
              <w:jc w:val="center"/>
              <w:rPr>
                <w:rFonts w:hint="eastAsia" w:ascii="宋体" w:hAnsi="宋体" w:eastAsia="宋体" w:cs="宋体"/>
                <w:color w:val="auto"/>
                <w:sz w:val="24"/>
                <w:highlight w:val="none"/>
              </w:rPr>
            </w:pPr>
          </w:p>
        </w:tc>
      </w:tr>
    </w:tbl>
    <w:p w14:paraId="5B9B33C0">
      <w:pPr>
        <w:rPr>
          <w:rFonts w:hint="eastAsia" w:ascii="宋体" w:hAnsi="宋体" w:eastAsia="宋体" w:cs="宋体"/>
          <w:color w:val="auto"/>
          <w:sz w:val="24"/>
          <w:highlight w:val="none"/>
        </w:rPr>
      </w:pPr>
    </w:p>
    <w:p w14:paraId="5B6C4FF1">
      <w:pPr>
        <w:rPr>
          <w:rFonts w:hint="eastAsia" w:ascii="宋体" w:hAnsi="宋体" w:eastAsia="宋体" w:cs="宋体"/>
          <w:color w:val="auto"/>
          <w:sz w:val="24"/>
          <w:highlight w:val="none"/>
        </w:rPr>
      </w:pPr>
    </w:p>
    <w:p w14:paraId="311E4D66">
      <w:pPr>
        <w:rPr>
          <w:rFonts w:hint="eastAsia" w:ascii="宋体" w:hAnsi="宋体" w:eastAsia="宋体" w:cs="宋体"/>
          <w:color w:val="auto"/>
          <w:sz w:val="24"/>
          <w:highlight w:val="none"/>
        </w:rPr>
      </w:pPr>
    </w:p>
    <w:p w14:paraId="4B6F552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                         年   月    日</w:t>
      </w:r>
    </w:p>
    <w:p w14:paraId="524178F7">
      <w:pPr>
        <w:pStyle w:val="3"/>
        <w:keepNext w:val="0"/>
        <w:keepLines w:val="0"/>
        <w:pageBreakBefore/>
        <w:rPr>
          <w:rFonts w:hint="eastAsia" w:ascii="宋体" w:hAnsi="宋体" w:eastAsia="宋体" w:cs="宋体"/>
          <w:b w:val="0"/>
          <w:color w:val="auto"/>
          <w:sz w:val="24"/>
          <w:szCs w:val="24"/>
          <w:highlight w:val="none"/>
        </w:rPr>
      </w:pPr>
      <w:bookmarkStart w:id="338" w:name="_Toc5755"/>
      <w:bookmarkStart w:id="339" w:name="_Toc21270"/>
      <w:bookmarkStart w:id="340" w:name="_Toc30944"/>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八</w:t>
      </w:r>
      <w:r>
        <w:rPr>
          <w:rFonts w:hint="eastAsia" w:ascii="宋体" w:hAnsi="宋体" w:eastAsia="宋体" w:cs="宋体"/>
          <w:b w:val="0"/>
          <w:color w:val="auto"/>
          <w:sz w:val="24"/>
          <w:szCs w:val="24"/>
          <w:highlight w:val="none"/>
        </w:rPr>
        <w:t>：商务响应表</w:t>
      </w:r>
      <w:bookmarkEnd w:id="338"/>
      <w:bookmarkEnd w:id="339"/>
      <w:bookmarkEnd w:id="340"/>
    </w:p>
    <w:p w14:paraId="055C0764">
      <w:pPr>
        <w:snapToGrid w:val="0"/>
        <w:spacing w:line="360" w:lineRule="auto"/>
        <w:jc w:val="center"/>
        <w:rPr>
          <w:rFonts w:hint="eastAsia" w:ascii="宋体" w:hAnsi="宋体" w:eastAsia="宋体" w:cs="宋体"/>
          <w:b/>
          <w:color w:val="auto"/>
          <w:kern w:val="0"/>
          <w:sz w:val="32"/>
          <w:szCs w:val="32"/>
          <w:highlight w:val="none"/>
        </w:rPr>
      </w:pPr>
      <w:bookmarkStart w:id="341" w:name="_Toc496598991"/>
      <w:r>
        <w:rPr>
          <w:rFonts w:hint="eastAsia" w:ascii="宋体" w:hAnsi="宋体" w:eastAsia="宋体" w:cs="宋体"/>
          <w:b/>
          <w:color w:val="auto"/>
          <w:kern w:val="0"/>
          <w:sz w:val="32"/>
          <w:szCs w:val="32"/>
          <w:highlight w:val="none"/>
        </w:rPr>
        <w:t>商务响应表</w:t>
      </w:r>
    </w:p>
    <w:p w14:paraId="12EAA63D">
      <w:pPr>
        <w:snapToGrid w:val="0"/>
        <w:spacing w:before="50" w:after="120" w:afterLines="50"/>
        <w:jc w:val="left"/>
        <w:rPr>
          <w:rFonts w:hint="eastAsia" w:ascii="宋体" w:hAnsi="宋体" w:eastAsia="宋体" w:cs="宋体"/>
          <w:color w:val="auto"/>
          <w:sz w:val="24"/>
          <w:highlight w:val="none"/>
          <w:u w:val="single"/>
        </w:rPr>
      </w:pPr>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0946C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CEB120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74299A1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35B460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2243C79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投标人的承诺或说明</w:t>
            </w:r>
          </w:p>
        </w:tc>
      </w:tr>
      <w:tr w14:paraId="47A16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A7B80A5">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A77C587">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E1427D5">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65ADA4D">
            <w:pPr>
              <w:rPr>
                <w:rFonts w:hint="eastAsia" w:ascii="宋体" w:hAnsi="宋体" w:eastAsia="宋体" w:cs="宋体"/>
                <w:color w:val="auto"/>
                <w:sz w:val="24"/>
                <w:highlight w:val="none"/>
              </w:rPr>
            </w:pPr>
          </w:p>
        </w:tc>
      </w:tr>
      <w:tr w14:paraId="04849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879254F">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FA0EAC8">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5420489">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4B10B45">
            <w:pPr>
              <w:rPr>
                <w:rFonts w:hint="eastAsia" w:ascii="宋体" w:hAnsi="宋体" w:eastAsia="宋体" w:cs="宋体"/>
                <w:color w:val="auto"/>
                <w:sz w:val="24"/>
                <w:highlight w:val="none"/>
              </w:rPr>
            </w:pPr>
          </w:p>
        </w:tc>
      </w:tr>
      <w:tr w14:paraId="3D108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AD96F29">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936C2CB">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97A07D1">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103B85C">
            <w:pPr>
              <w:rPr>
                <w:rFonts w:hint="eastAsia" w:ascii="宋体" w:hAnsi="宋体" w:eastAsia="宋体" w:cs="宋体"/>
                <w:color w:val="auto"/>
                <w:sz w:val="24"/>
                <w:highlight w:val="none"/>
              </w:rPr>
            </w:pPr>
          </w:p>
        </w:tc>
      </w:tr>
      <w:tr w14:paraId="5B6E7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CC2399D">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A111182">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A8625AD">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E5F096D">
            <w:pPr>
              <w:rPr>
                <w:rFonts w:hint="eastAsia" w:ascii="宋体" w:hAnsi="宋体" w:eastAsia="宋体" w:cs="宋体"/>
                <w:color w:val="auto"/>
                <w:sz w:val="24"/>
                <w:highlight w:val="none"/>
              </w:rPr>
            </w:pPr>
          </w:p>
        </w:tc>
      </w:tr>
      <w:tr w14:paraId="38F54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4A3F775D">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46713C3">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25D37A8">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C22561C">
            <w:pPr>
              <w:rPr>
                <w:rFonts w:hint="eastAsia" w:ascii="宋体" w:hAnsi="宋体" w:eastAsia="宋体" w:cs="宋体"/>
                <w:color w:val="auto"/>
                <w:sz w:val="24"/>
                <w:highlight w:val="none"/>
              </w:rPr>
            </w:pPr>
          </w:p>
        </w:tc>
      </w:tr>
      <w:tr w14:paraId="2BE39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306D2E3">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B26B1AB">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D87EDFD">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E789312">
            <w:pPr>
              <w:rPr>
                <w:rFonts w:hint="eastAsia" w:ascii="宋体" w:hAnsi="宋体" w:eastAsia="宋体" w:cs="宋体"/>
                <w:color w:val="auto"/>
                <w:sz w:val="24"/>
                <w:highlight w:val="none"/>
              </w:rPr>
            </w:pPr>
          </w:p>
        </w:tc>
      </w:tr>
      <w:tr w14:paraId="27000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7B7881F">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9014377">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9807037">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8016649">
            <w:pPr>
              <w:rPr>
                <w:rFonts w:hint="eastAsia" w:ascii="宋体" w:hAnsi="宋体" w:eastAsia="宋体" w:cs="宋体"/>
                <w:color w:val="auto"/>
                <w:sz w:val="24"/>
                <w:highlight w:val="none"/>
              </w:rPr>
            </w:pPr>
          </w:p>
        </w:tc>
      </w:tr>
      <w:tr w14:paraId="006D1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36E47BA">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32799E5">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7604CBB">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2C857CA">
            <w:pPr>
              <w:rPr>
                <w:rFonts w:hint="eastAsia" w:ascii="宋体" w:hAnsi="宋体" w:eastAsia="宋体" w:cs="宋体"/>
                <w:color w:val="auto"/>
                <w:sz w:val="24"/>
                <w:highlight w:val="none"/>
              </w:rPr>
            </w:pPr>
          </w:p>
        </w:tc>
      </w:tr>
      <w:tr w14:paraId="3DE36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8A5B1CF">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2D0AF24">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DF85E6E">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47F7F67">
            <w:pPr>
              <w:rPr>
                <w:rFonts w:hint="eastAsia" w:ascii="宋体" w:hAnsi="宋体" w:eastAsia="宋体" w:cs="宋体"/>
                <w:color w:val="auto"/>
                <w:sz w:val="24"/>
                <w:highlight w:val="none"/>
              </w:rPr>
            </w:pPr>
          </w:p>
        </w:tc>
      </w:tr>
      <w:tr w14:paraId="15CA2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C9AC813">
            <w:pPr>
              <w:rPr>
                <w:rFonts w:hint="eastAsia" w:ascii="宋体" w:hAnsi="宋体" w:eastAsia="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E788CFF">
            <w:pPr>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B6659D0">
            <w:pPr>
              <w:rPr>
                <w:rFonts w:hint="eastAsia" w:ascii="宋体" w:hAnsi="宋体" w:eastAsia="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38DAC40">
            <w:pPr>
              <w:rPr>
                <w:rFonts w:hint="eastAsia" w:ascii="宋体" w:hAnsi="宋体" w:eastAsia="宋体" w:cs="宋体"/>
                <w:color w:val="auto"/>
                <w:sz w:val="24"/>
                <w:highlight w:val="none"/>
              </w:rPr>
            </w:pPr>
          </w:p>
        </w:tc>
      </w:tr>
    </w:tbl>
    <w:p w14:paraId="5339A9BF">
      <w:pPr>
        <w:snapToGrid w:val="0"/>
        <w:spacing w:before="120" w:beforeLines="50"/>
        <w:rPr>
          <w:rFonts w:hint="eastAsia" w:ascii="宋体" w:hAnsi="宋体" w:eastAsia="宋体" w:cs="宋体"/>
          <w:color w:val="auto"/>
          <w:sz w:val="24"/>
          <w:highlight w:val="none"/>
        </w:rPr>
      </w:pPr>
    </w:p>
    <w:p w14:paraId="413209CD">
      <w:pPr>
        <w:snapToGrid w:val="0"/>
        <w:spacing w:before="50" w:after="50"/>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p>
    <w:p w14:paraId="05F743A7">
      <w:pPr>
        <w:snapToGrid w:val="0"/>
        <w:spacing w:before="120" w:beforeLines="5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投标人盖章：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日 期：</w:t>
      </w:r>
      <w:r>
        <w:rPr>
          <w:rFonts w:hint="eastAsia" w:ascii="宋体" w:hAnsi="宋体" w:eastAsia="宋体" w:cs="宋体"/>
          <w:color w:val="auto"/>
          <w:spacing w:val="20"/>
          <w:sz w:val="24"/>
          <w:highlight w:val="none"/>
          <w:u w:val="single"/>
        </w:rPr>
        <w:t xml:space="preserve">            </w:t>
      </w:r>
    </w:p>
    <w:p w14:paraId="0EFA1A8A">
      <w:pPr>
        <w:rPr>
          <w:rFonts w:hint="eastAsia" w:ascii="宋体" w:hAnsi="宋体" w:eastAsia="宋体" w:cs="宋体"/>
          <w:color w:val="auto"/>
          <w:sz w:val="24"/>
          <w:highlight w:val="none"/>
        </w:rPr>
      </w:pPr>
    </w:p>
    <w:p w14:paraId="065A67D8">
      <w:pPr>
        <w:pStyle w:val="3"/>
        <w:keepNext w:val="0"/>
        <w:keepLines w:val="0"/>
        <w:pageBreakBefore/>
        <w:spacing w:line="415" w:lineRule="auto"/>
        <w:rPr>
          <w:rFonts w:hint="eastAsia" w:ascii="宋体" w:hAnsi="宋体" w:eastAsia="宋体" w:cs="宋体"/>
          <w:b w:val="0"/>
          <w:bCs w:val="0"/>
          <w:color w:val="auto"/>
          <w:sz w:val="24"/>
          <w:szCs w:val="24"/>
          <w:highlight w:val="none"/>
        </w:rPr>
      </w:pPr>
      <w:bookmarkStart w:id="342" w:name="_Toc25862"/>
      <w:bookmarkStart w:id="343" w:name="_Toc27481"/>
      <w:bookmarkStart w:id="344" w:name="_Toc8375"/>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九</w:t>
      </w:r>
      <w:r>
        <w:rPr>
          <w:rFonts w:hint="eastAsia" w:ascii="宋体" w:hAnsi="宋体" w:eastAsia="宋体" w:cs="宋体"/>
          <w:b w:val="0"/>
          <w:bCs w:val="0"/>
          <w:color w:val="auto"/>
          <w:sz w:val="24"/>
          <w:szCs w:val="24"/>
          <w:highlight w:val="none"/>
        </w:rPr>
        <w:t>：</w:t>
      </w:r>
      <w:bookmarkEnd w:id="341"/>
      <w:r>
        <w:rPr>
          <w:rFonts w:hint="eastAsia" w:ascii="宋体" w:hAnsi="宋体" w:eastAsia="宋体" w:cs="宋体"/>
          <w:b w:val="0"/>
          <w:bCs w:val="0"/>
          <w:color w:val="auto"/>
          <w:sz w:val="24"/>
          <w:szCs w:val="24"/>
          <w:highlight w:val="none"/>
        </w:rPr>
        <w:t>技术响应表</w:t>
      </w:r>
      <w:bookmarkEnd w:id="342"/>
      <w:bookmarkEnd w:id="343"/>
      <w:bookmarkEnd w:id="344"/>
    </w:p>
    <w:p w14:paraId="59D5817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技术响应表</w:t>
      </w:r>
    </w:p>
    <w:p w14:paraId="30994EB1">
      <w:pPr>
        <w:snapToGrid w:val="0"/>
        <w:spacing w:before="50" w:after="120" w:afterLine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招标编号：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670D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D9830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57A0857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26492BD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w:t>
            </w:r>
          </w:p>
          <w:p w14:paraId="0FBED0B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350A017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w:t>
            </w:r>
          </w:p>
          <w:p w14:paraId="04B6ED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05ED168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p w14:paraId="008AD20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（注明正偏离、负偏离或无偏离）</w:t>
            </w:r>
          </w:p>
        </w:tc>
      </w:tr>
      <w:tr w14:paraId="325B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CCD9C8D">
            <w:pPr>
              <w:jc w:val="cente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2BE8DEE">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1607555">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E6DBD31">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5C0A7F6">
            <w:pPr>
              <w:rPr>
                <w:rFonts w:hint="eastAsia" w:ascii="宋体" w:hAnsi="宋体" w:eastAsia="宋体" w:cs="宋体"/>
                <w:color w:val="auto"/>
                <w:sz w:val="24"/>
                <w:highlight w:val="none"/>
              </w:rPr>
            </w:pPr>
          </w:p>
        </w:tc>
      </w:tr>
      <w:tr w14:paraId="435B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BF7EDC1">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8C35BD7">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AE62889">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E30992B">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625FB12">
            <w:pPr>
              <w:rPr>
                <w:rFonts w:hint="eastAsia" w:ascii="宋体" w:hAnsi="宋体" w:eastAsia="宋体" w:cs="宋体"/>
                <w:color w:val="auto"/>
                <w:sz w:val="24"/>
                <w:highlight w:val="none"/>
              </w:rPr>
            </w:pPr>
          </w:p>
        </w:tc>
      </w:tr>
      <w:tr w14:paraId="0D40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9CA26E3">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C80B062">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35518BE">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B13FE55">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83D290A">
            <w:pPr>
              <w:rPr>
                <w:rFonts w:hint="eastAsia" w:ascii="宋体" w:hAnsi="宋体" w:eastAsia="宋体" w:cs="宋体"/>
                <w:color w:val="auto"/>
                <w:sz w:val="24"/>
                <w:highlight w:val="none"/>
              </w:rPr>
            </w:pPr>
          </w:p>
        </w:tc>
      </w:tr>
      <w:tr w14:paraId="0F41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0A23AFD3">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7F81AEB">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2F7DD31">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6B3CFA4">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DEAC05B">
            <w:pPr>
              <w:rPr>
                <w:rFonts w:hint="eastAsia" w:ascii="宋体" w:hAnsi="宋体" w:eastAsia="宋体" w:cs="宋体"/>
                <w:color w:val="auto"/>
                <w:sz w:val="24"/>
                <w:highlight w:val="none"/>
              </w:rPr>
            </w:pPr>
          </w:p>
        </w:tc>
      </w:tr>
      <w:tr w14:paraId="0C64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DCAA19A">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04903B2">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31F5834">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E34DD1C">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CA60787">
            <w:pPr>
              <w:rPr>
                <w:rFonts w:hint="eastAsia" w:ascii="宋体" w:hAnsi="宋体" w:eastAsia="宋体" w:cs="宋体"/>
                <w:color w:val="auto"/>
                <w:sz w:val="24"/>
                <w:highlight w:val="none"/>
              </w:rPr>
            </w:pPr>
          </w:p>
        </w:tc>
      </w:tr>
      <w:tr w14:paraId="3B44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BE3CF49">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7BEE870">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2E7BFDB">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96799FE">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528CF3B">
            <w:pPr>
              <w:rPr>
                <w:rFonts w:hint="eastAsia" w:ascii="宋体" w:hAnsi="宋体" w:eastAsia="宋体" w:cs="宋体"/>
                <w:color w:val="auto"/>
                <w:sz w:val="24"/>
                <w:highlight w:val="none"/>
              </w:rPr>
            </w:pPr>
          </w:p>
        </w:tc>
      </w:tr>
      <w:tr w14:paraId="2894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07C8E03">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9163E26">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7A47393">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9BF5821">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5FDCDEC">
            <w:pPr>
              <w:rPr>
                <w:rFonts w:hint="eastAsia" w:ascii="宋体" w:hAnsi="宋体" w:eastAsia="宋体" w:cs="宋体"/>
                <w:color w:val="auto"/>
                <w:sz w:val="24"/>
                <w:highlight w:val="none"/>
              </w:rPr>
            </w:pPr>
          </w:p>
        </w:tc>
      </w:tr>
      <w:tr w14:paraId="15BF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7799F7E">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2785EB5">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2EDDFF8">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2457E03">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3886230">
            <w:pPr>
              <w:rPr>
                <w:rFonts w:hint="eastAsia" w:ascii="宋体" w:hAnsi="宋体" w:eastAsia="宋体" w:cs="宋体"/>
                <w:color w:val="auto"/>
                <w:sz w:val="24"/>
                <w:highlight w:val="none"/>
              </w:rPr>
            </w:pPr>
          </w:p>
        </w:tc>
      </w:tr>
      <w:tr w14:paraId="3EE0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F45F81B">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8B833EE">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A4A3967">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711610D">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D80611E">
            <w:pPr>
              <w:rPr>
                <w:rFonts w:hint="eastAsia" w:ascii="宋体" w:hAnsi="宋体" w:eastAsia="宋体" w:cs="宋体"/>
                <w:color w:val="auto"/>
                <w:sz w:val="24"/>
                <w:highlight w:val="none"/>
              </w:rPr>
            </w:pPr>
          </w:p>
        </w:tc>
      </w:tr>
      <w:tr w14:paraId="2A47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E0C6DF4">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1D74FED">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FB03DE9">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BE94CC6">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A89AEB9">
            <w:pPr>
              <w:rPr>
                <w:rFonts w:hint="eastAsia" w:ascii="宋体" w:hAnsi="宋体" w:eastAsia="宋体" w:cs="宋体"/>
                <w:color w:val="auto"/>
                <w:sz w:val="24"/>
                <w:highlight w:val="none"/>
              </w:rPr>
            </w:pPr>
          </w:p>
        </w:tc>
      </w:tr>
      <w:tr w14:paraId="38D6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F9DB166">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8AA67FC">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C6D933B">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6294AA1">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F1A89DF">
            <w:pPr>
              <w:rPr>
                <w:rFonts w:hint="eastAsia" w:ascii="宋体" w:hAnsi="宋体" w:eastAsia="宋体" w:cs="宋体"/>
                <w:color w:val="auto"/>
                <w:sz w:val="24"/>
                <w:highlight w:val="none"/>
              </w:rPr>
            </w:pPr>
          </w:p>
        </w:tc>
      </w:tr>
      <w:tr w14:paraId="6F4B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10658D7">
            <w:pPr>
              <w:rPr>
                <w:rFonts w:hint="eastAsia" w:ascii="宋体" w:hAnsi="宋体" w:eastAsia="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9609401">
            <w:pPr>
              <w:rPr>
                <w:rFonts w:hint="eastAsia" w:ascii="宋体" w:hAnsi="宋体" w:eastAsia="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B1B91BD">
            <w:pPr>
              <w:rPr>
                <w:rFonts w:hint="eastAsia" w:ascii="宋体" w:hAnsi="宋体" w:eastAsia="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6C1BF97">
            <w:pPr>
              <w:rPr>
                <w:rFonts w:hint="eastAsia" w:ascii="宋体" w:hAnsi="宋体" w:eastAsia="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1CF6518">
            <w:pPr>
              <w:rPr>
                <w:rFonts w:hint="eastAsia" w:ascii="宋体" w:hAnsi="宋体" w:eastAsia="宋体" w:cs="宋体"/>
                <w:color w:val="auto"/>
                <w:sz w:val="24"/>
                <w:highlight w:val="none"/>
              </w:rPr>
            </w:pPr>
          </w:p>
        </w:tc>
      </w:tr>
    </w:tbl>
    <w:p w14:paraId="72625BC8">
      <w:pPr>
        <w:snapToGrid w:val="0"/>
        <w:spacing w:before="50" w:after="50"/>
        <w:rPr>
          <w:rFonts w:hint="eastAsia" w:ascii="宋体" w:hAnsi="宋体" w:eastAsia="宋体" w:cs="宋体"/>
          <w:b/>
          <w:bCs/>
          <w:color w:val="auto"/>
          <w:sz w:val="24"/>
          <w:highlight w:val="none"/>
        </w:rPr>
      </w:pPr>
    </w:p>
    <w:p w14:paraId="3C4277E0">
      <w:pPr>
        <w:snapToGrid w:val="0"/>
        <w:spacing w:before="50" w:after="50"/>
        <w:rPr>
          <w:rFonts w:hint="eastAsia" w:ascii="宋体" w:hAnsi="宋体" w:eastAsia="宋体" w:cs="宋体"/>
          <w:b/>
          <w:bCs/>
          <w:color w:val="auto"/>
          <w:spacing w:val="20"/>
          <w:sz w:val="24"/>
          <w:highlight w:val="none"/>
        </w:rPr>
      </w:pPr>
      <w:r>
        <w:rPr>
          <w:rFonts w:hint="eastAsia" w:ascii="宋体" w:hAnsi="宋体" w:eastAsia="宋体" w:cs="宋体"/>
          <w:b/>
          <w:bCs/>
          <w:color w:val="auto"/>
          <w:sz w:val="24"/>
          <w:highlight w:val="none"/>
        </w:rPr>
        <w:t>注：投标人应根据投标货物的性能指标、对照招标文件要求在“偏离情况”栏注明“正偏离”、“负偏离”或“无偏离”。</w:t>
      </w:r>
    </w:p>
    <w:p w14:paraId="5EABD217">
      <w:pPr>
        <w:snapToGrid w:val="0"/>
        <w:spacing w:before="50" w:after="50"/>
        <w:rPr>
          <w:rFonts w:hint="eastAsia" w:ascii="宋体" w:hAnsi="宋体" w:eastAsia="宋体" w:cs="宋体"/>
          <w:color w:val="auto"/>
          <w:spacing w:val="20"/>
          <w:sz w:val="24"/>
          <w:highlight w:val="none"/>
        </w:rPr>
      </w:pPr>
    </w:p>
    <w:p w14:paraId="78E8F467">
      <w:pPr>
        <w:snapToGrid w:val="0"/>
        <w:spacing w:before="50" w:after="50"/>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法定代表人或委托代理人签字</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p>
    <w:p w14:paraId="6BD21918">
      <w:pPr>
        <w:snapToGrid w:val="0"/>
        <w:spacing w:before="50" w:after="5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投标人盖章：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日 期：</w:t>
      </w:r>
      <w:r>
        <w:rPr>
          <w:rFonts w:hint="eastAsia" w:ascii="宋体" w:hAnsi="宋体" w:eastAsia="宋体" w:cs="宋体"/>
          <w:color w:val="auto"/>
          <w:spacing w:val="20"/>
          <w:sz w:val="24"/>
          <w:highlight w:val="none"/>
          <w:u w:val="single"/>
        </w:rPr>
        <w:t xml:space="preserve">            </w:t>
      </w:r>
    </w:p>
    <w:p w14:paraId="1C0FC412">
      <w:pPr>
        <w:snapToGrid w:val="0"/>
        <w:spacing w:before="50" w:after="120" w:afterLines="50"/>
        <w:jc w:val="left"/>
        <w:rPr>
          <w:rFonts w:hint="eastAsia" w:ascii="宋体" w:hAnsi="宋体" w:eastAsia="宋体" w:cs="宋体"/>
          <w:color w:val="auto"/>
          <w:sz w:val="24"/>
          <w:highlight w:val="none"/>
        </w:rPr>
      </w:pPr>
    </w:p>
    <w:p w14:paraId="26BF51BC">
      <w:pPr>
        <w:spacing w:before="260" w:after="260" w:line="415" w:lineRule="auto"/>
        <w:rPr>
          <w:rFonts w:hint="eastAsia" w:ascii="宋体" w:hAnsi="宋体" w:eastAsia="宋体" w:cs="宋体"/>
          <w:bCs/>
          <w:color w:val="auto"/>
          <w:sz w:val="24"/>
          <w:highlight w:val="none"/>
        </w:rPr>
      </w:pPr>
    </w:p>
    <w:p w14:paraId="46539218">
      <w:pPr>
        <w:spacing w:before="260" w:after="260" w:line="415" w:lineRule="auto"/>
        <w:rPr>
          <w:rFonts w:hint="eastAsia" w:ascii="宋体" w:hAnsi="宋体" w:eastAsia="宋体" w:cs="宋体"/>
          <w:bCs/>
          <w:color w:val="auto"/>
          <w:sz w:val="24"/>
          <w:highlight w:val="none"/>
        </w:rPr>
      </w:pPr>
    </w:p>
    <w:p w14:paraId="5BDDF974">
      <w:pPr>
        <w:spacing w:before="260" w:after="260" w:line="415" w:lineRule="auto"/>
        <w:rPr>
          <w:rFonts w:hint="eastAsia" w:ascii="宋体" w:hAnsi="宋体" w:eastAsia="宋体" w:cs="宋体"/>
          <w:bCs/>
          <w:color w:val="auto"/>
          <w:sz w:val="24"/>
          <w:highlight w:val="none"/>
        </w:rPr>
      </w:pPr>
    </w:p>
    <w:p w14:paraId="01E18697">
      <w:pPr>
        <w:pStyle w:val="3"/>
        <w:keepNext w:val="0"/>
        <w:keepLines w:val="0"/>
        <w:pageBreakBefore/>
        <w:spacing w:line="415" w:lineRule="auto"/>
        <w:rPr>
          <w:rFonts w:ascii="宋体" w:hAnsi="宋体" w:eastAsia="宋体" w:cs="宋体"/>
          <w:b w:val="0"/>
          <w:bCs w:val="0"/>
          <w:color w:val="auto"/>
          <w:sz w:val="24"/>
          <w:szCs w:val="24"/>
          <w:highlight w:val="none"/>
        </w:rPr>
      </w:pPr>
      <w:bookmarkStart w:id="345" w:name="_Toc15716"/>
      <w:bookmarkStart w:id="346" w:name="_Toc14644"/>
      <w:bookmarkStart w:id="347" w:name="_Toc14942615"/>
      <w:bookmarkStart w:id="348" w:name="_Toc13037828"/>
      <w:bookmarkStart w:id="349" w:name="_Toc14790"/>
      <w:bookmarkStart w:id="350" w:name="_Toc3649"/>
      <w:bookmarkStart w:id="351" w:name="_Toc486"/>
      <w:bookmarkStart w:id="352" w:name="_Toc21394"/>
      <w:bookmarkStart w:id="353" w:name="_Toc29497"/>
      <w:r>
        <w:rPr>
          <w:rFonts w:hint="eastAsia" w:ascii="宋体" w:hAnsi="宋体" w:eastAsia="宋体" w:cs="宋体"/>
          <w:b w:val="0"/>
          <w:bCs w:val="0"/>
          <w:color w:val="auto"/>
          <w:sz w:val="24"/>
          <w:szCs w:val="24"/>
          <w:highlight w:val="none"/>
        </w:rPr>
        <w:t>附件十：</w:t>
      </w:r>
      <w:bookmarkEnd w:id="345"/>
      <w:bookmarkEnd w:id="346"/>
      <w:bookmarkEnd w:id="347"/>
      <w:bookmarkEnd w:id="348"/>
      <w:r>
        <w:rPr>
          <w:rFonts w:hint="eastAsia" w:ascii="宋体" w:hAnsi="宋体" w:eastAsia="宋体" w:cs="宋体"/>
          <w:b w:val="0"/>
          <w:bCs w:val="0"/>
          <w:color w:val="auto"/>
          <w:sz w:val="24"/>
          <w:szCs w:val="24"/>
          <w:highlight w:val="none"/>
        </w:rPr>
        <w:t>服务项目组成员及简介</w:t>
      </w:r>
      <w:bookmarkEnd w:id="349"/>
      <w:bookmarkEnd w:id="350"/>
      <w:bookmarkEnd w:id="351"/>
      <w:bookmarkEnd w:id="352"/>
    </w:p>
    <w:p w14:paraId="10388AD5">
      <w:pPr>
        <w:jc w:val="center"/>
        <w:rPr>
          <w:rFonts w:ascii="宋体" w:hAnsi="宋体"/>
          <w:b/>
          <w:color w:val="auto"/>
          <w:sz w:val="28"/>
          <w:highlight w:val="none"/>
        </w:rPr>
      </w:pPr>
      <w:r>
        <w:rPr>
          <w:rFonts w:hint="eastAsia" w:ascii="宋体" w:hAnsi="宋体"/>
          <w:b/>
          <w:color w:val="auto"/>
          <w:sz w:val="28"/>
          <w:highlight w:val="none"/>
        </w:rPr>
        <w:t>服务项目组成员及简介</w:t>
      </w:r>
    </w:p>
    <w:p w14:paraId="22F584A2">
      <w:pPr>
        <w:rPr>
          <w:rFonts w:ascii="宋体" w:hAnsi="宋体"/>
          <w:color w:val="auto"/>
          <w:sz w:val="24"/>
          <w:highlight w:val="none"/>
          <w:u w:val="single"/>
        </w:rPr>
      </w:pPr>
      <w:r>
        <w:rPr>
          <w:rFonts w:hint="eastAsia" w:ascii="宋体" w:hAnsi="宋体"/>
          <w:color w:val="auto"/>
          <w:sz w:val="24"/>
          <w:highlight w:val="none"/>
        </w:rPr>
        <w:t>项目名称：                                                  招标编号：</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081"/>
        <w:gridCol w:w="1081"/>
        <w:gridCol w:w="1442"/>
        <w:gridCol w:w="1622"/>
        <w:gridCol w:w="1462"/>
        <w:gridCol w:w="1507"/>
      </w:tblGrid>
      <w:tr w14:paraId="3BBA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62" w:type="dxa"/>
            <w:vMerge w:val="restart"/>
            <w:vAlign w:val="center"/>
          </w:tcPr>
          <w:p w14:paraId="7C4344F3">
            <w:pPr>
              <w:jc w:val="center"/>
              <w:rPr>
                <w:rFonts w:ascii="宋体" w:hAnsi="宋体"/>
                <w:color w:val="auto"/>
                <w:szCs w:val="21"/>
                <w:highlight w:val="none"/>
              </w:rPr>
            </w:pPr>
            <w:r>
              <w:rPr>
                <w:rFonts w:hint="eastAsia" w:ascii="宋体" w:hAnsi="宋体"/>
                <w:color w:val="auto"/>
                <w:szCs w:val="21"/>
                <w:highlight w:val="none"/>
              </w:rPr>
              <w:t>在本项目任职岗位</w:t>
            </w:r>
          </w:p>
        </w:tc>
        <w:tc>
          <w:tcPr>
            <w:tcW w:w="1081" w:type="dxa"/>
            <w:vMerge w:val="restart"/>
            <w:vAlign w:val="center"/>
          </w:tcPr>
          <w:p w14:paraId="6E8B3076">
            <w:pPr>
              <w:jc w:val="center"/>
              <w:rPr>
                <w:rFonts w:ascii="宋体" w:hAnsi="宋体"/>
                <w:color w:val="auto"/>
                <w:szCs w:val="21"/>
                <w:highlight w:val="none"/>
              </w:rPr>
            </w:pPr>
            <w:r>
              <w:rPr>
                <w:rFonts w:hint="eastAsia" w:ascii="宋体" w:hAnsi="宋体"/>
                <w:color w:val="auto"/>
                <w:szCs w:val="21"/>
                <w:highlight w:val="none"/>
              </w:rPr>
              <w:t>姓名</w:t>
            </w:r>
          </w:p>
        </w:tc>
        <w:tc>
          <w:tcPr>
            <w:tcW w:w="1081" w:type="dxa"/>
            <w:vMerge w:val="restart"/>
            <w:vAlign w:val="center"/>
          </w:tcPr>
          <w:p w14:paraId="672A18A9">
            <w:pPr>
              <w:jc w:val="center"/>
              <w:rPr>
                <w:rFonts w:ascii="宋体" w:hAnsi="宋体"/>
                <w:color w:val="auto"/>
                <w:szCs w:val="21"/>
                <w:highlight w:val="none"/>
              </w:rPr>
            </w:pPr>
            <w:r>
              <w:rPr>
                <w:rFonts w:hint="eastAsia" w:ascii="宋体" w:hAnsi="宋体"/>
                <w:color w:val="auto"/>
                <w:szCs w:val="21"/>
                <w:highlight w:val="none"/>
              </w:rPr>
              <w:t>职称</w:t>
            </w:r>
          </w:p>
        </w:tc>
        <w:tc>
          <w:tcPr>
            <w:tcW w:w="4526" w:type="dxa"/>
            <w:gridSpan w:val="3"/>
            <w:vAlign w:val="center"/>
          </w:tcPr>
          <w:p w14:paraId="689404A2">
            <w:pPr>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1507" w:type="dxa"/>
            <w:vMerge w:val="restart"/>
            <w:vAlign w:val="center"/>
          </w:tcPr>
          <w:p w14:paraId="3A0670B1">
            <w:pPr>
              <w:jc w:val="center"/>
              <w:rPr>
                <w:rFonts w:ascii="宋体" w:hAnsi="宋体"/>
                <w:color w:val="auto"/>
                <w:szCs w:val="21"/>
                <w:highlight w:val="none"/>
              </w:rPr>
            </w:pPr>
            <w:r>
              <w:rPr>
                <w:rFonts w:hint="eastAsia" w:ascii="宋体" w:hAnsi="宋体"/>
                <w:color w:val="auto"/>
                <w:szCs w:val="21"/>
                <w:highlight w:val="none"/>
              </w:rPr>
              <w:t>备注</w:t>
            </w:r>
          </w:p>
        </w:tc>
      </w:tr>
      <w:tr w14:paraId="3465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62" w:type="dxa"/>
            <w:vMerge w:val="continue"/>
          </w:tcPr>
          <w:p w14:paraId="7BC1FD18">
            <w:pPr>
              <w:rPr>
                <w:rFonts w:ascii="宋体" w:hAnsi="宋体"/>
                <w:color w:val="auto"/>
                <w:szCs w:val="21"/>
                <w:highlight w:val="none"/>
              </w:rPr>
            </w:pPr>
          </w:p>
        </w:tc>
        <w:tc>
          <w:tcPr>
            <w:tcW w:w="1081" w:type="dxa"/>
            <w:vMerge w:val="continue"/>
          </w:tcPr>
          <w:p w14:paraId="30535324">
            <w:pPr>
              <w:rPr>
                <w:rFonts w:ascii="宋体" w:hAnsi="宋体"/>
                <w:color w:val="auto"/>
                <w:szCs w:val="21"/>
                <w:highlight w:val="none"/>
              </w:rPr>
            </w:pPr>
          </w:p>
        </w:tc>
        <w:tc>
          <w:tcPr>
            <w:tcW w:w="1081" w:type="dxa"/>
            <w:vMerge w:val="continue"/>
          </w:tcPr>
          <w:p w14:paraId="151110E7">
            <w:pPr>
              <w:rPr>
                <w:rFonts w:ascii="宋体" w:hAnsi="宋体"/>
                <w:color w:val="auto"/>
                <w:szCs w:val="21"/>
                <w:highlight w:val="none"/>
              </w:rPr>
            </w:pPr>
          </w:p>
        </w:tc>
        <w:tc>
          <w:tcPr>
            <w:tcW w:w="1442" w:type="dxa"/>
            <w:vAlign w:val="center"/>
          </w:tcPr>
          <w:p w14:paraId="6FAEFC40">
            <w:pPr>
              <w:jc w:val="center"/>
              <w:rPr>
                <w:rFonts w:ascii="宋体" w:hAnsi="宋体"/>
                <w:color w:val="auto"/>
                <w:szCs w:val="21"/>
                <w:highlight w:val="none"/>
              </w:rPr>
            </w:pPr>
            <w:r>
              <w:rPr>
                <w:rFonts w:hint="eastAsia" w:ascii="宋体" w:hAnsi="宋体"/>
                <w:color w:val="auto"/>
                <w:szCs w:val="21"/>
                <w:highlight w:val="none"/>
              </w:rPr>
              <w:t>证书名称</w:t>
            </w:r>
          </w:p>
        </w:tc>
        <w:tc>
          <w:tcPr>
            <w:tcW w:w="1622" w:type="dxa"/>
            <w:vAlign w:val="center"/>
          </w:tcPr>
          <w:p w14:paraId="6B8C2DC9">
            <w:pPr>
              <w:jc w:val="center"/>
              <w:rPr>
                <w:rFonts w:ascii="宋体" w:hAnsi="宋体"/>
                <w:color w:val="auto"/>
                <w:szCs w:val="21"/>
                <w:highlight w:val="none"/>
              </w:rPr>
            </w:pPr>
            <w:r>
              <w:rPr>
                <w:rFonts w:hint="eastAsia" w:ascii="宋体" w:hAnsi="宋体"/>
                <w:color w:val="auto"/>
                <w:szCs w:val="21"/>
                <w:highlight w:val="none"/>
              </w:rPr>
              <w:t>级别</w:t>
            </w:r>
          </w:p>
        </w:tc>
        <w:tc>
          <w:tcPr>
            <w:tcW w:w="1462" w:type="dxa"/>
            <w:vAlign w:val="center"/>
          </w:tcPr>
          <w:p w14:paraId="4DA3C006">
            <w:pPr>
              <w:jc w:val="center"/>
              <w:rPr>
                <w:rFonts w:ascii="宋体" w:hAnsi="宋体"/>
                <w:color w:val="auto"/>
                <w:szCs w:val="21"/>
                <w:highlight w:val="none"/>
              </w:rPr>
            </w:pPr>
            <w:r>
              <w:rPr>
                <w:rFonts w:hint="eastAsia" w:ascii="宋体" w:hAnsi="宋体"/>
                <w:color w:val="auto"/>
                <w:szCs w:val="21"/>
                <w:highlight w:val="none"/>
              </w:rPr>
              <w:t>证号</w:t>
            </w:r>
          </w:p>
        </w:tc>
        <w:tc>
          <w:tcPr>
            <w:tcW w:w="1507" w:type="dxa"/>
            <w:vMerge w:val="continue"/>
          </w:tcPr>
          <w:p w14:paraId="1AEB8E4D">
            <w:pPr>
              <w:rPr>
                <w:rFonts w:ascii="宋体" w:hAnsi="宋体"/>
                <w:color w:val="auto"/>
                <w:szCs w:val="21"/>
                <w:highlight w:val="none"/>
              </w:rPr>
            </w:pPr>
          </w:p>
        </w:tc>
      </w:tr>
      <w:tr w14:paraId="3A07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792185CA">
            <w:pPr>
              <w:rPr>
                <w:rFonts w:ascii="宋体" w:hAnsi="宋体"/>
                <w:color w:val="auto"/>
                <w:szCs w:val="21"/>
                <w:highlight w:val="none"/>
              </w:rPr>
            </w:pPr>
          </w:p>
        </w:tc>
        <w:tc>
          <w:tcPr>
            <w:tcW w:w="1081" w:type="dxa"/>
          </w:tcPr>
          <w:p w14:paraId="5307235D">
            <w:pPr>
              <w:rPr>
                <w:rFonts w:ascii="宋体" w:hAnsi="宋体"/>
                <w:color w:val="auto"/>
                <w:szCs w:val="21"/>
                <w:highlight w:val="none"/>
              </w:rPr>
            </w:pPr>
          </w:p>
        </w:tc>
        <w:tc>
          <w:tcPr>
            <w:tcW w:w="1081" w:type="dxa"/>
          </w:tcPr>
          <w:p w14:paraId="0609F405">
            <w:pPr>
              <w:rPr>
                <w:rFonts w:ascii="宋体" w:hAnsi="宋体"/>
                <w:color w:val="auto"/>
                <w:szCs w:val="21"/>
                <w:highlight w:val="none"/>
              </w:rPr>
            </w:pPr>
          </w:p>
        </w:tc>
        <w:tc>
          <w:tcPr>
            <w:tcW w:w="1442" w:type="dxa"/>
          </w:tcPr>
          <w:p w14:paraId="5B232575">
            <w:pPr>
              <w:rPr>
                <w:rFonts w:ascii="宋体" w:hAnsi="宋体"/>
                <w:color w:val="auto"/>
                <w:szCs w:val="21"/>
                <w:highlight w:val="none"/>
              </w:rPr>
            </w:pPr>
          </w:p>
        </w:tc>
        <w:tc>
          <w:tcPr>
            <w:tcW w:w="1622" w:type="dxa"/>
          </w:tcPr>
          <w:p w14:paraId="5F4178CB">
            <w:pPr>
              <w:rPr>
                <w:rFonts w:ascii="宋体" w:hAnsi="宋体"/>
                <w:color w:val="auto"/>
                <w:szCs w:val="21"/>
                <w:highlight w:val="none"/>
              </w:rPr>
            </w:pPr>
          </w:p>
        </w:tc>
        <w:tc>
          <w:tcPr>
            <w:tcW w:w="1462" w:type="dxa"/>
          </w:tcPr>
          <w:p w14:paraId="703F5AE1">
            <w:pPr>
              <w:rPr>
                <w:rFonts w:ascii="宋体" w:hAnsi="宋体"/>
                <w:color w:val="auto"/>
                <w:szCs w:val="21"/>
                <w:highlight w:val="none"/>
              </w:rPr>
            </w:pPr>
          </w:p>
        </w:tc>
        <w:tc>
          <w:tcPr>
            <w:tcW w:w="1507" w:type="dxa"/>
          </w:tcPr>
          <w:p w14:paraId="5795E164">
            <w:pPr>
              <w:rPr>
                <w:rFonts w:ascii="宋体" w:hAnsi="宋体"/>
                <w:color w:val="auto"/>
                <w:szCs w:val="21"/>
                <w:highlight w:val="none"/>
              </w:rPr>
            </w:pPr>
          </w:p>
        </w:tc>
      </w:tr>
      <w:tr w14:paraId="38E7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21E2FCB7">
            <w:pPr>
              <w:rPr>
                <w:rFonts w:ascii="宋体" w:hAnsi="宋体"/>
                <w:color w:val="auto"/>
                <w:szCs w:val="21"/>
                <w:highlight w:val="none"/>
              </w:rPr>
            </w:pPr>
          </w:p>
        </w:tc>
        <w:tc>
          <w:tcPr>
            <w:tcW w:w="1081" w:type="dxa"/>
          </w:tcPr>
          <w:p w14:paraId="2C285485">
            <w:pPr>
              <w:rPr>
                <w:rFonts w:ascii="宋体" w:hAnsi="宋体"/>
                <w:color w:val="auto"/>
                <w:szCs w:val="21"/>
                <w:highlight w:val="none"/>
              </w:rPr>
            </w:pPr>
          </w:p>
        </w:tc>
        <w:tc>
          <w:tcPr>
            <w:tcW w:w="1081" w:type="dxa"/>
          </w:tcPr>
          <w:p w14:paraId="1CEE009F">
            <w:pPr>
              <w:rPr>
                <w:rFonts w:ascii="宋体" w:hAnsi="宋体"/>
                <w:color w:val="auto"/>
                <w:szCs w:val="21"/>
                <w:highlight w:val="none"/>
              </w:rPr>
            </w:pPr>
          </w:p>
        </w:tc>
        <w:tc>
          <w:tcPr>
            <w:tcW w:w="1442" w:type="dxa"/>
          </w:tcPr>
          <w:p w14:paraId="38602EDE">
            <w:pPr>
              <w:rPr>
                <w:rFonts w:ascii="宋体" w:hAnsi="宋体"/>
                <w:color w:val="auto"/>
                <w:szCs w:val="21"/>
                <w:highlight w:val="none"/>
              </w:rPr>
            </w:pPr>
          </w:p>
        </w:tc>
        <w:tc>
          <w:tcPr>
            <w:tcW w:w="1622" w:type="dxa"/>
          </w:tcPr>
          <w:p w14:paraId="0ADC49AE">
            <w:pPr>
              <w:rPr>
                <w:rFonts w:ascii="宋体" w:hAnsi="宋体"/>
                <w:color w:val="auto"/>
                <w:szCs w:val="21"/>
                <w:highlight w:val="none"/>
              </w:rPr>
            </w:pPr>
          </w:p>
        </w:tc>
        <w:tc>
          <w:tcPr>
            <w:tcW w:w="1462" w:type="dxa"/>
          </w:tcPr>
          <w:p w14:paraId="34EC5C8C">
            <w:pPr>
              <w:rPr>
                <w:rFonts w:ascii="宋体" w:hAnsi="宋体"/>
                <w:color w:val="auto"/>
                <w:szCs w:val="21"/>
                <w:highlight w:val="none"/>
              </w:rPr>
            </w:pPr>
          </w:p>
        </w:tc>
        <w:tc>
          <w:tcPr>
            <w:tcW w:w="1507" w:type="dxa"/>
          </w:tcPr>
          <w:p w14:paraId="6AAC6E52">
            <w:pPr>
              <w:rPr>
                <w:rFonts w:ascii="宋体" w:hAnsi="宋体"/>
                <w:color w:val="auto"/>
                <w:szCs w:val="21"/>
                <w:highlight w:val="none"/>
              </w:rPr>
            </w:pPr>
          </w:p>
        </w:tc>
      </w:tr>
      <w:tr w14:paraId="6691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1A19E36D">
            <w:pPr>
              <w:rPr>
                <w:rFonts w:ascii="宋体" w:hAnsi="宋体"/>
                <w:color w:val="auto"/>
                <w:szCs w:val="21"/>
                <w:highlight w:val="none"/>
              </w:rPr>
            </w:pPr>
          </w:p>
        </w:tc>
        <w:tc>
          <w:tcPr>
            <w:tcW w:w="1081" w:type="dxa"/>
          </w:tcPr>
          <w:p w14:paraId="65376B96">
            <w:pPr>
              <w:rPr>
                <w:rFonts w:ascii="宋体" w:hAnsi="宋体"/>
                <w:color w:val="auto"/>
                <w:szCs w:val="21"/>
                <w:highlight w:val="none"/>
              </w:rPr>
            </w:pPr>
          </w:p>
        </w:tc>
        <w:tc>
          <w:tcPr>
            <w:tcW w:w="1081" w:type="dxa"/>
          </w:tcPr>
          <w:p w14:paraId="541CCBC9">
            <w:pPr>
              <w:rPr>
                <w:rFonts w:ascii="宋体" w:hAnsi="宋体"/>
                <w:color w:val="auto"/>
                <w:szCs w:val="21"/>
                <w:highlight w:val="none"/>
              </w:rPr>
            </w:pPr>
          </w:p>
        </w:tc>
        <w:tc>
          <w:tcPr>
            <w:tcW w:w="1442" w:type="dxa"/>
          </w:tcPr>
          <w:p w14:paraId="3672A252">
            <w:pPr>
              <w:rPr>
                <w:rFonts w:ascii="宋体" w:hAnsi="宋体"/>
                <w:color w:val="auto"/>
                <w:szCs w:val="21"/>
                <w:highlight w:val="none"/>
              </w:rPr>
            </w:pPr>
          </w:p>
        </w:tc>
        <w:tc>
          <w:tcPr>
            <w:tcW w:w="1622" w:type="dxa"/>
          </w:tcPr>
          <w:p w14:paraId="44D64640">
            <w:pPr>
              <w:rPr>
                <w:rFonts w:ascii="宋体" w:hAnsi="宋体"/>
                <w:color w:val="auto"/>
                <w:szCs w:val="21"/>
                <w:highlight w:val="none"/>
              </w:rPr>
            </w:pPr>
          </w:p>
        </w:tc>
        <w:tc>
          <w:tcPr>
            <w:tcW w:w="1462" w:type="dxa"/>
          </w:tcPr>
          <w:p w14:paraId="3DB4BA83">
            <w:pPr>
              <w:rPr>
                <w:rFonts w:ascii="宋体" w:hAnsi="宋体"/>
                <w:color w:val="auto"/>
                <w:szCs w:val="21"/>
                <w:highlight w:val="none"/>
              </w:rPr>
            </w:pPr>
          </w:p>
        </w:tc>
        <w:tc>
          <w:tcPr>
            <w:tcW w:w="1507" w:type="dxa"/>
          </w:tcPr>
          <w:p w14:paraId="6DA70F8B">
            <w:pPr>
              <w:rPr>
                <w:rFonts w:ascii="宋体" w:hAnsi="宋体"/>
                <w:color w:val="auto"/>
                <w:szCs w:val="21"/>
                <w:highlight w:val="none"/>
              </w:rPr>
            </w:pPr>
          </w:p>
        </w:tc>
      </w:tr>
      <w:tr w14:paraId="7EDB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259ABD9A">
            <w:pPr>
              <w:rPr>
                <w:rFonts w:ascii="宋体" w:hAnsi="宋体"/>
                <w:color w:val="auto"/>
                <w:szCs w:val="21"/>
                <w:highlight w:val="none"/>
              </w:rPr>
            </w:pPr>
          </w:p>
        </w:tc>
        <w:tc>
          <w:tcPr>
            <w:tcW w:w="1081" w:type="dxa"/>
          </w:tcPr>
          <w:p w14:paraId="4DEEB151">
            <w:pPr>
              <w:rPr>
                <w:rFonts w:ascii="宋体" w:hAnsi="宋体"/>
                <w:color w:val="auto"/>
                <w:szCs w:val="21"/>
                <w:highlight w:val="none"/>
              </w:rPr>
            </w:pPr>
          </w:p>
        </w:tc>
        <w:tc>
          <w:tcPr>
            <w:tcW w:w="1081" w:type="dxa"/>
          </w:tcPr>
          <w:p w14:paraId="4B241E9B">
            <w:pPr>
              <w:rPr>
                <w:rFonts w:ascii="宋体" w:hAnsi="宋体"/>
                <w:color w:val="auto"/>
                <w:szCs w:val="21"/>
                <w:highlight w:val="none"/>
              </w:rPr>
            </w:pPr>
          </w:p>
        </w:tc>
        <w:tc>
          <w:tcPr>
            <w:tcW w:w="1442" w:type="dxa"/>
          </w:tcPr>
          <w:p w14:paraId="5F1512D5">
            <w:pPr>
              <w:rPr>
                <w:rFonts w:ascii="宋体" w:hAnsi="宋体"/>
                <w:color w:val="auto"/>
                <w:szCs w:val="21"/>
                <w:highlight w:val="none"/>
              </w:rPr>
            </w:pPr>
          </w:p>
        </w:tc>
        <w:tc>
          <w:tcPr>
            <w:tcW w:w="1622" w:type="dxa"/>
          </w:tcPr>
          <w:p w14:paraId="010D6ABA">
            <w:pPr>
              <w:rPr>
                <w:rFonts w:ascii="宋体" w:hAnsi="宋体"/>
                <w:color w:val="auto"/>
                <w:szCs w:val="21"/>
                <w:highlight w:val="none"/>
              </w:rPr>
            </w:pPr>
          </w:p>
        </w:tc>
        <w:tc>
          <w:tcPr>
            <w:tcW w:w="1462" w:type="dxa"/>
          </w:tcPr>
          <w:p w14:paraId="50D95F26">
            <w:pPr>
              <w:rPr>
                <w:rFonts w:ascii="宋体" w:hAnsi="宋体"/>
                <w:color w:val="auto"/>
                <w:szCs w:val="21"/>
                <w:highlight w:val="none"/>
              </w:rPr>
            </w:pPr>
          </w:p>
        </w:tc>
        <w:tc>
          <w:tcPr>
            <w:tcW w:w="1507" w:type="dxa"/>
          </w:tcPr>
          <w:p w14:paraId="6A40764A">
            <w:pPr>
              <w:rPr>
                <w:rFonts w:ascii="宋体" w:hAnsi="宋体"/>
                <w:color w:val="auto"/>
                <w:szCs w:val="21"/>
                <w:highlight w:val="none"/>
              </w:rPr>
            </w:pPr>
          </w:p>
        </w:tc>
      </w:tr>
      <w:tr w14:paraId="5ADE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2DDFE671">
            <w:pPr>
              <w:rPr>
                <w:rFonts w:ascii="宋体" w:hAnsi="宋体"/>
                <w:color w:val="auto"/>
                <w:szCs w:val="21"/>
                <w:highlight w:val="none"/>
              </w:rPr>
            </w:pPr>
          </w:p>
        </w:tc>
        <w:tc>
          <w:tcPr>
            <w:tcW w:w="1081" w:type="dxa"/>
          </w:tcPr>
          <w:p w14:paraId="5C626513">
            <w:pPr>
              <w:rPr>
                <w:rFonts w:ascii="宋体" w:hAnsi="宋体"/>
                <w:color w:val="auto"/>
                <w:szCs w:val="21"/>
                <w:highlight w:val="none"/>
              </w:rPr>
            </w:pPr>
          </w:p>
        </w:tc>
        <w:tc>
          <w:tcPr>
            <w:tcW w:w="1081" w:type="dxa"/>
          </w:tcPr>
          <w:p w14:paraId="6DADADFD">
            <w:pPr>
              <w:rPr>
                <w:rFonts w:ascii="宋体" w:hAnsi="宋体"/>
                <w:color w:val="auto"/>
                <w:szCs w:val="21"/>
                <w:highlight w:val="none"/>
              </w:rPr>
            </w:pPr>
          </w:p>
        </w:tc>
        <w:tc>
          <w:tcPr>
            <w:tcW w:w="1442" w:type="dxa"/>
          </w:tcPr>
          <w:p w14:paraId="0225D567">
            <w:pPr>
              <w:rPr>
                <w:rFonts w:ascii="宋体" w:hAnsi="宋体"/>
                <w:color w:val="auto"/>
                <w:szCs w:val="21"/>
                <w:highlight w:val="none"/>
              </w:rPr>
            </w:pPr>
          </w:p>
        </w:tc>
        <w:tc>
          <w:tcPr>
            <w:tcW w:w="1622" w:type="dxa"/>
          </w:tcPr>
          <w:p w14:paraId="29082052">
            <w:pPr>
              <w:rPr>
                <w:rFonts w:ascii="宋体" w:hAnsi="宋体"/>
                <w:color w:val="auto"/>
                <w:szCs w:val="21"/>
                <w:highlight w:val="none"/>
              </w:rPr>
            </w:pPr>
          </w:p>
        </w:tc>
        <w:tc>
          <w:tcPr>
            <w:tcW w:w="1462" w:type="dxa"/>
          </w:tcPr>
          <w:p w14:paraId="72B1EF89">
            <w:pPr>
              <w:rPr>
                <w:rFonts w:ascii="宋体" w:hAnsi="宋体"/>
                <w:color w:val="auto"/>
                <w:szCs w:val="21"/>
                <w:highlight w:val="none"/>
              </w:rPr>
            </w:pPr>
          </w:p>
        </w:tc>
        <w:tc>
          <w:tcPr>
            <w:tcW w:w="1507" w:type="dxa"/>
          </w:tcPr>
          <w:p w14:paraId="28ABA711">
            <w:pPr>
              <w:rPr>
                <w:rFonts w:ascii="宋体" w:hAnsi="宋体"/>
                <w:color w:val="auto"/>
                <w:szCs w:val="21"/>
                <w:highlight w:val="none"/>
              </w:rPr>
            </w:pPr>
          </w:p>
        </w:tc>
      </w:tr>
      <w:tr w14:paraId="1F54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75B920E2">
            <w:pPr>
              <w:rPr>
                <w:rFonts w:ascii="宋体" w:hAnsi="宋体"/>
                <w:color w:val="auto"/>
                <w:szCs w:val="21"/>
                <w:highlight w:val="none"/>
              </w:rPr>
            </w:pPr>
          </w:p>
        </w:tc>
        <w:tc>
          <w:tcPr>
            <w:tcW w:w="1081" w:type="dxa"/>
          </w:tcPr>
          <w:p w14:paraId="6AB0F3AD">
            <w:pPr>
              <w:rPr>
                <w:rFonts w:ascii="宋体" w:hAnsi="宋体"/>
                <w:color w:val="auto"/>
                <w:szCs w:val="21"/>
                <w:highlight w:val="none"/>
              </w:rPr>
            </w:pPr>
          </w:p>
        </w:tc>
        <w:tc>
          <w:tcPr>
            <w:tcW w:w="1081" w:type="dxa"/>
          </w:tcPr>
          <w:p w14:paraId="3C05AEB7">
            <w:pPr>
              <w:rPr>
                <w:rFonts w:ascii="宋体" w:hAnsi="宋体"/>
                <w:color w:val="auto"/>
                <w:szCs w:val="21"/>
                <w:highlight w:val="none"/>
              </w:rPr>
            </w:pPr>
          </w:p>
        </w:tc>
        <w:tc>
          <w:tcPr>
            <w:tcW w:w="1442" w:type="dxa"/>
          </w:tcPr>
          <w:p w14:paraId="65A29080">
            <w:pPr>
              <w:rPr>
                <w:rFonts w:ascii="宋体" w:hAnsi="宋体"/>
                <w:color w:val="auto"/>
                <w:szCs w:val="21"/>
                <w:highlight w:val="none"/>
              </w:rPr>
            </w:pPr>
          </w:p>
        </w:tc>
        <w:tc>
          <w:tcPr>
            <w:tcW w:w="1622" w:type="dxa"/>
          </w:tcPr>
          <w:p w14:paraId="59062541">
            <w:pPr>
              <w:rPr>
                <w:rFonts w:ascii="宋体" w:hAnsi="宋体"/>
                <w:color w:val="auto"/>
                <w:szCs w:val="21"/>
                <w:highlight w:val="none"/>
              </w:rPr>
            </w:pPr>
          </w:p>
        </w:tc>
        <w:tc>
          <w:tcPr>
            <w:tcW w:w="1462" w:type="dxa"/>
          </w:tcPr>
          <w:p w14:paraId="312B7F98">
            <w:pPr>
              <w:rPr>
                <w:rFonts w:ascii="宋体" w:hAnsi="宋体"/>
                <w:color w:val="auto"/>
                <w:szCs w:val="21"/>
                <w:highlight w:val="none"/>
              </w:rPr>
            </w:pPr>
          </w:p>
        </w:tc>
        <w:tc>
          <w:tcPr>
            <w:tcW w:w="1507" w:type="dxa"/>
          </w:tcPr>
          <w:p w14:paraId="39CF56AA">
            <w:pPr>
              <w:rPr>
                <w:rFonts w:ascii="宋体" w:hAnsi="宋体"/>
                <w:color w:val="auto"/>
                <w:szCs w:val="21"/>
                <w:highlight w:val="none"/>
              </w:rPr>
            </w:pPr>
          </w:p>
        </w:tc>
      </w:tr>
      <w:tr w14:paraId="791E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286ED38A">
            <w:pPr>
              <w:rPr>
                <w:rFonts w:ascii="宋体" w:hAnsi="宋体"/>
                <w:color w:val="auto"/>
                <w:szCs w:val="21"/>
                <w:highlight w:val="none"/>
              </w:rPr>
            </w:pPr>
          </w:p>
        </w:tc>
        <w:tc>
          <w:tcPr>
            <w:tcW w:w="1081" w:type="dxa"/>
          </w:tcPr>
          <w:p w14:paraId="5A969525">
            <w:pPr>
              <w:rPr>
                <w:rFonts w:ascii="宋体" w:hAnsi="宋体"/>
                <w:color w:val="auto"/>
                <w:szCs w:val="21"/>
                <w:highlight w:val="none"/>
              </w:rPr>
            </w:pPr>
          </w:p>
        </w:tc>
        <w:tc>
          <w:tcPr>
            <w:tcW w:w="1081" w:type="dxa"/>
          </w:tcPr>
          <w:p w14:paraId="18854C6F">
            <w:pPr>
              <w:rPr>
                <w:rFonts w:ascii="宋体" w:hAnsi="宋体"/>
                <w:color w:val="auto"/>
                <w:szCs w:val="21"/>
                <w:highlight w:val="none"/>
              </w:rPr>
            </w:pPr>
          </w:p>
        </w:tc>
        <w:tc>
          <w:tcPr>
            <w:tcW w:w="1442" w:type="dxa"/>
          </w:tcPr>
          <w:p w14:paraId="3E933EF5">
            <w:pPr>
              <w:rPr>
                <w:rFonts w:ascii="宋体" w:hAnsi="宋体"/>
                <w:color w:val="auto"/>
                <w:szCs w:val="21"/>
                <w:highlight w:val="none"/>
              </w:rPr>
            </w:pPr>
          </w:p>
        </w:tc>
        <w:tc>
          <w:tcPr>
            <w:tcW w:w="1622" w:type="dxa"/>
          </w:tcPr>
          <w:p w14:paraId="74D30919">
            <w:pPr>
              <w:rPr>
                <w:rFonts w:ascii="宋体" w:hAnsi="宋体"/>
                <w:color w:val="auto"/>
                <w:szCs w:val="21"/>
                <w:highlight w:val="none"/>
              </w:rPr>
            </w:pPr>
          </w:p>
        </w:tc>
        <w:tc>
          <w:tcPr>
            <w:tcW w:w="1462" w:type="dxa"/>
          </w:tcPr>
          <w:p w14:paraId="3D74E1C7">
            <w:pPr>
              <w:rPr>
                <w:rFonts w:ascii="宋体" w:hAnsi="宋体"/>
                <w:color w:val="auto"/>
                <w:szCs w:val="21"/>
                <w:highlight w:val="none"/>
              </w:rPr>
            </w:pPr>
          </w:p>
        </w:tc>
        <w:tc>
          <w:tcPr>
            <w:tcW w:w="1507" w:type="dxa"/>
          </w:tcPr>
          <w:p w14:paraId="3EC381F8">
            <w:pPr>
              <w:rPr>
                <w:rFonts w:ascii="宋体" w:hAnsi="宋体"/>
                <w:color w:val="auto"/>
                <w:szCs w:val="21"/>
                <w:highlight w:val="none"/>
              </w:rPr>
            </w:pPr>
          </w:p>
        </w:tc>
      </w:tr>
      <w:tr w14:paraId="4ED7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7F684AE3">
            <w:pPr>
              <w:rPr>
                <w:rFonts w:ascii="宋体" w:hAnsi="宋体"/>
                <w:color w:val="auto"/>
                <w:szCs w:val="21"/>
                <w:highlight w:val="none"/>
              </w:rPr>
            </w:pPr>
          </w:p>
        </w:tc>
        <w:tc>
          <w:tcPr>
            <w:tcW w:w="1081" w:type="dxa"/>
          </w:tcPr>
          <w:p w14:paraId="0D8DDCCF">
            <w:pPr>
              <w:rPr>
                <w:rFonts w:ascii="宋体" w:hAnsi="宋体"/>
                <w:color w:val="auto"/>
                <w:szCs w:val="21"/>
                <w:highlight w:val="none"/>
              </w:rPr>
            </w:pPr>
          </w:p>
        </w:tc>
        <w:tc>
          <w:tcPr>
            <w:tcW w:w="1081" w:type="dxa"/>
          </w:tcPr>
          <w:p w14:paraId="0797DCC6">
            <w:pPr>
              <w:rPr>
                <w:rFonts w:ascii="宋体" w:hAnsi="宋体"/>
                <w:color w:val="auto"/>
                <w:szCs w:val="21"/>
                <w:highlight w:val="none"/>
              </w:rPr>
            </w:pPr>
          </w:p>
        </w:tc>
        <w:tc>
          <w:tcPr>
            <w:tcW w:w="1442" w:type="dxa"/>
          </w:tcPr>
          <w:p w14:paraId="126F071E">
            <w:pPr>
              <w:rPr>
                <w:rFonts w:ascii="宋体" w:hAnsi="宋体"/>
                <w:color w:val="auto"/>
                <w:szCs w:val="21"/>
                <w:highlight w:val="none"/>
              </w:rPr>
            </w:pPr>
          </w:p>
        </w:tc>
        <w:tc>
          <w:tcPr>
            <w:tcW w:w="1622" w:type="dxa"/>
          </w:tcPr>
          <w:p w14:paraId="69524532">
            <w:pPr>
              <w:rPr>
                <w:rFonts w:ascii="宋体" w:hAnsi="宋体"/>
                <w:color w:val="auto"/>
                <w:szCs w:val="21"/>
                <w:highlight w:val="none"/>
              </w:rPr>
            </w:pPr>
          </w:p>
        </w:tc>
        <w:tc>
          <w:tcPr>
            <w:tcW w:w="1462" w:type="dxa"/>
          </w:tcPr>
          <w:p w14:paraId="0759BB74">
            <w:pPr>
              <w:rPr>
                <w:rFonts w:ascii="宋体" w:hAnsi="宋体"/>
                <w:color w:val="auto"/>
                <w:szCs w:val="21"/>
                <w:highlight w:val="none"/>
              </w:rPr>
            </w:pPr>
          </w:p>
        </w:tc>
        <w:tc>
          <w:tcPr>
            <w:tcW w:w="1507" w:type="dxa"/>
          </w:tcPr>
          <w:p w14:paraId="1E1DECF4">
            <w:pPr>
              <w:rPr>
                <w:rFonts w:ascii="宋体" w:hAnsi="宋体"/>
                <w:color w:val="auto"/>
                <w:szCs w:val="21"/>
                <w:highlight w:val="none"/>
              </w:rPr>
            </w:pPr>
          </w:p>
        </w:tc>
      </w:tr>
      <w:tr w14:paraId="6ABA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35F29E6C">
            <w:pPr>
              <w:rPr>
                <w:rFonts w:ascii="宋体" w:hAnsi="宋体"/>
                <w:color w:val="auto"/>
                <w:szCs w:val="21"/>
                <w:highlight w:val="none"/>
              </w:rPr>
            </w:pPr>
          </w:p>
        </w:tc>
        <w:tc>
          <w:tcPr>
            <w:tcW w:w="1081" w:type="dxa"/>
          </w:tcPr>
          <w:p w14:paraId="65CDDBF1">
            <w:pPr>
              <w:rPr>
                <w:rFonts w:ascii="宋体" w:hAnsi="宋体"/>
                <w:color w:val="auto"/>
                <w:szCs w:val="21"/>
                <w:highlight w:val="none"/>
              </w:rPr>
            </w:pPr>
          </w:p>
        </w:tc>
        <w:tc>
          <w:tcPr>
            <w:tcW w:w="1081" w:type="dxa"/>
          </w:tcPr>
          <w:p w14:paraId="38B2E872">
            <w:pPr>
              <w:rPr>
                <w:rFonts w:ascii="宋体" w:hAnsi="宋体"/>
                <w:color w:val="auto"/>
                <w:szCs w:val="21"/>
                <w:highlight w:val="none"/>
              </w:rPr>
            </w:pPr>
          </w:p>
        </w:tc>
        <w:tc>
          <w:tcPr>
            <w:tcW w:w="1442" w:type="dxa"/>
          </w:tcPr>
          <w:p w14:paraId="72FA7963">
            <w:pPr>
              <w:rPr>
                <w:rFonts w:ascii="宋体" w:hAnsi="宋体"/>
                <w:color w:val="auto"/>
                <w:szCs w:val="21"/>
                <w:highlight w:val="none"/>
              </w:rPr>
            </w:pPr>
          </w:p>
        </w:tc>
        <w:tc>
          <w:tcPr>
            <w:tcW w:w="1622" w:type="dxa"/>
          </w:tcPr>
          <w:p w14:paraId="07F40399">
            <w:pPr>
              <w:rPr>
                <w:rFonts w:ascii="宋体" w:hAnsi="宋体"/>
                <w:color w:val="auto"/>
                <w:szCs w:val="21"/>
                <w:highlight w:val="none"/>
              </w:rPr>
            </w:pPr>
          </w:p>
        </w:tc>
        <w:tc>
          <w:tcPr>
            <w:tcW w:w="1462" w:type="dxa"/>
          </w:tcPr>
          <w:p w14:paraId="73DA1295">
            <w:pPr>
              <w:rPr>
                <w:rFonts w:ascii="宋体" w:hAnsi="宋体"/>
                <w:color w:val="auto"/>
                <w:szCs w:val="21"/>
                <w:highlight w:val="none"/>
              </w:rPr>
            </w:pPr>
          </w:p>
        </w:tc>
        <w:tc>
          <w:tcPr>
            <w:tcW w:w="1507" w:type="dxa"/>
          </w:tcPr>
          <w:p w14:paraId="6C3787D5">
            <w:pPr>
              <w:rPr>
                <w:rFonts w:ascii="宋体" w:hAnsi="宋体"/>
                <w:color w:val="auto"/>
                <w:szCs w:val="21"/>
                <w:highlight w:val="none"/>
              </w:rPr>
            </w:pPr>
          </w:p>
        </w:tc>
      </w:tr>
      <w:tr w14:paraId="7E62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523ECC63">
            <w:pPr>
              <w:rPr>
                <w:rFonts w:ascii="宋体" w:hAnsi="宋体"/>
                <w:color w:val="auto"/>
                <w:szCs w:val="21"/>
                <w:highlight w:val="none"/>
              </w:rPr>
            </w:pPr>
          </w:p>
        </w:tc>
        <w:tc>
          <w:tcPr>
            <w:tcW w:w="1081" w:type="dxa"/>
          </w:tcPr>
          <w:p w14:paraId="7A958060">
            <w:pPr>
              <w:rPr>
                <w:rFonts w:ascii="宋体" w:hAnsi="宋体"/>
                <w:color w:val="auto"/>
                <w:szCs w:val="21"/>
                <w:highlight w:val="none"/>
              </w:rPr>
            </w:pPr>
          </w:p>
        </w:tc>
        <w:tc>
          <w:tcPr>
            <w:tcW w:w="1081" w:type="dxa"/>
          </w:tcPr>
          <w:p w14:paraId="7C93FDD4">
            <w:pPr>
              <w:rPr>
                <w:rFonts w:ascii="宋体" w:hAnsi="宋体"/>
                <w:color w:val="auto"/>
                <w:szCs w:val="21"/>
                <w:highlight w:val="none"/>
              </w:rPr>
            </w:pPr>
          </w:p>
        </w:tc>
        <w:tc>
          <w:tcPr>
            <w:tcW w:w="1442" w:type="dxa"/>
          </w:tcPr>
          <w:p w14:paraId="2BE23D13">
            <w:pPr>
              <w:rPr>
                <w:rFonts w:ascii="宋体" w:hAnsi="宋体"/>
                <w:color w:val="auto"/>
                <w:szCs w:val="21"/>
                <w:highlight w:val="none"/>
              </w:rPr>
            </w:pPr>
          </w:p>
        </w:tc>
        <w:tc>
          <w:tcPr>
            <w:tcW w:w="1622" w:type="dxa"/>
          </w:tcPr>
          <w:p w14:paraId="7E01C32D">
            <w:pPr>
              <w:rPr>
                <w:rFonts w:ascii="宋体" w:hAnsi="宋体"/>
                <w:color w:val="auto"/>
                <w:szCs w:val="21"/>
                <w:highlight w:val="none"/>
              </w:rPr>
            </w:pPr>
          </w:p>
        </w:tc>
        <w:tc>
          <w:tcPr>
            <w:tcW w:w="1462" w:type="dxa"/>
          </w:tcPr>
          <w:p w14:paraId="2759CC5D">
            <w:pPr>
              <w:rPr>
                <w:rFonts w:ascii="宋体" w:hAnsi="宋体"/>
                <w:color w:val="auto"/>
                <w:szCs w:val="21"/>
                <w:highlight w:val="none"/>
              </w:rPr>
            </w:pPr>
          </w:p>
        </w:tc>
        <w:tc>
          <w:tcPr>
            <w:tcW w:w="1507" w:type="dxa"/>
          </w:tcPr>
          <w:p w14:paraId="419AF338">
            <w:pPr>
              <w:rPr>
                <w:rFonts w:ascii="宋体" w:hAnsi="宋体"/>
                <w:color w:val="auto"/>
                <w:szCs w:val="21"/>
                <w:highlight w:val="none"/>
              </w:rPr>
            </w:pPr>
          </w:p>
        </w:tc>
      </w:tr>
      <w:tr w14:paraId="5581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182D64B0">
            <w:pPr>
              <w:rPr>
                <w:rFonts w:ascii="宋体" w:hAnsi="宋体"/>
                <w:color w:val="auto"/>
                <w:szCs w:val="21"/>
                <w:highlight w:val="none"/>
              </w:rPr>
            </w:pPr>
          </w:p>
        </w:tc>
        <w:tc>
          <w:tcPr>
            <w:tcW w:w="1081" w:type="dxa"/>
          </w:tcPr>
          <w:p w14:paraId="4E82D624">
            <w:pPr>
              <w:rPr>
                <w:rFonts w:ascii="宋体" w:hAnsi="宋体"/>
                <w:color w:val="auto"/>
                <w:szCs w:val="21"/>
                <w:highlight w:val="none"/>
              </w:rPr>
            </w:pPr>
          </w:p>
        </w:tc>
        <w:tc>
          <w:tcPr>
            <w:tcW w:w="1081" w:type="dxa"/>
          </w:tcPr>
          <w:p w14:paraId="26F6CB68">
            <w:pPr>
              <w:rPr>
                <w:rFonts w:ascii="宋体" w:hAnsi="宋体"/>
                <w:color w:val="auto"/>
                <w:szCs w:val="21"/>
                <w:highlight w:val="none"/>
              </w:rPr>
            </w:pPr>
          </w:p>
        </w:tc>
        <w:tc>
          <w:tcPr>
            <w:tcW w:w="1442" w:type="dxa"/>
          </w:tcPr>
          <w:p w14:paraId="53F65419">
            <w:pPr>
              <w:rPr>
                <w:rFonts w:ascii="宋体" w:hAnsi="宋体"/>
                <w:color w:val="auto"/>
                <w:szCs w:val="21"/>
                <w:highlight w:val="none"/>
              </w:rPr>
            </w:pPr>
          </w:p>
        </w:tc>
        <w:tc>
          <w:tcPr>
            <w:tcW w:w="1622" w:type="dxa"/>
          </w:tcPr>
          <w:p w14:paraId="55A757B8">
            <w:pPr>
              <w:rPr>
                <w:rFonts w:ascii="宋体" w:hAnsi="宋体"/>
                <w:color w:val="auto"/>
                <w:szCs w:val="21"/>
                <w:highlight w:val="none"/>
              </w:rPr>
            </w:pPr>
          </w:p>
        </w:tc>
        <w:tc>
          <w:tcPr>
            <w:tcW w:w="1462" w:type="dxa"/>
          </w:tcPr>
          <w:p w14:paraId="1C583F9E">
            <w:pPr>
              <w:rPr>
                <w:rFonts w:ascii="宋体" w:hAnsi="宋体"/>
                <w:color w:val="auto"/>
                <w:szCs w:val="21"/>
                <w:highlight w:val="none"/>
              </w:rPr>
            </w:pPr>
          </w:p>
        </w:tc>
        <w:tc>
          <w:tcPr>
            <w:tcW w:w="1507" w:type="dxa"/>
          </w:tcPr>
          <w:p w14:paraId="76C75BBE">
            <w:pPr>
              <w:rPr>
                <w:rFonts w:ascii="宋体" w:hAnsi="宋体"/>
                <w:color w:val="auto"/>
                <w:szCs w:val="21"/>
                <w:highlight w:val="none"/>
              </w:rPr>
            </w:pPr>
          </w:p>
        </w:tc>
      </w:tr>
      <w:tr w14:paraId="6A3E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62" w:type="dxa"/>
          </w:tcPr>
          <w:p w14:paraId="3280FC7A">
            <w:pPr>
              <w:rPr>
                <w:rFonts w:ascii="宋体" w:hAnsi="宋体"/>
                <w:color w:val="auto"/>
                <w:szCs w:val="21"/>
                <w:highlight w:val="none"/>
              </w:rPr>
            </w:pPr>
          </w:p>
        </w:tc>
        <w:tc>
          <w:tcPr>
            <w:tcW w:w="1081" w:type="dxa"/>
          </w:tcPr>
          <w:p w14:paraId="6564FDC6">
            <w:pPr>
              <w:rPr>
                <w:rFonts w:ascii="宋体" w:hAnsi="宋体"/>
                <w:color w:val="auto"/>
                <w:szCs w:val="21"/>
                <w:highlight w:val="none"/>
              </w:rPr>
            </w:pPr>
          </w:p>
        </w:tc>
        <w:tc>
          <w:tcPr>
            <w:tcW w:w="1081" w:type="dxa"/>
          </w:tcPr>
          <w:p w14:paraId="1D5C0AFB">
            <w:pPr>
              <w:rPr>
                <w:rFonts w:ascii="宋体" w:hAnsi="宋体"/>
                <w:color w:val="auto"/>
                <w:szCs w:val="21"/>
                <w:highlight w:val="none"/>
              </w:rPr>
            </w:pPr>
          </w:p>
        </w:tc>
        <w:tc>
          <w:tcPr>
            <w:tcW w:w="1442" w:type="dxa"/>
          </w:tcPr>
          <w:p w14:paraId="0E360ACF">
            <w:pPr>
              <w:rPr>
                <w:rFonts w:ascii="宋体" w:hAnsi="宋体"/>
                <w:color w:val="auto"/>
                <w:szCs w:val="21"/>
                <w:highlight w:val="none"/>
              </w:rPr>
            </w:pPr>
          </w:p>
        </w:tc>
        <w:tc>
          <w:tcPr>
            <w:tcW w:w="1622" w:type="dxa"/>
          </w:tcPr>
          <w:p w14:paraId="6C3A2CC5">
            <w:pPr>
              <w:rPr>
                <w:rFonts w:ascii="宋体" w:hAnsi="宋体"/>
                <w:color w:val="auto"/>
                <w:szCs w:val="21"/>
                <w:highlight w:val="none"/>
              </w:rPr>
            </w:pPr>
          </w:p>
        </w:tc>
        <w:tc>
          <w:tcPr>
            <w:tcW w:w="1462" w:type="dxa"/>
          </w:tcPr>
          <w:p w14:paraId="08DD377A">
            <w:pPr>
              <w:rPr>
                <w:rFonts w:ascii="宋体" w:hAnsi="宋体"/>
                <w:color w:val="auto"/>
                <w:szCs w:val="21"/>
                <w:highlight w:val="none"/>
              </w:rPr>
            </w:pPr>
          </w:p>
        </w:tc>
        <w:tc>
          <w:tcPr>
            <w:tcW w:w="1507" w:type="dxa"/>
          </w:tcPr>
          <w:p w14:paraId="4A4BD43D">
            <w:pPr>
              <w:rPr>
                <w:rFonts w:ascii="宋体" w:hAnsi="宋体"/>
                <w:color w:val="auto"/>
                <w:szCs w:val="21"/>
                <w:highlight w:val="none"/>
              </w:rPr>
            </w:pPr>
          </w:p>
        </w:tc>
      </w:tr>
    </w:tbl>
    <w:p w14:paraId="63915473">
      <w:pPr>
        <w:rPr>
          <w:rFonts w:ascii="宋体" w:hAnsi="宋体"/>
          <w:color w:val="auto"/>
          <w:sz w:val="24"/>
          <w:szCs w:val="20"/>
          <w:highlight w:val="none"/>
        </w:rPr>
      </w:pPr>
      <w:r>
        <w:rPr>
          <w:rFonts w:hint="eastAsia" w:ascii="宋体" w:hAnsi="宋体"/>
          <w:color w:val="auto"/>
          <w:szCs w:val="21"/>
          <w:highlight w:val="none"/>
        </w:rPr>
        <w:t>注：本表后附</w:t>
      </w:r>
      <w:r>
        <w:rPr>
          <w:rFonts w:hint="eastAsia"/>
          <w:color w:val="auto"/>
          <w:szCs w:val="21"/>
          <w:highlight w:val="none"/>
        </w:rPr>
        <w:t>相关证明材料</w:t>
      </w:r>
      <w:r>
        <w:rPr>
          <w:rFonts w:hint="eastAsia" w:ascii="宋体" w:hAnsi="宋体"/>
          <w:color w:val="auto"/>
          <w:szCs w:val="21"/>
          <w:highlight w:val="none"/>
        </w:rPr>
        <w:t>。</w:t>
      </w:r>
    </w:p>
    <w:p w14:paraId="33EC7698">
      <w:pPr>
        <w:snapToGrid w:val="0"/>
        <w:spacing w:line="360" w:lineRule="auto"/>
        <w:ind w:firstLine="480"/>
        <w:rPr>
          <w:rFonts w:ascii="宋体" w:hAnsi="宋体"/>
          <w:color w:val="auto"/>
          <w:sz w:val="24"/>
          <w:highlight w:val="none"/>
        </w:rPr>
      </w:pPr>
    </w:p>
    <w:p w14:paraId="052C84F9">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p>
    <w:p w14:paraId="1A7979E7">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投标人全称（盖章）：</w:t>
      </w:r>
    </w:p>
    <w:p w14:paraId="3CA8C0DC">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日期：</w:t>
      </w:r>
    </w:p>
    <w:p w14:paraId="11D9CC59">
      <w:pPr>
        <w:snapToGrid w:val="0"/>
        <w:spacing w:line="360" w:lineRule="auto"/>
        <w:jc w:val="left"/>
        <w:rPr>
          <w:rFonts w:hint="eastAsia" w:ascii="宋体" w:hAnsi="宋体" w:eastAsia="宋体" w:cs="宋体"/>
          <w:color w:val="auto"/>
          <w:spacing w:val="20"/>
          <w:sz w:val="24"/>
          <w:highlight w:val="none"/>
          <w:u w:val="single"/>
        </w:rPr>
      </w:pPr>
    </w:p>
    <w:bookmarkEnd w:id="353"/>
    <w:p w14:paraId="0E02EDC3">
      <w:pPr>
        <w:pStyle w:val="3"/>
        <w:keepNext w:val="0"/>
        <w:keepLines w:val="0"/>
        <w:pageBreakBefore/>
        <w:rPr>
          <w:rFonts w:ascii="宋体" w:hAnsi="宋体" w:eastAsia="宋体" w:cs="宋体"/>
          <w:b w:val="0"/>
          <w:color w:val="auto"/>
          <w:kern w:val="0"/>
          <w:sz w:val="24"/>
          <w:szCs w:val="24"/>
          <w:highlight w:val="none"/>
        </w:rPr>
      </w:pPr>
      <w:bookmarkStart w:id="354" w:name="_Toc32445"/>
      <w:bookmarkStart w:id="355" w:name="_Toc1240"/>
      <w:bookmarkStart w:id="356" w:name="_Toc23158"/>
      <w:r>
        <w:rPr>
          <w:rFonts w:hint="eastAsia" w:ascii="宋体" w:hAnsi="宋体" w:eastAsia="宋体" w:cs="宋体"/>
          <w:b w:val="0"/>
          <w:color w:val="auto"/>
          <w:kern w:val="0"/>
          <w:sz w:val="24"/>
          <w:szCs w:val="24"/>
          <w:highlight w:val="none"/>
        </w:rPr>
        <w:t>附件十一：同类项目业绩一览表</w:t>
      </w:r>
      <w:bookmarkEnd w:id="354"/>
      <w:bookmarkEnd w:id="355"/>
      <w:bookmarkEnd w:id="356"/>
    </w:p>
    <w:p w14:paraId="21E73458">
      <w:pPr>
        <w:widowControl/>
        <w:jc w:val="left"/>
        <w:rPr>
          <w:rFonts w:hint="eastAsia" w:ascii="宋体" w:hAnsi="宋体" w:eastAsia="宋体" w:cs="宋体"/>
          <w:color w:val="auto"/>
          <w:kern w:val="0"/>
          <w:sz w:val="24"/>
          <w:highlight w:val="none"/>
        </w:rPr>
      </w:pPr>
    </w:p>
    <w:p w14:paraId="20E69CB8">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同类项目业绩一览表</w:t>
      </w:r>
    </w:p>
    <w:p w14:paraId="195C8062">
      <w:pPr>
        <w:widowControl/>
        <w:jc w:val="left"/>
        <w:rPr>
          <w:rFonts w:hint="eastAsia" w:ascii="宋体" w:hAnsi="宋体" w:eastAsia="宋体" w:cs="宋体"/>
          <w:color w:val="auto"/>
          <w:kern w:val="0"/>
          <w:sz w:val="24"/>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5D67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046CFF0C">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项目名称</w:t>
            </w:r>
          </w:p>
        </w:tc>
        <w:tc>
          <w:tcPr>
            <w:tcW w:w="1312" w:type="dxa"/>
            <w:vAlign w:val="center"/>
          </w:tcPr>
          <w:p w14:paraId="6FB46AFE">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w:t>
            </w:r>
          </w:p>
          <w:p w14:paraId="61FBE48C">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类型</w:t>
            </w:r>
          </w:p>
        </w:tc>
        <w:tc>
          <w:tcPr>
            <w:tcW w:w="1312" w:type="dxa"/>
            <w:vAlign w:val="center"/>
          </w:tcPr>
          <w:p w14:paraId="48127ED6">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简要描述</w:t>
            </w:r>
          </w:p>
        </w:tc>
        <w:tc>
          <w:tcPr>
            <w:tcW w:w="1312" w:type="dxa"/>
            <w:vAlign w:val="center"/>
          </w:tcPr>
          <w:p w14:paraId="167D339E">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w:t>
            </w:r>
          </w:p>
          <w:p w14:paraId="4A241040">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金额</w:t>
            </w:r>
          </w:p>
          <w:p w14:paraId="12B5FD63">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（万元）</w:t>
            </w:r>
          </w:p>
        </w:tc>
        <w:tc>
          <w:tcPr>
            <w:tcW w:w="1312" w:type="dxa"/>
            <w:vAlign w:val="center"/>
          </w:tcPr>
          <w:p w14:paraId="7776F1AC">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实施时间</w:t>
            </w:r>
          </w:p>
        </w:tc>
        <w:tc>
          <w:tcPr>
            <w:tcW w:w="1312" w:type="dxa"/>
            <w:vAlign w:val="center"/>
          </w:tcPr>
          <w:p w14:paraId="495928F7">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项目单位、联系人及电话</w:t>
            </w:r>
          </w:p>
        </w:tc>
        <w:tc>
          <w:tcPr>
            <w:tcW w:w="1313" w:type="dxa"/>
            <w:vAlign w:val="center"/>
          </w:tcPr>
          <w:p w14:paraId="4559C603">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项目完成情况</w:t>
            </w:r>
          </w:p>
        </w:tc>
      </w:tr>
      <w:tr w14:paraId="15B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3701EB0F">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536E1EB1">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0EA41DFB">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5022CC9F">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1B399AD">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54150BE">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16D40757">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14:paraId="5FB6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2CBA9BA0">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23DB3005">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237E76E4">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763FA21E">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0BAF7E41">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7324E4D4">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1357723E">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14:paraId="3106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7B2A5B6E">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C37AA51">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6CEDC0F4">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808BA33">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75FE42DA">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0ED07139">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5C3948F8">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14:paraId="7745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473E4426">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0ABBD870">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2C97EE60">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30FE85FB">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4BCC84FF">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6A80D949">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15DA685F">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14:paraId="2AD5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2DCF5E9C">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723EBAB2">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51F1E4D0">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682813F">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1F6037EA">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2A3360AF">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5A0B8295">
            <w:pPr>
              <w:autoSpaceDE w:val="0"/>
              <w:autoSpaceDN w:val="0"/>
              <w:adjustRightInd w:val="0"/>
              <w:spacing w:line="360" w:lineRule="auto"/>
              <w:jc w:val="center"/>
              <w:rPr>
                <w:rFonts w:hint="eastAsia" w:ascii="宋体" w:hAnsi="宋体" w:eastAsia="宋体" w:cs="宋体"/>
                <w:color w:val="auto"/>
                <w:sz w:val="24"/>
                <w:highlight w:val="none"/>
                <w:lang w:val="zh-CN"/>
              </w:rPr>
            </w:pPr>
          </w:p>
        </w:tc>
      </w:tr>
      <w:tr w14:paraId="235D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55DC070A">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4A36957B">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55E75DA4">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3096593A">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36205A5F">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2" w:type="dxa"/>
            <w:vAlign w:val="center"/>
          </w:tcPr>
          <w:p w14:paraId="407A787B">
            <w:pPr>
              <w:autoSpaceDE w:val="0"/>
              <w:autoSpaceDN w:val="0"/>
              <w:adjustRightInd w:val="0"/>
              <w:spacing w:line="360" w:lineRule="auto"/>
              <w:jc w:val="center"/>
              <w:rPr>
                <w:rFonts w:hint="eastAsia" w:ascii="宋体" w:hAnsi="宋体" w:eastAsia="宋体" w:cs="宋体"/>
                <w:color w:val="auto"/>
                <w:sz w:val="24"/>
                <w:highlight w:val="none"/>
                <w:lang w:val="zh-CN"/>
              </w:rPr>
            </w:pPr>
          </w:p>
        </w:tc>
        <w:tc>
          <w:tcPr>
            <w:tcW w:w="1313" w:type="dxa"/>
            <w:vAlign w:val="center"/>
          </w:tcPr>
          <w:p w14:paraId="38B86F5D">
            <w:pPr>
              <w:autoSpaceDE w:val="0"/>
              <w:autoSpaceDN w:val="0"/>
              <w:adjustRightInd w:val="0"/>
              <w:spacing w:line="360" w:lineRule="auto"/>
              <w:jc w:val="center"/>
              <w:rPr>
                <w:rFonts w:hint="eastAsia" w:ascii="宋体" w:hAnsi="宋体" w:eastAsia="宋体" w:cs="宋体"/>
                <w:color w:val="auto"/>
                <w:sz w:val="24"/>
                <w:highlight w:val="none"/>
                <w:lang w:val="zh-CN"/>
              </w:rPr>
            </w:pPr>
          </w:p>
        </w:tc>
      </w:tr>
    </w:tbl>
    <w:p w14:paraId="043B7672">
      <w:pPr>
        <w:snapToGrid w:val="0"/>
        <w:spacing w:line="360" w:lineRule="auto"/>
        <w:rPr>
          <w:rFonts w:hint="eastAsia" w:ascii="宋体" w:hAnsi="宋体" w:eastAsia="宋体" w:cs="宋体"/>
          <w:b/>
          <w:color w:val="auto"/>
          <w:sz w:val="24"/>
          <w:highlight w:val="none"/>
        </w:rPr>
      </w:pPr>
    </w:p>
    <w:p w14:paraId="015688C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注：1、各投标人可以根据各自业绩量准备充分的表格，此页后须附证明材料。</w:t>
      </w:r>
    </w:p>
    <w:p w14:paraId="1398139C">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2、投标人须真实仔细地填写本表格。</w:t>
      </w:r>
    </w:p>
    <w:p w14:paraId="16EB11BD">
      <w:pPr>
        <w:widowControl/>
        <w:jc w:val="left"/>
        <w:rPr>
          <w:rFonts w:hint="eastAsia" w:ascii="宋体" w:hAnsi="宋体" w:eastAsia="宋体" w:cs="宋体"/>
          <w:color w:val="auto"/>
          <w:kern w:val="0"/>
          <w:sz w:val="24"/>
          <w:highlight w:val="none"/>
        </w:rPr>
      </w:pPr>
    </w:p>
    <w:p w14:paraId="0FBADB19">
      <w:pPr>
        <w:widowControl/>
        <w:jc w:val="left"/>
        <w:rPr>
          <w:rFonts w:hint="eastAsia" w:ascii="宋体" w:hAnsi="宋体" w:eastAsia="宋体" w:cs="宋体"/>
          <w:color w:val="auto"/>
          <w:kern w:val="0"/>
          <w:sz w:val="24"/>
          <w:highlight w:val="none"/>
        </w:rPr>
      </w:pPr>
    </w:p>
    <w:p w14:paraId="6607E19F">
      <w:pPr>
        <w:widowControl/>
        <w:jc w:val="left"/>
        <w:rPr>
          <w:rFonts w:hint="eastAsia" w:ascii="宋体" w:hAnsi="宋体" w:eastAsia="宋体" w:cs="宋体"/>
          <w:color w:val="auto"/>
          <w:kern w:val="0"/>
          <w:sz w:val="24"/>
          <w:highlight w:val="none"/>
        </w:rPr>
      </w:pPr>
    </w:p>
    <w:p w14:paraId="740518C4">
      <w:pPr>
        <w:pStyle w:val="10"/>
        <w:overflowPunct w:val="0"/>
        <w:spacing w:line="360" w:lineRule="auto"/>
        <w:ind w:right="420" w:firstLine="3300" w:firstLineChars="1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投标人（单位盖章）：</w:t>
      </w:r>
    </w:p>
    <w:p w14:paraId="1736741D">
      <w:pPr>
        <w:pStyle w:val="10"/>
        <w:overflowPunct w:val="0"/>
        <w:spacing w:line="360" w:lineRule="auto"/>
        <w:ind w:right="420"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法定代表人或委托代理人（签字或盖章）：                         </w:t>
      </w:r>
    </w:p>
    <w:p w14:paraId="02427680">
      <w:pPr>
        <w:spacing w:before="120" w:beforeLines="50" w:line="360" w:lineRule="auto"/>
        <w:ind w:right="-21" w:rightChars="-10" w:firstLine="470" w:firstLineChars="196"/>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7996E2C">
      <w:pPr>
        <w:rPr>
          <w:rFonts w:hint="eastAsia" w:ascii="宋体" w:hAnsi="宋体" w:eastAsia="宋体" w:cs="宋体"/>
          <w:bCs/>
          <w:color w:val="auto"/>
          <w:sz w:val="24"/>
          <w:highlight w:val="none"/>
        </w:rPr>
      </w:pPr>
    </w:p>
    <w:p w14:paraId="7B011425">
      <w:pPr>
        <w:rPr>
          <w:rFonts w:hint="eastAsia" w:ascii="宋体" w:hAnsi="宋体" w:eastAsia="宋体" w:cs="宋体"/>
          <w:bCs/>
          <w:color w:val="auto"/>
          <w:sz w:val="24"/>
          <w:highlight w:val="none"/>
        </w:rPr>
      </w:pPr>
    </w:p>
    <w:p w14:paraId="08A61EF1">
      <w:pPr>
        <w:rPr>
          <w:rFonts w:hint="eastAsia" w:ascii="宋体" w:hAnsi="宋体" w:eastAsia="宋体" w:cs="宋体"/>
          <w:color w:val="auto"/>
          <w:sz w:val="24"/>
          <w:highlight w:val="none"/>
        </w:rPr>
      </w:pPr>
    </w:p>
    <w:p w14:paraId="2ADE61EE">
      <w:pPr>
        <w:pStyle w:val="35"/>
        <w:ind w:left="0" w:leftChars="0" w:firstLine="0" w:firstLineChars="0"/>
        <w:rPr>
          <w:color w:val="auto"/>
          <w:highlight w:val="none"/>
        </w:rPr>
      </w:pPr>
    </w:p>
    <w:p w14:paraId="308585D2">
      <w:pPr>
        <w:pageBreakBefore/>
        <w:spacing w:before="260" w:after="260" w:line="415" w:lineRule="auto"/>
        <w:outlineLvl w:val="1"/>
        <w:rPr>
          <w:rFonts w:ascii="宋体" w:hAnsi="宋体" w:cs="宋体"/>
          <w:bCs/>
          <w:color w:val="auto"/>
          <w:sz w:val="24"/>
          <w:highlight w:val="none"/>
        </w:rPr>
      </w:pPr>
      <w:bookmarkStart w:id="357" w:name="_Toc3013"/>
      <w:bookmarkStart w:id="358" w:name="_Toc2353"/>
      <w:bookmarkStart w:id="359" w:name="_Toc6114"/>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二</w:t>
      </w:r>
      <w:r>
        <w:rPr>
          <w:rFonts w:hint="eastAsia" w:ascii="宋体" w:hAnsi="宋体" w:cs="宋体"/>
          <w:bCs/>
          <w:color w:val="auto"/>
          <w:sz w:val="24"/>
          <w:highlight w:val="none"/>
        </w:rPr>
        <w:t>：服务费承诺书</w:t>
      </w:r>
      <w:bookmarkEnd w:id="357"/>
      <w:bookmarkEnd w:id="358"/>
      <w:bookmarkEnd w:id="359"/>
    </w:p>
    <w:p w14:paraId="6296DA1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承 诺 书</w:t>
      </w:r>
    </w:p>
    <w:p w14:paraId="08459133">
      <w:pPr>
        <w:snapToGrid w:val="0"/>
        <w:spacing w:before="50" w:after="120" w:afterLines="50"/>
        <w:jc w:val="left"/>
        <w:rPr>
          <w:rFonts w:ascii="宋体" w:hAnsi="宋体" w:cs="宋体"/>
          <w:b/>
          <w:color w:val="auto"/>
          <w:sz w:val="24"/>
          <w:highlight w:val="none"/>
        </w:rPr>
      </w:pPr>
    </w:p>
    <w:p w14:paraId="4A693A22">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b/>
          <w:color w:val="auto"/>
          <w:sz w:val="24"/>
          <w:highlight w:val="none"/>
          <w:lang w:eastAsia="zh-CN"/>
        </w:rPr>
        <w:t>浙江鼎峰工程咨询有限公司</w:t>
      </w:r>
      <w:r>
        <w:rPr>
          <w:rFonts w:hint="eastAsia" w:ascii="宋体" w:hAnsi="宋体" w:cs="宋体"/>
          <w:b/>
          <w:bCs/>
          <w:color w:val="auto"/>
          <w:sz w:val="24"/>
          <w:highlight w:val="none"/>
        </w:rPr>
        <w:t>：</w:t>
      </w:r>
    </w:p>
    <w:p w14:paraId="7FF7E385">
      <w:pPr>
        <w:snapToGrid w:val="0"/>
        <w:spacing w:before="50" w:after="120" w:afterLines="50"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若我公司中标时，在中标结果公示结束之日起3天内，愿按本招标文件总则第（五）条规定向</w:t>
      </w:r>
      <w:r>
        <w:rPr>
          <w:rFonts w:hint="eastAsia" w:ascii="宋体" w:hAnsi="宋体" w:cs="宋体"/>
          <w:b/>
          <w:color w:val="auto"/>
          <w:sz w:val="24"/>
          <w:highlight w:val="none"/>
          <w:lang w:eastAsia="zh-CN"/>
        </w:rPr>
        <w:t>浙江鼎峰工程咨询有限公司</w:t>
      </w:r>
      <w:r>
        <w:rPr>
          <w:rFonts w:hint="eastAsia" w:ascii="宋体" w:hAnsi="宋体" w:cs="宋体"/>
          <w:b/>
          <w:color w:val="auto"/>
          <w:sz w:val="24"/>
          <w:highlight w:val="none"/>
        </w:rPr>
        <w:t xml:space="preserve">支付中标服务费。    </w:t>
      </w:r>
    </w:p>
    <w:p w14:paraId="3640CEE7">
      <w:pPr>
        <w:snapToGrid w:val="0"/>
        <w:spacing w:before="50" w:after="120" w:afterLines="50"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特此承诺！</w:t>
      </w:r>
    </w:p>
    <w:p w14:paraId="22EBB39C">
      <w:pPr>
        <w:snapToGrid w:val="0"/>
        <w:spacing w:before="50" w:after="120" w:afterLines="50" w:line="360" w:lineRule="auto"/>
        <w:jc w:val="left"/>
        <w:rPr>
          <w:rFonts w:ascii="宋体" w:hAnsi="宋体" w:cs="宋体"/>
          <w:b/>
          <w:color w:val="auto"/>
          <w:sz w:val="24"/>
          <w:highlight w:val="none"/>
        </w:rPr>
      </w:pPr>
    </w:p>
    <w:p w14:paraId="0523D466">
      <w:pPr>
        <w:snapToGrid w:val="0"/>
        <w:spacing w:before="50" w:after="120" w:afterLines="50"/>
        <w:jc w:val="left"/>
        <w:rPr>
          <w:rFonts w:ascii="宋体" w:hAnsi="宋体" w:cs="宋体"/>
          <w:b/>
          <w:color w:val="auto"/>
          <w:sz w:val="24"/>
          <w:highlight w:val="none"/>
        </w:rPr>
      </w:pPr>
    </w:p>
    <w:p w14:paraId="12B56E39">
      <w:pPr>
        <w:snapToGrid w:val="0"/>
        <w:spacing w:before="50" w:after="120" w:afterLines="50"/>
        <w:jc w:val="left"/>
        <w:rPr>
          <w:rFonts w:ascii="宋体" w:hAnsi="宋体" w:cs="宋体"/>
          <w:b/>
          <w:color w:val="auto"/>
          <w:sz w:val="24"/>
          <w:highlight w:val="none"/>
        </w:rPr>
      </w:pPr>
    </w:p>
    <w:p w14:paraId="0583FD9B">
      <w:pPr>
        <w:snapToGrid w:val="0"/>
        <w:spacing w:before="50" w:after="120" w:afterLines="50"/>
        <w:jc w:val="left"/>
        <w:rPr>
          <w:rFonts w:ascii="宋体" w:hAnsi="宋体" w:cs="宋体"/>
          <w:b/>
          <w:color w:val="auto"/>
          <w:sz w:val="24"/>
          <w:highlight w:val="none"/>
        </w:rPr>
      </w:pPr>
    </w:p>
    <w:p w14:paraId="50A045D6">
      <w:pPr>
        <w:snapToGrid w:val="0"/>
        <w:spacing w:before="50" w:after="120" w:afterLines="50"/>
        <w:jc w:val="left"/>
        <w:rPr>
          <w:rFonts w:ascii="宋体" w:hAnsi="宋体" w:cs="宋体"/>
          <w:b/>
          <w:color w:val="auto"/>
          <w:sz w:val="24"/>
          <w:highlight w:val="none"/>
        </w:rPr>
      </w:pPr>
    </w:p>
    <w:p w14:paraId="6ADB3956">
      <w:pPr>
        <w:snapToGrid w:val="0"/>
        <w:spacing w:before="50" w:after="120" w:afterLines="50"/>
        <w:jc w:val="left"/>
        <w:rPr>
          <w:rFonts w:ascii="宋体" w:hAnsi="宋体" w:cs="宋体"/>
          <w:b/>
          <w:color w:val="auto"/>
          <w:sz w:val="24"/>
          <w:highlight w:val="none"/>
        </w:rPr>
      </w:pPr>
    </w:p>
    <w:p w14:paraId="5FFB0387">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承诺单位</w:t>
      </w:r>
      <w:r>
        <w:rPr>
          <w:rFonts w:hint="eastAsia" w:ascii="宋体" w:hAnsi="宋体" w:cs="宋体"/>
          <w:b/>
          <w:color w:val="auto"/>
          <w:sz w:val="24"/>
          <w:highlight w:val="none"/>
          <w:lang w:eastAsia="zh-CN"/>
        </w:rPr>
        <w:t>（</w:t>
      </w:r>
      <w:r>
        <w:rPr>
          <w:rFonts w:hint="eastAsia" w:ascii="宋体" w:hAnsi="宋体" w:cs="宋体"/>
          <w:b/>
          <w:color w:val="auto"/>
          <w:sz w:val="24"/>
          <w:highlight w:val="none"/>
        </w:rPr>
        <w:t>盖章</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14:paraId="4FDA50F2">
      <w:pPr>
        <w:snapToGrid w:val="0"/>
        <w:spacing w:before="50" w:after="120" w:afterLines="50"/>
        <w:jc w:val="left"/>
        <w:rPr>
          <w:rFonts w:ascii="宋体" w:hAnsi="宋体" w:cs="宋体"/>
          <w:b/>
          <w:color w:val="auto"/>
          <w:sz w:val="24"/>
          <w:highlight w:val="none"/>
        </w:rPr>
      </w:pPr>
    </w:p>
    <w:p w14:paraId="6CDCF012">
      <w:pPr>
        <w:snapToGrid w:val="0"/>
        <w:spacing w:before="50" w:after="120" w:afterLines="50"/>
        <w:jc w:val="left"/>
        <w:rPr>
          <w:rFonts w:ascii="宋体" w:hAnsi="宋体" w:cs="宋体"/>
          <w:b/>
          <w:color w:val="auto"/>
          <w:sz w:val="24"/>
          <w:highlight w:val="none"/>
        </w:rPr>
      </w:pPr>
    </w:p>
    <w:p w14:paraId="52507E64">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法定代表人或委托代理人</w:t>
      </w:r>
      <w:r>
        <w:rPr>
          <w:rFonts w:hint="eastAsia" w:ascii="宋体" w:hAnsi="宋体" w:cs="宋体"/>
          <w:b/>
          <w:color w:val="auto"/>
          <w:sz w:val="24"/>
          <w:highlight w:val="none"/>
          <w:lang w:eastAsia="zh-CN"/>
        </w:rPr>
        <w:t>（</w:t>
      </w:r>
      <w:r>
        <w:rPr>
          <w:rFonts w:hint="eastAsia" w:ascii="宋体" w:hAnsi="宋体" w:cs="宋体"/>
          <w:b/>
          <w:color w:val="auto"/>
          <w:sz w:val="24"/>
          <w:highlight w:val="none"/>
        </w:rPr>
        <w:t>签字</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14:paraId="55F8348B">
      <w:pPr>
        <w:snapToGrid w:val="0"/>
        <w:spacing w:before="50" w:after="120" w:afterLines="50"/>
        <w:jc w:val="left"/>
        <w:rPr>
          <w:rFonts w:ascii="宋体" w:hAnsi="宋体" w:cs="宋体"/>
          <w:b/>
          <w:bCs/>
          <w:color w:val="auto"/>
          <w:sz w:val="24"/>
          <w:highlight w:val="none"/>
        </w:rPr>
      </w:pPr>
    </w:p>
    <w:p w14:paraId="3F43D4AE">
      <w:pPr>
        <w:snapToGrid w:val="0"/>
        <w:spacing w:before="50" w:after="120" w:afterLines="50"/>
        <w:jc w:val="left"/>
        <w:rPr>
          <w:rFonts w:ascii="宋体" w:hAnsi="宋体" w:cs="宋体"/>
          <w:b/>
          <w:bCs/>
          <w:color w:val="auto"/>
          <w:sz w:val="24"/>
          <w:highlight w:val="none"/>
        </w:rPr>
      </w:pPr>
    </w:p>
    <w:p w14:paraId="21DF70C0">
      <w:pPr>
        <w:snapToGrid w:val="0"/>
        <w:spacing w:before="50" w:after="120" w:afterLines="50"/>
        <w:ind w:firstLine="5980" w:firstLineChars="2482"/>
        <w:jc w:val="left"/>
        <w:rPr>
          <w:rFonts w:ascii="宋体" w:hAnsi="宋体" w:cs="宋体"/>
          <w:b/>
          <w:bCs/>
          <w:color w:val="auto"/>
          <w:sz w:val="24"/>
          <w:highlight w:val="none"/>
        </w:rPr>
      </w:pPr>
      <w:r>
        <w:rPr>
          <w:rFonts w:hint="eastAsia" w:ascii="宋体" w:hAnsi="宋体" w:cs="宋体"/>
          <w:b/>
          <w:bCs/>
          <w:color w:val="auto"/>
          <w:sz w:val="24"/>
          <w:highlight w:val="none"/>
        </w:rPr>
        <w:t>年     月    日</w:t>
      </w:r>
    </w:p>
    <w:p w14:paraId="30C8A8B0">
      <w:pPr>
        <w:pStyle w:val="3"/>
        <w:outlineLvl w:val="9"/>
        <w:rPr>
          <w:color w:val="auto"/>
          <w:highlight w:val="none"/>
        </w:rPr>
      </w:pPr>
    </w:p>
    <w:p w14:paraId="740C9B31">
      <w:pPr>
        <w:snapToGrid w:val="0"/>
        <w:spacing w:before="50" w:after="120" w:afterLines="50"/>
        <w:jc w:val="left"/>
        <w:rPr>
          <w:rFonts w:hint="eastAsia" w:ascii="宋体" w:hAnsi="宋体" w:eastAsia="宋体" w:cs="宋体"/>
          <w:b/>
          <w:color w:val="auto"/>
          <w:sz w:val="24"/>
          <w:highlight w:val="none"/>
        </w:rPr>
      </w:pPr>
    </w:p>
    <w:p w14:paraId="5245DF89">
      <w:pPr>
        <w:snapToGrid w:val="0"/>
        <w:spacing w:before="120" w:beforeLines="50" w:after="50" w:line="276" w:lineRule="auto"/>
        <w:jc w:val="left"/>
        <w:rPr>
          <w:rFonts w:hint="eastAsia" w:ascii="宋体" w:hAnsi="宋体" w:eastAsia="宋体" w:cs="宋体"/>
          <w:color w:val="auto"/>
          <w:sz w:val="24"/>
          <w:highlight w:val="none"/>
        </w:rPr>
      </w:pPr>
    </w:p>
    <w:p w14:paraId="3CCA5C12">
      <w:pPr>
        <w:snapToGrid w:val="0"/>
        <w:spacing w:before="120" w:beforeLines="50" w:after="50" w:line="276" w:lineRule="auto"/>
        <w:jc w:val="left"/>
        <w:rPr>
          <w:rFonts w:hint="eastAsia" w:ascii="宋体" w:hAnsi="宋体" w:eastAsia="宋体" w:cs="宋体"/>
          <w:color w:val="auto"/>
          <w:sz w:val="24"/>
          <w:highlight w:val="none"/>
        </w:rPr>
      </w:pPr>
    </w:p>
    <w:p w14:paraId="0B526C8F">
      <w:pPr>
        <w:snapToGrid w:val="0"/>
        <w:spacing w:before="120" w:beforeLines="50" w:after="50" w:line="276" w:lineRule="auto"/>
        <w:jc w:val="left"/>
        <w:rPr>
          <w:rFonts w:hint="eastAsia" w:ascii="宋体" w:hAnsi="宋体" w:eastAsia="宋体" w:cs="宋体"/>
          <w:color w:val="auto"/>
          <w:sz w:val="24"/>
          <w:highlight w:val="none"/>
        </w:rPr>
      </w:pPr>
    </w:p>
    <w:p w14:paraId="28DE4C65">
      <w:pPr>
        <w:pageBreakBefore/>
        <w:spacing w:before="260" w:after="260" w:line="415" w:lineRule="auto"/>
        <w:outlineLvl w:val="1"/>
        <w:rPr>
          <w:rFonts w:hint="eastAsia" w:ascii="宋体" w:hAnsi="宋体" w:eastAsia="宋体" w:cs="宋体"/>
          <w:bCs/>
          <w:color w:val="auto"/>
          <w:sz w:val="24"/>
          <w:highlight w:val="none"/>
        </w:rPr>
      </w:pPr>
      <w:bookmarkStart w:id="360" w:name="_Toc496598995"/>
      <w:bookmarkStart w:id="361" w:name="_Toc13518"/>
      <w:bookmarkStart w:id="362" w:name="_Toc31779"/>
      <w:bookmarkStart w:id="363" w:name="_Toc14867"/>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三：</w:t>
      </w:r>
      <w:bookmarkEnd w:id="360"/>
      <w:r>
        <w:rPr>
          <w:rFonts w:hint="eastAsia" w:ascii="宋体" w:hAnsi="宋体" w:eastAsia="宋体" w:cs="宋体"/>
          <w:bCs/>
          <w:color w:val="auto"/>
          <w:sz w:val="24"/>
          <w:highlight w:val="none"/>
        </w:rPr>
        <w:t>投标函</w:t>
      </w:r>
      <w:bookmarkEnd w:id="361"/>
      <w:bookmarkEnd w:id="362"/>
      <w:bookmarkEnd w:id="363"/>
    </w:p>
    <w:p w14:paraId="2FCC533D">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投 标 函</w:t>
      </w:r>
    </w:p>
    <w:p w14:paraId="0585492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4DEE65C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项目的招标公告/投标邀请书（项目编号：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（投标人名称）提交电子投标文件。</w:t>
      </w:r>
    </w:p>
    <w:p w14:paraId="0B2E66F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0B08C06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33AA9AD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2.投标人在投标之前已经与贵方进行了充分的沟通，完全理解并接受招标文件的各项规定和要求，对招标文件的合理性、合法性不再有异议。</w:t>
      </w:r>
    </w:p>
    <w:p w14:paraId="1320106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3.本投标有效期自开标日起 ______天。</w:t>
      </w:r>
    </w:p>
    <w:p w14:paraId="238AADB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4.如中标，本投标文件至本项目合同履行完毕止均保持有效，本投标人将按“招标文件”及政府采购法律、法规的规定履行合同责任和义务。</w:t>
      </w:r>
    </w:p>
    <w:p w14:paraId="408D19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5.投标人同意按照贵方要求提供与投标有关的一切数据或资料。</w:t>
      </w:r>
    </w:p>
    <w:p w14:paraId="556827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6.与本投标有关的一切正式往来信函请寄：</w:t>
      </w:r>
    </w:p>
    <w:p w14:paraId="72C5DA1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地址：______________邮编：__________   电话：______________</w:t>
      </w:r>
    </w:p>
    <w:p w14:paraId="1B3A4BA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传真：______________投标人代表姓名 ___________  职务：___________</w:t>
      </w:r>
    </w:p>
    <w:p w14:paraId="2C85AF3D">
      <w:pPr>
        <w:snapToGrid w:val="0"/>
        <w:spacing w:line="360" w:lineRule="auto"/>
        <w:rPr>
          <w:rFonts w:hint="eastAsia" w:ascii="宋体" w:hAnsi="宋体" w:eastAsia="宋体" w:cs="宋体"/>
          <w:color w:val="auto"/>
          <w:sz w:val="24"/>
          <w:highlight w:val="none"/>
        </w:rPr>
      </w:pPr>
    </w:p>
    <w:p w14:paraId="79C0F888">
      <w:pPr>
        <w:snapToGrid w:val="0"/>
        <w:spacing w:line="360" w:lineRule="auto"/>
        <w:rPr>
          <w:rFonts w:hint="eastAsia" w:ascii="宋体" w:hAnsi="宋体" w:eastAsia="宋体" w:cs="宋体"/>
          <w:color w:val="auto"/>
          <w:sz w:val="24"/>
          <w:highlight w:val="none"/>
        </w:rPr>
      </w:pPr>
    </w:p>
    <w:p w14:paraId="4125503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:___________________</w:t>
      </w:r>
    </w:p>
    <w:p w14:paraId="62D525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___________ </w:t>
      </w:r>
    </w:p>
    <w:p w14:paraId="4B39A45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_____年___月___日</w:t>
      </w:r>
    </w:p>
    <w:p w14:paraId="51EAEB41">
      <w:pPr>
        <w:snapToGrid w:val="0"/>
        <w:spacing w:before="156" w:after="156" w:line="360" w:lineRule="auto"/>
        <w:rPr>
          <w:rFonts w:hint="eastAsia" w:ascii="宋体" w:hAnsi="宋体" w:eastAsia="宋体" w:cs="宋体"/>
          <w:color w:val="auto"/>
          <w:sz w:val="24"/>
          <w:highlight w:val="none"/>
        </w:rPr>
      </w:pPr>
    </w:p>
    <w:p w14:paraId="288B5B73">
      <w:pPr>
        <w:snapToGrid w:val="0"/>
        <w:spacing w:before="50" w:after="120" w:afterLines="50"/>
        <w:jc w:val="left"/>
        <w:rPr>
          <w:rFonts w:hint="eastAsia" w:ascii="宋体" w:hAnsi="宋体" w:eastAsia="宋体" w:cs="宋体"/>
          <w:b/>
          <w:color w:val="auto"/>
          <w:sz w:val="24"/>
          <w:highlight w:val="none"/>
        </w:rPr>
      </w:pPr>
    </w:p>
    <w:p w14:paraId="28A2BCDE">
      <w:pPr>
        <w:snapToGrid w:val="0"/>
        <w:spacing w:before="50" w:after="120" w:afterLines="50"/>
        <w:jc w:val="left"/>
        <w:rPr>
          <w:rFonts w:hint="eastAsia" w:ascii="宋体" w:hAnsi="宋体" w:eastAsia="宋体" w:cs="宋体"/>
          <w:b/>
          <w:color w:val="auto"/>
          <w:sz w:val="24"/>
          <w:highlight w:val="none"/>
        </w:rPr>
      </w:pPr>
    </w:p>
    <w:p w14:paraId="2C1640A9">
      <w:pPr>
        <w:snapToGrid w:val="0"/>
        <w:spacing w:before="50" w:after="120" w:afterLines="50"/>
        <w:jc w:val="left"/>
        <w:rPr>
          <w:rFonts w:hint="eastAsia" w:ascii="宋体" w:hAnsi="宋体" w:eastAsia="宋体" w:cs="宋体"/>
          <w:b/>
          <w:color w:val="auto"/>
          <w:sz w:val="24"/>
          <w:highlight w:val="none"/>
        </w:rPr>
      </w:pPr>
    </w:p>
    <w:p w14:paraId="7833652A">
      <w:pPr>
        <w:keepNext/>
        <w:keepLines/>
        <w:spacing w:before="260" w:after="260" w:line="360" w:lineRule="auto"/>
        <w:outlineLvl w:val="1"/>
        <w:rPr>
          <w:rFonts w:hint="eastAsia" w:ascii="宋体" w:hAnsi="宋体" w:eastAsia="宋体" w:cs="宋体"/>
          <w:bCs/>
          <w:color w:val="auto"/>
          <w:sz w:val="24"/>
          <w:highlight w:val="none"/>
          <w:lang w:val="en-US" w:eastAsia="zh-CN"/>
        </w:rPr>
      </w:pPr>
      <w:bookmarkStart w:id="364" w:name="_Toc29949"/>
      <w:bookmarkStart w:id="365" w:name="_Toc26482"/>
      <w:bookmarkStart w:id="366" w:name="_Toc377"/>
      <w:bookmarkStart w:id="367" w:name="_Toc14942623"/>
      <w:bookmarkStart w:id="368" w:name="_Toc12413"/>
      <w:bookmarkStart w:id="369" w:name="_Toc15879"/>
      <w:bookmarkStart w:id="370" w:name="_Toc1663"/>
      <w:bookmarkStart w:id="371" w:name="_Toc2590"/>
      <w:bookmarkStart w:id="372" w:name="_Toc496598998"/>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eastAsia="宋体" w:cs="宋体"/>
          <w:bCs/>
          <w:color w:val="auto"/>
          <w:sz w:val="24"/>
          <w:highlight w:val="none"/>
        </w:rPr>
        <w:t>：开标一览表</w:t>
      </w:r>
      <w:bookmarkEnd w:id="364"/>
      <w:bookmarkEnd w:id="365"/>
      <w:bookmarkEnd w:id="366"/>
      <w:bookmarkEnd w:id="367"/>
      <w:bookmarkEnd w:id="368"/>
      <w:bookmarkEnd w:id="369"/>
    </w:p>
    <w:p w14:paraId="1D2DF51C">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开标一览表</w:t>
      </w:r>
    </w:p>
    <w:p w14:paraId="6B17D72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招标编号：                             </w:t>
      </w:r>
    </w:p>
    <w:p w14:paraId="4A5E3482">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投标人名称：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单位：</w:t>
      </w:r>
      <w:r>
        <w:rPr>
          <w:rFonts w:hint="eastAsia" w:ascii="宋体" w:hAnsi="宋体" w:cs="宋体"/>
          <w:b/>
          <w:color w:val="auto"/>
          <w:sz w:val="24"/>
          <w:highlight w:val="none"/>
          <w:lang w:val="en-US" w:eastAsia="zh-CN"/>
        </w:rPr>
        <w:t>元</w:t>
      </w:r>
    </w:p>
    <w:tbl>
      <w:tblPr>
        <w:tblStyle w:val="36"/>
        <w:tblW w:w="99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65"/>
        <w:gridCol w:w="4614"/>
      </w:tblGrid>
      <w:tr w14:paraId="4E5F9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5365" w:type="dxa"/>
            <w:tcBorders>
              <w:top w:val="single" w:color="auto" w:sz="4" w:space="0"/>
              <w:left w:val="single" w:color="auto" w:sz="4" w:space="0"/>
              <w:bottom w:val="single" w:color="auto" w:sz="4" w:space="0"/>
              <w:right w:val="single" w:color="auto" w:sz="4" w:space="0"/>
            </w:tcBorders>
            <w:vAlign w:val="center"/>
          </w:tcPr>
          <w:p w14:paraId="7E054FBC">
            <w:pPr>
              <w:snapToGrid w:val="0"/>
              <w:spacing w:before="50" w:after="50"/>
              <w:jc w:val="center"/>
              <w:rPr>
                <w:rFonts w:ascii="宋体" w:hAnsi="宋体"/>
                <w:b/>
                <w:color w:val="auto"/>
                <w:sz w:val="24"/>
                <w:highlight w:val="none"/>
              </w:rPr>
            </w:pPr>
            <w:r>
              <w:rPr>
                <w:rFonts w:hint="eastAsia" w:ascii="宋体" w:hAnsi="宋体"/>
                <w:b/>
                <w:color w:val="auto"/>
                <w:sz w:val="24"/>
                <w:highlight w:val="none"/>
              </w:rPr>
              <w:t>采购内容</w:t>
            </w:r>
          </w:p>
        </w:tc>
        <w:tc>
          <w:tcPr>
            <w:tcW w:w="4614" w:type="dxa"/>
            <w:tcBorders>
              <w:top w:val="single" w:color="auto" w:sz="4" w:space="0"/>
              <w:left w:val="single" w:color="auto" w:sz="4" w:space="0"/>
              <w:bottom w:val="single" w:color="auto" w:sz="4" w:space="0"/>
              <w:right w:val="single" w:color="auto" w:sz="4" w:space="0"/>
            </w:tcBorders>
            <w:vAlign w:val="center"/>
          </w:tcPr>
          <w:p w14:paraId="4E845A6E">
            <w:pPr>
              <w:snapToGrid w:val="0"/>
              <w:spacing w:before="50" w:after="50"/>
              <w:jc w:val="center"/>
              <w:rPr>
                <w:rFonts w:hint="eastAsia" w:ascii="宋体" w:hAnsi="宋体" w:eastAsia="宋体"/>
                <w:b/>
                <w:color w:val="auto"/>
                <w:sz w:val="24"/>
                <w:highlight w:val="none"/>
                <w:lang w:eastAsia="zh-CN"/>
              </w:rPr>
            </w:pPr>
            <w:r>
              <w:rPr>
                <w:rFonts w:hint="eastAsia" w:ascii="宋体" w:hAnsi="宋体"/>
                <w:b/>
                <w:color w:val="auto"/>
                <w:sz w:val="24"/>
                <w:highlight w:val="none"/>
              </w:rPr>
              <w:t>投标报价</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元</w:t>
            </w:r>
            <w:r>
              <w:rPr>
                <w:rFonts w:hint="eastAsia" w:ascii="宋体" w:hAnsi="宋体"/>
                <w:b/>
                <w:color w:val="auto"/>
                <w:sz w:val="24"/>
                <w:highlight w:val="none"/>
                <w:lang w:eastAsia="zh-CN"/>
              </w:rPr>
              <w:t>）</w:t>
            </w:r>
          </w:p>
        </w:tc>
      </w:tr>
      <w:tr w14:paraId="19A8F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5365" w:type="dxa"/>
            <w:tcBorders>
              <w:top w:val="single" w:color="auto" w:sz="4" w:space="0"/>
              <w:left w:val="single" w:color="auto" w:sz="4" w:space="0"/>
              <w:bottom w:val="single" w:color="auto" w:sz="4" w:space="0"/>
              <w:right w:val="single" w:color="auto" w:sz="4" w:space="0"/>
            </w:tcBorders>
            <w:vAlign w:val="center"/>
          </w:tcPr>
          <w:p w14:paraId="4B7A9E1F">
            <w:pPr>
              <w:snapToGrid w:val="0"/>
              <w:spacing w:before="50" w:after="50"/>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东阳市国民经济和社会发展“十五五”规划《基本思路》和《纲要草案》服务采购项目(第二次）</w:t>
            </w:r>
          </w:p>
        </w:tc>
        <w:tc>
          <w:tcPr>
            <w:tcW w:w="4614" w:type="dxa"/>
            <w:tcBorders>
              <w:top w:val="single" w:color="auto" w:sz="4" w:space="0"/>
              <w:left w:val="single" w:color="auto" w:sz="4" w:space="0"/>
              <w:bottom w:val="single" w:color="auto" w:sz="4" w:space="0"/>
              <w:right w:val="single" w:color="auto" w:sz="4" w:space="0"/>
            </w:tcBorders>
            <w:vAlign w:val="center"/>
          </w:tcPr>
          <w:p w14:paraId="2F77A916">
            <w:pPr>
              <w:snapToGrid w:val="0"/>
              <w:spacing w:before="50" w:after="50"/>
              <w:jc w:val="center"/>
              <w:rPr>
                <w:rFonts w:ascii="宋体" w:hAnsi="宋体"/>
                <w:color w:val="auto"/>
                <w:sz w:val="24"/>
                <w:highlight w:val="none"/>
              </w:rPr>
            </w:pPr>
          </w:p>
        </w:tc>
      </w:tr>
      <w:tr w14:paraId="6687B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9979" w:type="dxa"/>
            <w:gridSpan w:val="2"/>
            <w:tcBorders>
              <w:top w:val="single" w:color="auto" w:sz="4" w:space="0"/>
              <w:left w:val="single" w:color="auto" w:sz="4" w:space="0"/>
              <w:bottom w:val="single" w:color="auto" w:sz="4" w:space="0"/>
              <w:right w:val="single" w:color="auto" w:sz="4" w:space="0"/>
            </w:tcBorders>
            <w:vAlign w:val="center"/>
          </w:tcPr>
          <w:p w14:paraId="1011E492">
            <w:pPr>
              <w:snapToGrid w:val="0"/>
              <w:spacing w:before="50" w:after="50"/>
              <w:jc w:val="both"/>
              <w:rPr>
                <w:rFonts w:ascii="宋体" w:hAnsi="宋体"/>
                <w:color w:val="auto"/>
                <w:sz w:val="24"/>
                <w:highlight w:val="none"/>
              </w:rPr>
            </w:pPr>
            <w:r>
              <w:rPr>
                <w:rFonts w:hint="eastAsia" w:ascii="宋体" w:hAnsi="宋体"/>
                <w:color w:val="auto"/>
                <w:sz w:val="24"/>
                <w:highlight w:val="none"/>
              </w:rPr>
              <w:t>投标报价大写（人民币）：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p>
        </w:tc>
      </w:tr>
    </w:tbl>
    <w:p w14:paraId="17A58834">
      <w:pPr>
        <w:spacing w:line="360" w:lineRule="auto"/>
        <w:jc w:val="left"/>
        <w:rPr>
          <w:rFonts w:hint="eastAsia" w:ascii="宋体" w:hAnsi="宋体" w:eastAsia="宋体" w:cs="宋体"/>
          <w:color w:val="auto"/>
          <w:sz w:val="24"/>
          <w:highlight w:val="none"/>
        </w:rPr>
      </w:pPr>
    </w:p>
    <w:p w14:paraId="000B4CA7">
      <w:pPr>
        <w:spacing w:line="360" w:lineRule="auto"/>
        <w:jc w:val="left"/>
        <w:rPr>
          <w:rFonts w:hint="eastAsia" w:ascii="宋体" w:hAnsi="宋体"/>
          <w:color w:val="auto"/>
          <w:sz w:val="24"/>
          <w:highlight w:val="none"/>
        </w:rPr>
      </w:pPr>
      <w:r>
        <w:rPr>
          <w:rFonts w:hint="eastAsia" w:ascii="宋体" w:hAnsi="宋体" w:eastAsia="宋体" w:cs="宋体"/>
          <w:color w:val="auto"/>
          <w:sz w:val="24"/>
          <w:highlight w:val="none"/>
        </w:rPr>
        <w:t>注</w:t>
      </w:r>
      <w:bookmarkEnd w:id="370"/>
      <w:bookmarkEnd w:id="371"/>
      <w:r>
        <w:rPr>
          <w:rFonts w:hint="eastAsia" w:ascii="宋体" w:hAnsi="宋体" w:eastAsia="宋体" w:cs="宋体"/>
          <w:color w:val="auto"/>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投</w:t>
      </w:r>
      <w:r>
        <w:rPr>
          <w:rFonts w:hint="eastAsia" w:ascii="宋体" w:hAnsi="宋体"/>
          <w:color w:val="auto"/>
          <w:sz w:val="24"/>
          <w:highlight w:val="none"/>
        </w:rPr>
        <w:t>标报价一栏必须填写，否则其投标作无效标处理。</w:t>
      </w:r>
    </w:p>
    <w:p w14:paraId="70F0687C">
      <w:pPr>
        <w:numPr>
          <w:ilvl w:val="0"/>
          <w:numId w:val="9"/>
        </w:numPr>
        <w:spacing w:line="360" w:lineRule="auto"/>
        <w:ind w:firstLine="480" w:firstLineChars="200"/>
        <w:jc w:val="left"/>
        <w:rPr>
          <w:rFonts w:hint="eastAsia" w:ascii="宋体" w:hAnsi="宋体" w:cs="Arial"/>
          <w:bCs/>
          <w:color w:val="auto"/>
          <w:sz w:val="24"/>
          <w:highlight w:val="none"/>
        </w:rPr>
      </w:pPr>
      <w:r>
        <w:rPr>
          <w:rFonts w:hint="eastAsia" w:ascii="宋体" w:hAnsi="宋体"/>
          <w:color w:val="auto"/>
          <w:sz w:val="24"/>
          <w:highlight w:val="none"/>
        </w:rPr>
        <w:t>投标报价一经涂改，应在涂改处加盖单位公章或者由法定代表人或授权委托人签字或盖章，否则其投标作无效标处理</w:t>
      </w:r>
      <w:r>
        <w:rPr>
          <w:rFonts w:hint="eastAsia" w:ascii="宋体" w:hAnsi="宋体" w:cs="Arial"/>
          <w:bCs/>
          <w:color w:val="auto"/>
          <w:sz w:val="24"/>
          <w:highlight w:val="none"/>
        </w:rPr>
        <w:t>；</w:t>
      </w:r>
    </w:p>
    <w:p w14:paraId="535047BE">
      <w:pPr>
        <w:spacing w:line="360" w:lineRule="auto"/>
        <w:ind w:firstLine="480" w:firstLineChars="200"/>
        <w:rPr>
          <w:rFonts w:hint="eastAsia" w:ascii="宋体" w:hAnsi="宋体"/>
          <w:bCs/>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、投标报价是履行合同的最终价格，应包括</w:t>
      </w:r>
      <w:r>
        <w:rPr>
          <w:rFonts w:hint="default" w:ascii="宋体" w:hAnsi="宋体"/>
          <w:color w:val="auto"/>
          <w:sz w:val="24"/>
          <w:highlight w:val="none"/>
          <w:lang w:eastAsia="zh-CN"/>
        </w:rPr>
        <w:t>调查经费、研究经</w:t>
      </w:r>
      <w:r>
        <w:rPr>
          <w:rFonts w:hint="eastAsia" w:ascii="宋体" w:hAnsi="宋体"/>
          <w:color w:val="auto"/>
          <w:sz w:val="24"/>
          <w:highlight w:val="none"/>
          <w:lang w:eastAsia="zh-CN"/>
        </w:rPr>
        <w:t>费</w:t>
      </w:r>
      <w:r>
        <w:rPr>
          <w:rFonts w:hint="default" w:ascii="宋体" w:hAnsi="宋体"/>
          <w:color w:val="auto"/>
          <w:sz w:val="24"/>
          <w:highlight w:val="none"/>
          <w:lang w:eastAsia="zh-CN"/>
        </w:rPr>
        <w:t>、评</w:t>
      </w:r>
      <w:r>
        <w:rPr>
          <w:rFonts w:hint="eastAsia" w:ascii="宋体" w:hAnsi="宋体"/>
          <w:color w:val="auto"/>
          <w:sz w:val="24"/>
          <w:highlight w:val="none"/>
          <w:lang w:eastAsia="zh-CN"/>
        </w:rPr>
        <w:t>审会务费</w:t>
      </w:r>
      <w:r>
        <w:rPr>
          <w:rFonts w:hint="default" w:ascii="宋体" w:hAnsi="宋体"/>
          <w:color w:val="auto"/>
          <w:sz w:val="24"/>
          <w:highlight w:val="none"/>
          <w:lang w:eastAsia="zh-CN"/>
        </w:rPr>
        <w:t>、专家咨询费、招标代理费和税费等</w:t>
      </w:r>
      <w:r>
        <w:rPr>
          <w:rFonts w:hint="eastAsia" w:ascii="宋体" w:hAnsi="宋体"/>
          <w:color w:val="auto"/>
          <w:sz w:val="24"/>
          <w:highlight w:val="none"/>
          <w:lang w:eastAsia="zh-CN"/>
        </w:rPr>
        <w:t>本项目相关的一切费用和税金</w:t>
      </w:r>
      <w:r>
        <w:rPr>
          <w:rFonts w:hint="eastAsia" w:ascii="宋体" w:hAnsi="宋体"/>
          <w:color w:val="auto"/>
          <w:sz w:val="24"/>
          <w:highlight w:val="none"/>
        </w:rPr>
        <w:t>。投标人投标报价为投标人所能承受的整个项目的一次性最终最低报价，如有漏项，视同已包含在本项目投标报价中，合同总价</w:t>
      </w:r>
      <w:r>
        <w:rPr>
          <w:rFonts w:hint="eastAsia" w:ascii="宋体" w:hAnsi="宋体"/>
          <w:color w:val="auto"/>
          <w:sz w:val="24"/>
          <w:highlight w:val="none"/>
          <w:lang w:eastAsia="zh-CN"/>
        </w:rPr>
        <w:t>不作</w:t>
      </w:r>
      <w:r>
        <w:rPr>
          <w:rFonts w:hint="eastAsia" w:ascii="宋体" w:hAnsi="宋体"/>
          <w:color w:val="auto"/>
          <w:sz w:val="24"/>
          <w:highlight w:val="none"/>
        </w:rPr>
        <w:t>调整。</w:t>
      </w:r>
    </w:p>
    <w:p w14:paraId="01D5790E">
      <w:pPr>
        <w:spacing w:line="360" w:lineRule="auto"/>
        <w:ind w:firstLine="475" w:firstLineChars="19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▲3、本项目投标人设有最高限价，投标单位报价高于或等于最高限价时，都作废标处理。</w:t>
      </w:r>
    </w:p>
    <w:p w14:paraId="47386A4B">
      <w:pPr>
        <w:spacing w:line="440" w:lineRule="exact"/>
        <w:rPr>
          <w:rFonts w:hint="eastAsia" w:ascii="宋体" w:hAnsi="宋体" w:eastAsia="宋体" w:cs="宋体"/>
          <w:color w:val="auto"/>
          <w:sz w:val="24"/>
          <w:highlight w:val="none"/>
          <w:u w:val="single"/>
        </w:rPr>
      </w:pPr>
    </w:p>
    <w:p w14:paraId="1FBDF36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法定代表人或委托代理人（签字或盖章）：</w:t>
      </w:r>
    </w:p>
    <w:p w14:paraId="321BB21B">
      <w:pPr>
        <w:spacing w:line="440" w:lineRule="exact"/>
        <w:rPr>
          <w:rFonts w:hint="eastAsia" w:ascii="宋体" w:hAnsi="宋体" w:eastAsia="宋体" w:cs="宋体"/>
          <w:color w:val="auto"/>
          <w:sz w:val="24"/>
          <w:highlight w:val="none"/>
        </w:rPr>
      </w:pPr>
    </w:p>
    <w:p w14:paraId="59C63BE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投标人名称（盖章）：     </w:t>
      </w:r>
    </w:p>
    <w:p w14:paraId="6456FA37">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6659961">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372"/>
    <w:p w14:paraId="435BFAE4">
      <w:pPr>
        <w:keepNext/>
        <w:keepLines/>
        <w:spacing w:before="260" w:after="260" w:line="360" w:lineRule="auto"/>
        <w:outlineLvl w:val="1"/>
        <w:rPr>
          <w:rFonts w:hint="eastAsia" w:ascii="宋体" w:hAnsi="宋体" w:eastAsia="宋体" w:cs="宋体"/>
          <w:bCs/>
          <w:color w:val="auto"/>
          <w:sz w:val="24"/>
          <w:highlight w:val="none"/>
        </w:rPr>
      </w:pPr>
      <w:bookmarkStart w:id="373" w:name="_Toc496599000"/>
      <w:bookmarkStart w:id="374" w:name="_Toc16268"/>
      <w:bookmarkStart w:id="375" w:name="_Toc31897"/>
      <w:bookmarkStart w:id="376" w:name="_Toc10805"/>
      <w:r>
        <w:rPr>
          <w:rFonts w:hint="eastAsia" w:ascii="宋体" w:hAnsi="宋体" w:eastAsia="宋体" w:cs="宋体"/>
          <w:bCs/>
          <w:color w:val="auto"/>
          <w:sz w:val="24"/>
          <w:highlight w:val="none"/>
        </w:rPr>
        <w:t>附件十</w:t>
      </w:r>
      <w:r>
        <w:rPr>
          <w:rFonts w:hint="eastAsia" w:ascii="宋体" w:hAnsi="宋体" w:eastAsia="宋体" w:cs="宋体"/>
          <w:bCs/>
          <w:color w:val="auto"/>
          <w:sz w:val="24"/>
          <w:highlight w:val="none"/>
          <w:lang w:val="en-US" w:eastAsia="zh-CN"/>
        </w:rPr>
        <w:t>五</w:t>
      </w:r>
      <w:r>
        <w:rPr>
          <w:rFonts w:hint="eastAsia" w:ascii="宋体" w:hAnsi="宋体" w:eastAsia="宋体" w:cs="宋体"/>
          <w:bCs/>
          <w:color w:val="auto"/>
          <w:sz w:val="24"/>
          <w:highlight w:val="none"/>
        </w:rPr>
        <w:t>：</w:t>
      </w:r>
      <w:bookmarkEnd w:id="373"/>
      <w:r>
        <w:rPr>
          <w:rFonts w:hint="eastAsia" w:ascii="宋体" w:hAnsi="宋体" w:eastAsia="宋体" w:cs="宋体"/>
          <w:bCs/>
          <w:color w:val="auto"/>
          <w:sz w:val="24"/>
          <w:highlight w:val="none"/>
        </w:rPr>
        <w:t>残疾人福利性单位声明函</w:t>
      </w:r>
      <w:bookmarkEnd w:id="374"/>
      <w:bookmarkEnd w:id="375"/>
    </w:p>
    <w:p w14:paraId="602A40C2">
      <w:pPr>
        <w:spacing w:after="120"/>
        <w:ind w:right="960" w:firstLine="2533" w:firstLineChars="701"/>
        <w:jc w:val="left"/>
        <w:rPr>
          <w:rFonts w:ascii="宋体" w:hAnsi="宋体" w:cs="宋体"/>
          <w:b/>
          <w:color w:val="auto"/>
          <w:sz w:val="36"/>
          <w:highlight w:val="none"/>
        </w:rPr>
      </w:pPr>
      <w:r>
        <w:rPr>
          <w:rFonts w:hint="eastAsia" w:ascii="宋体" w:hAnsi="宋体" w:cs="宋体"/>
          <w:b/>
          <w:color w:val="auto"/>
          <w:sz w:val="36"/>
          <w:highlight w:val="none"/>
        </w:rPr>
        <w:t>残疾人福利性单位声明函</w:t>
      </w:r>
    </w:p>
    <w:p w14:paraId="32D5B0B1">
      <w:pPr>
        <w:spacing w:after="120" w:line="360" w:lineRule="auto"/>
        <w:ind w:right="960" w:firstLine="548" w:firstLineChars="196"/>
        <w:jc w:val="left"/>
        <w:rPr>
          <w:rFonts w:ascii="宋体" w:hAnsi="宋体" w:cs="宋体"/>
          <w:color w:val="auto"/>
          <w:sz w:val="28"/>
          <w:highlight w:val="none"/>
        </w:rPr>
      </w:pPr>
    </w:p>
    <w:p w14:paraId="75B2C908">
      <w:pPr>
        <w:spacing w:after="120" w:line="360" w:lineRule="auto"/>
        <w:ind w:right="960"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rPr>
        <w:t>本单位郑重声明，根据《财政部 民政部 中国残疾人联合会关于促进残疾人就业政府采购政策的通知》（财库</w:t>
      </w:r>
      <w:r>
        <w:rPr>
          <w:rFonts w:hint="eastAsia" w:ascii="宋体" w:hAnsi="宋体" w:cs="宋体"/>
          <w:color w:val="auto"/>
          <w:sz w:val="24"/>
          <w:szCs w:val="22"/>
          <w:highlight w:val="none"/>
          <w:lang w:eastAsia="zh-CN"/>
        </w:rPr>
        <w:t>〔2017〕141号</w:t>
      </w:r>
      <w:r>
        <w:rPr>
          <w:rFonts w:hint="eastAsia" w:ascii="宋体" w:hAnsi="宋体" w:cs="宋体"/>
          <w:color w:val="auto"/>
          <w:sz w:val="24"/>
          <w:szCs w:val="22"/>
          <w:highlight w:val="none"/>
        </w:rPr>
        <w:t>）的规定，本单位为符合条件的残疾人福利性单位，且本单位参加</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单位的</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项目采购活动提供本单位制造的货物（由本单位承担工程/服务），或者提供其他残疾人福利性单位制造的货物（不包括使用非残疾人福利性单位注册商标的货物）。</w:t>
      </w:r>
    </w:p>
    <w:p w14:paraId="142062D9">
      <w:pPr>
        <w:spacing w:after="120" w:line="360" w:lineRule="auto"/>
        <w:ind w:right="960" w:firstLine="470" w:firstLineChars="196"/>
        <w:jc w:val="left"/>
        <w:rPr>
          <w:rFonts w:ascii="宋体" w:hAnsi="宋体" w:cs="宋体"/>
          <w:color w:val="auto"/>
          <w:sz w:val="24"/>
          <w:szCs w:val="22"/>
          <w:highlight w:val="none"/>
        </w:rPr>
      </w:pPr>
      <w:r>
        <w:rPr>
          <w:rFonts w:hint="eastAsia" w:ascii="宋体" w:hAnsi="宋体" w:cs="宋体"/>
          <w:color w:val="auto"/>
          <w:sz w:val="24"/>
          <w:szCs w:val="22"/>
          <w:highlight w:val="none"/>
        </w:rPr>
        <w:t>本单位对上述声明的真实性负责。如有虚假，将依法承担相应责任。</w:t>
      </w:r>
    </w:p>
    <w:p w14:paraId="18F19569">
      <w:pPr>
        <w:spacing w:after="120" w:line="360" w:lineRule="auto"/>
        <w:ind w:right="960" w:firstLine="4200" w:firstLineChars="1500"/>
        <w:jc w:val="left"/>
        <w:rPr>
          <w:rFonts w:ascii="宋体" w:hAnsi="宋体" w:cs="宋体"/>
          <w:color w:val="auto"/>
          <w:sz w:val="28"/>
          <w:highlight w:val="none"/>
        </w:rPr>
      </w:pPr>
    </w:p>
    <w:p w14:paraId="363D5624">
      <w:pPr>
        <w:spacing w:after="120" w:line="360" w:lineRule="auto"/>
        <w:ind w:right="960" w:firstLine="4200" w:firstLineChars="1500"/>
        <w:jc w:val="left"/>
        <w:rPr>
          <w:rFonts w:ascii="宋体" w:hAnsi="宋体" w:cs="宋体"/>
          <w:color w:val="auto"/>
          <w:sz w:val="28"/>
          <w:highlight w:val="none"/>
        </w:rPr>
      </w:pPr>
    </w:p>
    <w:p w14:paraId="118F2D80">
      <w:pPr>
        <w:spacing w:after="120" w:line="360" w:lineRule="auto"/>
        <w:ind w:right="960" w:firstLine="4200" w:firstLineChars="1500"/>
        <w:jc w:val="left"/>
        <w:rPr>
          <w:rFonts w:ascii="宋体" w:hAnsi="宋体" w:cs="宋体"/>
          <w:color w:val="auto"/>
          <w:sz w:val="28"/>
          <w:highlight w:val="none"/>
        </w:rPr>
      </w:pPr>
    </w:p>
    <w:p w14:paraId="05428F15">
      <w:pPr>
        <w:spacing w:after="120" w:line="360" w:lineRule="auto"/>
        <w:ind w:right="960" w:firstLine="4200" w:firstLineChars="1500"/>
        <w:jc w:val="left"/>
        <w:rPr>
          <w:rFonts w:ascii="宋体" w:hAnsi="宋体" w:cs="宋体"/>
          <w:color w:val="auto"/>
          <w:sz w:val="28"/>
          <w:highlight w:val="none"/>
        </w:rPr>
      </w:pPr>
    </w:p>
    <w:p w14:paraId="09245F64">
      <w:pPr>
        <w:spacing w:after="120" w:line="360" w:lineRule="auto"/>
        <w:ind w:right="960" w:firstLine="3600" w:firstLineChars="1500"/>
        <w:jc w:val="left"/>
        <w:rPr>
          <w:rFonts w:ascii="宋体" w:hAnsi="宋体" w:cs="宋体"/>
          <w:color w:val="auto"/>
          <w:sz w:val="24"/>
          <w:szCs w:val="22"/>
          <w:highlight w:val="none"/>
        </w:rPr>
      </w:pPr>
      <w:r>
        <w:rPr>
          <w:rFonts w:hint="eastAsia" w:ascii="宋体" w:hAnsi="宋体" w:cs="宋体"/>
          <w:color w:val="auto"/>
          <w:sz w:val="24"/>
          <w:szCs w:val="22"/>
          <w:highlight w:val="none"/>
        </w:rPr>
        <w:t>单位名称（盖章）</w:t>
      </w:r>
      <w:r>
        <w:rPr>
          <w:rFonts w:hint="eastAsia" w:ascii="宋体" w:hAnsi="宋体" w:cs="宋体"/>
          <w:color w:val="auto"/>
          <w:sz w:val="24"/>
          <w:szCs w:val="22"/>
          <w:highlight w:val="none"/>
          <w:lang w:eastAsia="zh-CN"/>
        </w:rPr>
        <w:t>：</w:t>
      </w:r>
    </w:p>
    <w:p w14:paraId="2A035890">
      <w:pPr>
        <w:spacing w:after="120" w:line="360" w:lineRule="auto"/>
        <w:ind w:right="960" w:firstLine="3600" w:firstLineChars="1500"/>
        <w:jc w:val="left"/>
        <w:rPr>
          <w:rFonts w:ascii="宋体" w:hAnsi="宋体" w:cs="宋体"/>
          <w:color w:val="auto"/>
          <w:sz w:val="28"/>
          <w:highlight w:val="none"/>
        </w:rPr>
      </w:pPr>
      <w:r>
        <w:rPr>
          <w:rFonts w:hint="eastAsia" w:ascii="宋体" w:hAnsi="宋体" w:cs="宋体"/>
          <w:color w:val="auto"/>
          <w:sz w:val="24"/>
          <w:szCs w:val="22"/>
          <w:highlight w:val="none"/>
        </w:rPr>
        <w:t xml:space="preserve">日期：  </w:t>
      </w:r>
      <w:r>
        <w:rPr>
          <w:rFonts w:hint="eastAsia" w:ascii="宋体" w:hAnsi="宋体" w:cs="宋体"/>
          <w:color w:val="auto"/>
          <w:sz w:val="28"/>
          <w:highlight w:val="none"/>
        </w:rPr>
        <w:t xml:space="preserve">      </w:t>
      </w:r>
    </w:p>
    <w:p w14:paraId="274B5EB0">
      <w:pPr>
        <w:spacing w:after="120"/>
        <w:jc w:val="center"/>
        <w:rPr>
          <w:rFonts w:ascii="宋体" w:hAnsi="宋体" w:cs="宋体"/>
          <w:b/>
          <w:color w:val="auto"/>
          <w:sz w:val="36"/>
          <w:szCs w:val="36"/>
          <w:highlight w:val="none"/>
        </w:rPr>
      </w:pPr>
    </w:p>
    <w:p w14:paraId="7B0662EA">
      <w:pPr>
        <w:spacing w:after="120"/>
        <w:jc w:val="center"/>
        <w:rPr>
          <w:rFonts w:ascii="宋体" w:hAnsi="宋体" w:cs="宋体"/>
          <w:b/>
          <w:color w:val="auto"/>
          <w:sz w:val="36"/>
          <w:szCs w:val="36"/>
          <w:highlight w:val="none"/>
        </w:rPr>
      </w:pPr>
    </w:p>
    <w:p w14:paraId="34427801">
      <w:pPr>
        <w:numPr>
          <w:ilvl w:val="0"/>
          <w:numId w:val="10"/>
        </w:numPr>
        <w:tabs>
          <w:tab w:val="left" w:pos="420"/>
          <w:tab w:val="clear" w:pos="1244"/>
        </w:tabs>
        <w:spacing w:before="100" w:beforeAutospacing="1" w:after="100" w:afterAutospacing="1" w:line="432" w:lineRule="auto"/>
        <w:ind w:hanging="1244"/>
        <w:rPr>
          <w:rFonts w:hint="eastAsia" w:ascii="宋体" w:hAnsi="宋体"/>
          <w:b/>
          <w:color w:val="auto"/>
          <w:szCs w:val="21"/>
          <w:highlight w:val="none"/>
        </w:rPr>
      </w:pPr>
      <w:r>
        <w:rPr>
          <w:rFonts w:hint="eastAsia" w:ascii="宋体" w:hAnsi="宋体"/>
          <w:b/>
          <w:color w:val="auto"/>
          <w:szCs w:val="21"/>
          <w:highlight w:val="none"/>
        </w:rPr>
        <w:t>残疾人福利性单位视同小型、微型企业，享受价格扣除。</w:t>
      </w:r>
    </w:p>
    <w:p w14:paraId="1D4EB4D0">
      <w:pPr>
        <w:numPr>
          <w:ilvl w:val="0"/>
          <w:numId w:val="10"/>
        </w:numPr>
        <w:tabs>
          <w:tab w:val="left" w:pos="420"/>
          <w:tab w:val="clear" w:pos="1244"/>
        </w:tabs>
        <w:spacing w:before="100" w:beforeAutospacing="1" w:after="100" w:afterAutospacing="1" w:line="432" w:lineRule="auto"/>
        <w:ind w:hanging="1244"/>
        <w:rPr>
          <w:rFonts w:hint="eastAsia" w:ascii="宋体" w:hAnsi="宋体"/>
          <w:b/>
          <w:color w:val="auto"/>
          <w:szCs w:val="21"/>
          <w:highlight w:val="none"/>
        </w:rPr>
      </w:pPr>
      <w:r>
        <w:rPr>
          <w:rFonts w:hint="eastAsia" w:ascii="宋体" w:hAnsi="宋体"/>
          <w:b/>
          <w:color w:val="auto"/>
          <w:szCs w:val="21"/>
          <w:highlight w:val="none"/>
        </w:rPr>
        <w:t>残疾人福利性单位属于小型、微型企业的，不重复享受价格扣除。</w:t>
      </w:r>
    </w:p>
    <w:p w14:paraId="20B00160">
      <w:pPr>
        <w:numPr>
          <w:ilvl w:val="0"/>
          <w:numId w:val="10"/>
        </w:numPr>
        <w:tabs>
          <w:tab w:val="left" w:pos="420"/>
          <w:tab w:val="clear" w:pos="1244"/>
        </w:tabs>
        <w:spacing w:before="100" w:beforeAutospacing="1" w:after="100" w:afterAutospacing="1" w:line="432" w:lineRule="auto"/>
        <w:ind w:hanging="1244"/>
        <w:rPr>
          <w:rFonts w:hint="eastAsia" w:ascii="宋体" w:hAnsi="宋体"/>
          <w:b/>
          <w:color w:val="auto"/>
          <w:szCs w:val="21"/>
          <w:highlight w:val="none"/>
        </w:rPr>
      </w:pPr>
      <w:r>
        <w:rPr>
          <w:rFonts w:hint="eastAsia" w:ascii="宋体" w:hAnsi="宋体"/>
          <w:b/>
          <w:color w:val="auto"/>
          <w:szCs w:val="21"/>
          <w:highlight w:val="none"/>
        </w:rPr>
        <w:t>如中标人声明为残疾人福利性单位，本声明函将随中标结果同时公告，接受社会监督。</w:t>
      </w:r>
    </w:p>
    <w:p w14:paraId="295AC719">
      <w:pPr>
        <w:pageBreakBefore/>
        <w:spacing w:before="260" w:after="260" w:line="415" w:lineRule="auto"/>
        <w:outlineLvl w:val="1"/>
        <w:rPr>
          <w:rFonts w:hint="eastAsia" w:ascii="宋体" w:hAnsi="宋体" w:eastAsia="宋体" w:cs="宋体"/>
          <w:bCs/>
          <w:color w:val="auto"/>
          <w:sz w:val="24"/>
          <w:highlight w:val="none"/>
        </w:rPr>
      </w:pPr>
      <w:bookmarkStart w:id="377" w:name="_Toc17790"/>
      <w:bookmarkStart w:id="378" w:name="_Toc513"/>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六</w:t>
      </w:r>
      <w:r>
        <w:rPr>
          <w:rFonts w:hint="eastAsia" w:ascii="宋体" w:hAnsi="宋体" w:eastAsia="宋体" w:cs="宋体"/>
          <w:bCs/>
          <w:color w:val="auto"/>
          <w:sz w:val="24"/>
          <w:highlight w:val="none"/>
        </w:rPr>
        <w:t>：中小企业声明函（工程、服务）</w:t>
      </w:r>
      <w:bookmarkEnd w:id="376"/>
      <w:bookmarkEnd w:id="377"/>
      <w:bookmarkEnd w:id="378"/>
    </w:p>
    <w:p w14:paraId="27D435C0">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中小企业声明函（工程、服务）</w:t>
      </w:r>
    </w:p>
    <w:p w14:paraId="0102BB8B">
      <w:pPr>
        <w:spacing w:line="360" w:lineRule="auto"/>
        <w:ind w:firstLine="480" w:firstLineChars="200"/>
        <w:rPr>
          <w:rFonts w:hint="eastAsia" w:ascii="宋体" w:hAnsi="宋体" w:eastAsia="宋体" w:cs="宋体"/>
          <w:color w:val="auto"/>
          <w:sz w:val="24"/>
          <w:highlight w:val="none"/>
        </w:rPr>
      </w:pPr>
      <w:bookmarkStart w:id="379" w:name="_Toc496599001"/>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64C9EF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bCs/>
          <w:color w:val="auto"/>
          <w:kern w:val="0"/>
          <w:sz w:val="24"/>
          <w:highlight w:val="none"/>
          <w:u w:val="single"/>
        </w:rPr>
        <w:t xml:space="preserve">      </w:t>
      </w:r>
      <w:r>
        <w:rPr>
          <w:bCs/>
          <w:color w:val="auto"/>
          <w:kern w:val="0"/>
          <w:sz w:val="24"/>
          <w:highlight w:val="none"/>
        </w:rPr>
        <w:t>（采购文件中明确的所属行业）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109062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bCs/>
          <w:color w:val="auto"/>
          <w:kern w:val="0"/>
          <w:sz w:val="24"/>
          <w:highlight w:val="none"/>
          <w:u w:val="single"/>
        </w:rPr>
        <w:t xml:space="preserve">      </w:t>
      </w:r>
      <w:r>
        <w:rPr>
          <w:bCs/>
          <w:color w:val="auto"/>
          <w:kern w:val="0"/>
          <w:sz w:val="24"/>
          <w:highlight w:val="none"/>
        </w:rPr>
        <w:t>（采购文件中明确的所属行业）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01F902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51C4A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7AC62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B30B178">
      <w:pPr>
        <w:spacing w:line="360" w:lineRule="auto"/>
        <w:rPr>
          <w:rFonts w:hint="eastAsia" w:ascii="宋体" w:hAnsi="宋体" w:eastAsia="宋体" w:cs="宋体"/>
          <w:color w:val="auto"/>
          <w:sz w:val="24"/>
          <w:highlight w:val="none"/>
        </w:rPr>
      </w:pPr>
    </w:p>
    <w:p w14:paraId="2C0A3E70">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57E39527">
      <w:pPr>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25EACD8B">
      <w:pPr>
        <w:spacing w:line="360" w:lineRule="auto"/>
        <w:rPr>
          <w:rFonts w:hint="eastAsia" w:ascii="宋体" w:hAnsi="宋体" w:eastAsia="宋体" w:cs="宋体"/>
          <w:color w:val="auto"/>
          <w:sz w:val="24"/>
          <w:highlight w:val="none"/>
        </w:rPr>
      </w:pPr>
    </w:p>
    <w:p w14:paraId="47DE09C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p w14:paraId="4B3359EA">
      <w:pPr>
        <w:tabs>
          <w:tab w:val="left" w:pos="420"/>
        </w:tabs>
        <w:spacing w:before="0" w:beforeAutospacing="0" w:after="0" w:afterAutospacing="0" w:line="240" w:lineRule="auto"/>
        <w:ind w:firstLine="422" w:firstLineChars="200"/>
        <w:jc w:val="left"/>
        <w:rPr>
          <w:rFonts w:eastAsia="宋体" w:cs="Times New Roman"/>
          <w:b/>
          <w:color w:val="auto"/>
          <w:kern w:val="0"/>
          <w:sz w:val="21"/>
          <w:szCs w:val="21"/>
          <w:highlight w:val="none"/>
        </w:rPr>
      </w:pPr>
      <w:r>
        <w:rPr>
          <w:rFonts w:eastAsia="宋体" w:cs="Times New Roman"/>
          <w:b/>
          <w:color w:val="auto"/>
          <w:kern w:val="0"/>
          <w:sz w:val="21"/>
          <w:szCs w:val="21"/>
          <w:highlight w:val="none"/>
        </w:rPr>
        <w:t>1、</w:t>
      </w:r>
      <w:r>
        <w:rPr>
          <w:rFonts w:hint="default" w:eastAsia="宋体" w:cs="Times New Roman"/>
          <w:b/>
          <w:color w:val="auto"/>
          <w:kern w:val="0"/>
          <w:sz w:val="21"/>
          <w:szCs w:val="21"/>
          <w:highlight w:val="none"/>
        </w:rPr>
        <w:t>从业人员、营业收入、资产总额填报上一年度数据，无上一年度数据的新成立企业可不填报。</w:t>
      </w:r>
    </w:p>
    <w:p w14:paraId="60D49D3D">
      <w:pPr>
        <w:tabs>
          <w:tab w:val="left" w:pos="420"/>
        </w:tabs>
        <w:spacing w:before="0" w:beforeAutospacing="0" w:after="0" w:afterAutospacing="0" w:line="240" w:lineRule="auto"/>
        <w:ind w:firstLine="422" w:firstLineChars="200"/>
        <w:jc w:val="left"/>
        <w:rPr>
          <w:rFonts w:eastAsia="宋体" w:cs="Times New Roman"/>
          <w:b/>
          <w:color w:val="auto"/>
          <w:kern w:val="0"/>
          <w:sz w:val="21"/>
          <w:szCs w:val="21"/>
          <w:highlight w:val="none"/>
        </w:rPr>
      </w:pPr>
      <w:r>
        <w:rPr>
          <w:rFonts w:eastAsia="宋体" w:cs="Times New Roman"/>
          <w:b/>
          <w:color w:val="auto"/>
          <w:kern w:val="0"/>
          <w:sz w:val="21"/>
          <w:szCs w:val="21"/>
          <w:highlight w:val="none"/>
        </w:rPr>
        <w:t>2、如中标人声明为小微企业，本声明函将随中标结果同时公告，接受社会监督。</w:t>
      </w:r>
    </w:p>
    <w:p w14:paraId="1811C834">
      <w:pPr>
        <w:tabs>
          <w:tab w:val="left" w:pos="420"/>
        </w:tabs>
        <w:spacing w:before="0" w:beforeAutospacing="0" w:after="0" w:afterAutospacing="0" w:line="240" w:lineRule="auto"/>
        <w:ind w:firstLine="422" w:firstLineChars="200"/>
        <w:jc w:val="left"/>
        <w:rPr>
          <w:rFonts w:eastAsia="宋体" w:cs="Times New Roman"/>
          <w:b/>
          <w:color w:val="auto"/>
          <w:kern w:val="0"/>
          <w:sz w:val="21"/>
          <w:szCs w:val="21"/>
          <w:highlight w:val="none"/>
        </w:rPr>
      </w:pPr>
      <w:r>
        <w:rPr>
          <w:rFonts w:hint="default" w:eastAsia="宋体" w:cs="Times New Roman"/>
          <w:b/>
          <w:color w:val="auto"/>
          <w:kern w:val="0"/>
          <w:sz w:val="21"/>
          <w:szCs w:val="21"/>
          <w:highlight w:val="none"/>
        </w:rPr>
        <w:t>3、注：符合《关于促进残疾人就业政府采购政策的通知》（财库〔</w:t>
      </w:r>
      <w:r>
        <w:rPr>
          <w:rFonts w:eastAsia="宋体" w:cs="Times New Roman"/>
          <w:b/>
          <w:color w:val="auto"/>
          <w:kern w:val="0"/>
          <w:sz w:val="21"/>
          <w:szCs w:val="21"/>
          <w:highlight w:val="none"/>
        </w:rPr>
        <w:t>2017〕141号）规定的条件并提供《残疾人福利性单位声明函》（</w:t>
      </w:r>
      <w:r>
        <w:rPr>
          <w:rFonts w:hint="eastAsia" w:eastAsia="宋体" w:cs="Times New Roman"/>
          <w:b/>
          <w:color w:val="auto"/>
          <w:kern w:val="0"/>
          <w:sz w:val="21"/>
          <w:szCs w:val="21"/>
          <w:highlight w:val="none"/>
          <w:lang w:eastAsia="zh-CN"/>
        </w:rPr>
        <w:t>详见</w:t>
      </w:r>
      <w:r>
        <w:rPr>
          <w:rFonts w:eastAsia="宋体" w:cs="Times New Roman"/>
          <w:b/>
          <w:color w:val="auto"/>
          <w:kern w:val="0"/>
          <w:sz w:val="21"/>
          <w:szCs w:val="21"/>
          <w:highlight w:val="none"/>
        </w:rPr>
        <w:t>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C802DF7">
      <w:pPr>
        <w:tabs>
          <w:tab w:val="left" w:pos="420"/>
        </w:tabs>
        <w:spacing w:before="0" w:beforeAutospacing="0" w:after="0" w:afterAutospacing="0" w:line="240" w:lineRule="auto"/>
        <w:ind w:firstLine="422" w:firstLineChars="200"/>
        <w:jc w:val="left"/>
        <w:rPr>
          <w:rFonts w:hint="eastAsia" w:eastAsia="宋体" w:cs="Times New Roman"/>
          <w:b/>
          <w:color w:val="auto"/>
          <w:kern w:val="0"/>
          <w:sz w:val="21"/>
          <w:szCs w:val="21"/>
          <w:highlight w:val="none"/>
          <w:lang w:eastAsia="zh-CN"/>
        </w:rPr>
      </w:pPr>
      <w:r>
        <w:rPr>
          <w:rFonts w:hint="default" w:eastAsia="宋体" w:cs="Times New Roman"/>
          <w:b/>
          <w:color w:val="auto"/>
          <w:kern w:val="0"/>
          <w:sz w:val="21"/>
          <w:szCs w:val="21"/>
          <w:highlight w:val="none"/>
        </w:rPr>
        <w:t>4、中小企业声明是目前质疑高发之处，请务必真实、认真、准确地逐项填写</w:t>
      </w:r>
      <w:r>
        <w:rPr>
          <w:rFonts w:hint="eastAsia" w:eastAsia="宋体" w:cs="Times New Roman"/>
          <w:b/>
          <w:color w:val="auto"/>
          <w:kern w:val="0"/>
          <w:sz w:val="21"/>
          <w:szCs w:val="21"/>
          <w:highlight w:val="none"/>
          <w:lang w:eastAsia="zh-CN"/>
        </w:rPr>
        <w:t>。</w:t>
      </w:r>
    </w:p>
    <w:p w14:paraId="553F4AB3">
      <w:pPr>
        <w:tabs>
          <w:tab w:val="left" w:pos="420"/>
        </w:tabs>
        <w:spacing w:before="0" w:beforeAutospacing="0" w:after="0" w:afterAutospacing="0" w:line="240" w:lineRule="auto"/>
        <w:ind w:firstLine="422" w:firstLineChars="200"/>
        <w:jc w:val="left"/>
        <w:rPr>
          <w:rFonts w:hint="default" w:eastAsia="宋体" w:cs="Times New Roman"/>
          <w:b/>
          <w:color w:val="auto"/>
          <w:kern w:val="0"/>
          <w:sz w:val="21"/>
          <w:szCs w:val="21"/>
          <w:highlight w:val="none"/>
        </w:rPr>
      </w:pPr>
      <w:r>
        <w:rPr>
          <w:rFonts w:hint="default" w:eastAsia="宋体" w:cs="Times New Roman"/>
          <w:b/>
          <w:color w:val="auto"/>
          <w:kern w:val="0"/>
          <w:sz w:val="21"/>
          <w:szCs w:val="21"/>
          <w:highlight w:val="none"/>
        </w:rPr>
        <w:t>5、中小企业声明函须按照投标人前附表所列行业进行申明。</w:t>
      </w:r>
    </w:p>
    <w:p w14:paraId="22A4F0A5">
      <w:pPr>
        <w:tabs>
          <w:tab w:val="left" w:pos="420"/>
        </w:tabs>
        <w:spacing w:after="0" w:line="240" w:lineRule="auto"/>
        <w:ind w:firstLine="422" w:firstLineChars="200"/>
        <w:jc w:val="left"/>
        <w:rPr>
          <w:rFonts w:hint="default" w:eastAsia="宋体" w:cs="Times New Roman"/>
          <w:b/>
          <w:color w:val="auto"/>
          <w:kern w:val="0"/>
          <w:sz w:val="21"/>
          <w:szCs w:val="21"/>
          <w:highlight w:val="none"/>
          <w:lang w:val="en-US" w:eastAsia="zh-CN"/>
        </w:rPr>
      </w:pPr>
      <w:r>
        <w:rPr>
          <w:rFonts w:hint="default" w:eastAsia="宋体" w:cs="Times New Roman"/>
          <w:b/>
          <w:color w:val="auto"/>
          <w:kern w:val="0"/>
          <w:sz w:val="21"/>
          <w:szCs w:val="21"/>
          <w:highlight w:val="none"/>
          <w:lang w:val="en-US" w:eastAsia="zh-CN"/>
        </w:rPr>
        <w:t>6、《中小企业声明函》中类型正确，数据错误，由投标人澄清说明，投标人对填报的数据来源作出合理解释。</w:t>
      </w:r>
    </w:p>
    <w:p w14:paraId="3AB1505F">
      <w:pPr>
        <w:tabs>
          <w:tab w:val="left" w:pos="420"/>
        </w:tabs>
        <w:spacing w:after="0" w:line="240" w:lineRule="auto"/>
        <w:ind w:firstLine="422" w:firstLineChars="200"/>
        <w:jc w:val="left"/>
        <w:rPr>
          <w:rFonts w:hint="default" w:eastAsia="宋体" w:cs="Times New Roman"/>
          <w:b/>
          <w:color w:val="auto"/>
          <w:kern w:val="0"/>
          <w:sz w:val="21"/>
          <w:szCs w:val="21"/>
          <w:highlight w:val="none"/>
          <w:lang w:val="en-US" w:eastAsia="zh-CN"/>
        </w:rPr>
      </w:pPr>
      <w:r>
        <w:rPr>
          <w:rFonts w:hint="default" w:eastAsia="宋体" w:cs="Times New Roman"/>
          <w:b/>
          <w:color w:val="auto"/>
          <w:kern w:val="0"/>
          <w:sz w:val="21"/>
          <w:szCs w:val="21"/>
          <w:highlight w:val="none"/>
          <w:lang w:val="en-US" w:eastAsia="zh-CN"/>
        </w:rPr>
        <w:t>7、★《中小企业声明函》类型错误，投标无效。</w:t>
      </w:r>
    </w:p>
    <w:p w14:paraId="29D2BC95">
      <w:pPr>
        <w:tabs>
          <w:tab w:val="left" w:pos="420"/>
        </w:tabs>
        <w:spacing w:after="0" w:line="240" w:lineRule="auto"/>
        <w:ind w:firstLine="422" w:firstLineChars="200"/>
        <w:jc w:val="left"/>
        <w:rPr>
          <w:rFonts w:hint="eastAsia"/>
          <w:color w:val="auto"/>
          <w:highlight w:val="none"/>
        </w:rPr>
      </w:pPr>
      <w:r>
        <w:rPr>
          <w:rFonts w:hint="default" w:eastAsia="宋体" w:cs="Times New Roman"/>
          <w:b/>
          <w:color w:val="auto"/>
          <w:kern w:val="0"/>
          <w:sz w:val="21"/>
          <w:szCs w:val="21"/>
          <w:highlight w:val="none"/>
          <w:lang w:val="en-US" w:eastAsia="zh-CN"/>
        </w:rPr>
        <w:t>8、《中小企业声明函》填写行业错误或者未填写行业的，投标无效。但错填为“采购文件确定的行业”等类似瑕疵的，投标有效。</w:t>
      </w:r>
    </w:p>
    <w:p w14:paraId="1E5D99F0">
      <w:pPr>
        <w:pageBreakBefore/>
        <w:spacing w:before="260" w:after="260" w:line="415" w:lineRule="auto"/>
        <w:outlineLvl w:val="1"/>
        <w:rPr>
          <w:rFonts w:hint="eastAsia" w:ascii="宋体" w:hAnsi="宋体" w:eastAsia="宋体" w:cs="宋体"/>
          <w:bCs/>
          <w:color w:val="auto"/>
          <w:sz w:val="24"/>
          <w:highlight w:val="none"/>
        </w:rPr>
      </w:pPr>
      <w:bookmarkStart w:id="380" w:name="_Toc26860"/>
      <w:bookmarkStart w:id="381" w:name="_Toc18925"/>
      <w:bookmarkStart w:id="382" w:name="_Toc16313"/>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七</w:t>
      </w:r>
      <w:r>
        <w:rPr>
          <w:rFonts w:hint="eastAsia" w:ascii="宋体" w:hAnsi="宋体" w:eastAsia="宋体" w:cs="宋体"/>
          <w:bCs/>
          <w:color w:val="auto"/>
          <w:sz w:val="24"/>
          <w:highlight w:val="none"/>
        </w:rPr>
        <w:t>：</w:t>
      </w:r>
      <w:bookmarkEnd w:id="379"/>
      <w:r>
        <w:rPr>
          <w:rFonts w:hint="eastAsia" w:ascii="宋体" w:hAnsi="宋体" w:eastAsia="宋体" w:cs="宋体"/>
          <w:bCs/>
          <w:color w:val="auto"/>
          <w:sz w:val="24"/>
          <w:highlight w:val="none"/>
        </w:rPr>
        <w:t>东阳市采购项目验收方案</w:t>
      </w:r>
      <w:bookmarkEnd w:id="380"/>
      <w:bookmarkEnd w:id="381"/>
      <w:bookmarkEnd w:id="382"/>
    </w:p>
    <w:p w14:paraId="1CC29359">
      <w:pPr>
        <w:snapToGri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东阳市采购项目验收方案</w:t>
      </w:r>
    </w:p>
    <w:p w14:paraId="6A0EEA67">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cs="宋体"/>
          <w:color w:val="auto"/>
          <w:sz w:val="24"/>
          <w:highlight w:val="none"/>
          <w:lang w:eastAsia="zh-CN"/>
        </w:rPr>
        <w:t>中华人民共和国政府采购法</w:t>
      </w:r>
      <w:r>
        <w:rPr>
          <w:rFonts w:hint="eastAsia" w:ascii="宋体" w:hAnsi="宋体" w:eastAsia="宋体" w:cs="宋体"/>
          <w:color w:val="auto"/>
          <w:sz w:val="24"/>
          <w:highlight w:val="none"/>
        </w:rPr>
        <w:t>》及东阳市政府采购办东财预〔2009〕98号《关于加强政府采购管理工作的补充规定》等有关文件规定，为做好</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采购项目的验收管理工作，特制定本项目验收方案，具体如下。</w:t>
      </w:r>
    </w:p>
    <w:p w14:paraId="590551A1">
      <w:pPr>
        <w:spacing w:after="120" w:line="360" w:lineRule="auto"/>
        <w:ind w:firstLine="472" w:firstLineChars="196"/>
        <w:outlineLvl w:val="1"/>
        <w:rPr>
          <w:rFonts w:hint="eastAsia" w:ascii="宋体" w:hAnsi="宋体" w:eastAsia="宋体" w:cs="宋体"/>
          <w:b/>
          <w:color w:val="auto"/>
          <w:sz w:val="24"/>
          <w:highlight w:val="none"/>
        </w:rPr>
      </w:pPr>
      <w:bookmarkStart w:id="383" w:name="_Toc29003"/>
      <w:bookmarkStart w:id="384" w:name="_Toc31889"/>
      <w:bookmarkStart w:id="385" w:name="_Toc22976"/>
      <w:bookmarkStart w:id="386" w:name="_Toc9016"/>
      <w:bookmarkStart w:id="387" w:name="_Toc15741"/>
      <w:r>
        <w:rPr>
          <w:rFonts w:hint="eastAsia" w:ascii="宋体" w:hAnsi="宋体" w:eastAsia="宋体" w:cs="宋体"/>
          <w:b/>
          <w:color w:val="auto"/>
          <w:sz w:val="24"/>
          <w:highlight w:val="none"/>
        </w:rPr>
        <w:t>一、验收项目说明</w:t>
      </w:r>
      <w:bookmarkEnd w:id="383"/>
      <w:bookmarkEnd w:id="384"/>
      <w:bookmarkEnd w:id="385"/>
      <w:bookmarkEnd w:id="386"/>
      <w:bookmarkEnd w:id="387"/>
    </w:p>
    <w:p w14:paraId="03E6AFDB">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1、招标编号：               </w:t>
      </w:r>
    </w:p>
    <w:p w14:paraId="72356474">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2、采购内容：</w:t>
      </w:r>
    </w:p>
    <w:p w14:paraId="7A7A9DF9">
      <w:pPr>
        <w:spacing w:after="120" w:line="360" w:lineRule="auto"/>
        <w:rPr>
          <w:rFonts w:hint="eastAsia" w:ascii="宋体" w:hAnsi="宋体" w:eastAsia="宋体" w:cs="宋体"/>
          <w:b/>
          <w:color w:val="auto"/>
          <w:sz w:val="24"/>
          <w:highlight w:val="none"/>
        </w:rPr>
      </w:pPr>
    </w:p>
    <w:p w14:paraId="0ABB56C8">
      <w:pPr>
        <w:spacing w:after="120" w:line="360" w:lineRule="auto"/>
        <w:ind w:firstLine="482" w:firstLineChars="200"/>
        <w:outlineLvl w:val="1"/>
        <w:rPr>
          <w:rFonts w:hint="eastAsia" w:ascii="宋体" w:hAnsi="宋体" w:eastAsia="宋体" w:cs="宋体"/>
          <w:b/>
          <w:color w:val="auto"/>
          <w:sz w:val="24"/>
          <w:highlight w:val="none"/>
        </w:rPr>
      </w:pPr>
      <w:bookmarkStart w:id="388" w:name="_Toc26680"/>
      <w:bookmarkStart w:id="389" w:name="_Toc5824"/>
      <w:bookmarkStart w:id="390" w:name="_Toc6060"/>
      <w:bookmarkStart w:id="391" w:name="_Toc26245"/>
      <w:bookmarkStart w:id="392" w:name="_Toc10073"/>
      <w:r>
        <w:rPr>
          <w:rFonts w:hint="eastAsia" w:ascii="宋体" w:hAnsi="宋体" w:eastAsia="宋体" w:cs="宋体"/>
          <w:b/>
          <w:color w:val="auto"/>
          <w:sz w:val="24"/>
          <w:highlight w:val="none"/>
        </w:rPr>
        <w:t>二、验收小组人员</w:t>
      </w:r>
      <w:bookmarkEnd w:id="388"/>
      <w:bookmarkEnd w:id="389"/>
      <w:bookmarkEnd w:id="390"/>
      <w:bookmarkEnd w:id="391"/>
      <w:bookmarkEnd w:id="392"/>
    </w:p>
    <w:p w14:paraId="445FE51F">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1、本次验收由</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rPr>
        <w:t>组织。</w:t>
      </w:r>
    </w:p>
    <w:p w14:paraId="435273D5">
      <w:pPr>
        <w:spacing w:after="120" w:line="360" w:lineRule="auto"/>
        <w:ind w:firstLine="472" w:firstLineChars="196"/>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2、验收小组成员名单：</w:t>
      </w:r>
      <w:r>
        <w:rPr>
          <w:rFonts w:hint="eastAsia" w:ascii="宋体" w:hAnsi="宋体" w:eastAsia="宋体" w:cs="宋体"/>
          <w:b/>
          <w:color w:val="auto"/>
          <w:sz w:val="24"/>
          <w:highlight w:val="none"/>
          <w:u w:val="single"/>
        </w:rPr>
        <w:t xml:space="preserve">                                                       </w:t>
      </w:r>
    </w:p>
    <w:p w14:paraId="5B1971C7">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3、验收小组成员签名：</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p>
    <w:p w14:paraId="249233B5">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三、验收方法与内容</w:t>
      </w:r>
    </w:p>
    <w:p w14:paraId="1E8DE38D">
      <w:pPr>
        <w:spacing w:after="120" w:line="360" w:lineRule="auto"/>
        <w:rPr>
          <w:rFonts w:hint="eastAsia" w:ascii="宋体" w:hAnsi="宋体" w:eastAsia="宋体" w:cs="宋体"/>
          <w:b/>
          <w:color w:val="auto"/>
          <w:sz w:val="24"/>
          <w:highlight w:val="none"/>
        </w:rPr>
      </w:pPr>
    </w:p>
    <w:p w14:paraId="7F9C8914">
      <w:pPr>
        <w:spacing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四、验收时间</w:t>
      </w:r>
    </w:p>
    <w:p w14:paraId="597B39BD">
      <w:pPr>
        <w:spacing w:after="120" w:line="360" w:lineRule="auto"/>
        <w:rPr>
          <w:rFonts w:hint="eastAsia" w:ascii="宋体" w:hAnsi="宋体" w:eastAsia="宋体" w:cs="宋体"/>
          <w:b/>
          <w:color w:val="auto"/>
          <w:sz w:val="24"/>
          <w:highlight w:val="none"/>
        </w:rPr>
      </w:pPr>
    </w:p>
    <w:p w14:paraId="66E72A2B">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五、验收地点</w:t>
      </w:r>
    </w:p>
    <w:p w14:paraId="0C3395ED">
      <w:pPr>
        <w:spacing w:after="120" w:line="360" w:lineRule="auto"/>
        <w:rPr>
          <w:rFonts w:hint="eastAsia" w:ascii="宋体" w:hAnsi="宋体" w:eastAsia="宋体" w:cs="宋体"/>
          <w:b/>
          <w:color w:val="auto"/>
          <w:sz w:val="24"/>
          <w:highlight w:val="none"/>
        </w:rPr>
      </w:pPr>
    </w:p>
    <w:p w14:paraId="4D758600">
      <w:pPr>
        <w:spacing w:after="12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六、验收程序</w:t>
      </w:r>
    </w:p>
    <w:p w14:paraId="47D802AD">
      <w:pPr>
        <w:spacing w:after="120" w:line="360" w:lineRule="auto"/>
        <w:ind w:left="479" w:leftChars="228" w:firstLine="470" w:firstLineChars="195"/>
        <w:rPr>
          <w:rFonts w:hint="eastAsia" w:ascii="宋体" w:hAnsi="宋体" w:eastAsia="宋体" w:cs="宋体"/>
          <w:b/>
          <w:color w:val="auto"/>
          <w:sz w:val="24"/>
          <w:highlight w:val="none"/>
        </w:rPr>
      </w:pPr>
    </w:p>
    <w:p w14:paraId="0E8BE418">
      <w:pPr>
        <w:spacing w:after="120" w:line="360" w:lineRule="auto"/>
        <w:ind w:left="479" w:leftChars="228" w:firstLine="470" w:firstLineChars="195"/>
        <w:rPr>
          <w:rFonts w:hint="eastAsia" w:ascii="宋体" w:hAnsi="宋体" w:eastAsia="宋体" w:cs="宋体"/>
          <w:b/>
          <w:color w:val="auto"/>
          <w:sz w:val="24"/>
          <w:highlight w:val="none"/>
        </w:rPr>
      </w:pPr>
    </w:p>
    <w:p w14:paraId="197F9805">
      <w:pPr>
        <w:spacing w:after="120" w:line="360" w:lineRule="auto"/>
        <w:ind w:right="-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采购单位（盖章）：</w:t>
      </w:r>
    </w:p>
    <w:p w14:paraId="1CA467B5">
      <w:pPr>
        <w:spacing w:after="120" w:line="360" w:lineRule="auto"/>
        <w:ind w:right="960" w:firstLine="470" w:firstLineChars="196"/>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D4B849B">
      <w:pPr>
        <w:pageBreakBefore/>
        <w:spacing w:before="260" w:after="260" w:line="415" w:lineRule="auto"/>
        <w:outlineLvl w:val="1"/>
        <w:rPr>
          <w:rFonts w:hint="eastAsia" w:ascii="宋体" w:hAnsi="宋体" w:eastAsia="宋体" w:cs="宋体"/>
          <w:bCs/>
          <w:color w:val="auto"/>
          <w:sz w:val="24"/>
          <w:highlight w:val="none"/>
        </w:rPr>
      </w:pPr>
      <w:bookmarkStart w:id="393" w:name="_Toc496599002"/>
      <w:bookmarkStart w:id="394" w:name="_Toc1069"/>
      <w:bookmarkStart w:id="395" w:name="_Toc27247"/>
      <w:bookmarkStart w:id="396" w:name="_Toc16732"/>
      <w:r>
        <w:rPr>
          <w:rFonts w:hint="eastAsia" w:ascii="宋体" w:hAnsi="宋体" w:eastAsia="宋体" w:cs="宋体"/>
          <w:bCs/>
          <w:color w:val="auto"/>
          <w:sz w:val="24"/>
          <w:highlight w:val="none"/>
        </w:rPr>
        <w:t>附件十</w:t>
      </w:r>
      <w:r>
        <w:rPr>
          <w:rFonts w:hint="eastAsia" w:ascii="宋体" w:hAnsi="宋体" w:cs="宋体"/>
          <w:bCs/>
          <w:color w:val="auto"/>
          <w:sz w:val="24"/>
          <w:highlight w:val="none"/>
          <w:lang w:val="en-US" w:eastAsia="zh-CN"/>
        </w:rPr>
        <w:t>八</w:t>
      </w:r>
      <w:r>
        <w:rPr>
          <w:rFonts w:hint="eastAsia" w:ascii="宋体" w:hAnsi="宋体" w:eastAsia="宋体" w:cs="宋体"/>
          <w:bCs/>
          <w:color w:val="auto"/>
          <w:sz w:val="24"/>
          <w:highlight w:val="none"/>
        </w:rPr>
        <w:t>：</w:t>
      </w:r>
      <w:bookmarkEnd w:id="393"/>
      <w:r>
        <w:rPr>
          <w:rFonts w:hint="eastAsia" w:ascii="宋体" w:hAnsi="宋体" w:eastAsia="宋体" w:cs="宋体"/>
          <w:bCs/>
          <w:color w:val="auto"/>
          <w:sz w:val="24"/>
          <w:highlight w:val="none"/>
        </w:rPr>
        <w:t>东阳市政府采购代理机构社会评价表</w:t>
      </w:r>
      <w:bookmarkEnd w:id="394"/>
      <w:bookmarkEnd w:id="395"/>
      <w:bookmarkEnd w:id="396"/>
    </w:p>
    <w:p w14:paraId="1E413CB4">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东阳市政府采购代理机构社会评价表</w:t>
      </w:r>
    </w:p>
    <w:p w14:paraId="7D38CCF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代理机构名称： </w:t>
      </w:r>
    </w:p>
    <w:tbl>
      <w:tblPr>
        <w:tblStyle w:val="3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4383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785D36D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4790C03C">
            <w:pPr>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□采购单位      □供应商      □专家     </w:t>
            </w:r>
          </w:p>
        </w:tc>
      </w:tr>
      <w:tr w14:paraId="1C01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1F1789A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4FF3FF65">
            <w:pPr>
              <w:jc w:val="center"/>
              <w:rPr>
                <w:rFonts w:hint="eastAsia" w:ascii="宋体" w:hAnsi="宋体" w:eastAsia="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4F80DB1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1166CBDB">
            <w:pPr>
              <w:jc w:val="center"/>
              <w:rPr>
                <w:rFonts w:hint="eastAsia" w:ascii="宋体" w:hAnsi="宋体" w:eastAsia="宋体" w:cs="宋体"/>
                <w:color w:val="auto"/>
                <w:sz w:val="24"/>
                <w:highlight w:val="none"/>
              </w:rPr>
            </w:pPr>
          </w:p>
        </w:tc>
      </w:tr>
      <w:tr w14:paraId="6B39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525B623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25526D37">
            <w:pPr>
              <w:jc w:val="center"/>
              <w:rPr>
                <w:rFonts w:hint="eastAsia" w:ascii="宋体" w:hAnsi="宋体" w:eastAsia="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2ABB55B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40A8D205">
            <w:pPr>
              <w:jc w:val="center"/>
              <w:rPr>
                <w:rFonts w:hint="eastAsia" w:ascii="宋体" w:hAnsi="宋体" w:eastAsia="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60615B1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4C6BEDAB">
            <w:pPr>
              <w:jc w:val="center"/>
              <w:rPr>
                <w:rFonts w:hint="eastAsia" w:ascii="宋体" w:hAnsi="宋体" w:eastAsia="宋体" w:cs="宋体"/>
                <w:color w:val="auto"/>
                <w:sz w:val="24"/>
                <w:highlight w:val="none"/>
              </w:rPr>
            </w:pPr>
          </w:p>
        </w:tc>
      </w:tr>
      <w:tr w14:paraId="38B1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24FD435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253E4F10">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740BDA03">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评价（请在分值范围内进行打分）</w:t>
            </w:r>
          </w:p>
        </w:tc>
      </w:tr>
      <w:tr w14:paraId="60D1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CFCA5AE">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63005EF">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653FEE4E">
            <w:pPr>
              <w:spacing w:line="500" w:lineRule="exact"/>
              <w:jc w:val="center"/>
              <w:rPr>
                <w:rFonts w:hint="eastAsia" w:ascii="宋体" w:hAnsi="宋体" w:eastAsia="宋体" w:cs="宋体"/>
                <w:color w:val="auto"/>
                <w:sz w:val="24"/>
                <w:highlight w:val="none"/>
              </w:rPr>
            </w:pPr>
          </w:p>
        </w:tc>
      </w:tr>
      <w:tr w14:paraId="02E8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9E7CEB8">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23AAC42">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操作程序是否规范，采购行为、过程、结果是否公开、公平、公正，采购组织管理是否规范严谨（2分）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7B4572D6">
            <w:pPr>
              <w:spacing w:line="500" w:lineRule="exact"/>
              <w:jc w:val="center"/>
              <w:rPr>
                <w:rFonts w:hint="eastAsia" w:ascii="宋体" w:hAnsi="宋体" w:eastAsia="宋体" w:cs="宋体"/>
                <w:color w:val="auto"/>
                <w:sz w:val="24"/>
                <w:highlight w:val="none"/>
              </w:rPr>
            </w:pPr>
          </w:p>
        </w:tc>
      </w:tr>
      <w:tr w14:paraId="269C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F520D95">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4518630">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是否及时组织采购，是否有承诺办事时间并能限时办结（2分）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0A6C30CB">
            <w:pPr>
              <w:spacing w:line="500" w:lineRule="exact"/>
              <w:jc w:val="center"/>
              <w:rPr>
                <w:rFonts w:hint="eastAsia" w:ascii="宋体" w:hAnsi="宋体" w:eastAsia="宋体" w:cs="宋体"/>
                <w:color w:val="auto"/>
                <w:sz w:val="24"/>
                <w:highlight w:val="none"/>
              </w:rPr>
            </w:pPr>
          </w:p>
        </w:tc>
      </w:tr>
      <w:tr w14:paraId="0E90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B30AF1E">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5BBACD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是否能积极</w:t>
            </w:r>
            <w:r>
              <w:rPr>
                <w:rFonts w:hint="eastAsia" w:ascii="宋体" w:hAnsi="宋体" w:eastAsia="宋体" w:cs="宋体"/>
                <w:color w:val="auto"/>
                <w:kern w:val="0"/>
                <w:sz w:val="24"/>
                <w:highlight w:val="none"/>
              </w:rPr>
              <w:t>主动</w:t>
            </w:r>
            <w:r>
              <w:rPr>
                <w:rFonts w:hint="eastAsia" w:ascii="宋体" w:hAnsi="宋体" w:eastAsia="宋体" w:cs="宋体"/>
                <w:color w:val="auto"/>
                <w:sz w:val="24"/>
                <w:highlight w:val="none"/>
              </w:rPr>
              <w:t>与当事人沟通</w:t>
            </w:r>
            <w:r>
              <w:rPr>
                <w:rFonts w:hint="eastAsia" w:ascii="宋体" w:hAnsi="宋体" w:eastAsia="宋体" w:cs="宋体"/>
                <w:color w:val="auto"/>
                <w:kern w:val="0"/>
                <w:sz w:val="24"/>
                <w:highlight w:val="none"/>
              </w:rPr>
              <w:t>对接；对采购政策进行详细解读；</w:t>
            </w:r>
            <w:r>
              <w:rPr>
                <w:rFonts w:hint="eastAsia" w:ascii="宋体" w:hAnsi="宋体" w:eastAsia="宋体" w:cs="宋体"/>
                <w:color w:val="auto"/>
                <w:sz w:val="24"/>
                <w:highlight w:val="none"/>
              </w:rPr>
              <w:t>咨询答复是否热情周到、耐心细致（2分）</w:t>
            </w:r>
            <w:r>
              <w:rPr>
                <w:rFonts w:hint="eastAsia" w:ascii="宋体" w:hAnsi="宋体" w:eastAsia="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5FD25C64">
            <w:pPr>
              <w:spacing w:line="500" w:lineRule="exact"/>
              <w:jc w:val="center"/>
              <w:rPr>
                <w:rFonts w:hint="eastAsia" w:ascii="宋体" w:hAnsi="宋体" w:eastAsia="宋体" w:cs="宋体"/>
                <w:color w:val="auto"/>
                <w:sz w:val="24"/>
                <w:highlight w:val="none"/>
              </w:rPr>
            </w:pPr>
          </w:p>
        </w:tc>
      </w:tr>
      <w:tr w14:paraId="19AA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CC83346">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59BA240B">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2C631986">
            <w:pPr>
              <w:spacing w:line="500" w:lineRule="exact"/>
              <w:jc w:val="center"/>
              <w:rPr>
                <w:rFonts w:hint="eastAsia" w:ascii="宋体" w:hAnsi="宋体" w:eastAsia="宋体" w:cs="宋体"/>
                <w:color w:val="auto"/>
                <w:sz w:val="24"/>
                <w:highlight w:val="none"/>
              </w:rPr>
            </w:pPr>
          </w:p>
        </w:tc>
      </w:tr>
      <w:tr w14:paraId="1FB5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A6A7AF6">
            <w:pPr>
              <w:widowControl/>
              <w:jc w:val="left"/>
              <w:rPr>
                <w:rFonts w:hint="eastAsia" w:ascii="宋体" w:hAnsi="宋体" w:eastAsia="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772F54B">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7A2321F2">
            <w:pPr>
              <w:spacing w:line="500" w:lineRule="exact"/>
              <w:jc w:val="center"/>
              <w:rPr>
                <w:rFonts w:hint="eastAsia" w:ascii="宋体" w:hAnsi="宋体" w:eastAsia="宋体" w:cs="宋体"/>
                <w:color w:val="auto"/>
                <w:sz w:val="24"/>
                <w:highlight w:val="none"/>
              </w:rPr>
            </w:pPr>
          </w:p>
        </w:tc>
      </w:tr>
      <w:tr w14:paraId="1670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54C42E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6A9B3666">
            <w:pPr>
              <w:jc w:val="center"/>
              <w:rPr>
                <w:rFonts w:hint="eastAsia" w:ascii="宋体" w:hAnsi="宋体" w:eastAsia="宋体" w:cs="宋体"/>
                <w:color w:val="auto"/>
                <w:sz w:val="24"/>
                <w:highlight w:val="none"/>
              </w:rPr>
            </w:pPr>
          </w:p>
        </w:tc>
      </w:tr>
      <w:tr w14:paraId="301B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622245D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3685C379">
            <w:pPr>
              <w:jc w:val="center"/>
              <w:rPr>
                <w:rFonts w:hint="eastAsia" w:ascii="宋体" w:hAnsi="宋体" w:eastAsia="宋体" w:cs="宋体"/>
                <w:color w:val="auto"/>
                <w:sz w:val="24"/>
                <w:highlight w:val="none"/>
              </w:rPr>
            </w:pPr>
          </w:p>
        </w:tc>
      </w:tr>
    </w:tbl>
    <w:p w14:paraId="400124A6">
      <w:pPr>
        <w:spacing w:after="120"/>
        <w:ind w:right="1240"/>
        <w:rPr>
          <w:rFonts w:hint="eastAsia" w:ascii="宋体" w:hAnsi="宋体" w:eastAsia="宋体" w:cs="宋体"/>
          <w:color w:val="auto"/>
          <w:sz w:val="24"/>
          <w:highlight w:val="none"/>
        </w:rPr>
      </w:pPr>
      <w:r>
        <w:rPr>
          <w:rFonts w:hint="eastAsia" w:ascii="宋体" w:hAnsi="宋体" w:eastAsia="宋体" w:cs="宋体"/>
          <w:color w:val="auto"/>
          <w:sz w:val="24"/>
          <w:highlight w:val="none"/>
        </w:rPr>
        <w:t>填表人签字盖章：                    日期</w:t>
      </w:r>
    </w:p>
    <w:p w14:paraId="16D36036">
      <w:pPr>
        <w:spacing w:after="120"/>
        <w:ind w:right="-154"/>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注：投标单位须加盖单位</w:t>
      </w:r>
      <w:r>
        <w:rPr>
          <w:rFonts w:hint="eastAsia" w:ascii="宋体" w:hAnsi="宋体" w:cs="宋体"/>
          <w:color w:val="auto"/>
          <w:szCs w:val="21"/>
          <w:highlight w:val="none"/>
          <w:lang w:eastAsia="zh-CN"/>
        </w:rPr>
        <w:t>公</w:t>
      </w:r>
      <w:r>
        <w:rPr>
          <w:rFonts w:hint="eastAsia" w:ascii="宋体" w:hAnsi="宋体" w:eastAsia="宋体" w:cs="宋体"/>
          <w:color w:val="auto"/>
          <w:szCs w:val="21"/>
          <w:highlight w:val="none"/>
        </w:rPr>
        <w:t>章。</w:t>
      </w:r>
    </w:p>
    <w:p w14:paraId="3DFB2545">
      <w:pPr>
        <w:pStyle w:val="15"/>
        <w:rPr>
          <w:rFonts w:hint="eastAsia" w:ascii="宋体" w:hAnsi="宋体" w:eastAsia="宋体" w:cs="宋体"/>
          <w:color w:val="auto"/>
          <w:szCs w:val="21"/>
          <w:highlight w:val="none"/>
        </w:rPr>
      </w:pPr>
    </w:p>
    <w:p w14:paraId="6A53F340">
      <w:pPr>
        <w:pStyle w:val="3"/>
        <w:rPr>
          <w:rFonts w:ascii="宋体" w:hAnsi="宋体" w:eastAsia="宋体" w:cs="宋体"/>
          <w:b w:val="0"/>
          <w:color w:val="auto"/>
          <w:sz w:val="24"/>
          <w:szCs w:val="24"/>
          <w:highlight w:val="none"/>
        </w:rPr>
      </w:pPr>
      <w:bookmarkStart w:id="397" w:name="_Toc8874"/>
      <w:bookmarkStart w:id="398" w:name="_Toc25847"/>
      <w:bookmarkStart w:id="399" w:name="_Toc1393"/>
      <w:bookmarkStart w:id="400" w:name="_Toc15567"/>
      <w:bookmarkStart w:id="401" w:name="_Toc31801"/>
      <w:bookmarkStart w:id="402" w:name="_Toc2489"/>
      <w:bookmarkStart w:id="403" w:name="_Toc24160"/>
      <w:r>
        <w:rPr>
          <w:rFonts w:hint="eastAsia" w:ascii="宋体" w:hAnsi="宋体" w:eastAsia="宋体" w:cs="宋体"/>
          <w:b w:val="0"/>
          <w:color w:val="auto"/>
          <w:sz w:val="24"/>
          <w:szCs w:val="24"/>
          <w:highlight w:val="none"/>
        </w:rPr>
        <w:t>附件十</w:t>
      </w:r>
      <w:r>
        <w:rPr>
          <w:rFonts w:hint="eastAsia" w:ascii="宋体" w:hAnsi="宋体" w:eastAsia="宋体" w:cs="宋体"/>
          <w:b w:val="0"/>
          <w:color w:val="auto"/>
          <w:sz w:val="24"/>
          <w:szCs w:val="24"/>
          <w:highlight w:val="none"/>
          <w:lang w:val="en-US" w:eastAsia="zh-CN"/>
        </w:rPr>
        <w:t>九</w:t>
      </w:r>
      <w:r>
        <w:rPr>
          <w:rFonts w:hint="eastAsia" w:ascii="宋体" w:hAnsi="宋体" w:eastAsia="宋体" w:cs="宋体"/>
          <w:b w:val="0"/>
          <w:color w:val="auto"/>
          <w:sz w:val="24"/>
          <w:szCs w:val="24"/>
          <w:highlight w:val="none"/>
        </w:rPr>
        <w:t>：办理保函需提供资料</w:t>
      </w:r>
      <w:bookmarkEnd w:id="397"/>
      <w:bookmarkEnd w:id="398"/>
      <w:bookmarkEnd w:id="399"/>
      <w:bookmarkEnd w:id="400"/>
    </w:p>
    <w:p w14:paraId="1198B7DD">
      <w:pPr>
        <w:spacing w:after="120"/>
        <w:ind w:right="-154"/>
        <w:rPr>
          <w:rFonts w:ascii="宋体" w:hAnsi="宋体" w:cs="宋体"/>
          <w:color w:val="auto"/>
          <w:sz w:val="24"/>
          <w:highlight w:val="none"/>
        </w:rPr>
      </w:pPr>
    </w:p>
    <w:p w14:paraId="0C29B246">
      <w:pPr>
        <w:spacing w:after="120"/>
        <w:ind w:right="-154"/>
        <w:jc w:val="center"/>
        <w:rPr>
          <w:rFonts w:ascii="宋体" w:hAnsi="宋体" w:cs="宋体"/>
          <w:b/>
          <w:color w:val="auto"/>
          <w:sz w:val="24"/>
          <w:highlight w:val="none"/>
        </w:rPr>
      </w:pPr>
      <w:r>
        <w:rPr>
          <w:rFonts w:hint="eastAsia" w:ascii="宋体" w:hAnsi="宋体" w:cs="宋体"/>
          <w:b/>
          <w:color w:val="auto"/>
          <w:sz w:val="24"/>
          <w:highlight w:val="none"/>
        </w:rPr>
        <w:t>办理保函需提供资料</w:t>
      </w:r>
    </w:p>
    <w:p w14:paraId="230D044B">
      <w:pPr>
        <w:numPr>
          <w:ilvl w:val="0"/>
          <w:numId w:val="11"/>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营业执照</w:t>
      </w:r>
    </w:p>
    <w:p w14:paraId="4FB9516E">
      <w:pPr>
        <w:numPr>
          <w:ilvl w:val="0"/>
          <w:numId w:val="11"/>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法人身份证</w:t>
      </w:r>
    </w:p>
    <w:p w14:paraId="14F68CEF">
      <w:pPr>
        <w:numPr>
          <w:ilvl w:val="0"/>
          <w:numId w:val="11"/>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4EBF281C">
      <w:pPr>
        <w:numPr>
          <w:ilvl w:val="0"/>
          <w:numId w:val="11"/>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5649BD01">
      <w:pPr>
        <w:numPr>
          <w:ilvl w:val="0"/>
          <w:numId w:val="11"/>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中标通知书</w:t>
      </w:r>
    </w:p>
    <w:p w14:paraId="4CFBCCD5">
      <w:pPr>
        <w:numPr>
          <w:ilvl w:val="0"/>
          <w:numId w:val="11"/>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招标文件电子版</w:t>
      </w:r>
    </w:p>
    <w:p w14:paraId="02F5F2A6">
      <w:pPr>
        <w:numPr>
          <w:ilvl w:val="0"/>
          <w:numId w:val="11"/>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信用反担保函</w:t>
      </w:r>
    </w:p>
    <w:p w14:paraId="2C91A787">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3185F14D">
      <w:pPr>
        <w:spacing w:after="120"/>
        <w:ind w:right="-154"/>
        <w:rPr>
          <w:rFonts w:ascii="宋体" w:hAnsi="宋体" w:cs="宋体"/>
          <w:b/>
          <w:color w:val="auto"/>
          <w:sz w:val="24"/>
          <w:highlight w:val="none"/>
        </w:rPr>
      </w:pPr>
    </w:p>
    <w:p w14:paraId="10FC0135">
      <w:pPr>
        <w:spacing w:after="120"/>
        <w:ind w:right="-154"/>
        <w:rPr>
          <w:rFonts w:ascii="宋体" w:hAnsi="宋体" w:cs="宋体"/>
          <w:b/>
          <w:color w:val="auto"/>
          <w:sz w:val="24"/>
          <w:highlight w:val="none"/>
        </w:rPr>
      </w:pPr>
    </w:p>
    <w:p w14:paraId="6048E4E3">
      <w:pPr>
        <w:spacing w:after="120"/>
        <w:ind w:right="-154"/>
        <w:rPr>
          <w:rFonts w:ascii="宋体" w:hAnsi="宋体" w:cs="宋体"/>
          <w:b/>
          <w:color w:val="auto"/>
          <w:sz w:val="24"/>
          <w:highlight w:val="none"/>
        </w:rPr>
      </w:pPr>
    </w:p>
    <w:p w14:paraId="4F5370F6">
      <w:pPr>
        <w:spacing w:after="120"/>
        <w:ind w:right="-154"/>
        <w:rPr>
          <w:rFonts w:ascii="宋体" w:hAnsi="宋体" w:cs="宋体"/>
          <w:b/>
          <w:color w:val="auto"/>
          <w:sz w:val="24"/>
          <w:highlight w:val="none"/>
        </w:rPr>
      </w:pPr>
    </w:p>
    <w:p w14:paraId="0FDF5F3A">
      <w:pPr>
        <w:spacing w:after="120"/>
        <w:ind w:right="-154"/>
        <w:rPr>
          <w:rFonts w:ascii="宋体" w:hAnsi="宋体" w:cs="宋体"/>
          <w:b/>
          <w:color w:val="auto"/>
          <w:sz w:val="24"/>
          <w:highlight w:val="none"/>
        </w:rPr>
      </w:pPr>
    </w:p>
    <w:p w14:paraId="4E9E0233">
      <w:pPr>
        <w:spacing w:after="120"/>
        <w:ind w:right="-154"/>
        <w:rPr>
          <w:rFonts w:ascii="宋体" w:hAnsi="宋体" w:cs="宋体"/>
          <w:b/>
          <w:color w:val="auto"/>
          <w:sz w:val="24"/>
          <w:highlight w:val="none"/>
        </w:rPr>
      </w:pPr>
    </w:p>
    <w:p w14:paraId="28D21112">
      <w:pPr>
        <w:spacing w:after="120"/>
        <w:ind w:right="-154"/>
        <w:rPr>
          <w:rFonts w:ascii="宋体" w:hAnsi="宋体" w:cs="宋体"/>
          <w:b/>
          <w:color w:val="auto"/>
          <w:sz w:val="24"/>
          <w:highlight w:val="none"/>
        </w:rPr>
      </w:pPr>
    </w:p>
    <w:p w14:paraId="309E6D7F">
      <w:pPr>
        <w:spacing w:after="120"/>
        <w:ind w:right="-154"/>
        <w:rPr>
          <w:rFonts w:ascii="宋体" w:hAnsi="宋体" w:cs="宋体"/>
          <w:b/>
          <w:color w:val="auto"/>
          <w:sz w:val="24"/>
          <w:highlight w:val="none"/>
        </w:rPr>
      </w:pPr>
    </w:p>
    <w:p w14:paraId="2020C4B0">
      <w:pPr>
        <w:spacing w:after="120"/>
        <w:ind w:right="-154"/>
        <w:rPr>
          <w:rFonts w:ascii="宋体" w:hAnsi="宋体" w:cs="宋体"/>
          <w:b/>
          <w:color w:val="auto"/>
          <w:sz w:val="24"/>
          <w:highlight w:val="none"/>
        </w:rPr>
      </w:pPr>
    </w:p>
    <w:p w14:paraId="6206E6DC">
      <w:pPr>
        <w:spacing w:after="120"/>
        <w:ind w:right="-154"/>
        <w:rPr>
          <w:rFonts w:ascii="宋体" w:hAnsi="宋体" w:cs="宋体"/>
          <w:b/>
          <w:color w:val="auto"/>
          <w:sz w:val="24"/>
          <w:highlight w:val="none"/>
        </w:rPr>
      </w:pPr>
    </w:p>
    <w:p w14:paraId="0F5F79A6">
      <w:pPr>
        <w:spacing w:after="120"/>
        <w:ind w:right="-154"/>
        <w:rPr>
          <w:rFonts w:ascii="宋体" w:hAnsi="宋体" w:cs="宋体"/>
          <w:b/>
          <w:color w:val="auto"/>
          <w:sz w:val="24"/>
          <w:highlight w:val="none"/>
        </w:rPr>
      </w:pPr>
    </w:p>
    <w:p w14:paraId="07A6C296">
      <w:pPr>
        <w:spacing w:after="120"/>
        <w:ind w:right="-154"/>
        <w:rPr>
          <w:rFonts w:ascii="宋体" w:hAnsi="宋体" w:cs="宋体"/>
          <w:b/>
          <w:color w:val="auto"/>
          <w:sz w:val="24"/>
          <w:highlight w:val="none"/>
        </w:rPr>
      </w:pPr>
    </w:p>
    <w:p w14:paraId="35457DE6">
      <w:pPr>
        <w:pageBreakBefore/>
        <w:spacing w:line="360" w:lineRule="auto"/>
        <w:jc w:val="center"/>
        <w:rPr>
          <w:rFonts w:ascii="宋体" w:hAnsi="宋体" w:cs="宋体"/>
          <w:color w:val="auto"/>
          <w:sz w:val="24"/>
          <w:highlight w:val="none"/>
        </w:rPr>
      </w:pPr>
      <w:r>
        <w:rPr>
          <w:rFonts w:hint="eastAsia" w:ascii="宋体" w:hAnsi="宋体" w:cs="宋体"/>
          <w:color w:val="auto"/>
          <w:sz w:val="24"/>
          <w:highlight w:val="none"/>
        </w:rPr>
        <w:t>信用反担保保证函</w:t>
      </w:r>
    </w:p>
    <w:p w14:paraId="40887994">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0E77168A">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457E5BD1">
      <w:pPr>
        <w:spacing w:line="520" w:lineRule="exact"/>
        <w:ind w:firstLine="482"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272D32BB">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6E6D15BC">
      <w:pPr>
        <w:spacing w:line="520" w:lineRule="exact"/>
        <w:ind w:firstLine="600" w:firstLineChars="250"/>
        <w:outlineLvl w:val="1"/>
        <w:rPr>
          <w:rFonts w:ascii="宋体" w:hAnsi="宋体" w:cs="宋体"/>
          <w:color w:val="auto"/>
          <w:sz w:val="24"/>
          <w:highlight w:val="none"/>
        </w:rPr>
      </w:pPr>
      <w:bookmarkStart w:id="404" w:name="_Toc17789"/>
      <w:bookmarkStart w:id="405" w:name="_Toc29731"/>
      <w:bookmarkStart w:id="406" w:name="_Toc30209"/>
      <w:bookmarkStart w:id="407" w:name="_Toc30712"/>
      <w:r>
        <w:rPr>
          <w:rFonts w:hint="eastAsia" w:ascii="宋体" w:hAnsi="宋体" w:cs="宋体"/>
          <w:color w:val="auto"/>
          <w:sz w:val="24"/>
          <w:highlight w:val="none"/>
        </w:rPr>
        <w:t>一、 本信用反担保保证人同意承担的保证范围：</w:t>
      </w:r>
      <w:bookmarkEnd w:id="404"/>
      <w:bookmarkEnd w:id="405"/>
      <w:bookmarkEnd w:id="406"/>
      <w:bookmarkEnd w:id="407"/>
    </w:p>
    <w:p w14:paraId="2DF76E33">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38A3A8F5">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6A1EB656">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13812289">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16FAA05B">
      <w:pPr>
        <w:spacing w:line="520" w:lineRule="exact"/>
        <w:ind w:left="560"/>
        <w:outlineLvl w:val="1"/>
        <w:rPr>
          <w:rFonts w:ascii="宋体" w:hAnsi="宋体" w:cs="宋体"/>
          <w:color w:val="auto"/>
          <w:sz w:val="24"/>
          <w:highlight w:val="none"/>
        </w:rPr>
      </w:pPr>
      <w:bookmarkStart w:id="408" w:name="_Toc12610"/>
      <w:bookmarkStart w:id="409" w:name="_Toc32127"/>
      <w:bookmarkStart w:id="410" w:name="_Toc24611"/>
      <w:bookmarkStart w:id="411" w:name="_Toc28765"/>
      <w:r>
        <w:rPr>
          <w:rFonts w:hint="eastAsia" w:ascii="宋体" w:hAnsi="宋体" w:cs="宋体"/>
          <w:color w:val="auto"/>
          <w:sz w:val="24"/>
          <w:highlight w:val="none"/>
        </w:rPr>
        <w:t>四、本信用反担保保证人放弃反担保措施的优先偿债抗辩权。</w:t>
      </w:r>
      <w:bookmarkEnd w:id="408"/>
      <w:bookmarkEnd w:id="409"/>
      <w:bookmarkEnd w:id="410"/>
      <w:bookmarkEnd w:id="411"/>
    </w:p>
    <w:p w14:paraId="2DEE3CD6">
      <w:pPr>
        <w:spacing w:line="520" w:lineRule="exact"/>
        <w:rPr>
          <w:rFonts w:ascii="宋体" w:hAnsi="宋体" w:cs="宋体"/>
          <w:color w:val="auto"/>
          <w:sz w:val="24"/>
          <w:highlight w:val="none"/>
        </w:rPr>
      </w:pPr>
    </w:p>
    <w:p w14:paraId="69D7F0FD">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C39761A">
      <w:pPr>
        <w:spacing w:line="520" w:lineRule="exact"/>
        <w:ind w:left="4680" w:hanging="4680" w:hangingChars="1950"/>
        <w:rPr>
          <w:rFonts w:ascii="宋体" w:hAnsi="宋体" w:cs="宋体"/>
          <w:color w:val="auto"/>
          <w:sz w:val="24"/>
          <w:highlight w:val="none"/>
        </w:rPr>
      </w:pPr>
    </w:p>
    <w:p w14:paraId="2924B672">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2E7EEA87">
      <w:pPr>
        <w:spacing w:line="360" w:lineRule="auto"/>
        <w:rPr>
          <w:rFonts w:ascii="宋体" w:hAnsi="宋体" w:cs="宋体"/>
          <w:color w:val="auto"/>
          <w:sz w:val="24"/>
          <w:highlight w:val="none"/>
        </w:rPr>
      </w:pPr>
    </w:p>
    <w:p w14:paraId="6AE60182">
      <w:pPr>
        <w:pStyle w:val="16"/>
        <w:ind w:firstLine="600"/>
        <w:rPr>
          <w:color w:val="auto"/>
          <w:highlight w:val="none"/>
        </w:rPr>
      </w:pPr>
    </w:p>
    <w:p w14:paraId="6375D592">
      <w:pPr>
        <w:pStyle w:val="3"/>
        <w:keepNext w:val="0"/>
        <w:keepLines w:val="0"/>
        <w:pageBreakBefore/>
        <w:rPr>
          <w:rFonts w:hint="eastAsia" w:ascii="宋体" w:hAnsi="宋体" w:eastAsia="宋体" w:cs="宋体"/>
          <w:b w:val="0"/>
          <w:color w:val="auto"/>
          <w:sz w:val="24"/>
          <w:highlight w:val="none"/>
        </w:rPr>
      </w:pPr>
      <w:bookmarkStart w:id="412" w:name="_Toc13340"/>
      <w:bookmarkStart w:id="413" w:name="_Toc17381"/>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二十</w:t>
      </w:r>
      <w:r>
        <w:rPr>
          <w:rFonts w:hint="eastAsia" w:ascii="宋体" w:hAnsi="宋体" w:eastAsia="宋体" w:cs="宋体"/>
          <w:b w:val="0"/>
          <w:color w:val="auto"/>
          <w:sz w:val="24"/>
          <w:highlight w:val="none"/>
        </w:rPr>
        <w:t>：质疑函范本</w:t>
      </w:r>
      <w:bookmarkEnd w:id="401"/>
      <w:bookmarkEnd w:id="402"/>
      <w:bookmarkEnd w:id="403"/>
      <w:bookmarkEnd w:id="412"/>
      <w:bookmarkEnd w:id="413"/>
    </w:p>
    <w:p w14:paraId="312B84AF">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6D900B00">
      <w:pPr>
        <w:adjustRightInd w:val="0"/>
        <w:snapToGrid w:val="0"/>
        <w:spacing w:before="240" w:beforeLines="100" w:line="360" w:lineRule="auto"/>
        <w:outlineLvl w:val="1"/>
        <w:rPr>
          <w:rFonts w:hint="eastAsia" w:ascii="宋体" w:hAnsi="宋体" w:eastAsia="宋体" w:cs="宋体"/>
          <w:bCs/>
          <w:color w:val="auto"/>
          <w:sz w:val="28"/>
          <w:szCs w:val="28"/>
          <w:highlight w:val="none"/>
        </w:rPr>
      </w:pPr>
      <w:bookmarkStart w:id="414" w:name="_Toc2390"/>
      <w:bookmarkStart w:id="415" w:name="_Toc6071"/>
      <w:bookmarkStart w:id="416" w:name="_Toc18036"/>
      <w:bookmarkStart w:id="417" w:name="_Toc15644"/>
      <w:r>
        <w:rPr>
          <w:rFonts w:hint="eastAsia" w:ascii="宋体" w:hAnsi="宋体" w:eastAsia="宋体" w:cs="宋体"/>
          <w:bCs/>
          <w:color w:val="auto"/>
          <w:sz w:val="32"/>
          <w:szCs w:val="32"/>
          <w:highlight w:val="none"/>
        </w:rPr>
        <w:t>一</w:t>
      </w:r>
      <w:r>
        <w:rPr>
          <w:rFonts w:hint="eastAsia" w:ascii="宋体" w:hAnsi="宋体" w:eastAsia="宋体" w:cs="宋体"/>
          <w:bCs/>
          <w:color w:val="auto"/>
          <w:sz w:val="28"/>
          <w:szCs w:val="28"/>
          <w:highlight w:val="none"/>
        </w:rPr>
        <w:t>、质疑供应商基本信息</w:t>
      </w:r>
      <w:bookmarkEnd w:id="414"/>
      <w:bookmarkEnd w:id="415"/>
      <w:bookmarkEnd w:id="416"/>
      <w:bookmarkEnd w:id="417"/>
    </w:p>
    <w:p w14:paraId="46B7FF49">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14:paraId="34E291E2">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3AAB74B9">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3E8BE2E6">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14:paraId="57A4E873">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045C3451">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3756F39C">
      <w:pPr>
        <w:adjustRightInd w:val="0"/>
        <w:snapToGrid w:val="0"/>
        <w:spacing w:line="360" w:lineRule="auto"/>
        <w:outlineLvl w:val="1"/>
        <w:rPr>
          <w:rFonts w:hint="eastAsia" w:ascii="宋体" w:hAnsi="宋体" w:eastAsia="宋体" w:cs="宋体"/>
          <w:bCs/>
          <w:color w:val="auto"/>
          <w:sz w:val="28"/>
          <w:szCs w:val="28"/>
          <w:highlight w:val="none"/>
        </w:rPr>
      </w:pPr>
      <w:bookmarkStart w:id="418" w:name="_Toc2736"/>
      <w:bookmarkStart w:id="419" w:name="_Toc22467"/>
      <w:bookmarkStart w:id="420" w:name="_Toc25925"/>
      <w:bookmarkStart w:id="421" w:name="_Toc2446"/>
      <w:r>
        <w:rPr>
          <w:rFonts w:hint="eastAsia" w:ascii="宋体" w:hAnsi="宋体" w:eastAsia="宋体" w:cs="宋体"/>
          <w:bCs/>
          <w:color w:val="auto"/>
          <w:sz w:val="28"/>
          <w:szCs w:val="28"/>
          <w:highlight w:val="none"/>
        </w:rPr>
        <w:t>二、质疑项目基本情况</w:t>
      </w:r>
      <w:bookmarkEnd w:id="418"/>
      <w:bookmarkEnd w:id="419"/>
      <w:bookmarkEnd w:id="420"/>
      <w:bookmarkEnd w:id="421"/>
    </w:p>
    <w:p w14:paraId="2F8F8BA3">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14:paraId="048E1C25">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264AA343">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p>
    <w:p w14:paraId="77AB57CB">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14:paraId="6C310CA8">
      <w:pPr>
        <w:adjustRightInd w:val="0"/>
        <w:snapToGrid w:val="0"/>
        <w:spacing w:line="360" w:lineRule="auto"/>
        <w:outlineLvl w:val="1"/>
        <w:rPr>
          <w:rFonts w:hint="eastAsia" w:ascii="宋体" w:hAnsi="宋体" w:eastAsia="宋体" w:cs="宋体"/>
          <w:bCs/>
          <w:color w:val="auto"/>
          <w:sz w:val="28"/>
          <w:szCs w:val="28"/>
          <w:highlight w:val="none"/>
        </w:rPr>
      </w:pPr>
      <w:bookmarkStart w:id="422" w:name="_Toc12502"/>
      <w:bookmarkStart w:id="423" w:name="_Toc8969"/>
      <w:bookmarkStart w:id="424" w:name="_Toc31690"/>
      <w:bookmarkStart w:id="425" w:name="_Toc32481"/>
      <w:r>
        <w:rPr>
          <w:rFonts w:hint="eastAsia" w:ascii="宋体" w:hAnsi="宋体" w:eastAsia="宋体" w:cs="宋体"/>
          <w:bCs/>
          <w:color w:val="auto"/>
          <w:sz w:val="28"/>
          <w:szCs w:val="28"/>
          <w:highlight w:val="none"/>
        </w:rPr>
        <w:t>三、质疑事项具体内容</w:t>
      </w:r>
      <w:bookmarkEnd w:id="422"/>
      <w:bookmarkEnd w:id="423"/>
      <w:bookmarkEnd w:id="424"/>
      <w:bookmarkEnd w:id="425"/>
    </w:p>
    <w:p w14:paraId="45632934">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14:paraId="13242542">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69CA29E2">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14:paraId="48C46BBD">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11260B81">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5D0E2C96">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69F122FB">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5F748835">
      <w:pPr>
        <w:adjustRightInd w:val="0"/>
        <w:snapToGrid w:val="0"/>
        <w:spacing w:line="360" w:lineRule="auto"/>
        <w:outlineLvl w:val="1"/>
        <w:rPr>
          <w:rFonts w:hint="eastAsia" w:ascii="宋体" w:hAnsi="宋体" w:eastAsia="宋体" w:cs="宋体"/>
          <w:bCs/>
          <w:color w:val="auto"/>
          <w:sz w:val="28"/>
          <w:szCs w:val="28"/>
          <w:highlight w:val="none"/>
        </w:rPr>
      </w:pPr>
      <w:bookmarkStart w:id="426" w:name="_Toc11495"/>
      <w:bookmarkStart w:id="427" w:name="_Toc31409"/>
      <w:bookmarkStart w:id="428" w:name="_Toc21436"/>
      <w:bookmarkStart w:id="429" w:name="_Toc27625"/>
      <w:r>
        <w:rPr>
          <w:rFonts w:hint="eastAsia" w:ascii="宋体" w:hAnsi="宋体" w:eastAsia="宋体" w:cs="宋体"/>
          <w:bCs/>
          <w:color w:val="auto"/>
          <w:sz w:val="28"/>
          <w:szCs w:val="28"/>
          <w:highlight w:val="none"/>
        </w:rPr>
        <w:t>四、与质疑事项相关的质疑请求</w:t>
      </w:r>
      <w:bookmarkEnd w:id="426"/>
      <w:bookmarkEnd w:id="427"/>
      <w:bookmarkEnd w:id="428"/>
      <w:bookmarkEnd w:id="429"/>
    </w:p>
    <w:p w14:paraId="647A76C2">
      <w:pPr>
        <w:adjustRightInd w:val="0"/>
        <w:snapToGrid w:val="0"/>
        <w:spacing w:line="360"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14:paraId="19A5CC1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签章</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 xml:space="preserve">：                   公章：                      </w:t>
      </w:r>
    </w:p>
    <w:p w14:paraId="62DBF06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724FAA1D">
      <w:pPr>
        <w:rPr>
          <w:rFonts w:hint="eastAsia" w:ascii="宋体" w:hAnsi="宋体" w:eastAsia="宋体" w:cs="宋体"/>
          <w:b/>
          <w:color w:val="auto"/>
          <w:sz w:val="28"/>
          <w:szCs w:val="28"/>
          <w:highlight w:val="none"/>
        </w:rPr>
      </w:pPr>
    </w:p>
    <w:p w14:paraId="0E112CC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6C1FFDF1">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50824E4">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82DFCA4">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4CA666C">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FA4712C">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604D3BC">
      <w:pPr>
        <w:widowControl/>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8A1B090">
      <w:pPr>
        <w:rPr>
          <w:rFonts w:hint="eastAsia" w:ascii="宋体" w:hAnsi="宋体" w:eastAsia="宋体" w:cs="宋体"/>
          <w:color w:val="auto"/>
          <w:sz w:val="20"/>
          <w:szCs w:val="22"/>
          <w:highlight w:val="none"/>
        </w:rPr>
      </w:pPr>
    </w:p>
    <w:p w14:paraId="0DCADB82">
      <w:pPr>
        <w:pStyle w:val="16"/>
        <w:ind w:firstLine="560"/>
        <w:rPr>
          <w:rFonts w:hint="eastAsia" w:ascii="宋体" w:hAnsi="宋体" w:eastAsia="宋体" w:cs="宋体"/>
          <w:color w:val="auto"/>
          <w:sz w:val="28"/>
          <w:szCs w:val="22"/>
          <w:highlight w:val="none"/>
        </w:rPr>
      </w:pPr>
    </w:p>
    <w:p w14:paraId="1E728B88">
      <w:pPr>
        <w:pStyle w:val="29"/>
        <w:rPr>
          <w:rFonts w:hint="eastAsia" w:ascii="宋体" w:hAnsi="宋体" w:eastAsia="宋体" w:cs="宋体"/>
          <w:color w:val="auto"/>
          <w:sz w:val="20"/>
          <w:szCs w:val="22"/>
          <w:highlight w:val="none"/>
        </w:rPr>
      </w:pPr>
    </w:p>
    <w:p w14:paraId="4714DFD8">
      <w:pPr>
        <w:rPr>
          <w:rFonts w:hint="eastAsia" w:ascii="宋体" w:hAnsi="宋体" w:eastAsia="宋体" w:cs="宋体"/>
          <w:color w:val="auto"/>
          <w:sz w:val="20"/>
          <w:szCs w:val="22"/>
          <w:highlight w:val="none"/>
        </w:rPr>
      </w:pPr>
    </w:p>
    <w:p w14:paraId="0F6AF6B2">
      <w:pPr>
        <w:pStyle w:val="3"/>
        <w:keepNext w:val="0"/>
        <w:keepLines w:val="0"/>
        <w:pageBreakBefore/>
        <w:rPr>
          <w:rFonts w:hint="eastAsia" w:ascii="宋体" w:hAnsi="宋体" w:eastAsia="宋体" w:cs="宋体"/>
          <w:b w:val="0"/>
          <w:color w:val="auto"/>
          <w:sz w:val="24"/>
          <w:highlight w:val="none"/>
        </w:rPr>
      </w:pPr>
      <w:bookmarkStart w:id="430" w:name="_Toc28792"/>
      <w:bookmarkStart w:id="431" w:name="_Toc25124"/>
      <w:bookmarkStart w:id="432" w:name="_Toc32533"/>
      <w:bookmarkStart w:id="433" w:name="_Toc7792"/>
      <w:bookmarkStart w:id="434" w:name="_Toc22022"/>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二十一</w:t>
      </w:r>
      <w:r>
        <w:rPr>
          <w:rFonts w:hint="eastAsia" w:ascii="宋体" w:hAnsi="宋体" w:eastAsia="宋体" w:cs="宋体"/>
          <w:b w:val="0"/>
          <w:color w:val="auto"/>
          <w:sz w:val="24"/>
          <w:highlight w:val="none"/>
        </w:rPr>
        <w:t>：投诉书范本</w:t>
      </w:r>
      <w:bookmarkEnd w:id="430"/>
      <w:bookmarkEnd w:id="431"/>
      <w:bookmarkEnd w:id="432"/>
      <w:bookmarkEnd w:id="433"/>
      <w:bookmarkEnd w:id="434"/>
    </w:p>
    <w:p w14:paraId="2B2B9098">
      <w:pPr>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投诉书范本</w:t>
      </w:r>
    </w:p>
    <w:p w14:paraId="07087211">
      <w:pPr>
        <w:outlineLvl w:val="1"/>
        <w:rPr>
          <w:rFonts w:hint="eastAsia" w:ascii="宋体" w:hAnsi="宋体" w:eastAsia="宋体" w:cs="宋体"/>
          <w:color w:val="auto"/>
          <w:sz w:val="28"/>
          <w:szCs w:val="28"/>
          <w:highlight w:val="none"/>
        </w:rPr>
      </w:pPr>
      <w:bookmarkStart w:id="435" w:name="_Toc25696"/>
      <w:bookmarkStart w:id="436" w:name="_Toc4215"/>
      <w:bookmarkStart w:id="437" w:name="_Toc27338"/>
      <w:bookmarkStart w:id="438" w:name="_Toc2312"/>
      <w:r>
        <w:rPr>
          <w:rFonts w:hint="eastAsia" w:ascii="宋体" w:hAnsi="宋体" w:eastAsia="宋体" w:cs="宋体"/>
          <w:color w:val="auto"/>
          <w:sz w:val="28"/>
          <w:szCs w:val="28"/>
          <w:highlight w:val="none"/>
        </w:rPr>
        <w:t>一、投诉相关主体基本情况</w:t>
      </w:r>
      <w:bookmarkEnd w:id="435"/>
      <w:bookmarkEnd w:id="436"/>
      <w:bookmarkEnd w:id="437"/>
      <w:bookmarkEnd w:id="438"/>
    </w:p>
    <w:p w14:paraId="0C91A175">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14:paraId="59CE188A">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14E53FB6">
      <w:pPr>
        <w:tabs>
          <w:tab w:val="left" w:pos="6510"/>
        </w:tabs>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4B22E1AE">
      <w:pPr>
        <w:tabs>
          <w:tab w:val="left" w:pos="6510"/>
        </w:tabs>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07F0423C">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6BBA303C">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14:paraId="711B0A09">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606FCDCE">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FA6A86C">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7D0F15F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14:paraId="629641D7">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72CC0B2D">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5162327">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48290F3E">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1DD9196D">
      <w:pPr>
        <w:outlineLvl w:val="1"/>
        <w:rPr>
          <w:rFonts w:hint="eastAsia" w:ascii="宋体" w:hAnsi="宋体" w:eastAsia="宋体" w:cs="宋体"/>
          <w:color w:val="auto"/>
          <w:sz w:val="28"/>
          <w:szCs w:val="28"/>
          <w:highlight w:val="none"/>
        </w:rPr>
      </w:pPr>
      <w:bookmarkStart w:id="439" w:name="_Toc16805"/>
      <w:bookmarkStart w:id="440" w:name="_Toc1956"/>
      <w:bookmarkStart w:id="441" w:name="_Toc10631"/>
      <w:bookmarkStart w:id="442" w:name="_Toc1907"/>
      <w:r>
        <w:rPr>
          <w:rFonts w:hint="eastAsia" w:ascii="宋体" w:hAnsi="宋体" w:eastAsia="宋体" w:cs="宋体"/>
          <w:color w:val="auto"/>
          <w:sz w:val="28"/>
          <w:szCs w:val="28"/>
          <w:highlight w:val="none"/>
        </w:rPr>
        <w:t>二、投诉项目基本情况</w:t>
      </w:r>
      <w:bookmarkEnd w:id="439"/>
      <w:bookmarkEnd w:id="440"/>
      <w:bookmarkEnd w:id="441"/>
      <w:bookmarkEnd w:id="442"/>
    </w:p>
    <w:p w14:paraId="628F9536">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p>
    <w:p w14:paraId="5FE28C28">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457EEC6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11E818F8">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14:paraId="464A0C25">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51A76F7B">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65945001">
      <w:pPr>
        <w:outlineLvl w:val="1"/>
        <w:rPr>
          <w:rFonts w:hint="eastAsia" w:ascii="宋体" w:hAnsi="宋体" w:eastAsia="宋体" w:cs="宋体"/>
          <w:color w:val="auto"/>
          <w:sz w:val="28"/>
          <w:szCs w:val="28"/>
          <w:highlight w:val="none"/>
        </w:rPr>
      </w:pPr>
      <w:bookmarkStart w:id="443" w:name="_Toc22339"/>
      <w:bookmarkStart w:id="444" w:name="_Toc1410"/>
      <w:bookmarkStart w:id="445" w:name="_Toc3477"/>
      <w:bookmarkStart w:id="446" w:name="_Toc19230"/>
      <w:r>
        <w:rPr>
          <w:rFonts w:hint="eastAsia" w:ascii="宋体" w:hAnsi="宋体" w:eastAsia="宋体" w:cs="宋体"/>
          <w:color w:val="auto"/>
          <w:sz w:val="28"/>
          <w:szCs w:val="28"/>
          <w:highlight w:val="none"/>
        </w:rPr>
        <w:t>三、质疑基本情况</w:t>
      </w:r>
      <w:bookmarkEnd w:id="443"/>
      <w:bookmarkEnd w:id="444"/>
      <w:bookmarkEnd w:id="445"/>
      <w:bookmarkEnd w:id="446"/>
    </w:p>
    <w:p w14:paraId="59A48278">
      <w:pPr>
        <w:ind w:firstLine="560" w:firstLineChars="200"/>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14:paraId="3EBCA639">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6156B2E9">
      <w:pPr>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采购人/代理机构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就质疑事项作出了答复/没有在法定期限内作出答复。</w:t>
      </w:r>
    </w:p>
    <w:p w14:paraId="31BD2959">
      <w:pPr>
        <w:outlineLvl w:val="1"/>
        <w:rPr>
          <w:rFonts w:hint="eastAsia" w:ascii="宋体" w:hAnsi="宋体" w:eastAsia="宋体" w:cs="宋体"/>
          <w:color w:val="auto"/>
          <w:sz w:val="28"/>
          <w:szCs w:val="28"/>
          <w:highlight w:val="none"/>
        </w:rPr>
      </w:pPr>
      <w:bookmarkStart w:id="447" w:name="_Toc5881"/>
      <w:bookmarkStart w:id="448" w:name="_Toc17680"/>
      <w:bookmarkStart w:id="449" w:name="_Toc13736"/>
      <w:bookmarkStart w:id="450" w:name="_Toc14175"/>
      <w:r>
        <w:rPr>
          <w:rFonts w:hint="eastAsia" w:ascii="宋体" w:hAnsi="宋体" w:eastAsia="宋体" w:cs="宋体"/>
          <w:color w:val="auto"/>
          <w:sz w:val="28"/>
          <w:szCs w:val="28"/>
          <w:highlight w:val="none"/>
        </w:rPr>
        <w:t>四、投诉事项具体内容</w:t>
      </w:r>
      <w:bookmarkEnd w:id="447"/>
      <w:bookmarkEnd w:id="448"/>
      <w:bookmarkEnd w:id="449"/>
      <w:bookmarkEnd w:id="450"/>
    </w:p>
    <w:p w14:paraId="06FE4EBC">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14:paraId="0D5058F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46302EEE">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3DE9B03D">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2291CC18">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1628721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14:paraId="111FFB68">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5C2A542E">
      <w:pPr>
        <w:outlineLvl w:val="1"/>
        <w:rPr>
          <w:rFonts w:hint="eastAsia" w:ascii="宋体" w:hAnsi="宋体" w:eastAsia="宋体" w:cs="宋体"/>
          <w:color w:val="auto"/>
          <w:sz w:val="28"/>
          <w:szCs w:val="28"/>
          <w:highlight w:val="none"/>
        </w:rPr>
      </w:pPr>
      <w:bookmarkStart w:id="451" w:name="_Toc31105"/>
      <w:bookmarkStart w:id="452" w:name="_Toc1942"/>
      <w:bookmarkStart w:id="453" w:name="_Toc30630"/>
      <w:bookmarkStart w:id="454" w:name="_Toc1581"/>
      <w:r>
        <w:rPr>
          <w:rFonts w:hint="eastAsia" w:ascii="宋体" w:hAnsi="宋体" w:eastAsia="宋体" w:cs="宋体"/>
          <w:color w:val="auto"/>
          <w:sz w:val="28"/>
          <w:szCs w:val="28"/>
          <w:highlight w:val="none"/>
        </w:rPr>
        <w:t>五、与投诉事项相关的投诉请求</w:t>
      </w:r>
      <w:bookmarkEnd w:id="451"/>
      <w:bookmarkEnd w:id="452"/>
      <w:bookmarkEnd w:id="453"/>
      <w:bookmarkEnd w:id="454"/>
    </w:p>
    <w:p w14:paraId="0D34391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26771C6D">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703DF55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签章</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 xml:space="preserve">：                   公章：                      </w:t>
      </w:r>
    </w:p>
    <w:p w14:paraId="7939C49A">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005B5F79">
      <w:pPr>
        <w:rPr>
          <w:rFonts w:hint="eastAsia" w:ascii="宋体" w:hAnsi="宋体" w:eastAsia="宋体" w:cs="宋体"/>
          <w:b/>
          <w:color w:val="auto"/>
          <w:sz w:val="28"/>
          <w:szCs w:val="28"/>
          <w:highlight w:val="none"/>
        </w:rPr>
      </w:pPr>
    </w:p>
    <w:p w14:paraId="59610EB8">
      <w:pPr>
        <w:rPr>
          <w:rFonts w:hint="eastAsia" w:ascii="宋体" w:hAnsi="宋体" w:eastAsia="宋体" w:cs="宋体"/>
          <w:b/>
          <w:color w:val="auto"/>
          <w:sz w:val="28"/>
          <w:szCs w:val="28"/>
          <w:highlight w:val="none"/>
        </w:rPr>
      </w:pPr>
    </w:p>
    <w:p w14:paraId="25DC801D">
      <w:pPr>
        <w:rPr>
          <w:rFonts w:hint="eastAsia" w:ascii="宋体" w:hAnsi="宋体" w:eastAsia="宋体" w:cs="宋体"/>
          <w:b/>
          <w:color w:val="auto"/>
          <w:sz w:val="28"/>
          <w:szCs w:val="28"/>
          <w:highlight w:val="none"/>
        </w:rPr>
      </w:pPr>
    </w:p>
    <w:p w14:paraId="7ADB0273">
      <w:pPr>
        <w:rPr>
          <w:rFonts w:hint="eastAsia" w:ascii="宋体" w:hAnsi="宋体" w:eastAsia="宋体" w:cs="宋体"/>
          <w:b/>
          <w:color w:val="auto"/>
          <w:sz w:val="28"/>
          <w:szCs w:val="28"/>
          <w:highlight w:val="none"/>
        </w:rPr>
      </w:pPr>
    </w:p>
    <w:p w14:paraId="0B95BF5C">
      <w:pPr>
        <w:rPr>
          <w:rFonts w:hint="eastAsia" w:ascii="宋体" w:hAnsi="宋体" w:eastAsia="宋体" w:cs="宋体"/>
          <w:b/>
          <w:color w:val="auto"/>
          <w:sz w:val="28"/>
          <w:szCs w:val="28"/>
          <w:highlight w:val="none"/>
        </w:rPr>
      </w:pPr>
    </w:p>
    <w:p w14:paraId="1197189D">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2351160">
      <w:pPr>
        <w:widowControl/>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A80D893">
      <w:pPr>
        <w:widowControl/>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79E0B33">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2D1A238B">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E1C97F6">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3A95BDF">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2309FE6">
      <w:pPr>
        <w:widowControl/>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16F92D9">
      <w:pPr>
        <w:pStyle w:val="17"/>
        <w:rPr>
          <w:rFonts w:hint="eastAsia" w:ascii="宋体" w:hAnsi="宋体" w:eastAsia="宋体" w:cs="宋体"/>
          <w:color w:val="auto"/>
          <w:sz w:val="24"/>
          <w:highlight w:val="none"/>
        </w:rPr>
      </w:pPr>
    </w:p>
    <w:p w14:paraId="1DBD1745">
      <w:pPr>
        <w:rPr>
          <w:rFonts w:hint="eastAsia" w:ascii="宋体" w:hAnsi="宋体" w:eastAsia="宋体" w:cs="宋体"/>
          <w:color w:val="auto"/>
          <w:sz w:val="24"/>
          <w:highlight w:val="none"/>
        </w:rPr>
      </w:pPr>
    </w:p>
    <w:p w14:paraId="0AA21168">
      <w:pPr>
        <w:pStyle w:val="17"/>
        <w:rPr>
          <w:rFonts w:hint="eastAsia" w:ascii="宋体" w:hAnsi="宋体" w:eastAsia="宋体" w:cs="宋体"/>
          <w:color w:val="auto"/>
          <w:sz w:val="24"/>
          <w:highlight w:val="none"/>
        </w:rPr>
      </w:pPr>
    </w:p>
    <w:p w14:paraId="32486A87">
      <w:pPr>
        <w:rPr>
          <w:rFonts w:hint="eastAsia" w:ascii="宋体" w:hAnsi="宋体" w:eastAsia="宋体" w:cs="宋体"/>
          <w:color w:val="auto"/>
          <w:sz w:val="24"/>
          <w:highlight w:val="none"/>
        </w:rPr>
      </w:pPr>
    </w:p>
    <w:p w14:paraId="11188C34">
      <w:pPr>
        <w:pStyle w:val="17"/>
        <w:rPr>
          <w:rFonts w:hint="eastAsia" w:ascii="宋体" w:hAnsi="宋体" w:eastAsia="宋体" w:cs="宋体"/>
          <w:color w:val="auto"/>
          <w:sz w:val="24"/>
          <w:highlight w:val="none"/>
        </w:rPr>
      </w:pPr>
    </w:p>
    <w:p w14:paraId="4570CDAC">
      <w:pPr>
        <w:rPr>
          <w:rFonts w:hint="eastAsia" w:ascii="宋体" w:hAnsi="宋体" w:eastAsia="宋体" w:cs="宋体"/>
          <w:color w:val="auto"/>
          <w:sz w:val="24"/>
          <w:highlight w:val="none"/>
        </w:rPr>
      </w:pPr>
    </w:p>
    <w:p w14:paraId="7DED99F0">
      <w:pPr>
        <w:pStyle w:val="17"/>
        <w:rPr>
          <w:rFonts w:hint="eastAsia" w:ascii="宋体" w:hAnsi="宋体" w:eastAsia="宋体" w:cs="宋体"/>
          <w:color w:val="auto"/>
          <w:sz w:val="24"/>
          <w:highlight w:val="none"/>
        </w:rPr>
      </w:pPr>
    </w:p>
    <w:p w14:paraId="3D8A0772">
      <w:pPr>
        <w:rPr>
          <w:rFonts w:hint="eastAsia" w:ascii="宋体" w:hAnsi="宋体" w:eastAsia="宋体" w:cs="宋体"/>
          <w:color w:val="auto"/>
          <w:sz w:val="24"/>
          <w:highlight w:val="none"/>
        </w:rPr>
      </w:pPr>
    </w:p>
    <w:p w14:paraId="2D7E9643">
      <w:pPr>
        <w:pStyle w:val="17"/>
        <w:rPr>
          <w:rFonts w:hint="eastAsia" w:ascii="宋体" w:hAnsi="宋体" w:eastAsia="宋体" w:cs="宋体"/>
          <w:color w:val="auto"/>
          <w:sz w:val="24"/>
          <w:highlight w:val="none"/>
        </w:rPr>
      </w:pPr>
    </w:p>
    <w:p w14:paraId="5B0F7DC1">
      <w:pPr>
        <w:rPr>
          <w:rFonts w:hint="eastAsia" w:ascii="宋体" w:hAnsi="宋体" w:eastAsia="宋体" w:cs="宋体"/>
          <w:color w:val="auto"/>
          <w:sz w:val="24"/>
          <w:highlight w:val="none"/>
        </w:rPr>
      </w:pPr>
    </w:p>
    <w:p w14:paraId="294AF9CD">
      <w:pPr>
        <w:pStyle w:val="17"/>
        <w:rPr>
          <w:rFonts w:hint="eastAsia" w:ascii="宋体" w:hAnsi="宋体" w:eastAsia="宋体" w:cs="宋体"/>
          <w:color w:val="auto"/>
          <w:sz w:val="24"/>
          <w:highlight w:val="none"/>
        </w:rPr>
      </w:pPr>
    </w:p>
    <w:p w14:paraId="5AFC27A0">
      <w:pPr>
        <w:rPr>
          <w:rFonts w:hint="eastAsia" w:ascii="宋体" w:hAnsi="宋体" w:eastAsia="宋体" w:cs="宋体"/>
          <w:color w:val="auto"/>
          <w:sz w:val="24"/>
          <w:highlight w:val="none"/>
        </w:rPr>
      </w:pPr>
    </w:p>
    <w:p w14:paraId="1E1D1E5C">
      <w:pPr>
        <w:pStyle w:val="17"/>
        <w:rPr>
          <w:rFonts w:hint="eastAsia" w:ascii="宋体" w:hAnsi="宋体" w:eastAsia="宋体" w:cs="宋体"/>
          <w:color w:val="auto"/>
          <w:sz w:val="24"/>
          <w:highlight w:val="none"/>
        </w:rPr>
      </w:pPr>
    </w:p>
    <w:p w14:paraId="6318D9DC">
      <w:pPr>
        <w:rPr>
          <w:rFonts w:hint="eastAsia" w:ascii="宋体" w:hAnsi="宋体" w:eastAsia="宋体" w:cs="宋体"/>
          <w:color w:val="auto"/>
          <w:sz w:val="24"/>
          <w:highlight w:val="none"/>
        </w:rPr>
      </w:pPr>
    </w:p>
    <w:p w14:paraId="09958563">
      <w:pPr>
        <w:pStyle w:val="17"/>
        <w:rPr>
          <w:rFonts w:hint="eastAsia" w:ascii="宋体" w:hAnsi="宋体" w:eastAsia="宋体" w:cs="宋体"/>
          <w:color w:val="auto"/>
          <w:sz w:val="24"/>
          <w:highlight w:val="none"/>
        </w:rPr>
      </w:pPr>
    </w:p>
    <w:p w14:paraId="7B19C4B0">
      <w:pPr>
        <w:pStyle w:val="29"/>
        <w:ind w:left="0" w:leftChars="0"/>
        <w:rPr>
          <w:rFonts w:hint="eastAsia" w:ascii="宋体" w:hAnsi="宋体" w:eastAsia="宋体" w:cs="宋体"/>
          <w:color w:val="auto"/>
          <w:highlight w:val="none"/>
        </w:rPr>
      </w:pPr>
    </w:p>
    <w:p w14:paraId="688A07AA">
      <w:pPr>
        <w:pStyle w:val="29"/>
        <w:ind w:left="0" w:leftChars="0"/>
        <w:rPr>
          <w:rFonts w:hint="eastAsia" w:ascii="宋体" w:hAnsi="宋体" w:eastAsia="宋体" w:cs="宋体"/>
          <w:color w:val="auto"/>
          <w:highlight w:val="none"/>
        </w:rPr>
      </w:pPr>
    </w:p>
    <w:sectPr>
      <w:headerReference r:id="rId8" w:type="first"/>
      <w:headerReference r:id="rId7" w:type="default"/>
      <w:footerReference r:id="rId9" w:type="default"/>
      <w:footerReference r:id="rId10" w:type="even"/>
      <w:pgSz w:w="11906" w:h="16838"/>
      <w:pgMar w:top="1134" w:right="1247" w:bottom="1134" w:left="1247" w:header="851" w:footer="907"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auto"/>
    <w:pitch w:val="default"/>
    <w:sig w:usb0="00000000" w:usb1="00000000" w:usb2="00000000"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3D5A6">
    <w:pPr>
      <w:pStyle w:val="24"/>
      <w:jc w:val="center"/>
      <w:rPr>
        <w:rFonts w:ascii="仿宋_GB2312" w:eastAsia="仿宋_GB2312"/>
      </w:rPr>
    </w:pPr>
  </w:p>
  <w:p w14:paraId="13C183F2">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F19EF">
    <w:pPr>
      <w:pStyle w:val="24"/>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D4A64">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2AD4A64">
                    <w:pPr>
                      <w:pStyle w:val="24"/>
                    </w:pPr>
                    <w:r>
                      <w:fldChar w:fldCharType="begin"/>
                    </w:r>
                    <w:r>
                      <w:instrText xml:space="preserve"> PAGE  \* MERGEFORMAT </w:instrText>
                    </w:r>
                    <w:r>
                      <w:fldChar w:fldCharType="separate"/>
                    </w:r>
                    <w:r>
                      <w:t>2</w:t>
                    </w:r>
                    <w:r>
                      <w:fldChar w:fldCharType="end"/>
                    </w:r>
                  </w:p>
                </w:txbxContent>
              </v:textbox>
            </v:shape>
          </w:pict>
        </mc:Fallback>
      </mc:AlternateContent>
    </w:r>
  </w:p>
  <w:p w14:paraId="1200AD6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466DB">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945E">
    <w:pPr>
      <w:pStyle w:val="24"/>
      <w:ind w:firstLine="4320" w:firstLineChars="240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7907A">
                          <w:pPr>
                            <w:pStyle w:val="2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E97907A">
                    <w:pPr>
                      <w:pStyle w:val="24"/>
                    </w:pPr>
                    <w:r>
                      <w:fldChar w:fldCharType="begin"/>
                    </w:r>
                    <w:r>
                      <w:instrText xml:space="preserve"> PAGE  \* MERGEFORMAT </w:instrText>
                    </w:r>
                    <w:r>
                      <w:fldChar w:fldCharType="separate"/>
                    </w:r>
                    <w:r>
                      <w:t>45</w:t>
                    </w:r>
                    <w:r>
                      <w:fldChar w:fldCharType="end"/>
                    </w:r>
                  </w:p>
                </w:txbxContent>
              </v:textbox>
            </v:shape>
          </w:pict>
        </mc:Fallback>
      </mc:AlternateContent>
    </w:r>
    <w:r>
      <w:rPr>
        <w:rFonts w:hint="eastAsia"/>
      </w:rPr>
      <w:t xml:space="preserve">  </w:t>
    </w:r>
    <w:r>
      <w:t xml:space="preserve">   </w: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8B56A">
    <w:pPr>
      <w:pStyle w:val="24"/>
      <w:framePr w:wrap="around" w:vAnchor="text" w:hAnchor="margin" w:xAlign="center" w:y="1"/>
      <w:rPr>
        <w:rStyle w:val="41"/>
      </w:rPr>
    </w:pPr>
    <w:r>
      <w:fldChar w:fldCharType="begin"/>
    </w:r>
    <w:r>
      <w:rPr>
        <w:rStyle w:val="41"/>
      </w:rPr>
      <w:instrText xml:space="preserve">PAGE  </w:instrText>
    </w:r>
    <w:r>
      <w:fldChar w:fldCharType="end"/>
    </w:r>
  </w:p>
  <w:p w14:paraId="68877EA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DD5B7">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80391">
    <w:pPr>
      <w:pStyle w:val="26"/>
      <w:pBdr>
        <w:bottom w:val="none" w:color="auto" w:sz="0" w:space="1"/>
      </w:pBd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7673F">
    <w:pPr>
      <w:pStyle w:val="26"/>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E8E8B"/>
    <w:multiLevelType w:val="singleLevel"/>
    <w:tmpl w:val="FA5E8E8B"/>
    <w:lvl w:ilvl="0" w:tentative="0">
      <w:start w:val="1"/>
      <w:numFmt w:val="chineseCounting"/>
      <w:suff w:val="nothing"/>
      <w:lvlText w:val="%1、"/>
      <w:lvlJc w:val="left"/>
      <w:rPr>
        <w:rFonts w:hint="eastAsia"/>
      </w:rPr>
    </w:lvl>
  </w:abstractNum>
  <w:abstractNum w:abstractNumId="1">
    <w:nsid w:val="258AD7D8"/>
    <w:multiLevelType w:val="singleLevel"/>
    <w:tmpl w:val="258AD7D8"/>
    <w:lvl w:ilvl="0" w:tentative="0">
      <w:start w:val="1"/>
      <w:numFmt w:val="decimal"/>
      <w:suff w:val="nothing"/>
      <w:lvlText w:val="（%1）"/>
      <w:lvlJc w:val="left"/>
    </w:lvl>
  </w:abstractNum>
  <w:abstractNum w:abstractNumId="2">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2"/>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09"/>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5BD4C825"/>
    <w:multiLevelType w:val="singleLevel"/>
    <w:tmpl w:val="5BD4C825"/>
    <w:lvl w:ilvl="0" w:tentative="0">
      <w:start w:val="4"/>
      <w:numFmt w:val="chineseCounting"/>
      <w:suff w:val="nothing"/>
      <w:lvlText w:val="（%1）"/>
      <w:lvlJc w:val="left"/>
      <w:rPr>
        <w:rFonts w:hint="eastAsia"/>
      </w:rPr>
    </w:lvl>
  </w:abstractNum>
  <w:abstractNum w:abstractNumId="5">
    <w:nsid w:val="5D410D0D"/>
    <w:multiLevelType w:val="singleLevel"/>
    <w:tmpl w:val="5D410D0D"/>
    <w:lvl w:ilvl="0" w:tentative="0">
      <w:start w:val="5"/>
      <w:numFmt w:val="chineseCounting"/>
      <w:suff w:val="space"/>
      <w:lvlText w:val="第%1章"/>
      <w:lvlJc w:val="left"/>
      <w:rPr>
        <w:rFonts w:hint="eastAsia"/>
      </w:rPr>
    </w:lvl>
  </w:abstractNum>
  <w:abstractNum w:abstractNumId="6">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7">
    <w:nsid w:val="64DE61C4"/>
    <w:multiLevelType w:val="multilevel"/>
    <w:tmpl w:val="64DE61C4"/>
    <w:lvl w:ilvl="0" w:tentative="0">
      <w:start w:val="1"/>
      <w:numFmt w:val="decimal"/>
      <w:pStyle w:val="9"/>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C6957A"/>
    <w:multiLevelType w:val="singleLevel"/>
    <w:tmpl w:val="6AC6957A"/>
    <w:lvl w:ilvl="0" w:tentative="0">
      <w:start w:val="2"/>
      <w:numFmt w:val="decimal"/>
      <w:suff w:val="nothing"/>
      <w:lvlText w:val="%1、"/>
      <w:lvlJc w:val="left"/>
    </w:lvl>
  </w:abstractNum>
  <w:abstractNum w:abstractNumId="10">
    <w:nsid w:val="6E456799"/>
    <w:multiLevelType w:val="singleLevel"/>
    <w:tmpl w:val="6E456799"/>
    <w:lvl w:ilvl="0" w:tentative="0">
      <w:start w:val="1"/>
      <w:numFmt w:val="decimal"/>
      <w:lvlText w:val="%1."/>
      <w:lvlJc w:val="left"/>
      <w:pPr>
        <w:tabs>
          <w:tab w:val="left" w:pos="312"/>
        </w:tabs>
      </w:pPr>
    </w:lvl>
  </w:abstractNum>
  <w:num w:numId="1">
    <w:abstractNumId w:val="7"/>
  </w:num>
  <w:num w:numId="2">
    <w:abstractNumId w:val="2"/>
  </w:num>
  <w:num w:numId="3">
    <w:abstractNumId w:val="3"/>
  </w:num>
  <w:num w:numId="4">
    <w:abstractNumId w:val="0"/>
  </w:num>
  <w:num w:numId="5">
    <w:abstractNumId w:val="10"/>
  </w:num>
  <w:num w:numId="6">
    <w:abstractNumId w:val="1"/>
  </w:num>
  <w:num w:numId="7">
    <w:abstractNumId w:val="4"/>
  </w:num>
  <w:num w:numId="8">
    <w:abstractNumId w:val="5"/>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zOWJhODAyNjEzOTJkOWVjYTBlYzY5ZDVlMTEwYmM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720"/>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620"/>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52D"/>
    <w:rsid w:val="00126704"/>
    <w:rsid w:val="00127C05"/>
    <w:rsid w:val="001302F8"/>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232"/>
    <w:rsid w:val="00146398"/>
    <w:rsid w:val="001464BF"/>
    <w:rsid w:val="00146945"/>
    <w:rsid w:val="001476B6"/>
    <w:rsid w:val="001508E3"/>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7F0E"/>
    <w:rsid w:val="0020017E"/>
    <w:rsid w:val="0020072E"/>
    <w:rsid w:val="002011B8"/>
    <w:rsid w:val="00201541"/>
    <w:rsid w:val="00201CDF"/>
    <w:rsid w:val="00201FB6"/>
    <w:rsid w:val="002027DA"/>
    <w:rsid w:val="00203033"/>
    <w:rsid w:val="00203913"/>
    <w:rsid w:val="00203F4F"/>
    <w:rsid w:val="002043B4"/>
    <w:rsid w:val="00204524"/>
    <w:rsid w:val="002046DC"/>
    <w:rsid w:val="00204C7A"/>
    <w:rsid w:val="00204C84"/>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D2B"/>
    <w:rsid w:val="002A21DD"/>
    <w:rsid w:val="002A2353"/>
    <w:rsid w:val="002A2E8F"/>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E4F"/>
    <w:rsid w:val="003310FD"/>
    <w:rsid w:val="00331BAC"/>
    <w:rsid w:val="003321D8"/>
    <w:rsid w:val="00332656"/>
    <w:rsid w:val="003326B4"/>
    <w:rsid w:val="00332794"/>
    <w:rsid w:val="00332D6E"/>
    <w:rsid w:val="00332F5A"/>
    <w:rsid w:val="00333396"/>
    <w:rsid w:val="00333E85"/>
    <w:rsid w:val="0033466D"/>
    <w:rsid w:val="003349E5"/>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33D0"/>
    <w:rsid w:val="00394261"/>
    <w:rsid w:val="0039460F"/>
    <w:rsid w:val="00395ED4"/>
    <w:rsid w:val="00396338"/>
    <w:rsid w:val="00396529"/>
    <w:rsid w:val="003966AD"/>
    <w:rsid w:val="003967F6"/>
    <w:rsid w:val="00397570"/>
    <w:rsid w:val="00397B99"/>
    <w:rsid w:val="003A00C2"/>
    <w:rsid w:val="003A06D3"/>
    <w:rsid w:val="003A097E"/>
    <w:rsid w:val="003A0C26"/>
    <w:rsid w:val="003A0EA0"/>
    <w:rsid w:val="003A1471"/>
    <w:rsid w:val="003A1B9B"/>
    <w:rsid w:val="003A28A0"/>
    <w:rsid w:val="003A353C"/>
    <w:rsid w:val="003A3AB4"/>
    <w:rsid w:val="003A3FD1"/>
    <w:rsid w:val="003A3FF7"/>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298"/>
    <w:rsid w:val="003B509C"/>
    <w:rsid w:val="003B57E2"/>
    <w:rsid w:val="003B75A1"/>
    <w:rsid w:val="003B7B47"/>
    <w:rsid w:val="003C071E"/>
    <w:rsid w:val="003C1CBB"/>
    <w:rsid w:val="003C1CEB"/>
    <w:rsid w:val="003C2808"/>
    <w:rsid w:val="003C2AB6"/>
    <w:rsid w:val="003C2D90"/>
    <w:rsid w:val="003C3B3C"/>
    <w:rsid w:val="003C3BC2"/>
    <w:rsid w:val="003C3CC8"/>
    <w:rsid w:val="003C3D9E"/>
    <w:rsid w:val="003C3F07"/>
    <w:rsid w:val="003C46C9"/>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182B"/>
    <w:rsid w:val="005518A9"/>
    <w:rsid w:val="00551AB9"/>
    <w:rsid w:val="005520B3"/>
    <w:rsid w:val="005522D8"/>
    <w:rsid w:val="00552680"/>
    <w:rsid w:val="005526AF"/>
    <w:rsid w:val="0055291B"/>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C9"/>
    <w:rsid w:val="00590372"/>
    <w:rsid w:val="0059054D"/>
    <w:rsid w:val="0059062C"/>
    <w:rsid w:val="00590F1F"/>
    <w:rsid w:val="005913F3"/>
    <w:rsid w:val="00591C2D"/>
    <w:rsid w:val="005926A8"/>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6DF"/>
    <w:rsid w:val="00637C45"/>
    <w:rsid w:val="00640616"/>
    <w:rsid w:val="006406A4"/>
    <w:rsid w:val="00640833"/>
    <w:rsid w:val="006416F7"/>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6451"/>
    <w:rsid w:val="00656AD9"/>
    <w:rsid w:val="00656AEE"/>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427D"/>
    <w:rsid w:val="006E517D"/>
    <w:rsid w:val="006E5222"/>
    <w:rsid w:val="006E581C"/>
    <w:rsid w:val="006E5EC2"/>
    <w:rsid w:val="006E64BA"/>
    <w:rsid w:val="006E6D9A"/>
    <w:rsid w:val="006E7C92"/>
    <w:rsid w:val="006F028B"/>
    <w:rsid w:val="006F1934"/>
    <w:rsid w:val="006F2030"/>
    <w:rsid w:val="006F2D15"/>
    <w:rsid w:val="006F2D96"/>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C76"/>
    <w:rsid w:val="00720869"/>
    <w:rsid w:val="00720BB0"/>
    <w:rsid w:val="00720F60"/>
    <w:rsid w:val="00721884"/>
    <w:rsid w:val="00721D3F"/>
    <w:rsid w:val="007220E2"/>
    <w:rsid w:val="007226BD"/>
    <w:rsid w:val="00722BA5"/>
    <w:rsid w:val="00722E66"/>
    <w:rsid w:val="00722F39"/>
    <w:rsid w:val="00723271"/>
    <w:rsid w:val="0072349B"/>
    <w:rsid w:val="00724A6D"/>
    <w:rsid w:val="007252DE"/>
    <w:rsid w:val="00725416"/>
    <w:rsid w:val="00725962"/>
    <w:rsid w:val="007266A7"/>
    <w:rsid w:val="00726861"/>
    <w:rsid w:val="00726A1B"/>
    <w:rsid w:val="00726A53"/>
    <w:rsid w:val="00726EB0"/>
    <w:rsid w:val="00730B1C"/>
    <w:rsid w:val="00730E28"/>
    <w:rsid w:val="00730EEF"/>
    <w:rsid w:val="00732D6B"/>
    <w:rsid w:val="00733221"/>
    <w:rsid w:val="007335A0"/>
    <w:rsid w:val="0073390D"/>
    <w:rsid w:val="007339C6"/>
    <w:rsid w:val="00733C9D"/>
    <w:rsid w:val="00733F28"/>
    <w:rsid w:val="007345DF"/>
    <w:rsid w:val="00734C3B"/>
    <w:rsid w:val="0073506D"/>
    <w:rsid w:val="007365D0"/>
    <w:rsid w:val="00736B16"/>
    <w:rsid w:val="00737259"/>
    <w:rsid w:val="00737480"/>
    <w:rsid w:val="00740C9B"/>
    <w:rsid w:val="00741B97"/>
    <w:rsid w:val="00741D3C"/>
    <w:rsid w:val="0074407C"/>
    <w:rsid w:val="00744240"/>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6BB"/>
    <w:rsid w:val="00786E55"/>
    <w:rsid w:val="0078739E"/>
    <w:rsid w:val="00787E2A"/>
    <w:rsid w:val="00791553"/>
    <w:rsid w:val="00791F34"/>
    <w:rsid w:val="007921B7"/>
    <w:rsid w:val="00792449"/>
    <w:rsid w:val="00792480"/>
    <w:rsid w:val="007931B1"/>
    <w:rsid w:val="007933D2"/>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1749"/>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395B"/>
    <w:rsid w:val="008D3C60"/>
    <w:rsid w:val="008D3E01"/>
    <w:rsid w:val="008D4366"/>
    <w:rsid w:val="008D4971"/>
    <w:rsid w:val="008D4C90"/>
    <w:rsid w:val="008D58AC"/>
    <w:rsid w:val="008D597F"/>
    <w:rsid w:val="008D61F5"/>
    <w:rsid w:val="008D6B23"/>
    <w:rsid w:val="008D7236"/>
    <w:rsid w:val="008D7CF0"/>
    <w:rsid w:val="008D7D8A"/>
    <w:rsid w:val="008D7F38"/>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72B0"/>
    <w:rsid w:val="008E7604"/>
    <w:rsid w:val="008E77ED"/>
    <w:rsid w:val="008E7BD8"/>
    <w:rsid w:val="008E7D92"/>
    <w:rsid w:val="008F0476"/>
    <w:rsid w:val="008F072A"/>
    <w:rsid w:val="008F0EE6"/>
    <w:rsid w:val="008F2A46"/>
    <w:rsid w:val="008F323E"/>
    <w:rsid w:val="008F32A5"/>
    <w:rsid w:val="008F47F2"/>
    <w:rsid w:val="008F4BED"/>
    <w:rsid w:val="008F552D"/>
    <w:rsid w:val="008F577F"/>
    <w:rsid w:val="008F61C8"/>
    <w:rsid w:val="008F6BD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4A4"/>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7636"/>
    <w:rsid w:val="00A4026D"/>
    <w:rsid w:val="00A4155A"/>
    <w:rsid w:val="00A4157F"/>
    <w:rsid w:val="00A428A9"/>
    <w:rsid w:val="00A43299"/>
    <w:rsid w:val="00A44517"/>
    <w:rsid w:val="00A453B8"/>
    <w:rsid w:val="00A45E78"/>
    <w:rsid w:val="00A466AF"/>
    <w:rsid w:val="00A46CDD"/>
    <w:rsid w:val="00A4789B"/>
    <w:rsid w:val="00A47B51"/>
    <w:rsid w:val="00A50151"/>
    <w:rsid w:val="00A501AC"/>
    <w:rsid w:val="00A507B9"/>
    <w:rsid w:val="00A50EFC"/>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DA"/>
    <w:rsid w:val="00A64A88"/>
    <w:rsid w:val="00A64D1D"/>
    <w:rsid w:val="00A657AC"/>
    <w:rsid w:val="00A661A9"/>
    <w:rsid w:val="00A66281"/>
    <w:rsid w:val="00A66600"/>
    <w:rsid w:val="00A668EF"/>
    <w:rsid w:val="00A66AFF"/>
    <w:rsid w:val="00A671E3"/>
    <w:rsid w:val="00A67277"/>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26DD"/>
    <w:rsid w:val="00AF2834"/>
    <w:rsid w:val="00AF314C"/>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3CEC"/>
    <w:rsid w:val="00B542E3"/>
    <w:rsid w:val="00B548E2"/>
    <w:rsid w:val="00B5515D"/>
    <w:rsid w:val="00B55C45"/>
    <w:rsid w:val="00B55C81"/>
    <w:rsid w:val="00B56A88"/>
    <w:rsid w:val="00B577C7"/>
    <w:rsid w:val="00B603FB"/>
    <w:rsid w:val="00B60F21"/>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610"/>
    <w:rsid w:val="00C11978"/>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F77"/>
    <w:rsid w:val="00C6206A"/>
    <w:rsid w:val="00C6257C"/>
    <w:rsid w:val="00C628D6"/>
    <w:rsid w:val="00C63059"/>
    <w:rsid w:val="00C6338C"/>
    <w:rsid w:val="00C63475"/>
    <w:rsid w:val="00C638C0"/>
    <w:rsid w:val="00C641E9"/>
    <w:rsid w:val="00C642A9"/>
    <w:rsid w:val="00C651FF"/>
    <w:rsid w:val="00C65CA4"/>
    <w:rsid w:val="00C65F39"/>
    <w:rsid w:val="00C66EE8"/>
    <w:rsid w:val="00C67452"/>
    <w:rsid w:val="00C676EF"/>
    <w:rsid w:val="00C677D9"/>
    <w:rsid w:val="00C6783F"/>
    <w:rsid w:val="00C704DB"/>
    <w:rsid w:val="00C70B91"/>
    <w:rsid w:val="00C70F93"/>
    <w:rsid w:val="00C71067"/>
    <w:rsid w:val="00C7137E"/>
    <w:rsid w:val="00C7146C"/>
    <w:rsid w:val="00C714D0"/>
    <w:rsid w:val="00C715CD"/>
    <w:rsid w:val="00C72069"/>
    <w:rsid w:val="00C725E8"/>
    <w:rsid w:val="00C727F5"/>
    <w:rsid w:val="00C7281A"/>
    <w:rsid w:val="00C72BF2"/>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837"/>
    <w:rsid w:val="00CB18D0"/>
    <w:rsid w:val="00CB1AA3"/>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8A"/>
    <w:rsid w:val="00D8607E"/>
    <w:rsid w:val="00D86419"/>
    <w:rsid w:val="00D86626"/>
    <w:rsid w:val="00D867F6"/>
    <w:rsid w:val="00D8689C"/>
    <w:rsid w:val="00D8764B"/>
    <w:rsid w:val="00D87E97"/>
    <w:rsid w:val="00D901D1"/>
    <w:rsid w:val="00D91424"/>
    <w:rsid w:val="00D9172E"/>
    <w:rsid w:val="00D91AE8"/>
    <w:rsid w:val="00D9212A"/>
    <w:rsid w:val="00D92D5B"/>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F06"/>
    <w:rsid w:val="00E37927"/>
    <w:rsid w:val="00E37B12"/>
    <w:rsid w:val="00E4015C"/>
    <w:rsid w:val="00E4050F"/>
    <w:rsid w:val="00E406BF"/>
    <w:rsid w:val="00E41A44"/>
    <w:rsid w:val="00E41A8A"/>
    <w:rsid w:val="00E42069"/>
    <w:rsid w:val="00E433D7"/>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6E5"/>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823"/>
    <w:rsid w:val="00EC2B2F"/>
    <w:rsid w:val="00EC2F8B"/>
    <w:rsid w:val="00EC3426"/>
    <w:rsid w:val="00EC3F18"/>
    <w:rsid w:val="00EC4AE5"/>
    <w:rsid w:val="00EC4FF4"/>
    <w:rsid w:val="00EC6966"/>
    <w:rsid w:val="00EC6C0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002"/>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55A"/>
    <w:rsid w:val="00F2775A"/>
    <w:rsid w:val="00F278FB"/>
    <w:rsid w:val="00F30174"/>
    <w:rsid w:val="00F30237"/>
    <w:rsid w:val="00F306DB"/>
    <w:rsid w:val="00F310B3"/>
    <w:rsid w:val="00F316C8"/>
    <w:rsid w:val="00F31884"/>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51"/>
    <w:rsid w:val="00F829CE"/>
    <w:rsid w:val="00F834E8"/>
    <w:rsid w:val="00F83684"/>
    <w:rsid w:val="00F84325"/>
    <w:rsid w:val="00F84A7B"/>
    <w:rsid w:val="00F84CFE"/>
    <w:rsid w:val="00F85285"/>
    <w:rsid w:val="00F856F4"/>
    <w:rsid w:val="00F85DA4"/>
    <w:rsid w:val="00F8649B"/>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82F"/>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12363F"/>
    <w:rsid w:val="01162B6C"/>
    <w:rsid w:val="01176E30"/>
    <w:rsid w:val="012A4E21"/>
    <w:rsid w:val="013A690F"/>
    <w:rsid w:val="013E7705"/>
    <w:rsid w:val="015A1913"/>
    <w:rsid w:val="015A7948"/>
    <w:rsid w:val="015E2839"/>
    <w:rsid w:val="016B05BC"/>
    <w:rsid w:val="01722330"/>
    <w:rsid w:val="01777E30"/>
    <w:rsid w:val="017B11E4"/>
    <w:rsid w:val="01936020"/>
    <w:rsid w:val="019C2893"/>
    <w:rsid w:val="01C15437"/>
    <w:rsid w:val="01C67396"/>
    <w:rsid w:val="01C90029"/>
    <w:rsid w:val="01CC0C4D"/>
    <w:rsid w:val="01E92329"/>
    <w:rsid w:val="01F125AA"/>
    <w:rsid w:val="01F66ABD"/>
    <w:rsid w:val="01FA6612"/>
    <w:rsid w:val="01FC6473"/>
    <w:rsid w:val="01FE0052"/>
    <w:rsid w:val="02122AAF"/>
    <w:rsid w:val="021235EC"/>
    <w:rsid w:val="02221DF9"/>
    <w:rsid w:val="02355E1E"/>
    <w:rsid w:val="023B5466"/>
    <w:rsid w:val="023D0B8F"/>
    <w:rsid w:val="0242118E"/>
    <w:rsid w:val="0245553A"/>
    <w:rsid w:val="024F2D27"/>
    <w:rsid w:val="025C69AC"/>
    <w:rsid w:val="026B7073"/>
    <w:rsid w:val="02790E31"/>
    <w:rsid w:val="027F2E0D"/>
    <w:rsid w:val="02960EAD"/>
    <w:rsid w:val="02AD79EA"/>
    <w:rsid w:val="02AF1E27"/>
    <w:rsid w:val="02BE3F94"/>
    <w:rsid w:val="02BE5535"/>
    <w:rsid w:val="02C357E3"/>
    <w:rsid w:val="02DF6410"/>
    <w:rsid w:val="02F016DD"/>
    <w:rsid w:val="02F43A2B"/>
    <w:rsid w:val="03056DC8"/>
    <w:rsid w:val="03145467"/>
    <w:rsid w:val="031B7166"/>
    <w:rsid w:val="031C76EC"/>
    <w:rsid w:val="032A5E87"/>
    <w:rsid w:val="03333AA1"/>
    <w:rsid w:val="037856B2"/>
    <w:rsid w:val="037D3E51"/>
    <w:rsid w:val="0395476E"/>
    <w:rsid w:val="039E3ADE"/>
    <w:rsid w:val="03A85455"/>
    <w:rsid w:val="03B123E1"/>
    <w:rsid w:val="03B1695E"/>
    <w:rsid w:val="03C37EBE"/>
    <w:rsid w:val="03CA1FAF"/>
    <w:rsid w:val="03E156A2"/>
    <w:rsid w:val="03E272F9"/>
    <w:rsid w:val="03EE4033"/>
    <w:rsid w:val="03F21F57"/>
    <w:rsid w:val="04003EB2"/>
    <w:rsid w:val="04020541"/>
    <w:rsid w:val="04023961"/>
    <w:rsid w:val="04271AF0"/>
    <w:rsid w:val="045460E0"/>
    <w:rsid w:val="045A31A4"/>
    <w:rsid w:val="04623CAD"/>
    <w:rsid w:val="04643AB8"/>
    <w:rsid w:val="046A6998"/>
    <w:rsid w:val="047E396A"/>
    <w:rsid w:val="0480087C"/>
    <w:rsid w:val="048719B2"/>
    <w:rsid w:val="048C4BA2"/>
    <w:rsid w:val="04916503"/>
    <w:rsid w:val="04990B69"/>
    <w:rsid w:val="04AB2DF4"/>
    <w:rsid w:val="04BF5FAF"/>
    <w:rsid w:val="04D043AD"/>
    <w:rsid w:val="0511593E"/>
    <w:rsid w:val="05132475"/>
    <w:rsid w:val="05141DF0"/>
    <w:rsid w:val="051A659E"/>
    <w:rsid w:val="051D5FC6"/>
    <w:rsid w:val="0521483C"/>
    <w:rsid w:val="05285B11"/>
    <w:rsid w:val="0531620D"/>
    <w:rsid w:val="05415BBD"/>
    <w:rsid w:val="05481A3A"/>
    <w:rsid w:val="054845F1"/>
    <w:rsid w:val="0549490C"/>
    <w:rsid w:val="055178E9"/>
    <w:rsid w:val="0556720D"/>
    <w:rsid w:val="05603190"/>
    <w:rsid w:val="05675A3E"/>
    <w:rsid w:val="057000C1"/>
    <w:rsid w:val="05713132"/>
    <w:rsid w:val="058D12A0"/>
    <w:rsid w:val="0598798D"/>
    <w:rsid w:val="05990C7D"/>
    <w:rsid w:val="05AE30F1"/>
    <w:rsid w:val="05B40ECA"/>
    <w:rsid w:val="05BF6EA2"/>
    <w:rsid w:val="05C100EB"/>
    <w:rsid w:val="05DD77DA"/>
    <w:rsid w:val="05E570CC"/>
    <w:rsid w:val="05E60001"/>
    <w:rsid w:val="05EF52C8"/>
    <w:rsid w:val="05F0520E"/>
    <w:rsid w:val="06272C3D"/>
    <w:rsid w:val="062A44AF"/>
    <w:rsid w:val="06612458"/>
    <w:rsid w:val="06633218"/>
    <w:rsid w:val="066C559F"/>
    <w:rsid w:val="066D5F43"/>
    <w:rsid w:val="067A5870"/>
    <w:rsid w:val="067A6032"/>
    <w:rsid w:val="06874187"/>
    <w:rsid w:val="068805E7"/>
    <w:rsid w:val="06881577"/>
    <w:rsid w:val="068E19BA"/>
    <w:rsid w:val="06913258"/>
    <w:rsid w:val="06992382"/>
    <w:rsid w:val="06A170F3"/>
    <w:rsid w:val="06C26FEB"/>
    <w:rsid w:val="06C620FA"/>
    <w:rsid w:val="06C75CB5"/>
    <w:rsid w:val="06D13A06"/>
    <w:rsid w:val="06D56611"/>
    <w:rsid w:val="06DA6F81"/>
    <w:rsid w:val="06DC3A32"/>
    <w:rsid w:val="06E45F93"/>
    <w:rsid w:val="06E72E78"/>
    <w:rsid w:val="06ED6104"/>
    <w:rsid w:val="06F37001"/>
    <w:rsid w:val="07005B38"/>
    <w:rsid w:val="0705457D"/>
    <w:rsid w:val="07364A4C"/>
    <w:rsid w:val="075B095F"/>
    <w:rsid w:val="075C1AB8"/>
    <w:rsid w:val="07687B73"/>
    <w:rsid w:val="076D2C0D"/>
    <w:rsid w:val="078968F1"/>
    <w:rsid w:val="078C107C"/>
    <w:rsid w:val="078E4C5C"/>
    <w:rsid w:val="07941252"/>
    <w:rsid w:val="07A11466"/>
    <w:rsid w:val="07A359AA"/>
    <w:rsid w:val="07B00F1D"/>
    <w:rsid w:val="07DF782C"/>
    <w:rsid w:val="07F15A85"/>
    <w:rsid w:val="07F51BAB"/>
    <w:rsid w:val="080647CE"/>
    <w:rsid w:val="080C528C"/>
    <w:rsid w:val="0815612D"/>
    <w:rsid w:val="081A2A1A"/>
    <w:rsid w:val="08242414"/>
    <w:rsid w:val="08276797"/>
    <w:rsid w:val="082A5356"/>
    <w:rsid w:val="082D6F32"/>
    <w:rsid w:val="085D7896"/>
    <w:rsid w:val="08625011"/>
    <w:rsid w:val="086504F8"/>
    <w:rsid w:val="08682F69"/>
    <w:rsid w:val="086C512F"/>
    <w:rsid w:val="08767126"/>
    <w:rsid w:val="0884628E"/>
    <w:rsid w:val="088816B9"/>
    <w:rsid w:val="089E1642"/>
    <w:rsid w:val="08BA426F"/>
    <w:rsid w:val="08D50521"/>
    <w:rsid w:val="08D84358"/>
    <w:rsid w:val="08E522B1"/>
    <w:rsid w:val="08EB7112"/>
    <w:rsid w:val="08EE5F29"/>
    <w:rsid w:val="08F07C2D"/>
    <w:rsid w:val="08F4703A"/>
    <w:rsid w:val="08F66B32"/>
    <w:rsid w:val="08FA146D"/>
    <w:rsid w:val="090030B6"/>
    <w:rsid w:val="09056704"/>
    <w:rsid w:val="090620B8"/>
    <w:rsid w:val="09127C2A"/>
    <w:rsid w:val="091A2C9A"/>
    <w:rsid w:val="091A7D77"/>
    <w:rsid w:val="091C4700"/>
    <w:rsid w:val="09281FD6"/>
    <w:rsid w:val="09292548"/>
    <w:rsid w:val="092A2DE7"/>
    <w:rsid w:val="09417306"/>
    <w:rsid w:val="094314F2"/>
    <w:rsid w:val="09465B74"/>
    <w:rsid w:val="09472936"/>
    <w:rsid w:val="094846AB"/>
    <w:rsid w:val="0948646A"/>
    <w:rsid w:val="09551119"/>
    <w:rsid w:val="09577B8B"/>
    <w:rsid w:val="09675EB5"/>
    <w:rsid w:val="096E7880"/>
    <w:rsid w:val="0992244E"/>
    <w:rsid w:val="09A9515D"/>
    <w:rsid w:val="09AC384F"/>
    <w:rsid w:val="09AD2157"/>
    <w:rsid w:val="09B16020"/>
    <w:rsid w:val="09B76C6A"/>
    <w:rsid w:val="09BB62F2"/>
    <w:rsid w:val="09D26AB5"/>
    <w:rsid w:val="09EA7679"/>
    <w:rsid w:val="0A097FBA"/>
    <w:rsid w:val="0A1C2502"/>
    <w:rsid w:val="0A2B4270"/>
    <w:rsid w:val="0A452777"/>
    <w:rsid w:val="0A4632D9"/>
    <w:rsid w:val="0A4E36C6"/>
    <w:rsid w:val="0A5371A2"/>
    <w:rsid w:val="0A5C220E"/>
    <w:rsid w:val="0A7279A9"/>
    <w:rsid w:val="0A805ABD"/>
    <w:rsid w:val="0A8B7316"/>
    <w:rsid w:val="0A8C110E"/>
    <w:rsid w:val="0AA16F7A"/>
    <w:rsid w:val="0AAA7062"/>
    <w:rsid w:val="0AAD4EDD"/>
    <w:rsid w:val="0AB55D02"/>
    <w:rsid w:val="0ABF0BD3"/>
    <w:rsid w:val="0ACC08EE"/>
    <w:rsid w:val="0AD05264"/>
    <w:rsid w:val="0AD32091"/>
    <w:rsid w:val="0ADB3B99"/>
    <w:rsid w:val="0AE5691F"/>
    <w:rsid w:val="0AE874E4"/>
    <w:rsid w:val="0AF639B0"/>
    <w:rsid w:val="0AF65375"/>
    <w:rsid w:val="0AFB19E5"/>
    <w:rsid w:val="0B081D3B"/>
    <w:rsid w:val="0B0C32F3"/>
    <w:rsid w:val="0B0C4720"/>
    <w:rsid w:val="0B0D6165"/>
    <w:rsid w:val="0B197E66"/>
    <w:rsid w:val="0B266A33"/>
    <w:rsid w:val="0B2D2AD7"/>
    <w:rsid w:val="0B2E01DA"/>
    <w:rsid w:val="0B346A82"/>
    <w:rsid w:val="0B360CFF"/>
    <w:rsid w:val="0B38067D"/>
    <w:rsid w:val="0B3A60DA"/>
    <w:rsid w:val="0B3C6044"/>
    <w:rsid w:val="0B494982"/>
    <w:rsid w:val="0B5B4093"/>
    <w:rsid w:val="0B6E17CE"/>
    <w:rsid w:val="0B704E99"/>
    <w:rsid w:val="0B7371A6"/>
    <w:rsid w:val="0B7609EE"/>
    <w:rsid w:val="0B893A5C"/>
    <w:rsid w:val="0B8A79AF"/>
    <w:rsid w:val="0BA55BDE"/>
    <w:rsid w:val="0BB7E64E"/>
    <w:rsid w:val="0BBE65A8"/>
    <w:rsid w:val="0BC407FB"/>
    <w:rsid w:val="0BDC277F"/>
    <w:rsid w:val="0BEF6659"/>
    <w:rsid w:val="0BF71DAF"/>
    <w:rsid w:val="0BF81BBC"/>
    <w:rsid w:val="0C015150"/>
    <w:rsid w:val="0C121E0B"/>
    <w:rsid w:val="0C195DBC"/>
    <w:rsid w:val="0C27651D"/>
    <w:rsid w:val="0C342351"/>
    <w:rsid w:val="0C347EB6"/>
    <w:rsid w:val="0C36466D"/>
    <w:rsid w:val="0C4161CB"/>
    <w:rsid w:val="0C5313A4"/>
    <w:rsid w:val="0C5745FC"/>
    <w:rsid w:val="0C580538"/>
    <w:rsid w:val="0C5A588C"/>
    <w:rsid w:val="0C6311F3"/>
    <w:rsid w:val="0C635FA4"/>
    <w:rsid w:val="0C682019"/>
    <w:rsid w:val="0C6B0C28"/>
    <w:rsid w:val="0C6F7F5E"/>
    <w:rsid w:val="0C8E3C60"/>
    <w:rsid w:val="0C954B1D"/>
    <w:rsid w:val="0CAC493E"/>
    <w:rsid w:val="0CB272B0"/>
    <w:rsid w:val="0CB85B3B"/>
    <w:rsid w:val="0CD10C70"/>
    <w:rsid w:val="0CD276AF"/>
    <w:rsid w:val="0CDC30BC"/>
    <w:rsid w:val="0CE07C46"/>
    <w:rsid w:val="0CE66FB5"/>
    <w:rsid w:val="0CF5147B"/>
    <w:rsid w:val="0CF8144C"/>
    <w:rsid w:val="0D025EA5"/>
    <w:rsid w:val="0D0B0957"/>
    <w:rsid w:val="0D142F14"/>
    <w:rsid w:val="0D2070E4"/>
    <w:rsid w:val="0D22250D"/>
    <w:rsid w:val="0D284360"/>
    <w:rsid w:val="0D2C0E94"/>
    <w:rsid w:val="0D38442D"/>
    <w:rsid w:val="0D66545C"/>
    <w:rsid w:val="0D6B717A"/>
    <w:rsid w:val="0D6F45C7"/>
    <w:rsid w:val="0D8A2A0E"/>
    <w:rsid w:val="0D915DFC"/>
    <w:rsid w:val="0D993359"/>
    <w:rsid w:val="0DA25357"/>
    <w:rsid w:val="0DB1705C"/>
    <w:rsid w:val="0DB37D75"/>
    <w:rsid w:val="0DB811DB"/>
    <w:rsid w:val="0DBA2787"/>
    <w:rsid w:val="0DC12134"/>
    <w:rsid w:val="0DC31923"/>
    <w:rsid w:val="0DCA7B13"/>
    <w:rsid w:val="0DE44432"/>
    <w:rsid w:val="0DEF149A"/>
    <w:rsid w:val="0DF504D7"/>
    <w:rsid w:val="0E036A28"/>
    <w:rsid w:val="0E0552CC"/>
    <w:rsid w:val="0E1A19A6"/>
    <w:rsid w:val="0E2E0EBE"/>
    <w:rsid w:val="0E47447A"/>
    <w:rsid w:val="0E4C14FB"/>
    <w:rsid w:val="0E4C440B"/>
    <w:rsid w:val="0E514EA5"/>
    <w:rsid w:val="0E6401D1"/>
    <w:rsid w:val="0E651521"/>
    <w:rsid w:val="0E661FB6"/>
    <w:rsid w:val="0E663744"/>
    <w:rsid w:val="0E6F23C7"/>
    <w:rsid w:val="0E836419"/>
    <w:rsid w:val="0E8854FB"/>
    <w:rsid w:val="0E947A66"/>
    <w:rsid w:val="0E9833E6"/>
    <w:rsid w:val="0EA77ADD"/>
    <w:rsid w:val="0EC37076"/>
    <w:rsid w:val="0EC37A24"/>
    <w:rsid w:val="0ED41EEF"/>
    <w:rsid w:val="0EEE4171"/>
    <w:rsid w:val="0EF034AB"/>
    <w:rsid w:val="0F026E0C"/>
    <w:rsid w:val="0F0B77E3"/>
    <w:rsid w:val="0F1128D2"/>
    <w:rsid w:val="0F154E41"/>
    <w:rsid w:val="0F1E70E7"/>
    <w:rsid w:val="0F293DB0"/>
    <w:rsid w:val="0F355373"/>
    <w:rsid w:val="0F392121"/>
    <w:rsid w:val="0F4075C9"/>
    <w:rsid w:val="0F500AAD"/>
    <w:rsid w:val="0F5838F2"/>
    <w:rsid w:val="0F620843"/>
    <w:rsid w:val="0F7E7043"/>
    <w:rsid w:val="0F933B9D"/>
    <w:rsid w:val="0F952FF2"/>
    <w:rsid w:val="0FA04025"/>
    <w:rsid w:val="0FA96591"/>
    <w:rsid w:val="0FAA1800"/>
    <w:rsid w:val="0FAD455E"/>
    <w:rsid w:val="0FB94A66"/>
    <w:rsid w:val="0FBC3147"/>
    <w:rsid w:val="0FC00FD2"/>
    <w:rsid w:val="0FC46FEB"/>
    <w:rsid w:val="0FCF6175"/>
    <w:rsid w:val="0FD73341"/>
    <w:rsid w:val="0FDE179C"/>
    <w:rsid w:val="0FE30618"/>
    <w:rsid w:val="0FE81C1D"/>
    <w:rsid w:val="0FF705D0"/>
    <w:rsid w:val="0FF87DD2"/>
    <w:rsid w:val="1003503E"/>
    <w:rsid w:val="10077BBA"/>
    <w:rsid w:val="101629EB"/>
    <w:rsid w:val="101F3882"/>
    <w:rsid w:val="102736D0"/>
    <w:rsid w:val="102C7D44"/>
    <w:rsid w:val="10350AA9"/>
    <w:rsid w:val="1060409E"/>
    <w:rsid w:val="106344F9"/>
    <w:rsid w:val="106E7C51"/>
    <w:rsid w:val="107B3173"/>
    <w:rsid w:val="109A0F5B"/>
    <w:rsid w:val="10A13E2A"/>
    <w:rsid w:val="10AF05A0"/>
    <w:rsid w:val="10B21301"/>
    <w:rsid w:val="10B75631"/>
    <w:rsid w:val="10BB7585"/>
    <w:rsid w:val="10C45CE4"/>
    <w:rsid w:val="10D3604C"/>
    <w:rsid w:val="110B2FB0"/>
    <w:rsid w:val="112A7B52"/>
    <w:rsid w:val="11315402"/>
    <w:rsid w:val="115D46B1"/>
    <w:rsid w:val="116537E5"/>
    <w:rsid w:val="1169450A"/>
    <w:rsid w:val="116B772E"/>
    <w:rsid w:val="118F3035"/>
    <w:rsid w:val="11902D52"/>
    <w:rsid w:val="11A113D2"/>
    <w:rsid w:val="11A337C2"/>
    <w:rsid w:val="11B91225"/>
    <w:rsid w:val="11D53A3D"/>
    <w:rsid w:val="11DE26F6"/>
    <w:rsid w:val="11FD6616"/>
    <w:rsid w:val="120F0E58"/>
    <w:rsid w:val="121635CE"/>
    <w:rsid w:val="12307B5E"/>
    <w:rsid w:val="1238707D"/>
    <w:rsid w:val="123F7018"/>
    <w:rsid w:val="125D54CB"/>
    <w:rsid w:val="126A535E"/>
    <w:rsid w:val="12716DE7"/>
    <w:rsid w:val="12822265"/>
    <w:rsid w:val="12981050"/>
    <w:rsid w:val="129B148F"/>
    <w:rsid w:val="12AF73DE"/>
    <w:rsid w:val="12B76B0D"/>
    <w:rsid w:val="12E332FA"/>
    <w:rsid w:val="12F12F9E"/>
    <w:rsid w:val="12F75FF5"/>
    <w:rsid w:val="13004C3E"/>
    <w:rsid w:val="13096ED3"/>
    <w:rsid w:val="13135703"/>
    <w:rsid w:val="132D7A2F"/>
    <w:rsid w:val="132F3F4B"/>
    <w:rsid w:val="133409BB"/>
    <w:rsid w:val="133F3392"/>
    <w:rsid w:val="13492B62"/>
    <w:rsid w:val="135A7803"/>
    <w:rsid w:val="136E7CAF"/>
    <w:rsid w:val="139522A0"/>
    <w:rsid w:val="13B72832"/>
    <w:rsid w:val="13BA0AF5"/>
    <w:rsid w:val="13BA0BEB"/>
    <w:rsid w:val="13C35CD1"/>
    <w:rsid w:val="13C63A51"/>
    <w:rsid w:val="13C83C09"/>
    <w:rsid w:val="13D1169E"/>
    <w:rsid w:val="13D56B53"/>
    <w:rsid w:val="13DD011A"/>
    <w:rsid w:val="13E30590"/>
    <w:rsid w:val="13E843A1"/>
    <w:rsid w:val="13F9675E"/>
    <w:rsid w:val="13FB3D98"/>
    <w:rsid w:val="1403644B"/>
    <w:rsid w:val="141247FA"/>
    <w:rsid w:val="14152E01"/>
    <w:rsid w:val="141731A4"/>
    <w:rsid w:val="141D2158"/>
    <w:rsid w:val="143A501D"/>
    <w:rsid w:val="143C398A"/>
    <w:rsid w:val="14540FBC"/>
    <w:rsid w:val="14691F61"/>
    <w:rsid w:val="147036BF"/>
    <w:rsid w:val="147E1869"/>
    <w:rsid w:val="1497147D"/>
    <w:rsid w:val="14A27F30"/>
    <w:rsid w:val="14A763BF"/>
    <w:rsid w:val="14AA798D"/>
    <w:rsid w:val="14BC0A43"/>
    <w:rsid w:val="14E94451"/>
    <w:rsid w:val="14FD7E50"/>
    <w:rsid w:val="1507449F"/>
    <w:rsid w:val="150F496E"/>
    <w:rsid w:val="15251BDA"/>
    <w:rsid w:val="152557F8"/>
    <w:rsid w:val="152E4435"/>
    <w:rsid w:val="15303EC3"/>
    <w:rsid w:val="154077DA"/>
    <w:rsid w:val="15421D14"/>
    <w:rsid w:val="154C1133"/>
    <w:rsid w:val="154C6CC8"/>
    <w:rsid w:val="15567E4C"/>
    <w:rsid w:val="15821B76"/>
    <w:rsid w:val="158B3281"/>
    <w:rsid w:val="158E445F"/>
    <w:rsid w:val="159D64B9"/>
    <w:rsid w:val="159F4AC2"/>
    <w:rsid w:val="15A3138F"/>
    <w:rsid w:val="15B2020C"/>
    <w:rsid w:val="15B27B74"/>
    <w:rsid w:val="15B8435D"/>
    <w:rsid w:val="15C1538F"/>
    <w:rsid w:val="15D905AC"/>
    <w:rsid w:val="15DB784B"/>
    <w:rsid w:val="15DD5FFB"/>
    <w:rsid w:val="15EE4A75"/>
    <w:rsid w:val="15F020C0"/>
    <w:rsid w:val="15F250DF"/>
    <w:rsid w:val="15F77F8C"/>
    <w:rsid w:val="15FC0F10"/>
    <w:rsid w:val="15FE0A43"/>
    <w:rsid w:val="16053AF1"/>
    <w:rsid w:val="160B370C"/>
    <w:rsid w:val="160D7966"/>
    <w:rsid w:val="1621268B"/>
    <w:rsid w:val="16365169"/>
    <w:rsid w:val="163F67DF"/>
    <w:rsid w:val="16400D29"/>
    <w:rsid w:val="164A4609"/>
    <w:rsid w:val="164B037A"/>
    <w:rsid w:val="165916AA"/>
    <w:rsid w:val="16596D58"/>
    <w:rsid w:val="165A5414"/>
    <w:rsid w:val="16755FAF"/>
    <w:rsid w:val="168228A2"/>
    <w:rsid w:val="16867800"/>
    <w:rsid w:val="16893C88"/>
    <w:rsid w:val="168B753F"/>
    <w:rsid w:val="168E1A70"/>
    <w:rsid w:val="169556B0"/>
    <w:rsid w:val="16A22220"/>
    <w:rsid w:val="16B5089D"/>
    <w:rsid w:val="16BA5EB3"/>
    <w:rsid w:val="16C96D7D"/>
    <w:rsid w:val="16D62CF8"/>
    <w:rsid w:val="16DC62F6"/>
    <w:rsid w:val="16EF0253"/>
    <w:rsid w:val="16F7709F"/>
    <w:rsid w:val="17032F48"/>
    <w:rsid w:val="170C5D38"/>
    <w:rsid w:val="170E56B0"/>
    <w:rsid w:val="17326510"/>
    <w:rsid w:val="1733456F"/>
    <w:rsid w:val="17412155"/>
    <w:rsid w:val="17560404"/>
    <w:rsid w:val="17574A29"/>
    <w:rsid w:val="177C3F5A"/>
    <w:rsid w:val="17B35C58"/>
    <w:rsid w:val="17B374D2"/>
    <w:rsid w:val="17C07725"/>
    <w:rsid w:val="17CD000B"/>
    <w:rsid w:val="17D2179B"/>
    <w:rsid w:val="17D81ED7"/>
    <w:rsid w:val="17DE1F0A"/>
    <w:rsid w:val="17E01A41"/>
    <w:rsid w:val="17ED2E4D"/>
    <w:rsid w:val="17F5409B"/>
    <w:rsid w:val="17F730B7"/>
    <w:rsid w:val="18046E47"/>
    <w:rsid w:val="18094EC6"/>
    <w:rsid w:val="1823219C"/>
    <w:rsid w:val="18283386"/>
    <w:rsid w:val="183C6202"/>
    <w:rsid w:val="18444419"/>
    <w:rsid w:val="185C0435"/>
    <w:rsid w:val="186F6AE2"/>
    <w:rsid w:val="18763CB0"/>
    <w:rsid w:val="187918D4"/>
    <w:rsid w:val="18794169"/>
    <w:rsid w:val="188C54E8"/>
    <w:rsid w:val="188D370A"/>
    <w:rsid w:val="189B4117"/>
    <w:rsid w:val="18A46D85"/>
    <w:rsid w:val="18A907DC"/>
    <w:rsid w:val="18AC32DE"/>
    <w:rsid w:val="18B12E63"/>
    <w:rsid w:val="18B57E8E"/>
    <w:rsid w:val="18DF39A8"/>
    <w:rsid w:val="18E017AD"/>
    <w:rsid w:val="18E6739D"/>
    <w:rsid w:val="18E83BE4"/>
    <w:rsid w:val="18F32BB1"/>
    <w:rsid w:val="18F84666"/>
    <w:rsid w:val="192A28F4"/>
    <w:rsid w:val="192E43BC"/>
    <w:rsid w:val="19326E77"/>
    <w:rsid w:val="194016CC"/>
    <w:rsid w:val="194145A5"/>
    <w:rsid w:val="194B192D"/>
    <w:rsid w:val="194E5B60"/>
    <w:rsid w:val="195327C0"/>
    <w:rsid w:val="196C749E"/>
    <w:rsid w:val="196F839B"/>
    <w:rsid w:val="1996146A"/>
    <w:rsid w:val="19AA3DA4"/>
    <w:rsid w:val="19AC5BAE"/>
    <w:rsid w:val="19C57641"/>
    <w:rsid w:val="19C91205"/>
    <w:rsid w:val="19DB0F94"/>
    <w:rsid w:val="19F54655"/>
    <w:rsid w:val="19FA7004"/>
    <w:rsid w:val="1A0C0B39"/>
    <w:rsid w:val="1A170495"/>
    <w:rsid w:val="1A1D0BAD"/>
    <w:rsid w:val="1A202464"/>
    <w:rsid w:val="1A3167A7"/>
    <w:rsid w:val="1A374AC6"/>
    <w:rsid w:val="1A3E7639"/>
    <w:rsid w:val="1A5F5783"/>
    <w:rsid w:val="1A7E3697"/>
    <w:rsid w:val="1A83598B"/>
    <w:rsid w:val="1A8B0436"/>
    <w:rsid w:val="1A8E1379"/>
    <w:rsid w:val="1A9433BA"/>
    <w:rsid w:val="1AA822FA"/>
    <w:rsid w:val="1AB5371D"/>
    <w:rsid w:val="1AB556B6"/>
    <w:rsid w:val="1ABB4B98"/>
    <w:rsid w:val="1AD01DA7"/>
    <w:rsid w:val="1AD07A86"/>
    <w:rsid w:val="1AD70E60"/>
    <w:rsid w:val="1AD75236"/>
    <w:rsid w:val="1ADB7AD1"/>
    <w:rsid w:val="1ADC4DC3"/>
    <w:rsid w:val="1ADD03C2"/>
    <w:rsid w:val="1ADD447F"/>
    <w:rsid w:val="1AF30AA9"/>
    <w:rsid w:val="1B2D779D"/>
    <w:rsid w:val="1B39458C"/>
    <w:rsid w:val="1B490950"/>
    <w:rsid w:val="1B5C1C2F"/>
    <w:rsid w:val="1B5D0D89"/>
    <w:rsid w:val="1B607D30"/>
    <w:rsid w:val="1B67660E"/>
    <w:rsid w:val="1B6A35DB"/>
    <w:rsid w:val="1B6E3B2A"/>
    <w:rsid w:val="1B782C3F"/>
    <w:rsid w:val="1B7D7C38"/>
    <w:rsid w:val="1B8A7FBC"/>
    <w:rsid w:val="1B9423A4"/>
    <w:rsid w:val="1BAF77A5"/>
    <w:rsid w:val="1BB719B2"/>
    <w:rsid w:val="1BBA544D"/>
    <w:rsid w:val="1BBB2CBB"/>
    <w:rsid w:val="1BBC7041"/>
    <w:rsid w:val="1BC06BF9"/>
    <w:rsid w:val="1BC449CF"/>
    <w:rsid w:val="1BCA5234"/>
    <w:rsid w:val="1BCE6780"/>
    <w:rsid w:val="1BDA7F06"/>
    <w:rsid w:val="1BEA1165"/>
    <w:rsid w:val="1BF11741"/>
    <w:rsid w:val="1BF520EC"/>
    <w:rsid w:val="1C0C4C7E"/>
    <w:rsid w:val="1C0C5C5F"/>
    <w:rsid w:val="1C167B0B"/>
    <w:rsid w:val="1C1A20C8"/>
    <w:rsid w:val="1C2771EF"/>
    <w:rsid w:val="1C353699"/>
    <w:rsid w:val="1C401C28"/>
    <w:rsid w:val="1C4667B9"/>
    <w:rsid w:val="1C797C46"/>
    <w:rsid w:val="1C7E350E"/>
    <w:rsid w:val="1C821C46"/>
    <w:rsid w:val="1C8454F9"/>
    <w:rsid w:val="1C954279"/>
    <w:rsid w:val="1CB36224"/>
    <w:rsid w:val="1CB415D1"/>
    <w:rsid w:val="1CBC7FC0"/>
    <w:rsid w:val="1CBD2332"/>
    <w:rsid w:val="1CC7091E"/>
    <w:rsid w:val="1CCB392B"/>
    <w:rsid w:val="1CE14E51"/>
    <w:rsid w:val="1CE32E87"/>
    <w:rsid w:val="1CF2284B"/>
    <w:rsid w:val="1CF86CEC"/>
    <w:rsid w:val="1CFB5568"/>
    <w:rsid w:val="1CFD4736"/>
    <w:rsid w:val="1D004728"/>
    <w:rsid w:val="1D226B51"/>
    <w:rsid w:val="1D2D3883"/>
    <w:rsid w:val="1D33733A"/>
    <w:rsid w:val="1D370DB7"/>
    <w:rsid w:val="1D3A6321"/>
    <w:rsid w:val="1D4E2A7B"/>
    <w:rsid w:val="1D5A5F8D"/>
    <w:rsid w:val="1D753D60"/>
    <w:rsid w:val="1D95240A"/>
    <w:rsid w:val="1D9763AE"/>
    <w:rsid w:val="1DA52FDB"/>
    <w:rsid w:val="1DB064E6"/>
    <w:rsid w:val="1DC1221D"/>
    <w:rsid w:val="1DE351BB"/>
    <w:rsid w:val="1DE71C83"/>
    <w:rsid w:val="1DF84BBF"/>
    <w:rsid w:val="1DFE7449"/>
    <w:rsid w:val="1E0C08E5"/>
    <w:rsid w:val="1E4A36CA"/>
    <w:rsid w:val="1E725C5C"/>
    <w:rsid w:val="1E7E4039"/>
    <w:rsid w:val="1E8021E5"/>
    <w:rsid w:val="1E901FEE"/>
    <w:rsid w:val="1E9442E7"/>
    <w:rsid w:val="1E994219"/>
    <w:rsid w:val="1EA078AE"/>
    <w:rsid w:val="1EA45EC1"/>
    <w:rsid w:val="1EA721E8"/>
    <w:rsid w:val="1EB40283"/>
    <w:rsid w:val="1EB8600C"/>
    <w:rsid w:val="1EC630A4"/>
    <w:rsid w:val="1ED02528"/>
    <w:rsid w:val="1ED45CAE"/>
    <w:rsid w:val="1F210717"/>
    <w:rsid w:val="1F424DC2"/>
    <w:rsid w:val="1F570644"/>
    <w:rsid w:val="1F59199D"/>
    <w:rsid w:val="1F684DF5"/>
    <w:rsid w:val="1F6D61B8"/>
    <w:rsid w:val="1F7E4383"/>
    <w:rsid w:val="1F8C6911"/>
    <w:rsid w:val="1FAD03A2"/>
    <w:rsid w:val="1FB05B86"/>
    <w:rsid w:val="1FB63256"/>
    <w:rsid w:val="1FC619C3"/>
    <w:rsid w:val="1FC83560"/>
    <w:rsid w:val="1FD323FE"/>
    <w:rsid w:val="1FD4042C"/>
    <w:rsid w:val="1FD94A26"/>
    <w:rsid w:val="1FE1419D"/>
    <w:rsid w:val="1FE97CC1"/>
    <w:rsid w:val="1FF0410F"/>
    <w:rsid w:val="1FF34102"/>
    <w:rsid w:val="200E2178"/>
    <w:rsid w:val="20102412"/>
    <w:rsid w:val="202645B9"/>
    <w:rsid w:val="204228BF"/>
    <w:rsid w:val="204F36BF"/>
    <w:rsid w:val="20614265"/>
    <w:rsid w:val="20735A50"/>
    <w:rsid w:val="207447E3"/>
    <w:rsid w:val="207877AC"/>
    <w:rsid w:val="207D7578"/>
    <w:rsid w:val="20887859"/>
    <w:rsid w:val="2093533E"/>
    <w:rsid w:val="20A6660B"/>
    <w:rsid w:val="20A7119D"/>
    <w:rsid w:val="20B217E7"/>
    <w:rsid w:val="20B77808"/>
    <w:rsid w:val="20C26B79"/>
    <w:rsid w:val="20CA6D2D"/>
    <w:rsid w:val="20E52835"/>
    <w:rsid w:val="20FB711F"/>
    <w:rsid w:val="21257950"/>
    <w:rsid w:val="2130504F"/>
    <w:rsid w:val="21382F0C"/>
    <w:rsid w:val="2149312A"/>
    <w:rsid w:val="214A05AE"/>
    <w:rsid w:val="214A3E91"/>
    <w:rsid w:val="214B28B3"/>
    <w:rsid w:val="21554126"/>
    <w:rsid w:val="216B68D1"/>
    <w:rsid w:val="217A3B55"/>
    <w:rsid w:val="217B3E84"/>
    <w:rsid w:val="217B6C76"/>
    <w:rsid w:val="218D4CC7"/>
    <w:rsid w:val="2190052C"/>
    <w:rsid w:val="21934972"/>
    <w:rsid w:val="21AD7069"/>
    <w:rsid w:val="21B77BBF"/>
    <w:rsid w:val="21CE76F6"/>
    <w:rsid w:val="21CF3C44"/>
    <w:rsid w:val="21D00AB2"/>
    <w:rsid w:val="21DB4941"/>
    <w:rsid w:val="21DE7C36"/>
    <w:rsid w:val="21DF3A01"/>
    <w:rsid w:val="21E257BE"/>
    <w:rsid w:val="21E5472C"/>
    <w:rsid w:val="21E8421C"/>
    <w:rsid w:val="21FC6962"/>
    <w:rsid w:val="220A5EF5"/>
    <w:rsid w:val="220B1A0F"/>
    <w:rsid w:val="22197D89"/>
    <w:rsid w:val="224D398A"/>
    <w:rsid w:val="224E2203"/>
    <w:rsid w:val="22585F0F"/>
    <w:rsid w:val="225F0503"/>
    <w:rsid w:val="226B5CC4"/>
    <w:rsid w:val="226D7641"/>
    <w:rsid w:val="227A0DBF"/>
    <w:rsid w:val="2280378E"/>
    <w:rsid w:val="228B0CE6"/>
    <w:rsid w:val="22925686"/>
    <w:rsid w:val="22993768"/>
    <w:rsid w:val="229C5EDB"/>
    <w:rsid w:val="22AB3A42"/>
    <w:rsid w:val="22AF2482"/>
    <w:rsid w:val="22B44D35"/>
    <w:rsid w:val="22B8500B"/>
    <w:rsid w:val="22C772E5"/>
    <w:rsid w:val="22CB52CD"/>
    <w:rsid w:val="22E06483"/>
    <w:rsid w:val="230F3C1C"/>
    <w:rsid w:val="231B258A"/>
    <w:rsid w:val="23287AA7"/>
    <w:rsid w:val="23305F0F"/>
    <w:rsid w:val="23357659"/>
    <w:rsid w:val="233905CD"/>
    <w:rsid w:val="23422ACE"/>
    <w:rsid w:val="234B5B3D"/>
    <w:rsid w:val="234E6301"/>
    <w:rsid w:val="235718E1"/>
    <w:rsid w:val="23694959"/>
    <w:rsid w:val="236C4F12"/>
    <w:rsid w:val="23925F3C"/>
    <w:rsid w:val="23A4229C"/>
    <w:rsid w:val="23AE55A9"/>
    <w:rsid w:val="23B118CE"/>
    <w:rsid w:val="23B6003B"/>
    <w:rsid w:val="23B80D83"/>
    <w:rsid w:val="23C20DF2"/>
    <w:rsid w:val="23E6337C"/>
    <w:rsid w:val="23F36F4D"/>
    <w:rsid w:val="23F46D82"/>
    <w:rsid w:val="24034D8D"/>
    <w:rsid w:val="24105E6F"/>
    <w:rsid w:val="24296431"/>
    <w:rsid w:val="24316E6F"/>
    <w:rsid w:val="24340869"/>
    <w:rsid w:val="24487901"/>
    <w:rsid w:val="24523AC4"/>
    <w:rsid w:val="24680378"/>
    <w:rsid w:val="246F2D0E"/>
    <w:rsid w:val="24742464"/>
    <w:rsid w:val="247E6772"/>
    <w:rsid w:val="24913210"/>
    <w:rsid w:val="24A2346B"/>
    <w:rsid w:val="24B81CD3"/>
    <w:rsid w:val="24C512AC"/>
    <w:rsid w:val="24C8071E"/>
    <w:rsid w:val="24C91FF8"/>
    <w:rsid w:val="24D01D21"/>
    <w:rsid w:val="24D22D5D"/>
    <w:rsid w:val="24E22CD8"/>
    <w:rsid w:val="24EA59AA"/>
    <w:rsid w:val="24EE62D2"/>
    <w:rsid w:val="250B3E1C"/>
    <w:rsid w:val="251175E6"/>
    <w:rsid w:val="251B6945"/>
    <w:rsid w:val="251F5695"/>
    <w:rsid w:val="252140E8"/>
    <w:rsid w:val="252C0FEC"/>
    <w:rsid w:val="253D487F"/>
    <w:rsid w:val="25441B85"/>
    <w:rsid w:val="254870C0"/>
    <w:rsid w:val="254A4A2E"/>
    <w:rsid w:val="25551B8C"/>
    <w:rsid w:val="255A60CD"/>
    <w:rsid w:val="25661A5A"/>
    <w:rsid w:val="25843F8F"/>
    <w:rsid w:val="259B6168"/>
    <w:rsid w:val="259F79AE"/>
    <w:rsid w:val="25A01A43"/>
    <w:rsid w:val="25CB4857"/>
    <w:rsid w:val="25CC59DE"/>
    <w:rsid w:val="25D83187"/>
    <w:rsid w:val="25D907CC"/>
    <w:rsid w:val="25DC7BF4"/>
    <w:rsid w:val="25E655C8"/>
    <w:rsid w:val="26045771"/>
    <w:rsid w:val="26196CB2"/>
    <w:rsid w:val="262250F4"/>
    <w:rsid w:val="26321F0A"/>
    <w:rsid w:val="2632720F"/>
    <w:rsid w:val="263C3E80"/>
    <w:rsid w:val="264708E7"/>
    <w:rsid w:val="26501983"/>
    <w:rsid w:val="26753D2C"/>
    <w:rsid w:val="267611D3"/>
    <w:rsid w:val="26835127"/>
    <w:rsid w:val="268E4BBA"/>
    <w:rsid w:val="269C3827"/>
    <w:rsid w:val="26A257DB"/>
    <w:rsid w:val="26AE3B4C"/>
    <w:rsid w:val="26B90F8E"/>
    <w:rsid w:val="26C05A32"/>
    <w:rsid w:val="26C54E27"/>
    <w:rsid w:val="26CC3C07"/>
    <w:rsid w:val="26DE7854"/>
    <w:rsid w:val="26E70BC5"/>
    <w:rsid w:val="26EA4592"/>
    <w:rsid w:val="26F9459F"/>
    <w:rsid w:val="27074D3E"/>
    <w:rsid w:val="271116DB"/>
    <w:rsid w:val="27113F6C"/>
    <w:rsid w:val="271A51DA"/>
    <w:rsid w:val="27232CC5"/>
    <w:rsid w:val="27254946"/>
    <w:rsid w:val="272C72DE"/>
    <w:rsid w:val="272E5BE4"/>
    <w:rsid w:val="274A08FC"/>
    <w:rsid w:val="274C764E"/>
    <w:rsid w:val="2756302F"/>
    <w:rsid w:val="275F12B3"/>
    <w:rsid w:val="276026EB"/>
    <w:rsid w:val="2772471C"/>
    <w:rsid w:val="2789575F"/>
    <w:rsid w:val="27A04038"/>
    <w:rsid w:val="27A74434"/>
    <w:rsid w:val="27AB06FA"/>
    <w:rsid w:val="27AE734E"/>
    <w:rsid w:val="27B23F45"/>
    <w:rsid w:val="27B85561"/>
    <w:rsid w:val="27BC3987"/>
    <w:rsid w:val="27BD611A"/>
    <w:rsid w:val="27BE3D53"/>
    <w:rsid w:val="27C71330"/>
    <w:rsid w:val="27D64272"/>
    <w:rsid w:val="27DC037F"/>
    <w:rsid w:val="27E269CB"/>
    <w:rsid w:val="27E91A8C"/>
    <w:rsid w:val="27EC7DE5"/>
    <w:rsid w:val="28013A27"/>
    <w:rsid w:val="280D0EB8"/>
    <w:rsid w:val="28126C32"/>
    <w:rsid w:val="28212EE0"/>
    <w:rsid w:val="2826333B"/>
    <w:rsid w:val="282D1E68"/>
    <w:rsid w:val="282E424F"/>
    <w:rsid w:val="28325075"/>
    <w:rsid w:val="283F307C"/>
    <w:rsid w:val="28476258"/>
    <w:rsid w:val="28574C9E"/>
    <w:rsid w:val="287405B8"/>
    <w:rsid w:val="287439A8"/>
    <w:rsid w:val="287823EF"/>
    <w:rsid w:val="287A594C"/>
    <w:rsid w:val="288E24C6"/>
    <w:rsid w:val="288F53F1"/>
    <w:rsid w:val="289567A3"/>
    <w:rsid w:val="289C2F2E"/>
    <w:rsid w:val="289E4453"/>
    <w:rsid w:val="28A120BA"/>
    <w:rsid w:val="28A526C6"/>
    <w:rsid w:val="28A74DCB"/>
    <w:rsid w:val="28B26344"/>
    <w:rsid w:val="28D53B72"/>
    <w:rsid w:val="28EF1B17"/>
    <w:rsid w:val="29030E83"/>
    <w:rsid w:val="2909366F"/>
    <w:rsid w:val="290A4A78"/>
    <w:rsid w:val="290C240D"/>
    <w:rsid w:val="29175D2F"/>
    <w:rsid w:val="292110CC"/>
    <w:rsid w:val="29226060"/>
    <w:rsid w:val="293B121C"/>
    <w:rsid w:val="294076BB"/>
    <w:rsid w:val="29415380"/>
    <w:rsid w:val="294A3E5A"/>
    <w:rsid w:val="294C4D5F"/>
    <w:rsid w:val="29583A9F"/>
    <w:rsid w:val="29702606"/>
    <w:rsid w:val="298B3C64"/>
    <w:rsid w:val="29956E43"/>
    <w:rsid w:val="29982FE8"/>
    <w:rsid w:val="299B61C1"/>
    <w:rsid w:val="29AA7CF7"/>
    <w:rsid w:val="29B01DC7"/>
    <w:rsid w:val="29B4253B"/>
    <w:rsid w:val="29B5574C"/>
    <w:rsid w:val="29B8457E"/>
    <w:rsid w:val="29BD744E"/>
    <w:rsid w:val="29C94933"/>
    <w:rsid w:val="29D43999"/>
    <w:rsid w:val="29D65CF5"/>
    <w:rsid w:val="2A07545B"/>
    <w:rsid w:val="2A0F7976"/>
    <w:rsid w:val="2A13132B"/>
    <w:rsid w:val="2A19034C"/>
    <w:rsid w:val="2A262618"/>
    <w:rsid w:val="2A386EBD"/>
    <w:rsid w:val="2A4C1250"/>
    <w:rsid w:val="2A58670E"/>
    <w:rsid w:val="2A6E0E4E"/>
    <w:rsid w:val="2A7108CA"/>
    <w:rsid w:val="2A7A6E34"/>
    <w:rsid w:val="2A904695"/>
    <w:rsid w:val="2A91304F"/>
    <w:rsid w:val="2A9C6CA5"/>
    <w:rsid w:val="2AA147F9"/>
    <w:rsid w:val="2AA50BDA"/>
    <w:rsid w:val="2AB60A0B"/>
    <w:rsid w:val="2ABA0D7B"/>
    <w:rsid w:val="2AC564FC"/>
    <w:rsid w:val="2ACA4E23"/>
    <w:rsid w:val="2ACF0152"/>
    <w:rsid w:val="2ADA4DFF"/>
    <w:rsid w:val="2ADE67B6"/>
    <w:rsid w:val="2AE150F8"/>
    <w:rsid w:val="2AE50F2E"/>
    <w:rsid w:val="2AF46D91"/>
    <w:rsid w:val="2AF86B85"/>
    <w:rsid w:val="2AFC41F1"/>
    <w:rsid w:val="2B011FE4"/>
    <w:rsid w:val="2B0702E2"/>
    <w:rsid w:val="2B084FE7"/>
    <w:rsid w:val="2B28410E"/>
    <w:rsid w:val="2B517956"/>
    <w:rsid w:val="2B525722"/>
    <w:rsid w:val="2B5D39BA"/>
    <w:rsid w:val="2B6D1A08"/>
    <w:rsid w:val="2B753C76"/>
    <w:rsid w:val="2B785630"/>
    <w:rsid w:val="2B793974"/>
    <w:rsid w:val="2B830B12"/>
    <w:rsid w:val="2B86355C"/>
    <w:rsid w:val="2B8F1184"/>
    <w:rsid w:val="2B9065E0"/>
    <w:rsid w:val="2BAF4B36"/>
    <w:rsid w:val="2BB7608B"/>
    <w:rsid w:val="2BC41B44"/>
    <w:rsid w:val="2BC74BC9"/>
    <w:rsid w:val="2BD31A99"/>
    <w:rsid w:val="2BD55811"/>
    <w:rsid w:val="2BDE14EC"/>
    <w:rsid w:val="2BDF043E"/>
    <w:rsid w:val="2BF62A58"/>
    <w:rsid w:val="2BF84D8E"/>
    <w:rsid w:val="2C033ABC"/>
    <w:rsid w:val="2C047B3A"/>
    <w:rsid w:val="2C1305B1"/>
    <w:rsid w:val="2C1758CF"/>
    <w:rsid w:val="2C1A354E"/>
    <w:rsid w:val="2C1D3FD7"/>
    <w:rsid w:val="2C1F3B79"/>
    <w:rsid w:val="2C452B2D"/>
    <w:rsid w:val="2C492C36"/>
    <w:rsid w:val="2C60237D"/>
    <w:rsid w:val="2C6A57CD"/>
    <w:rsid w:val="2C6D7E6F"/>
    <w:rsid w:val="2C6E6FCD"/>
    <w:rsid w:val="2C72135B"/>
    <w:rsid w:val="2C7C6DC5"/>
    <w:rsid w:val="2C83572D"/>
    <w:rsid w:val="2C86043D"/>
    <w:rsid w:val="2C8C5A7E"/>
    <w:rsid w:val="2C8D55AD"/>
    <w:rsid w:val="2C9248BA"/>
    <w:rsid w:val="2CA64B3B"/>
    <w:rsid w:val="2CBE3246"/>
    <w:rsid w:val="2CC802D9"/>
    <w:rsid w:val="2CCD3F5D"/>
    <w:rsid w:val="2CDF4F09"/>
    <w:rsid w:val="2CE27524"/>
    <w:rsid w:val="2CEB0142"/>
    <w:rsid w:val="2CF021D7"/>
    <w:rsid w:val="2CF320D2"/>
    <w:rsid w:val="2CF63C91"/>
    <w:rsid w:val="2CF83F53"/>
    <w:rsid w:val="2D1A2BE0"/>
    <w:rsid w:val="2D1E33D5"/>
    <w:rsid w:val="2D336006"/>
    <w:rsid w:val="2D400C19"/>
    <w:rsid w:val="2D4935AD"/>
    <w:rsid w:val="2D6A40CE"/>
    <w:rsid w:val="2DA26D95"/>
    <w:rsid w:val="2DA413CA"/>
    <w:rsid w:val="2DC05192"/>
    <w:rsid w:val="2DE805FC"/>
    <w:rsid w:val="2DF0342C"/>
    <w:rsid w:val="2E0C6F3E"/>
    <w:rsid w:val="2E0F2B6F"/>
    <w:rsid w:val="2E1977B8"/>
    <w:rsid w:val="2E2200F6"/>
    <w:rsid w:val="2E3A22AB"/>
    <w:rsid w:val="2E3C0D78"/>
    <w:rsid w:val="2E4F7B39"/>
    <w:rsid w:val="2E570AA3"/>
    <w:rsid w:val="2E5A63B6"/>
    <w:rsid w:val="2E7B61FD"/>
    <w:rsid w:val="2E7F48C7"/>
    <w:rsid w:val="2E883F4F"/>
    <w:rsid w:val="2E8C5F2F"/>
    <w:rsid w:val="2E995B75"/>
    <w:rsid w:val="2E9A38AB"/>
    <w:rsid w:val="2E9F7ACE"/>
    <w:rsid w:val="2EA035D3"/>
    <w:rsid w:val="2EAE5550"/>
    <w:rsid w:val="2EB00084"/>
    <w:rsid w:val="2EB13533"/>
    <w:rsid w:val="2EBC0113"/>
    <w:rsid w:val="2EBC74B9"/>
    <w:rsid w:val="2EC15360"/>
    <w:rsid w:val="2ED7075B"/>
    <w:rsid w:val="2EF67B9D"/>
    <w:rsid w:val="2F0123E9"/>
    <w:rsid w:val="2F0322BF"/>
    <w:rsid w:val="2F1D4987"/>
    <w:rsid w:val="2F540C31"/>
    <w:rsid w:val="2F574071"/>
    <w:rsid w:val="2F5E2555"/>
    <w:rsid w:val="2F6B2E0E"/>
    <w:rsid w:val="2F6E14A3"/>
    <w:rsid w:val="2F7C06CC"/>
    <w:rsid w:val="2F9835CF"/>
    <w:rsid w:val="2F9D630E"/>
    <w:rsid w:val="2FA166ED"/>
    <w:rsid w:val="2FB151D3"/>
    <w:rsid w:val="2FB944E5"/>
    <w:rsid w:val="2FC871E6"/>
    <w:rsid w:val="2FDE5F50"/>
    <w:rsid w:val="2FEC4EBA"/>
    <w:rsid w:val="2FEE3B1C"/>
    <w:rsid w:val="300D33B1"/>
    <w:rsid w:val="300E7796"/>
    <w:rsid w:val="301E0F2A"/>
    <w:rsid w:val="301E5143"/>
    <w:rsid w:val="302C3DCE"/>
    <w:rsid w:val="303E1D0E"/>
    <w:rsid w:val="30424964"/>
    <w:rsid w:val="304C1E1A"/>
    <w:rsid w:val="30576568"/>
    <w:rsid w:val="30695D27"/>
    <w:rsid w:val="3073370F"/>
    <w:rsid w:val="308F608C"/>
    <w:rsid w:val="3097480E"/>
    <w:rsid w:val="309C57CB"/>
    <w:rsid w:val="30A309C3"/>
    <w:rsid w:val="30B059A2"/>
    <w:rsid w:val="30B67543"/>
    <w:rsid w:val="30B77036"/>
    <w:rsid w:val="30BA3015"/>
    <w:rsid w:val="30BF439A"/>
    <w:rsid w:val="310137B1"/>
    <w:rsid w:val="3106476B"/>
    <w:rsid w:val="31102DE7"/>
    <w:rsid w:val="31323F94"/>
    <w:rsid w:val="313E524F"/>
    <w:rsid w:val="315149DE"/>
    <w:rsid w:val="3154270A"/>
    <w:rsid w:val="31573DD5"/>
    <w:rsid w:val="315A64D4"/>
    <w:rsid w:val="31607574"/>
    <w:rsid w:val="31671616"/>
    <w:rsid w:val="31716A86"/>
    <w:rsid w:val="3178186F"/>
    <w:rsid w:val="3189428A"/>
    <w:rsid w:val="318D37BB"/>
    <w:rsid w:val="31973A57"/>
    <w:rsid w:val="31983637"/>
    <w:rsid w:val="31A04336"/>
    <w:rsid w:val="31A6555A"/>
    <w:rsid w:val="31AE341C"/>
    <w:rsid w:val="31B22405"/>
    <w:rsid w:val="31B30043"/>
    <w:rsid w:val="31B64C69"/>
    <w:rsid w:val="31B82294"/>
    <w:rsid w:val="31BF264E"/>
    <w:rsid w:val="31C262F6"/>
    <w:rsid w:val="31C75D39"/>
    <w:rsid w:val="31D04A59"/>
    <w:rsid w:val="31DA0183"/>
    <w:rsid w:val="31DC0F7C"/>
    <w:rsid w:val="31DC6191"/>
    <w:rsid w:val="31E10BE3"/>
    <w:rsid w:val="31EA1749"/>
    <w:rsid w:val="31F767B3"/>
    <w:rsid w:val="31FD1227"/>
    <w:rsid w:val="32054F90"/>
    <w:rsid w:val="320A243D"/>
    <w:rsid w:val="32191252"/>
    <w:rsid w:val="3235075B"/>
    <w:rsid w:val="323C02EE"/>
    <w:rsid w:val="32495110"/>
    <w:rsid w:val="325311BF"/>
    <w:rsid w:val="325D07E4"/>
    <w:rsid w:val="32682E98"/>
    <w:rsid w:val="327556FE"/>
    <w:rsid w:val="327F2033"/>
    <w:rsid w:val="32884F63"/>
    <w:rsid w:val="32891103"/>
    <w:rsid w:val="32953F41"/>
    <w:rsid w:val="32A12652"/>
    <w:rsid w:val="32B73DE5"/>
    <w:rsid w:val="32BE200C"/>
    <w:rsid w:val="32C56718"/>
    <w:rsid w:val="32CC5D3D"/>
    <w:rsid w:val="32E410C9"/>
    <w:rsid w:val="32E419E9"/>
    <w:rsid w:val="32EA5881"/>
    <w:rsid w:val="32ED0BAC"/>
    <w:rsid w:val="32F5691F"/>
    <w:rsid w:val="32F73699"/>
    <w:rsid w:val="32F75A72"/>
    <w:rsid w:val="33027260"/>
    <w:rsid w:val="33070713"/>
    <w:rsid w:val="330B21BF"/>
    <w:rsid w:val="330F1298"/>
    <w:rsid w:val="33160B51"/>
    <w:rsid w:val="33260492"/>
    <w:rsid w:val="332A12B8"/>
    <w:rsid w:val="333155AA"/>
    <w:rsid w:val="33444067"/>
    <w:rsid w:val="334D06E6"/>
    <w:rsid w:val="334F1AED"/>
    <w:rsid w:val="33560AA5"/>
    <w:rsid w:val="336403A4"/>
    <w:rsid w:val="337E053C"/>
    <w:rsid w:val="338843F3"/>
    <w:rsid w:val="338F7FCA"/>
    <w:rsid w:val="339B7340"/>
    <w:rsid w:val="33A06995"/>
    <w:rsid w:val="33A2330C"/>
    <w:rsid w:val="33AA291B"/>
    <w:rsid w:val="33AA3D46"/>
    <w:rsid w:val="33AA7294"/>
    <w:rsid w:val="33AB4C42"/>
    <w:rsid w:val="33B034C9"/>
    <w:rsid w:val="33B52EAF"/>
    <w:rsid w:val="33B57D19"/>
    <w:rsid w:val="33C55309"/>
    <w:rsid w:val="33C55A7A"/>
    <w:rsid w:val="33D85A5E"/>
    <w:rsid w:val="33DE2188"/>
    <w:rsid w:val="33DE3E45"/>
    <w:rsid w:val="33EA7F6D"/>
    <w:rsid w:val="33ED7016"/>
    <w:rsid w:val="33EF0E80"/>
    <w:rsid w:val="33F2465D"/>
    <w:rsid w:val="33F92E29"/>
    <w:rsid w:val="34056924"/>
    <w:rsid w:val="341A3311"/>
    <w:rsid w:val="341A5E32"/>
    <w:rsid w:val="34385041"/>
    <w:rsid w:val="34442C19"/>
    <w:rsid w:val="344472CD"/>
    <w:rsid w:val="345327B1"/>
    <w:rsid w:val="346511A8"/>
    <w:rsid w:val="346959F8"/>
    <w:rsid w:val="347A77AC"/>
    <w:rsid w:val="347D4AE2"/>
    <w:rsid w:val="34825E5D"/>
    <w:rsid w:val="34877CE8"/>
    <w:rsid w:val="34A769E4"/>
    <w:rsid w:val="34A94D04"/>
    <w:rsid w:val="34B9357A"/>
    <w:rsid w:val="34CA38A2"/>
    <w:rsid w:val="34CD29A6"/>
    <w:rsid w:val="34CD7521"/>
    <w:rsid w:val="34DA72F9"/>
    <w:rsid w:val="34EC124D"/>
    <w:rsid w:val="34F55E2F"/>
    <w:rsid w:val="35002ADD"/>
    <w:rsid w:val="35105594"/>
    <w:rsid w:val="35292FF1"/>
    <w:rsid w:val="35327B80"/>
    <w:rsid w:val="35394C91"/>
    <w:rsid w:val="35515F95"/>
    <w:rsid w:val="35543640"/>
    <w:rsid w:val="35574017"/>
    <w:rsid w:val="355F699B"/>
    <w:rsid w:val="3561044A"/>
    <w:rsid w:val="35623B07"/>
    <w:rsid w:val="35661347"/>
    <w:rsid w:val="356E580A"/>
    <w:rsid w:val="358D6E32"/>
    <w:rsid w:val="35996FBD"/>
    <w:rsid w:val="359F2ED6"/>
    <w:rsid w:val="35A235B9"/>
    <w:rsid w:val="35A564CA"/>
    <w:rsid w:val="35B00899"/>
    <w:rsid w:val="35B56676"/>
    <w:rsid w:val="35BF4704"/>
    <w:rsid w:val="35D023FC"/>
    <w:rsid w:val="35D43977"/>
    <w:rsid w:val="35D703D8"/>
    <w:rsid w:val="35E13599"/>
    <w:rsid w:val="35F24CDB"/>
    <w:rsid w:val="35FE7427"/>
    <w:rsid w:val="360416D1"/>
    <w:rsid w:val="36043EF2"/>
    <w:rsid w:val="360945C3"/>
    <w:rsid w:val="360A31E9"/>
    <w:rsid w:val="361F1924"/>
    <w:rsid w:val="363F5B8C"/>
    <w:rsid w:val="36411A34"/>
    <w:rsid w:val="36420F4B"/>
    <w:rsid w:val="3650452F"/>
    <w:rsid w:val="36552BC1"/>
    <w:rsid w:val="36565AF9"/>
    <w:rsid w:val="365D7E36"/>
    <w:rsid w:val="366C5EFF"/>
    <w:rsid w:val="36760927"/>
    <w:rsid w:val="367A247E"/>
    <w:rsid w:val="36801E51"/>
    <w:rsid w:val="368220F2"/>
    <w:rsid w:val="3682507D"/>
    <w:rsid w:val="368976A0"/>
    <w:rsid w:val="368C04FF"/>
    <w:rsid w:val="3692120B"/>
    <w:rsid w:val="369A10AC"/>
    <w:rsid w:val="36A04C6E"/>
    <w:rsid w:val="36E74836"/>
    <w:rsid w:val="36E8025C"/>
    <w:rsid w:val="36EB13E7"/>
    <w:rsid w:val="36ED061B"/>
    <w:rsid w:val="3701296E"/>
    <w:rsid w:val="37133AA5"/>
    <w:rsid w:val="371D7C59"/>
    <w:rsid w:val="371F2C21"/>
    <w:rsid w:val="37386315"/>
    <w:rsid w:val="373966BF"/>
    <w:rsid w:val="37443715"/>
    <w:rsid w:val="376B6698"/>
    <w:rsid w:val="377B0086"/>
    <w:rsid w:val="3784033C"/>
    <w:rsid w:val="37873001"/>
    <w:rsid w:val="37881941"/>
    <w:rsid w:val="379C4FD9"/>
    <w:rsid w:val="37AD19A5"/>
    <w:rsid w:val="37AD4051"/>
    <w:rsid w:val="37B913F4"/>
    <w:rsid w:val="37D77088"/>
    <w:rsid w:val="37E45160"/>
    <w:rsid w:val="37E8799D"/>
    <w:rsid w:val="37EF21FA"/>
    <w:rsid w:val="380D1DF8"/>
    <w:rsid w:val="38177104"/>
    <w:rsid w:val="38301FBE"/>
    <w:rsid w:val="38303FC5"/>
    <w:rsid w:val="38343CF8"/>
    <w:rsid w:val="383C1156"/>
    <w:rsid w:val="38511657"/>
    <w:rsid w:val="38573E77"/>
    <w:rsid w:val="38851852"/>
    <w:rsid w:val="38971FD1"/>
    <w:rsid w:val="38A90CC2"/>
    <w:rsid w:val="38A92F35"/>
    <w:rsid w:val="38AD6712"/>
    <w:rsid w:val="38B251EF"/>
    <w:rsid w:val="38B94B3B"/>
    <w:rsid w:val="38C32995"/>
    <w:rsid w:val="38C4306E"/>
    <w:rsid w:val="38C8070F"/>
    <w:rsid w:val="38CD6301"/>
    <w:rsid w:val="38EF420E"/>
    <w:rsid w:val="38F66432"/>
    <w:rsid w:val="38FA6045"/>
    <w:rsid w:val="38FB1D5E"/>
    <w:rsid w:val="390013A5"/>
    <w:rsid w:val="390C5C90"/>
    <w:rsid w:val="3915321F"/>
    <w:rsid w:val="3927370A"/>
    <w:rsid w:val="39380364"/>
    <w:rsid w:val="39614166"/>
    <w:rsid w:val="397B2DFA"/>
    <w:rsid w:val="398D772B"/>
    <w:rsid w:val="398D796F"/>
    <w:rsid w:val="399145CA"/>
    <w:rsid w:val="39970FB4"/>
    <w:rsid w:val="399953A1"/>
    <w:rsid w:val="399A3A79"/>
    <w:rsid w:val="39A65D00"/>
    <w:rsid w:val="39B027BA"/>
    <w:rsid w:val="39B723E4"/>
    <w:rsid w:val="39C50DE6"/>
    <w:rsid w:val="39D55263"/>
    <w:rsid w:val="39FC7488"/>
    <w:rsid w:val="3A011023"/>
    <w:rsid w:val="3A055AFC"/>
    <w:rsid w:val="3A0B3E07"/>
    <w:rsid w:val="3A14138F"/>
    <w:rsid w:val="3A331870"/>
    <w:rsid w:val="3A3D1187"/>
    <w:rsid w:val="3A3E06A2"/>
    <w:rsid w:val="3A527966"/>
    <w:rsid w:val="3A581FA4"/>
    <w:rsid w:val="3A616393"/>
    <w:rsid w:val="3A6C67A5"/>
    <w:rsid w:val="3A7461F5"/>
    <w:rsid w:val="3A747AC2"/>
    <w:rsid w:val="3A79719B"/>
    <w:rsid w:val="3A7B353C"/>
    <w:rsid w:val="3AA969CF"/>
    <w:rsid w:val="3AFA227D"/>
    <w:rsid w:val="3B074C1B"/>
    <w:rsid w:val="3B0C5A81"/>
    <w:rsid w:val="3B10564F"/>
    <w:rsid w:val="3B173BFD"/>
    <w:rsid w:val="3B1D03BA"/>
    <w:rsid w:val="3B387052"/>
    <w:rsid w:val="3B3924F6"/>
    <w:rsid w:val="3B3E4F61"/>
    <w:rsid w:val="3B3F4A55"/>
    <w:rsid w:val="3B457FCA"/>
    <w:rsid w:val="3B485E21"/>
    <w:rsid w:val="3B9725CA"/>
    <w:rsid w:val="3BA672A9"/>
    <w:rsid w:val="3BB3668C"/>
    <w:rsid w:val="3BC51E5E"/>
    <w:rsid w:val="3BC81B99"/>
    <w:rsid w:val="3BC93E03"/>
    <w:rsid w:val="3BD176FB"/>
    <w:rsid w:val="3BDD01B1"/>
    <w:rsid w:val="3BE1380C"/>
    <w:rsid w:val="3BE24B60"/>
    <w:rsid w:val="3C0F3747"/>
    <w:rsid w:val="3C0F6E42"/>
    <w:rsid w:val="3C1001A0"/>
    <w:rsid w:val="3C125DB2"/>
    <w:rsid w:val="3C13580F"/>
    <w:rsid w:val="3C177613"/>
    <w:rsid w:val="3C2900DB"/>
    <w:rsid w:val="3C2F42C7"/>
    <w:rsid w:val="3C3A59BA"/>
    <w:rsid w:val="3C434BD1"/>
    <w:rsid w:val="3C4A48CA"/>
    <w:rsid w:val="3C4A49AD"/>
    <w:rsid w:val="3C511290"/>
    <w:rsid w:val="3C734CC5"/>
    <w:rsid w:val="3C861DC0"/>
    <w:rsid w:val="3C8D47B1"/>
    <w:rsid w:val="3C962E05"/>
    <w:rsid w:val="3CAE0A5F"/>
    <w:rsid w:val="3CB61674"/>
    <w:rsid w:val="3CBA14E0"/>
    <w:rsid w:val="3CBA4266"/>
    <w:rsid w:val="3CD2281C"/>
    <w:rsid w:val="3CFF4D03"/>
    <w:rsid w:val="3D08650E"/>
    <w:rsid w:val="3D1D679D"/>
    <w:rsid w:val="3D2945A1"/>
    <w:rsid w:val="3D2C36BB"/>
    <w:rsid w:val="3D353732"/>
    <w:rsid w:val="3D482113"/>
    <w:rsid w:val="3D4C16AB"/>
    <w:rsid w:val="3D5237A1"/>
    <w:rsid w:val="3D673DEF"/>
    <w:rsid w:val="3D695658"/>
    <w:rsid w:val="3D6C1CB7"/>
    <w:rsid w:val="3D74592B"/>
    <w:rsid w:val="3D760D32"/>
    <w:rsid w:val="3D8262BA"/>
    <w:rsid w:val="3D897263"/>
    <w:rsid w:val="3D8E6A5E"/>
    <w:rsid w:val="3DA46DF1"/>
    <w:rsid w:val="3DCC00F6"/>
    <w:rsid w:val="3DD45235"/>
    <w:rsid w:val="3DE95026"/>
    <w:rsid w:val="3DF81119"/>
    <w:rsid w:val="3E0006CE"/>
    <w:rsid w:val="3E0223A7"/>
    <w:rsid w:val="3E117CD5"/>
    <w:rsid w:val="3E162874"/>
    <w:rsid w:val="3E1675C3"/>
    <w:rsid w:val="3E2823FC"/>
    <w:rsid w:val="3E3667C6"/>
    <w:rsid w:val="3E3B0598"/>
    <w:rsid w:val="3E4A28BC"/>
    <w:rsid w:val="3E4E515B"/>
    <w:rsid w:val="3E6BB673"/>
    <w:rsid w:val="3E750542"/>
    <w:rsid w:val="3E8F0CD4"/>
    <w:rsid w:val="3E976956"/>
    <w:rsid w:val="3EA052EA"/>
    <w:rsid w:val="3EA411C3"/>
    <w:rsid w:val="3EB97976"/>
    <w:rsid w:val="3EC06511"/>
    <w:rsid w:val="3EC86A2B"/>
    <w:rsid w:val="3ECA3DB3"/>
    <w:rsid w:val="3ECD49ED"/>
    <w:rsid w:val="3ED02D59"/>
    <w:rsid w:val="3ED16010"/>
    <w:rsid w:val="3EDE6AE7"/>
    <w:rsid w:val="3EE63037"/>
    <w:rsid w:val="3EF577E2"/>
    <w:rsid w:val="3EFD5398"/>
    <w:rsid w:val="3F0A43FD"/>
    <w:rsid w:val="3F0A5CA1"/>
    <w:rsid w:val="3F1039ED"/>
    <w:rsid w:val="3F1228ED"/>
    <w:rsid w:val="3F3AC10B"/>
    <w:rsid w:val="3F417614"/>
    <w:rsid w:val="3F433AA7"/>
    <w:rsid w:val="3F59568A"/>
    <w:rsid w:val="3F636B27"/>
    <w:rsid w:val="3F77070A"/>
    <w:rsid w:val="3F846153"/>
    <w:rsid w:val="3F854A01"/>
    <w:rsid w:val="3F877B3E"/>
    <w:rsid w:val="3FB97A7C"/>
    <w:rsid w:val="3FBE4111"/>
    <w:rsid w:val="3FBE723F"/>
    <w:rsid w:val="3FC7C282"/>
    <w:rsid w:val="3FE54875"/>
    <w:rsid w:val="3FF80A31"/>
    <w:rsid w:val="3FF90007"/>
    <w:rsid w:val="3FF913F8"/>
    <w:rsid w:val="3FF951A1"/>
    <w:rsid w:val="3FFF6F51"/>
    <w:rsid w:val="400E3A4B"/>
    <w:rsid w:val="40100ABF"/>
    <w:rsid w:val="402079EC"/>
    <w:rsid w:val="40380746"/>
    <w:rsid w:val="403A57EB"/>
    <w:rsid w:val="40437C92"/>
    <w:rsid w:val="40465640"/>
    <w:rsid w:val="405F38B9"/>
    <w:rsid w:val="4061642F"/>
    <w:rsid w:val="406C5052"/>
    <w:rsid w:val="4071077E"/>
    <w:rsid w:val="4075728F"/>
    <w:rsid w:val="40825072"/>
    <w:rsid w:val="40857C93"/>
    <w:rsid w:val="408862B4"/>
    <w:rsid w:val="409022B4"/>
    <w:rsid w:val="40986D02"/>
    <w:rsid w:val="40A23CC4"/>
    <w:rsid w:val="40BA5753"/>
    <w:rsid w:val="40D64733"/>
    <w:rsid w:val="40E0015D"/>
    <w:rsid w:val="40EA717A"/>
    <w:rsid w:val="40EB3346"/>
    <w:rsid w:val="40ED7524"/>
    <w:rsid w:val="40F305CF"/>
    <w:rsid w:val="41063807"/>
    <w:rsid w:val="410D5848"/>
    <w:rsid w:val="4121689F"/>
    <w:rsid w:val="41302438"/>
    <w:rsid w:val="4132477C"/>
    <w:rsid w:val="41347F62"/>
    <w:rsid w:val="41373AA9"/>
    <w:rsid w:val="415E01D3"/>
    <w:rsid w:val="41634A00"/>
    <w:rsid w:val="41672961"/>
    <w:rsid w:val="416A48C8"/>
    <w:rsid w:val="41711E42"/>
    <w:rsid w:val="41836E09"/>
    <w:rsid w:val="41915C07"/>
    <w:rsid w:val="419D25D7"/>
    <w:rsid w:val="419E0E65"/>
    <w:rsid w:val="41B676E4"/>
    <w:rsid w:val="41BD6B8D"/>
    <w:rsid w:val="41BD7E87"/>
    <w:rsid w:val="41CF16CA"/>
    <w:rsid w:val="41DF5A9C"/>
    <w:rsid w:val="41FA6B62"/>
    <w:rsid w:val="41FC26E4"/>
    <w:rsid w:val="4206132D"/>
    <w:rsid w:val="420E6DE3"/>
    <w:rsid w:val="421E2360"/>
    <w:rsid w:val="42313CAB"/>
    <w:rsid w:val="424773ED"/>
    <w:rsid w:val="424C727A"/>
    <w:rsid w:val="42563BFD"/>
    <w:rsid w:val="425E5134"/>
    <w:rsid w:val="427916F6"/>
    <w:rsid w:val="42864D18"/>
    <w:rsid w:val="428C3511"/>
    <w:rsid w:val="42936229"/>
    <w:rsid w:val="42947140"/>
    <w:rsid w:val="42975177"/>
    <w:rsid w:val="429E6289"/>
    <w:rsid w:val="42A7124B"/>
    <w:rsid w:val="42BB04D5"/>
    <w:rsid w:val="42BF1F59"/>
    <w:rsid w:val="42D431E7"/>
    <w:rsid w:val="42DD3C7C"/>
    <w:rsid w:val="42E06D3F"/>
    <w:rsid w:val="42E431C6"/>
    <w:rsid w:val="42E47497"/>
    <w:rsid w:val="42EB703C"/>
    <w:rsid w:val="42F44809"/>
    <w:rsid w:val="42F5314F"/>
    <w:rsid w:val="4311783D"/>
    <w:rsid w:val="434959B5"/>
    <w:rsid w:val="43540190"/>
    <w:rsid w:val="436F4138"/>
    <w:rsid w:val="4376192C"/>
    <w:rsid w:val="43826334"/>
    <w:rsid w:val="438274D6"/>
    <w:rsid w:val="43880F63"/>
    <w:rsid w:val="43AA1A3A"/>
    <w:rsid w:val="43CA7F97"/>
    <w:rsid w:val="43D527A2"/>
    <w:rsid w:val="43E5117C"/>
    <w:rsid w:val="43EF46DE"/>
    <w:rsid w:val="44040515"/>
    <w:rsid w:val="441F0428"/>
    <w:rsid w:val="442A5A37"/>
    <w:rsid w:val="44316DCA"/>
    <w:rsid w:val="44451010"/>
    <w:rsid w:val="4451500F"/>
    <w:rsid w:val="44567BE7"/>
    <w:rsid w:val="445A043F"/>
    <w:rsid w:val="445D1C18"/>
    <w:rsid w:val="445F7F16"/>
    <w:rsid w:val="44686728"/>
    <w:rsid w:val="448B156B"/>
    <w:rsid w:val="448B22FD"/>
    <w:rsid w:val="44A409D6"/>
    <w:rsid w:val="44B622C6"/>
    <w:rsid w:val="44C1122D"/>
    <w:rsid w:val="44DB3BAD"/>
    <w:rsid w:val="44EF7556"/>
    <w:rsid w:val="45161D33"/>
    <w:rsid w:val="452269D1"/>
    <w:rsid w:val="452913B3"/>
    <w:rsid w:val="454C27BA"/>
    <w:rsid w:val="45521D98"/>
    <w:rsid w:val="455519C6"/>
    <w:rsid w:val="459021C4"/>
    <w:rsid w:val="45982CA1"/>
    <w:rsid w:val="45A603D9"/>
    <w:rsid w:val="45B85B30"/>
    <w:rsid w:val="45D33AEA"/>
    <w:rsid w:val="45D945AF"/>
    <w:rsid w:val="45D9497A"/>
    <w:rsid w:val="45DC6E49"/>
    <w:rsid w:val="45E162C4"/>
    <w:rsid w:val="45E72D80"/>
    <w:rsid w:val="45E73807"/>
    <w:rsid w:val="45EB3F8B"/>
    <w:rsid w:val="46000609"/>
    <w:rsid w:val="46267B8D"/>
    <w:rsid w:val="46296CFD"/>
    <w:rsid w:val="462A0CCA"/>
    <w:rsid w:val="463D1F17"/>
    <w:rsid w:val="46655076"/>
    <w:rsid w:val="4672561E"/>
    <w:rsid w:val="46753A21"/>
    <w:rsid w:val="46813229"/>
    <w:rsid w:val="46832CE2"/>
    <w:rsid w:val="46886B3E"/>
    <w:rsid w:val="469F5BC1"/>
    <w:rsid w:val="46A86972"/>
    <w:rsid w:val="46B12A0C"/>
    <w:rsid w:val="46B22AFA"/>
    <w:rsid w:val="46B313F7"/>
    <w:rsid w:val="46B31897"/>
    <w:rsid w:val="46BF4928"/>
    <w:rsid w:val="46C16951"/>
    <w:rsid w:val="46C430AB"/>
    <w:rsid w:val="46CD5BB3"/>
    <w:rsid w:val="46E24775"/>
    <w:rsid w:val="46EE27C2"/>
    <w:rsid w:val="46F527EC"/>
    <w:rsid w:val="47023AAB"/>
    <w:rsid w:val="4707151F"/>
    <w:rsid w:val="47095803"/>
    <w:rsid w:val="471367B5"/>
    <w:rsid w:val="471C5C4A"/>
    <w:rsid w:val="47200D37"/>
    <w:rsid w:val="47215D02"/>
    <w:rsid w:val="472B3A30"/>
    <w:rsid w:val="47340002"/>
    <w:rsid w:val="47370ABA"/>
    <w:rsid w:val="47602729"/>
    <w:rsid w:val="47621DD1"/>
    <w:rsid w:val="47672A3E"/>
    <w:rsid w:val="47694C08"/>
    <w:rsid w:val="4776763C"/>
    <w:rsid w:val="47775AD3"/>
    <w:rsid w:val="477B1305"/>
    <w:rsid w:val="477C200F"/>
    <w:rsid w:val="4790353E"/>
    <w:rsid w:val="4794500D"/>
    <w:rsid w:val="4797719D"/>
    <w:rsid w:val="47A002F6"/>
    <w:rsid w:val="47B90B7F"/>
    <w:rsid w:val="47CA7DE7"/>
    <w:rsid w:val="47E45A99"/>
    <w:rsid w:val="47F907C5"/>
    <w:rsid w:val="480B079C"/>
    <w:rsid w:val="480C0168"/>
    <w:rsid w:val="480D0453"/>
    <w:rsid w:val="4822706F"/>
    <w:rsid w:val="48310949"/>
    <w:rsid w:val="48331256"/>
    <w:rsid w:val="483551AB"/>
    <w:rsid w:val="483C4A66"/>
    <w:rsid w:val="483D22CC"/>
    <w:rsid w:val="48481AD8"/>
    <w:rsid w:val="484963E0"/>
    <w:rsid w:val="486B00BB"/>
    <w:rsid w:val="486D2526"/>
    <w:rsid w:val="488127A7"/>
    <w:rsid w:val="48991076"/>
    <w:rsid w:val="48991FBC"/>
    <w:rsid w:val="489B0AD4"/>
    <w:rsid w:val="489C0E7C"/>
    <w:rsid w:val="48AC735F"/>
    <w:rsid w:val="48C22C2E"/>
    <w:rsid w:val="48C5646E"/>
    <w:rsid w:val="490F06E0"/>
    <w:rsid w:val="49112F05"/>
    <w:rsid w:val="492C2F96"/>
    <w:rsid w:val="492E3C4E"/>
    <w:rsid w:val="49447356"/>
    <w:rsid w:val="494576F1"/>
    <w:rsid w:val="494C493D"/>
    <w:rsid w:val="49570857"/>
    <w:rsid w:val="49602550"/>
    <w:rsid w:val="496B42DA"/>
    <w:rsid w:val="49831760"/>
    <w:rsid w:val="49881965"/>
    <w:rsid w:val="498979C8"/>
    <w:rsid w:val="498F3A3D"/>
    <w:rsid w:val="499B4196"/>
    <w:rsid w:val="49A27191"/>
    <w:rsid w:val="49A642F4"/>
    <w:rsid w:val="49A935D9"/>
    <w:rsid w:val="49BA41CC"/>
    <w:rsid w:val="49C314EF"/>
    <w:rsid w:val="49C97224"/>
    <w:rsid w:val="49CB371B"/>
    <w:rsid w:val="49E26DC6"/>
    <w:rsid w:val="49FC288D"/>
    <w:rsid w:val="4A082DB9"/>
    <w:rsid w:val="4A11777F"/>
    <w:rsid w:val="4A1775A3"/>
    <w:rsid w:val="4A317D5F"/>
    <w:rsid w:val="4A4B730C"/>
    <w:rsid w:val="4A50523D"/>
    <w:rsid w:val="4A522222"/>
    <w:rsid w:val="4A5D0A54"/>
    <w:rsid w:val="4A6B6A74"/>
    <w:rsid w:val="4A7E3750"/>
    <w:rsid w:val="4A806DBF"/>
    <w:rsid w:val="4A821296"/>
    <w:rsid w:val="4A936E43"/>
    <w:rsid w:val="4AA002B4"/>
    <w:rsid w:val="4AA065F5"/>
    <w:rsid w:val="4AA25A23"/>
    <w:rsid w:val="4AB11ED4"/>
    <w:rsid w:val="4AB23C03"/>
    <w:rsid w:val="4AB43FDC"/>
    <w:rsid w:val="4AB83EDC"/>
    <w:rsid w:val="4ABD4294"/>
    <w:rsid w:val="4AC960E9"/>
    <w:rsid w:val="4ACD23D6"/>
    <w:rsid w:val="4AD15731"/>
    <w:rsid w:val="4AD16930"/>
    <w:rsid w:val="4AD62DA1"/>
    <w:rsid w:val="4AE023DD"/>
    <w:rsid w:val="4AE05C09"/>
    <w:rsid w:val="4AE276BC"/>
    <w:rsid w:val="4AEA6060"/>
    <w:rsid w:val="4AEC6DA7"/>
    <w:rsid w:val="4AF6508E"/>
    <w:rsid w:val="4AF859F2"/>
    <w:rsid w:val="4B00283F"/>
    <w:rsid w:val="4B005387"/>
    <w:rsid w:val="4B0870AC"/>
    <w:rsid w:val="4B0E4511"/>
    <w:rsid w:val="4B127154"/>
    <w:rsid w:val="4B1371CB"/>
    <w:rsid w:val="4B197687"/>
    <w:rsid w:val="4B1C0B28"/>
    <w:rsid w:val="4B5A3F7D"/>
    <w:rsid w:val="4B5D2CD5"/>
    <w:rsid w:val="4B5E121D"/>
    <w:rsid w:val="4B88462C"/>
    <w:rsid w:val="4B897671"/>
    <w:rsid w:val="4B9A6432"/>
    <w:rsid w:val="4B9B0EA7"/>
    <w:rsid w:val="4B9C58D4"/>
    <w:rsid w:val="4B9E042B"/>
    <w:rsid w:val="4BB15DD7"/>
    <w:rsid w:val="4BB673BE"/>
    <w:rsid w:val="4BD72A7F"/>
    <w:rsid w:val="4BE2319E"/>
    <w:rsid w:val="4BE3142D"/>
    <w:rsid w:val="4BEB3A83"/>
    <w:rsid w:val="4BF43354"/>
    <w:rsid w:val="4BFF4460"/>
    <w:rsid w:val="4C070F38"/>
    <w:rsid w:val="4C1106C3"/>
    <w:rsid w:val="4C19280C"/>
    <w:rsid w:val="4C217FD6"/>
    <w:rsid w:val="4C2E7741"/>
    <w:rsid w:val="4C2F3856"/>
    <w:rsid w:val="4C347831"/>
    <w:rsid w:val="4C3E2CC4"/>
    <w:rsid w:val="4C4307E7"/>
    <w:rsid w:val="4C471FD7"/>
    <w:rsid w:val="4C4E6B2B"/>
    <w:rsid w:val="4C4F0860"/>
    <w:rsid w:val="4C55316B"/>
    <w:rsid w:val="4C5F10AF"/>
    <w:rsid w:val="4C687B84"/>
    <w:rsid w:val="4C6B25BB"/>
    <w:rsid w:val="4C710FFD"/>
    <w:rsid w:val="4C716A38"/>
    <w:rsid w:val="4C8F52A1"/>
    <w:rsid w:val="4C99297E"/>
    <w:rsid w:val="4C9F4318"/>
    <w:rsid w:val="4CA472A7"/>
    <w:rsid w:val="4CAA7DEC"/>
    <w:rsid w:val="4CAE0DC6"/>
    <w:rsid w:val="4CB437F6"/>
    <w:rsid w:val="4CB52377"/>
    <w:rsid w:val="4CC46FA7"/>
    <w:rsid w:val="4CCF0B8F"/>
    <w:rsid w:val="4CD1167C"/>
    <w:rsid w:val="4CF91D35"/>
    <w:rsid w:val="4CFB17E6"/>
    <w:rsid w:val="4CFD2BF9"/>
    <w:rsid w:val="4D0261E9"/>
    <w:rsid w:val="4D034783"/>
    <w:rsid w:val="4D053F15"/>
    <w:rsid w:val="4D191AD4"/>
    <w:rsid w:val="4D232139"/>
    <w:rsid w:val="4D2617AD"/>
    <w:rsid w:val="4D2668B3"/>
    <w:rsid w:val="4D3219C4"/>
    <w:rsid w:val="4D404814"/>
    <w:rsid w:val="4D4308B4"/>
    <w:rsid w:val="4D595B24"/>
    <w:rsid w:val="4D641BDB"/>
    <w:rsid w:val="4D662315"/>
    <w:rsid w:val="4D6B0C4B"/>
    <w:rsid w:val="4D7D5612"/>
    <w:rsid w:val="4D852885"/>
    <w:rsid w:val="4DA24D1C"/>
    <w:rsid w:val="4DB7491F"/>
    <w:rsid w:val="4DBB3186"/>
    <w:rsid w:val="4DC41DA7"/>
    <w:rsid w:val="4DC746DC"/>
    <w:rsid w:val="4DD27265"/>
    <w:rsid w:val="4DD752A2"/>
    <w:rsid w:val="4DE7330A"/>
    <w:rsid w:val="4DE86678"/>
    <w:rsid w:val="4DEE5DF2"/>
    <w:rsid w:val="4DF2276D"/>
    <w:rsid w:val="4E0975E7"/>
    <w:rsid w:val="4E191EAF"/>
    <w:rsid w:val="4E1F6EB3"/>
    <w:rsid w:val="4E4F1AF9"/>
    <w:rsid w:val="4E5F0A06"/>
    <w:rsid w:val="4E5F7B22"/>
    <w:rsid w:val="4E6A561E"/>
    <w:rsid w:val="4E771F3E"/>
    <w:rsid w:val="4E803FA8"/>
    <w:rsid w:val="4E814E30"/>
    <w:rsid w:val="4E8B2588"/>
    <w:rsid w:val="4E9051F3"/>
    <w:rsid w:val="4E9E3C23"/>
    <w:rsid w:val="4EBE3A8B"/>
    <w:rsid w:val="4ED62ECF"/>
    <w:rsid w:val="4EEF578A"/>
    <w:rsid w:val="4EFA6DC1"/>
    <w:rsid w:val="4EFE6661"/>
    <w:rsid w:val="4F0B2582"/>
    <w:rsid w:val="4F0F2B70"/>
    <w:rsid w:val="4F1D06F4"/>
    <w:rsid w:val="4F212A01"/>
    <w:rsid w:val="4F241B17"/>
    <w:rsid w:val="4F257073"/>
    <w:rsid w:val="4F301857"/>
    <w:rsid w:val="4F4345B6"/>
    <w:rsid w:val="4F52563A"/>
    <w:rsid w:val="4F617358"/>
    <w:rsid w:val="4F6B6C90"/>
    <w:rsid w:val="4F844786"/>
    <w:rsid w:val="4F8B3E56"/>
    <w:rsid w:val="4F8B78F2"/>
    <w:rsid w:val="4F910446"/>
    <w:rsid w:val="4F996CEF"/>
    <w:rsid w:val="4FA87C71"/>
    <w:rsid w:val="4FAD6B06"/>
    <w:rsid w:val="4FB377E7"/>
    <w:rsid w:val="4FDF28D3"/>
    <w:rsid w:val="50061835"/>
    <w:rsid w:val="500E2189"/>
    <w:rsid w:val="501C5F4C"/>
    <w:rsid w:val="50242873"/>
    <w:rsid w:val="502A2EE4"/>
    <w:rsid w:val="50372C62"/>
    <w:rsid w:val="503B680E"/>
    <w:rsid w:val="50594100"/>
    <w:rsid w:val="5067531C"/>
    <w:rsid w:val="50794F72"/>
    <w:rsid w:val="507D0CA9"/>
    <w:rsid w:val="509141B6"/>
    <w:rsid w:val="509938D9"/>
    <w:rsid w:val="50A62A29"/>
    <w:rsid w:val="50BF076D"/>
    <w:rsid w:val="50C11560"/>
    <w:rsid w:val="50EB753F"/>
    <w:rsid w:val="50F3057B"/>
    <w:rsid w:val="50F83C2E"/>
    <w:rsid w:val="51033E28"/>
    <w:rsid w:val="51094825"/>
    <w:rsid w:val="51194A6B"/>
    <w:rsid w:val="512460B3"/>
    <w:rsid w:val="512D7670"/>
    <w:rsid w:val="512E7C5E"/>
    <w:rsid w:val="513D5554"/>
    <w:rsid w:val="51433A26"/>
    <w:rsid w:val="51435AD8"/>
    <w:rsid w:val="514E026B"/>
    <w:rsid w:val="515E027B"/>
    <w:rsid w:val="51646B6C"/>
    <w:rsid w:val="516E7E0D"/>
    <w:rsid w:val="51A14AB5"/>
    <w:rsid w:val="51B72D2A"/>
    <w:rsid w:val="51BC7991"/>
    <w:rsid w:val="51BF35FD"/>
    <w:rsid w:val="51C8796C"/>
    <w:rsid w:val="51CA1D55"/>
    <w:rsid w:val="51D3518D"/>
    <w:rsid w:val="51D51773"/>
    <w:rsid w:val="51EC7E84"/>
    <w:rsid w:val="51F02ACF"/>
    <w:rsid w:val="51FA7F99"/>
    <w:rsid w:val="520720D4"/>
    <w:rsid w:val="520D307D"/>
    <w:rsid w:val="520E4894"/>
    <w:rsid w:val="52106F7E"/>
    <w:rsid w:val="521B0357"/>
    <w:rsid w:val="522A551E"/>
    <w:rsid w:val="522F264F"/>
    <w:rsid w:val="523909B7"/>
    <w:rsid w:val="524C35A0"/>
    <w:rsid w:val="525A6760"/>
    <w:rsid w:val="52644A8E"/>
    <w:rsid w:val="52693783"/>
    <w:rsid w:val="526D567F"/>
    <w:rsid w:val="52765DE3"/>
    <w:rsid w:val="528909E8"/>
    <w:rsid w:val="528F0266"/>
    <w:rsid w:val="52A44B1D"/>
    <w:rsid w:val="52A606BB"/>
    <w:rsid w:val="52A94936"/>
    <w:rsid w:val="52BA3BB8"/>
    <w:rsid w:val="52BE70DE"/>
    <w:rsid w:val="52BF2AF6"/>
    <w:rsid w:val="52C67421"/>
    <w:rsid w:val="52DF3FA3"/>
    <w:rsid w:val="52DF6103"/>
    <w:rsid w:val="52EE408A"/>
    <w:rsid w:val="52F43DE1"/>
    <w:rsid w:val="52FA2967"/>
    <w:rsid w:val="52FC482C"/>
    <w:rsid w:val="53041292"/>
    <w:rsid w:val="53106487"/>
    <w:rsid w:val="532A36C6"/>
    <w:rsid w:val="5330231E"/>
    <w:rsid w:val="53385111"/>
    <w:rsid w:val="53395347"/>
    <w:rsid w:val="535B00EA"/>
    <w:rsid w:val="535D08F2"/>
    <w:rsid w:val="536D0B73"/>
    <w:rsid w:val="536E77DF"/>
    <w:rsid w:val="538232D9"/>
    <w:rsid w:val="538542B6"/>
    <w:rsid w:val="53A7310B"/>
    <w:rsid w:val="53AD61E2"/>
    <w:rsid w:val="53AE6E89"/>
    <w:rsid w:val="53BD55C2"/>
    <w:rsid w:val="53D73D1F"/>
    <w:rsid w:val="53DE488F"/>
    <w:rsid w:val="53EA12F8"/>
    <w:rsid w:val="53EF7D0D"/>
    <w:rsid w:val="53F82FA0"/>
    <w:rsid w:val="53FD3203"/>
    <w:rsid w:val="540F471F"/>
    <w:rsid w:val="541558B0"/>
    <w:rsid w:val="541B565F"/>
    <w:rsid w:val="541F2266"/>
    <w:rsid w:val="542D76E9"/>
    <w:rsid w:val="54511490"/>
    <w:rsid w:val="54567CF8"/>
    <w:rsid w:val="546B1F56"/>
    <w:rsid w:val="54705FA3"/>
    <w:rsid w:val="547D7D89"/>
    <w:rsid w:val="54A9350D"/>
    <w:rsid w:val="54AE3555"/>
    <w:rsid w:val="54B44F3E"/>
    <w:rsid w:val="54C10E0B"/>
    <w:rsid w:val="54C6239B"/>
    <w:rsid w:val="54D21FF4"/>
    <w:rsid w:val="54D22C63"/>
    <w:rsid w:val="54D51D92"/>
    <w:rsid w:val="54E33E07"/>
    <w:rsid w:val="550020CC"/>
    <w:rsid w:val="55006BAB"/>
    <w:rsid w:val="55053FB1"/>
    <w:rsid w:val="550F738D"/>
    <w:rsid w:val="55105D67"/>
    <w:rsid w:val="55142657"/>
    <w:rsid w:val="551925EB"/>
    <w:rsid w:val="552E42B1"/>
    <w:rsid w:val="552F2073"/>
    <w:rsid w:val="5533296C"/>
    <w:rsid w:val="5539496E"/>
    <w:rsid w:val="553C0B0B"/>
    <w:rsid w:val="553D1BAE"/>
    <w:rsid w:val="555B3708"/>
    <w:rsid w:val="555C1021"/>
    <w:rsid w:val="555F66E8"/>
    <w:rsid w:val="55650DD4"/>
    <w:rsid w:val="556F3D31"/>
    <w:rsid w:val="559544A1"/>
    <w:rsid w:val="559D1B18"/>
    <w:rsid w:val="55A0105D"/>
    <w:rsid w:val="55A86518"/>
    <w:rsid w:val="55B45E9B"/>
    <w:rsid w:val="55B5218C"/>
    <w:rsid w:val="55BA16AD"/>
    <w:rsid w:val="55BB2305"/>
    <w:rsid w:val="55C24EBE"/>
    <w:rsid w:val="55C84E61"/>
    <w:rsid w:val="55CD530D"/>
    <w:rsid w:val="55CF199A"/>
    <w:rsid w:val="55CF2C93"/>
    <w:rsid w:val="55DE5159"/>
    <w:rsid w:val="55E768E8"/>
    <w:rsid w:val="55EA4D60"/>
    <w:rsid w:val="55EA5812"/>
    <w:rsid w:val="55F35561"/>
    <w:rsid w:val="55FC21C4"/>
    <w:rsid w:val="560E1DBD"/>
    <w:rsid w:val="563E5808"/>
    <w:rsid w:val="56487C06"/>
    <w:rsid w:val="564F2FD6"/>
    <w:rsid w:val="564F4A1A"/>
    <w:rsid w:val="56520BF9"/>
    <w:rsid w:val="565F38EE"/>
    <w:rsid w:val="56604784"/>
    <w:rsid w:val="566E51D6"/>
    <w:rsid w:val="56775267"/>
    <w:rsid w:val="56931F37"/>
    <w:rsid w:val="569A494A"/>
    <w:rsid w:val="569E3EE6"/>
    <w:rsid w:val="56CB403F"/>
    <w:rsid w:val="56D11496"/>
    <w:rsid w:val="56E270E9"/>
    <w:rsid w:val="57071F4E"/>
    <w:rsid w:val="571B01F2"/>
    <w:rsid w:val="574E4E5E"/>
    <w:rsid w:val="576206B2"/>
    <w:rsid w:val="57710B44"/>
    <w:rsid w:val="5774562F"/>
    <w:rsid w:val="57797801"/>
    <w:rsid w:val="577A1F44"/>
    <w:rsid w:val="57823EDB"/>
    <w:rsid w:val="57883229"/>
    <w:rsid w:val="57971AFC"/>
    <w:rsid w:val="57996E2C"/>
    <w:rsid w:val="579A046A"/>
    <w:rsid w:val="57B3566A"/>
    <w:rsid w:val="57B83882"/>
    <w:rsid w:val="57C72719"/>
    <w:rsid w:val="57CE1ADE"/>
    <w:rsid w:val="57DA7EE9"/>
    <w:rsid w:val="57E731B5"/>
    <w:rsid w:val="57E87254"/>
    <w:rsid w:val="57EC2FBD"/>
    <w:rsid w:val="57FD0454"/>
    <w:rsid w:val="58083745"/>
    <w:rsid w:val="580B1B5D"/>
    <w:rsid w:val="580F52DD"/>
    <w:rsid w:val="58115893"/>
    <w:rsid w:val="582F21FE"/>
    <w:rsid w:val="58430E04"/>
    <w:rsid w:val="58447EEA"/>
    <w:rsid w:val="585710E6"/>
    <w:rsid w:val="58580C2B"/>
    <w:rsid w:val="585B630B"/>
    <w:rsid w:val="58621F05"/>
    <w:rsid w:val="586356A5"/>
    <w:rsid w:val="58707502"/>
    <w:rsid w:val="58723FE4"/>
    <w:rsid w:val="5888199F"/>
    <w:rsid w:val="588A6D6D"/>
    <w:rsid w:val="589D2963"/>
    <w:rsid w:val="58AB0101"/>
    <w:rsid w:val="58AB7AD4"/>
    <w:rsid w:val="58BD7BC2"/>
    <w:rsid w:val="58C12364"/>
    <w:rsid w:val="58C46EDD"/>
    <w:rsid w:val="58EB0BCA"/>
    <w:rsid w:val="58EC2F5B"/>
    <w:rsid w:val="58F51F77"/>
    <w:rsid w:val="59025B0D"/>
    <w:rsid w:val="59055CCE"/>
    <w:rsid w:val="590E638E"/>
    <w:rsid w:val="59163CF7"/>
    <w:rsid w:val="59170A87"/>
    <w:rsid w:val="59184160"/>
    <w:rsid w:val="59241D0C"/>
    <w:rsid w:val="59442859"/>
    <w:rsid w:val="594A6DE7"/>
    <w:rsid w:val="594B23BF"/>
    <w:rsid w:val="594D2DC3"/>
    <w:rsid w:val="594E370F"/>
    <w:rsid w:val="5956265F"/>
    <w:rsid w:val="595A36C1"/>
    <w:rsid w:val="595B3C40"/>
    <w:rsid w:val="59610727"/>
    <w:rsid w:val="596F7773"/>
    <w:rsid w:val="5970339B"/>
    <w:rsid w:val="598F4F95"/>
    <w:rsid w:val="5992712F"/>
    <w:rsid w:val="5999739E"/>
    <w:rsid w:val="59A41164"/>
    <w:rsid w:val="59B569AB"/>
    <w:rsid w:val="59C254A5"/>
    <w:rsid w:val="59E06376"/>
    <w:rsid w:val="59E142DC"/>
    <w:rsid w:val="59ED46EB"/>
    <w:rsid w:val="59FF75BE"/>
    <w:rsid w:val="5A0111E2"/>
    <w:rsid w:val="5A0176D1"/>
    <w:rsid w:val="5A151EB1"/>
    <w:rsid w:val="5A1D15B3"/>
    <w:rsid w:val="5A1D4EFE"/>
    <w:rsid w:val="5A2413B5"/>
    <w:rsid w:val="5A394566"/>
    <w:rsid w:val="5A3A2204"/>
    <w:rsid w:val="5A461504"/>
    <w:rsid w:val="5A472CEC"/>
    <w:rsid w:val="5A616BCF"/>
    <w:rsid w:val="5A666518"/>
    <w:rsid w:val="5A6E3EE3"/>
    <w:rsid w:val="5A782AA3"/>
    <w:rsid w:val="5A8805AD"/>
    <w:rsid w:val="5A891532"/>
    <w:rsid w:val="5A982B0C"/>
    <w:rsid w:val="5A9E5948"/>
    <w:rsid w:val="5AA669DF"/>
    <w:rsid w:val="5ABB7EBA"/>
    <w:rsid w:val="5ABD5EDB"/>
    <w:rsid w:val="5AC316C5"/>
    <w:rsid w:val="5ACD4C19"/>
    <w:rsid w:val="5AD32AD3"/>
    <w:rsid w:val="5AD61301"/>
    <w:rsid w:val="5ADA0571"/>
    <w:rsid w:val="5ADD3842"/>
    <w:rsid w:val="5AE66844"/>
    <w:rsid w:val="5AEE2462"/>
    <w:rsid w:val="5AEF6BF7"/>
    <w:rsid w:val="5AF76C89"/>
    <w:rsid w:val="5AFF59AA"/>
    <w:rsid w:val="5B0C1D95"/>
    <w:rsid w:val="5B0D1838"/>
    <w:rsid w:val="5B270F8B"/>
    <w:rsid w:val="5B43735C"/>
    <w:rsid w:val="5B5B0054"/>
    <w:rsid w:val="5B667984"/>
    <w:rsid w:val="5B7222F3"/>
    <w:rsid w:val="5B725324"/>
    <w:rsid w:val="5B78635A"/>
    <w:rsid w:val="5B7A74E3"/>
    <w:rsid w:val="5B7F07D5"/>
    <w:rsid w:val="5B8526E3"/>
    <w:rsid w:val="5B895676"/>
    <w:rsid w:val="5B9F0A14"/>
    <w:rsid w:val="5BB3092C"/>
    <w:rsid w:val="5BC540D1"/>
    <w:rsid w:val="5BCF7A15"/>
    <w:rsid w:val="5BD74746"/>
    <w:rsid w:val="5BF3746A"/>
    <w:rsid w:val="5BF758DA"/>
    <w:rsid w:val="5BFA5443"/>
    <w:rsid w:val="5C0033F1"/>
    <w:rsid w:val="5C022EEB"/>
    <w:rsid w:val="5C0D0B16"/>
    <w:rsid w:val="5C195253"/>
    <w:rsid w:val="5C3655A9"/>
    <w:rsid w:val="5C387661"/>
    <w:rsid w:val="5C3C1A99"/>
    <w:rsid w:val="5C451D6A"/>
    <w:rsid w:val="5C647285"/>
    <w:rsid w:val="5C7A19BD"/>
    <w:rsid w:val="5C8D6F89"/>
    <w:rsid w:val="5C8F34F3"/>
    <w:rsid w:val="5C9A394F"/>
    <w:rsid w:val="5CA2297D"/>
    <w:rsid w:val="5CAC6FC5"/>
    <w:rsid w:val="5CB53A34"/>
    <w:rsid w:val="5CB77667"/>
    <w:rsid w:val="5CC16D8D"/>
    <w:rsid w:val="5CC95D32"/>
    <w:rsid w:val="5CDC179B"/>
    <w:rsid w:val="5CDF7FD7"/>
    <w:rsid w:val="5CE81842"/>
    <w:rsid w:val="5CF073E9"/>
    <w:rsid w:val="5CFF6E54"/>
    <w:rsid w:val="5D0120B0"/>
    <w:rsid w:val="5D0803AB"/>
    <w:rsid w:val="5D0F0B56"/>
    <w:rsid w:val="5D0F2892"/>
    <w:rsid w:val="5D153410"/>
    <w:rsid w:val="5D26311B"/>
    <w:rsid w:val="5D2E5AAB"/>
    <w:rsid w:val="5D577A94"/>
    <w:rsid w:val="5D697D79"/>
    <w:rsid w:val="5D7520B0"/>
    <w:rsid w:val="5D75491A"/>
    <w:rsid w:val="5D7D2CD6"/>
    <w:rsid w:val="5D8C2F31"/>
    <w:rsid w:val="5D94650F"/>
    <w:rsid w:val="5DA05548"/>
    <w:rsid w:val="5DA4679E"/>
    <w:rsid w:val="5DC2282B"/>
    <w:rsid w:val="5DD3264E"/>
    <w:rsid w:val="5E041265"/>
    <w:rsid w:val="5E2B7697"/>
    <w:rsid w:val="5E3B36FA"/>
    <w:rsid w:val="5E4D2A9C"/>
    <w:rsid w:val="5E521E1C"/>
    <w:rsid w:val="5E553AF1"/>
    <w:rsid w:val="5E5571A4"/>
    <w:rsid w:val="5E5576F3"/>
    <w:rsid w:val="5E723EB4"/>
    <w:rsid w:val="5EA23921"/>
    <w:rsid w:val="5EAA0E72"/>
    <w:rsid w:val="5EB323C8"/>
    <w:rsid w:val="5EB87851"/>
    <w:rsid w:val="5EC46CBD"/>
    <w:rsid w:val="5EC54381"/>
    <w:rsid w:val="5EC9488F"/>
    <w:rsid w:val="5EDE5C89"/>
    <w:rsid w:val="5EE64AAF"/>
    <w:rsid w:val="5EEF1885"/>
    <w:rsid w:val="5EF47E31"/>
    <w:rsid w:val="5EFB4BF2"/>
    <w:rsid w:val="5F0132CA"/>
    <w:rsid w:val="5F1E58A2"/>
    <w:rsid w:val="5F1F2B83"/>
    <w:rsid w:val="5F215050"/>
    <w:rsid w:val="5F28008C"/>
    <w:rsid w:val="5F2E659A"/>
    <w:rsid w:val="5F4462D9"/>
    <w:rsid w:val="5F4B574C"/>
    <w:rsid w:val="5F526781"/>
    <w:rsid w:val="5F5923D9"/>
    <w:rsid w:val="5F613AD9"/>
    <w:rsid w:val="5F69AEF8"/>
    <w:rsid w:val="5F6C2068"/>
    <w:rsid w:val="5F6C31C7"/>
    <w:rsid w:val="5F733EF1"/>
    <w:rsid w:val="5F743B13"/>
    <w:rsid w:val="5F786A3F"/>
    <w:rsid w:val="5F7F46FC"/>
    <w:rsid w:val="5F7FE304"/>
    <w:rsid w:val="5F9B0D23"/>
    <w:rsid w:val="5F9D4C85"/>
    <w:rsid w:val="5F9F8873"/>
    <w:rsid w:val="5FA66085"/>
    <w:rsid w:val="5FB51FCB"/>
    <w:rsid w:val="5FC2688A"/>
    <w:rsid w:val="5FC867CA"/>
    <w:rsid w:val="5FD70E51"/>
    <w:rsid w:val="5FDC7CD6"/>
    <w:rsid w:val="5FEE3BCE"/>
    <w:rsid w:val="5FF86B47"/>
    <w:rsid w:val="600153BE"/>
    <w:rsid w:val="60094F35"/>
    <w:rsid w:val="600D4CEE"/>
    <w:rsid w:val="60113E2C"/>
    <w:rsid w:val="601A3702"/>
    <w:rsid w:val="602C7C48"/>
    <w:rsid w:val="60304F59"/>
    <w:rsid w:val="60382D98"/>
    <w:rsid w:val="604343F0"/>
    <w:rsid w:val="60437DE9"/>
    <w:rsid w:val="6046318F"/>
    <w:rsid w:val="604B6CCB"/>
    <w:rsid w:val="605C0804"/>
    <w:rsid w:val="6070442A"/>
    <w:rsid w:val="608C25AC"/>
    <w:rsid w:val="60B9239F"/>
    <w:rsid w:val="60BF7E0A"/>
    <w:rsid w:val="60C645AB"/>
    <w:rsid w:val="60E20DAE"/>
    <w:rsid w:val="60E27E53"/>
    <w:rsid w:val="60E87A7A"/>
    <w:rsid w:val="61206F49"/>
    <w:rsid w:val="61321B4C"/>
    <w:rsid w:val="613D6BAA"/>
    <w:rsid w:val="61410D80"/>
    <w:rsid w:val="6167427F"/>
    <w:rsid w:val="616A3192"/>
    <w:rsid w:val="617C726D"/>
    <w:rsid w:val="61851907"/>
    <w:rsid w:val="618755C4"/>
    <w:rsid w:val="61953350"/>
    <w:rsid w:val="619E139C"/>
    <w:rsid w:val="61A44D62"/>
    <w:rsid w:val="61BE5377"/>
    <w:rsid w:val="61D50A7E"/>
    <w:rsid w:val="61DE71DE"/>
    <w:rsid w:val="61F05A3D"/>
    <w:rsid w:val="62127C3C"/>
    <w:rsid w:val="62206ADF"/>
    <w:rsid w:val="6224730C"/>
    <w:rsid w:val="622567A5"/>
    <w:rsid w:val="62287742"/>
    <w:rsid w:val="622977EA"/>
    <w:rsid w:val="622B010A"/>
    <w:rsid w:val="622C73DE"/>
    <w:rsid w:val="6236354A"/>
    <w:rsid w:val="62577D9F"/>
    <w:rsid w:val="626C7A15"/>
    <w:rsid w:val="626F3F92"/>
    <w:rsid w:val="62780DFD"/>
    <w:rsid w:val="627A6E16"/>
    <w:rsid w:val="62815D39"/>
    <w:rsid w:val="6287216F"/>
    <w:rsid w:val="62892A53"/>
    <w:rsid w:val="629831F9"/>
    <w:rsid w:val="62A95D26"/>
    <w:rsid w:val="62BC5DE9"/>
    <w:rsid w:val="62C10FD0"/>
    <w:rsid w:val="62C870F8"/>
    <w:rsid w:val="62D62672"/>
    <w:rsid w:val="62E41E7C"/>
    <w:rsid w:val="62E8190E"/>
    <w:rsid w:val="62FC541B"/>
    <w:rsid w:val="6300634C"/>
    <w:rsid w:val="63114765"/>
    <w:rsid w:val="63382085"/>
    <w:rsid w:val="63422B24"/>
    <w:rsid w:val="63471E94"/>
    <w:rsid w:val="636607F7"/>
    <w:rsid w:val="636965D4"/>
    <w:rsid w:val="637029F7"/>
    <w:rsid w:val="63726B6C"/>
    <w:rsid w:val="637B7A06"/>
    <w:rsid w:val="63835232"/>
    <w:rsid w:val="63917771"/>
    <w:rsid w:val="63965A29"/>
    <w:rsid w:val="63A044C9"/>
    <w:rsid w:val="63AE2B07"/>
    <w:rsid w:val="63AE435F"/>
    <w:rsid w:val="63B14BC4"/>
    <w:rsid w:val="63B84FC4"/>
    <w:rsid w:val="63BB7AF9"/>
    <w:rsid w:val="63BD1501"/>
    <w:rsid w:val="63CC0088"/>
    <w:rsid w:val="63E8694B"/>
    <w:rsid w:val="63F86267"/>
    <w:rsid w:val="64030466"/>
    <w:rsid w:val="640E3B92"/>
    <w:rsid w:val="6424218B"/>
    <w:rsid w:val="646D6D6E"/>
    <w:rsid w:val="647A3430"/>
    <w:rsid w:val="64850E7B"/>
    <w:rsid w:val="648A0240"/>
    <w:rsid w:val="648B159F"/>
    <w:rsid w:val="648D6976"/>
    <w:rsid w:val="649F0B91"/>
    <w:rsid w:val="64B17EC2"/>
    <w:rsid w:val="64BB2F3B"/>
    <w:rsid w:val="64BF61CB"/>
    <w:rsid w:val="64C93DE9"/>
    <w:rsid w:val="64DA6181"/>
    <w:rsid w:val="64FA5B55"/>
    <w:rsid w:val="650310D3"/>
    <w:rsid w:val="651C0482"/>
    <w:rsid w:val="65337031"/>
    <w:rsid w:val="654A5961"/>
    <w:rsid w:val="655645C6"/>
    <w:rsid w:val="657A3C65"/>
    <w:rsid w:val="657E46FF"/>
    <w:rsid w:val="65864EAB"/>
    <w:rsid w:val="658E1E84"/>
    <w:rsid w:val="65A4596F"/>
    <w:rsid w:val="65C437BF"/>
    <w:rsid w:val="65C72292"/>
    <w:rsid w:val="65D117B7"/>
    <w:rsid w:val="65F1617E"/>
    <w:rsid w:val="65F5223C"/>
    <w:rsid w:val="66022B47"/>
    <w:rsid w:val="660245B8"/>
    <w:rsid w:val="660D2ED6"/>
    <w:rsid w:val="66134265"/>
    <w:rsid w:val="6615622F"/>
    <w:rsid w:val="661829F8"/>
    <w:rsid w:val="661A727C"/>
    <w:rsid w:val="661B4BCF"/>
    <w:rsid w:val="662E096C"/>
    <w:rsid w:val="663B7C6B"/>
    <w:rsid w:val="665C4E79"/>
    <w:rsid w:val="665E7BD6"/>
    <w:rsid w:val="666D0C7A"/>
    <w:rsid w:val="66821FD7"/>
    <w:rsid w:val="66975803"/>
    <w:rsid w:val="66B132A5"/>
    <w:rsid w:val="66C11670"/>
    <w:rsid w:val="66C306A0"/>
    <w:rsid w:val="66D52CAC"/>
    <w:rsid w:val="66E717C1"/>
    <w:rsid w:val="66E757AC"/>
    <w:rsid w:val="66F276B6"/>
    <w:rsid w:val="66FB2125"/>
    <w:rsid w:val="671557CB"/>
    <w:rsid w:val="672A5A8A"/>
    <w:rsid w:val="672B6BEF"/>
    <w:rsid w:val="672F287A"/>
    <w:rsid w:val="67340A23"/>
    <w:rsid w:val="6744253A"/>
    <w:rsid w:val="67521CAD"/>
    <w:rsid w:val="67574DE2"/>
    <w:rsid w:val="675F6FD0"/>
    <w:rsid w:val="67717EA6"/>
    <w:rsid w:val="67753D45"/>
    <w:rsid w:val="677D408C"/>
    <w:rsid w:val="677E7AB0"/>
    <w:rsid w:val="678D7669"/>
    <w:rsid w:val="679A4982"/>
    <w:rsid w:val="67AC71F4"/>
    <w:rsid w:val="67B53825"/>
    <w:rsid w:val="67D03E67"/>
    <w:rsid w:val="67D33548"/>
    <w:rsid w:val="67E633C8"/>
    <w:rsid w:val="67E86292"/>
    <w:rsid w:val="67F72C98"/>
    <w:rsid w:val="68053D9B"/>
    <w:rsid w:val="68174EC4"/>
    <w:rsid w:val="68197BB6"/>
    <w:rsid w:val="681B76F5"/>
    <w:rsid w:val="68213F33"/>
    <w:rsid w:val="68450B54"/>
    <w:rsid w:val="6853226F"/>
    <w:rsid w:val="68534AC8"/>
    <w:rsid w:val="68557724"/>
    <w:rsid w:val="68830BF5"/>
    <w:rsid w:val="68996737"/>
    <w:rsid w:val="689D7887"/>
    <w:rsid w:val="689F7918"/>
    <w:rsid w:val="68A704A4"/>
    <w:rsid w:val="68AB6CFB"/>
    <w:rsid w:val="68AF18D7"/>
    <w:rsid w:val="68B411EB"/>
    <w:rsid w:val="68C53CF8"/>
    <w:rsid w:val="68CE059F"/>
    <w:rsid w:val="68DE37E4"/>
    <w:rsid w:val="68DE3B49"/>
    <w:rsid w:val="68DF04D4"/>
    <w:rsid w:val="68E02C65"/>
    <w:rsid w:val="68FF3B24"/>
    <w:rsid w:val="69032A8F"/>
    <w:rsid w:val="690B56C7"/>
    <w:rsid w:val="690E397F"/>
    <w:rsid w:val="691471F2"/>
    <w:rsid w:val="691F3219"/>
    <w:rsid w:val="6920442C"/>
    <w:rsid w:val="693B41FE"/>
    <w:rsid w:val="6942558D"/>
    <w:rsid w:val="697B5D13"/>
    <w:rsid w:val="69884761"/>
    <w:rsid w:val="699613C0"/>
    <w:rsid w:val="699F0AC7"/>
    <w:rsid w:val="69C1601A"/>
    <w:rsid w:val="69DE523F"/>
    <w:rsid w:val="69E45415"/>
    <w:rsid w:val="69EB1780"/>
    <w:rsid w:val="69EF0BEC"/>
    <w:rsid w:val="69F878CA"/>
    <w:rsid w:val="69FD21F7"/>
    <w:rsid w:val="6A03117B"/>
    <w:rsid w:val="6A18692A"/>
    <w:rsid w:val="6A1B663F"/>
    <w:rsid w:val="6A1D3B0C"/>
    <w:rsid w:val="6A354F27"/>
    <w:rsid w:val="6A5A4712"/>
    <w:rsid w:val="6A5D229E"/>
    <w:rsid w:val="6A624A2F"/>
    <w:rsid w:val="6A6661F0"/>
    <w:rsid w:val="6A7933E7"/>
    <w:rsid w:val="6A8F06CC"/>
    <w:rsid w:val="6A9B4E64"/>
    <w:rsid w:val="6A9B7C73"/>
    <w:rsid w:val="6A9C6F1F"/>
    <w:rsid w:val="6AB0509A"/>
    <w:rsid w:val="6AB1131F"/>
    <w:rsid w:val="6ABB323D"/>
    <w:rsid w:val="6ABB571C"/>
    <w:rsid w:val="6ACB2456"/>
    <w:rsid w:val="6ACC4257"/>
    <w:rsid w:val="6ACE1E05"/>
    <w:rsid w:val="6ACE6EC4"/>
    <w:rsid w:val="6AE32434"/>
    <w:rsid w:val="6AF4202E"/>
    <w:rsid w:val="6AF72426"/>
    <w:rsid w:val="6AF81E4E"/>
    <w:rsid w:val="6B0873F3"/>
    <w:rsid w:val="6B091FC3"/>
    <w:rsid w:val="6B0E0FF6"/>
    <w:rsid w:val="6B185226"/>
    <w:rsid w:val="6B1A13F6"/>
    <w:rsid w:val="6B1A1DDB"/>
    <w:rsid w:val="6B2172B8"/>
    <w:rsid w:val="6B2B5C9F"/>
    <w:rsid w:val="6B33535D"/>
    <w:rsid w:val="6B337530"/>
    <w:rsid w:val="6B3D63CA"/>
    <w:rsid w:val="6B425B21"/>
    <w:rsid w:val="6B544F7E"/>
    <w:rsid w:val="6B712827"/>
    <w:rsid w:val="6B713B0E"/>
    <w:rsid w:val="6B7A3B7C"/>
    <w:rsid w:val="6B8C5E66"/>
    <w:rsid w:val="6B972271"/>
    <w:rsid w:val="6BA12924"/>
    <w:rsid w:val="6BA31786"/>
    <w:rsid w:val="6BBA3D77"/>
    <w:rsid w:val="6BC1250C"/>
    <w:rsid w:val="6BD84E35"/>
    <w:rsid w:val="6BDC03B3"/>
    <w:rsid w:val="6BDD4CE3"/>
    <w:rsid w:val="6BE2471A"/>
    <w:rsid w:val="6BEF307E"/>
    <w:rsid w:val="6BFE1706"/>
    <w:rsid w:val="6C127E8F"/>
    <w:rsid w:val="6C2643D1"/>
    <w:rsid w:val="6C2A19E5"/>
    <w:rsid w:val="6C3239D1"/>
    <w:rsid w:val="6C367D5D"/>
    <w:rsid w:val="6C371E8E"/>
    <w:rsid w:val="6C447A93"/>
    <w:rsid w:val="6C4707FB"/>
    <w:rsid w:val="6C4909E0"/>
    <w:rsid w:val="6C4A583D"/>
    <w:rsid w:val="6C626635"/>
    <w:rsid w:val="6C6D191B"/>
    <w:rsid w:val="6C6D3F0B"/>
    <w:rsid w:val="6C77379F"/>
    <w:rsid w:val="6C8F5271"/>
    <w:rsid w:val="6CAA75A0"/>
    <w:rsid w:val="6CAD2B5D"/>
    <w:rsid w:val="6CB565B0"/>
    <w:rsid w:val="6CB7686A"/>
    <w:rsid w:val="6CFB0FDE"/>
    <w:rsid w:val="6D0B3E55"/>
    <w:rsid w:val="6D0C7B9A"/>
    <w:rsid w:val="6D0E128B"/>
    <w:rsid w:val="6D1E1EB0"/>
    <w:rsid w:val="6D231B03"/>
    <w:rsid w:val="6D245DF6"/>
    <w:rsid w:val="6D262FDF"/>
    <w:rsid w:val="6D2C0992"/>
    <w:rsid w:val="6D2D12C4"/>
    <w:rsid w:val="6D3C169E"/>
    <w:rsid w:val="6D3C4065"/>
    <w:rsid w:val="6D4D6E7A"/>
    <w:rsid w:val="6D5A180E"/>
    <w:rsid w:val="6D6A62D7"/>
    <w:rsid w:val="6D733879"/>
    <w:rsid w:val="6D765805"/>
    <w:rsid w:val="6D774BCC"/>
    <w:rsid w:val="6D7F2E4E"/>
    <w:rsid w:val="6D857D9D"/>
    <w:rsid w:val="6D8F032A"/>
    <w:rsid w:val="6D940381"/>
    <w:rsid w:val="6D967C55"/>
    <w:rsid w:val="6DBA4C07"/>
    <w:rsid w:val="6DBC6715"/>
    <w:rsid w:val="6DD975D8"/>
    <w:rsid w:val="6DDF631C"/>
    <w:rsid w:val="6DF73529"/>
    <w:rsid w:val="6E032FC2"/>
    <w:rsid w:val="6E055E97"/>
    <w:rsid w:val="6E090563"/>
    <w:rsid w:val="6E285408"/>
    <w:rsid w:val="6E317E32"/>
    <w:rsid w:val="6E3877ED"/>
    <w:rsid w:val="6E3967BB"/>
    <w:rsid w:val="6E433EAF"/>
    <w:rsid w:val="6E5340CB"/>
    <w:rsid w:val="6E56640B"/>
    <w:rsid w:val="6E683738"/>
    <w:rsid w:val="6E851BF4"/>
    <w:rsid w:val="6E8F2F1D"/>
    <w:rsid w:val="6E943958"/>
    <w:rsid w:val="6E953AA3"/>
    <w:rsid w:val="6E9F711B"/>
    <w:rsid w:val="6EAF3A57"/>
    <w:rsid w:val="6EBD2121"/>
    <w:rsid w:val="6EC47016"/>
    <w:rsid w:val="6ED011FC"/>
    <w:rsid w:val="6ED770CD"/>
    <w:rsid w:val="6EDE7B06"/>
    <w:rsid w:val="6EDF77F5"/>
    <w:rsid w:val="6F076F7D"/>
    <w:rsid w:val="6F1144A4"/>
    <w:rsid w:val="6F323167"/>
    <w:rsid w:val="6F33446A"/>
    <w:rsid w:val="6F3444B6"/>
    <w:rsid w:val="6F4C59AF"/>
    <w:rsid w:val="6F567B23"/>
    <w:rsid w:val="6F5E1BD4"/>
    <w:rsid w:val="6F650BC3"/>
    <w:rsid w:val="6F7B6954"/>
    <w:rsid w:val="6F814C70"/>
    <w:rsid w:val="6F85563F"/>
    <w:rsid w:val="6F8C2487"/>
    <w:rsid w:val="6F8F7052"/>
    <w:rsid w:val="6FA46580"/>
    <w:rsid w:val="6FB73240"/>
    <w:rsid w:val="6FB93B4D"/>
    <w:rsid w:val="6FBF0D34"/>
    <w:rsid w:val="6FC92DA9"/>
    <w:rsid w:val="6FD93B73"/>
    <w:rsid w:val="6FDFDB66"/>
    <w:rsid w:val="6FE0165C"/>
    <w:rsid w:val="6FE90101"/>
    <w:rsid w:val="6FF22532"/>
    <w:rsid w:val="6FF31452"/>
    <w:rsid w:val="70027159"/>
    <w:rsid w:val="70185CDC"/>
    <w:rsid w:val="703A551C"/>
    <w:rsid w:val="703C2781"/>
    <w:rsid w:val="70563559"/>
    <w:rsid w:val="706436BB"/>
    <w:rsid w:val="706E3DC6"/>
    <w:rsid w:val="707C47D6"/>
    <w:rsid w:val="708C5B76"/>
    <w:rsid w:val="70A0799F"/>
    <w:rsid w:val="70A23CD9"/>
    <w:rsid w:val="70A30D27"/>
    <w:rsid w:val="70AC3D7A"/>
    <w:rsid w:val="70AE7F6F"/>
    <w:rsid w:val="70B84386"/>
    <w:rsid w:val="70C76C10"/>
    <w:rsid w:val="70CC36B5"/>
    <w:rsid w:val="70CC526B"/>
    <w:rsid w:val="70DF7636"/>
    <w:rsid w:val="70F244FE"/>
    <w:rsid w:val="70FE0A22"/>
    <w:rsid w:val="70FE2EF5"/>
    <w:rsid w:val="70FE78F0"/>
    <w:rsid w:val="710F4243"/>
    <w:rsid w:val="712269D3"/>
    <w:rsid w:val="713573F8"/>
    <w:rsid w:val="713F6856"/>
    <w:rsid w:val="71550DEF"/>
    <w:rsid w:val="715A093B"/>
    <w:rsid w:val="715B625B"/>
    <w:rsid w:val="71667BAE"/>
    <w:rsid w:val="71743D65"/>
    <w:rsid w:val="718E2962"/>
    <w:rsid w:val="719152B5"/>
    <w:rsid w:val="719438CB"/>
    <w:rsid w:val="71997EB8"/>
    <w:rsid w:val="719B1CDE"/>
    <w:rsid w:val="71A20DB3"/>
    <w:rsid w:val="71A42F48"/>
    <w:rsid w:val="71A517D9"/>
    <w:rsid w:val="71A61A92"/>
    <w:rsid w:val="71AA4E17"/>
    <w:rsid w:val="71AB0D1E"/>
    <w:rsid w:val="71AE4A7D"/>
    <w:rsid w:val="71C21F5C"/>
    <w:rsid w:val="71CC32AB"/>
    <w:rsid w:val="71D0293D"/>
    <w:rsid w:val="71EE5087"/>
    <w:rsid w:val="71F06A5C"/>
    <w:rsid w:val="71F9046B"/>
    <w:rsid w:val="72057567"/>
    <w:rsid w:val="72104CF8"/>
    <w:rsid w:val="72137675"/>
    <w:rsid w:val="721D12AF"/>
    <w:rsid w:val="721D3A01"/>
    <w:rsid w:val="7226152F"/>
    <w:rsid w:val="722E2629"/>
    <w:rsid w:val="723830FF"/>
    <w:rsid w:val="723C43F5"/>
    <w:rsid w:val="723F518D"/>
    <w:rsid w:val="72581DED"/>
    <w:rsid w:val="725A4ECA"/>
    <w:rsid w:val="725D58A8"/>
    <w:rsid w:val="7268564A"/>
    <w:rsid w:val="72931016"/>
    <w:rsid w:val="72952BD1"/>
    <w:rsid w:val="729C3F60"/>
    <w:rsid w:val="72AF7364"/>
    <w:rsid w:val="72B50674"/>
    <w:rsid w:val="72B86446"/>
    <w:rsid w:val="72BD2C86"/>
    <w:rsid w:val="72C216C0"/>
    <w:rsid w:val="72C7190D"/>
    <w:rsid w:val="72DA2270"/>
    <w:rsid w:val="72DD00D4"/>
    <w:rsid w:val="72E07EB3"/>
    <w:rsid w:val="72EC7E3D"/>
    <w:rsid w:val="72F04094"/>
    <w:rsid w:val="72F21EB4"/>
    <w:rsid w:val="730B2005"/>
    <w:rsid w:val="730E3420"/>
    <w:rsid w:val="73114F72"/>
    <w:rsid w:val="731A52E5"/>
    <w:rsid w:val="731D71E7"/>
    <w:rsid w:val="73203209"/>
    <w:rsid w:val="732A6D4F"/>
    <w:rsid w:val="73342F94"/>
    <w:rsid w:val="73361B37"/>
    <w:rsid w:val="733A1A9C"/>
    <w:rsid w:val="733E66FD"/>
    <w:rsid w:val="734165F8"/>
    <w:rsid w:val="734F3909"/>
    <w:rsid w:val="734F6B4A"/>
    <w:rsid w:val="735341A2"/>
    <w:rsid w:val="7362374F"/>
    <w:rsid w:val="736C1B8C"/>
    <w:rsid w:val="736C5135"/>
    <w:rsid w:val="737E1D9A"/>
    <w:rsid w:val="73875BB7"/>
    <w:rsid w:val="738B0393"/>
    <w:rsid w:val="73973924"/>
    <w:rsid w:val="739978C7"/>
    <w:rsid w:val="73A56453"/>
    <w:rsid w:val="73AB798B"/>
    <w:rsid w:val="73C179F6"/>
    <w:rsid w:val="73C7645B"/>
    <w:rsid w:val="73CD3AF9"/>
    <w:rsid w:val="73CF470B"/>
    <w:rsid w:val="74082529"/>
    <w:rsid w:val="74100457"/>
    <w:rsid w:val="741D2018"/>
    <w:rsid w:val="741F35DB"/>
    <w:rsid w:val="742A7931"/>
    <w:rsid w:val="74330594"/>
    <w:rsid w:val="74363265"/>
    <w:rsid w:val="7439521B"/>
    <w:rsid w:val="743B15E2"/>
    <w:rsid w:val="743C03B7"/>
    <w:rsid w:val="744864FF"/>
    <w:rsid w:val="74487C11"/>
    <w:rsid w:val="745C1CA8"/>
    <w:rsid w:val="746304B0"/>
    <w:rsid w:val="748816E2"/>
    <w:rsid w:val="748C3F4B"/>
    <w:rsid w:val="74A104A9"/>
    <w:rsid w:val="74CE4179"/>
    <w:rsid w:val="74D114D6"/>
    <w:rsid w:val="74D25EEE"/>
    <w:rsid w:val="74DE3F34"/>
    <w:rsid w:val="74E41BEE"/>
    <w:rsid w:val="74F93B59"/>
    <w:rsid w:val="750937B8"/>
    <w:rsid w:val="750B48FC"/>
    <w:rsid w:val="750B5B44"/>
    <w:rsid w:val="750D3415"/>
    <w:rsid w:val="750E0A19"/>
    <w:rsid w:val="751A6619"/>
    <w:rsid w:val="75384563"/>
    <w:rsid w:val="7547419D"/>
    <w:rsid w:val="754760B8"/>
    <w:rsid w:val="754C091C"/>
    <w:rsid w:val="754C13F7"/>
    <w:rsid w:val="754D342B"/>
    <w:rsid w:val="756B7229"/>
    <w:rsid w:val="756C070F"/>
    <w:rsid w:val="757822AE"/>
    <w:rsid w:val="757E66CB"/>
    <w:rsid w:val="758950A4"/>
    <w:rsid w:val="758F6AE1"/>
    <w:rsid w:val="7590208C"/>
    <w:rsid w:val="75923DAC"/>
    <w:rsid w:val="75945B8C"/>
    <w:rsid w:val="75A7573B"/>
    <w:rsid w:val="75AD4F0B"/>
    <w:rsid w:val="75BA5D24"/>
    <w:rsid w:val="75BA64AB"/>
    <w:rsid w:val="75BD268A"/>
    <w:rsid w:val="75D30E1D"/>
    <w:rsid w:val="75D31876"/>
    <w:rsid w:val="7603234A"/>
    <w:rsid w:val="76054613"/>
    <w:rsid w:val="760A5CDB"/>
    <w:rsid w:val="76202E19"/>
    <w:rsid w:val="7625601A"/>
    <w:rsid w:val="7634632A"/>
    <w:rsid w:val="763738F1"/>
    <w:rsid w:val="76385E60"/>
    <w:rsid w:val="76790F36"/>
    <w:rsid w:val="767A6BDE"/>
    <w:rsid w:val="767B0CC7"/>
    <w:rsid w:val="76864401"/>
    <w:rsid w:val="7694751B"/>
    <w:rsid w:val="76AA60CD"/>
    <w:rsid w:val="76AE1308"/>
    <w:rsid w:val="76B714B3"/>
    <w:rsid w:val="76C73C9A"/>
    <w:rsid w:val="76C76C0A"/>
    <w:rsid w:val="76CE14F3"/>
    <w:rsid w:val="76D34710"/>
    <w:rsid w:val="76D70271"/>
    <w:rsid w:val="76F222A5"/>
    <w:rsid w:val="76FB0B73"/>
    <w:rsid w:val="77017347"/>
    <w:rsid w:val="771522A2"/>
    <w:rsid w:val="77257704"/>
    <w:rsid w:val="77377037"/>
    <w:rsid w:val="773B615A"/>
    <w:rsid w:val="77450149"/>
    <w:rsid w:val="774C54A1"/>
    <w:rsid w:val="77534D32"/>
    <w:rsid w:val="775929E7"/>
    <w:rsid w:val="775C4878"/>
    <w:rsid w:val="775F6F8F"/>
    <w:rsid w:val="77672662"/>
    <w:rsid w:val="77764D81"/>
    <w:rsid w:val="77793034"/>
    <w:rsid w:val="77983F25"/>
    <w:rsid w:val="77B5746C"/>
    <w:rsid w:val="77BA131D"/>
    <w:rsid w:val="77BA3B1C"/>
    <w:rsid w:val="77BF57C7"/>
    <w:rsid w:val="77C43253"/>
    <w:rsid w:val="77CA7A19"/>
    <w:rsid w:val="77DF3E51"/>
    <w:rsid w:val="77DF47F4"/>
    <w:rsid w:val="77E83F2A"/>
    <w:rsid w:val="77E91DF6"/>
    <w:rsid w:val="77EA5752"/>
    <w:rsid w:val="7803223D"/>
    <w:rsid w:val="780A45ED"/>
    <w:rsid w:val="78157CF7"/>
    <w:rsid w:val="78301DAE"/>
    <w:rsid w:val="7847671C"/>
    <w:rsid w:val="784F56DF"/>
    <w:rsid w:val="78520D00"/>
    <w:rsid w:val="78526FC2"/>
    <w:rsid w:val="7857629B"/>
    <w:rsid w:val="78615896"/>
    <w:rsid w:val="78684401"/>
    <w:rsid w:val="786E0F9C"/>
    <w:rsid w:val="788437FF"/>
    <w:rsid w:val="78857C89"/>
    <w:rsid w:val="788D5D18"/>
    <w:rsid w:val="7890698E"/>
    <w:rsid w:val="78972B7C"/>
    <w:rsid w:val="78A97A27"/>
    <w:rsid w:val="78BB2564"/>
    <w:rsid w:val="78BC323C"/>
    <w:rsid w:val="78CC0DC3"/>
    <w:rsid w:val="78D4689D"/>
    <w:rsid w:val="78DC00DC"/>
    <w:rsid w:val="78DF464D"/>
    <w:rsid w:val="78E440AD"/>
    <w:rsid w:val="78E56CA1"/>
    <w:rsid w:val="78EC0B1E"/>
    <w:rsid w:val="78F411E5"/>
    <w:rsid w:val="78F54C80"/>
    <w:rsid w:val="78F7779B"/>
    <w:rsid w:val="78F97604"/>
    <w:rsid w:val="791902A3"/>
    <w:rsid w:val="793555E7"/>
    <w:rsid w:val="7944014D"/>
    <w:rsid w:val="79446284"/>
    <w:rsid w:val="79482F61"/>
    <w:rsid w:val="7956060E"/>
    <w:rsid w:val="79653DE6"/>
    <w:rsid w:val="79782A0A"/>
    <w:rsid w:val="797B0413"/>
    <w:rsid w:val="7994314C"/>
    <w:rsid w:val="79952599"/>
    <w:rsid w:val="79A35F49"/>
    <w:rsid w:val="79BC168A"/>
    <w:rsid w:val="79BC6C95"/>
    <w:rsid w:val="79C8761C"/>
    <w:rsid w:val="79D47610"/>
    <w:rsid w:val="79D85272"/>
    <w:rsid w:val="79E06189"/>
    <w:rsid w:val="79E06CEF"/>
    <w:rsid w:val="79EA62EB"/>
    <w:rsid w:val="79EB45A1"/>
    <w:rsid w:val="79ED12C9"/>
    <w:rsid w:val="79FD76E9"/>
    <w:rsid w:val="7A1E623E"/>
    <w:rsid w:val="7A215C00"/>
    <w:rsid w:val="7A290DC0"/>
    <w:rsid w:val="7A296EFF"/>
    <w:rsid w:val="7A325874"/>
    <w:rsid w:val="7A4B51FA"/>
    <w:rsid w:val="7A4C6089"/>
    <w:rsid w:val="7A5252C7"/>
    <w:rsid w:val="7A531C9F"/>
    <w:rsid w:val="7A5F6682"/>
    <w:rsid w:val="7A8A2F3D"/>
    <w:rsid w:val="7A921AE4"/>
    <w:rsid w:val="7A935EF8"/>
    <w:rsid w:val="7A940832"/>
    <w:rsid w:val="7AA9530D"/>
    <w:rsid w:val="7AB20E79"/>
    <w:rsid w:val="7AB32860"/>
    <w:rsid w:val="7ADA7B49"/>
    <w:rsid w:val="7ADC51F9"/>
    <w:rsid w:val="7AE70572"/>
    <w:rsid w:val="7AE815FC"/>
    <w:rsid w:val="7AF05A27"/>
    <w:rsid w:val="7AF37A02"/>
    <w:rsid w:val="7B0B455A"/>
    <w:rsid w:val="7B0E68E7"/>
    <w:rsid w:val="7B272834"/>
    <w:rsid w:val="7B283017"/>
    <w:rsid w:val="7B347486"/>
    <w:rsid w:val="7B3B3C55"/>
    <w:rsid w:val="7B4E7DC1"/>
    <w:rsid w:val="7B51212C"/>
    <w:rsid w:val="7B581841"/>
    <w:rsid w:val="7B5C2D8B"/>
    <w:rsid w:val="7B5F5CEE"/>
    <w:rsid w:val="7B6C7089"/>
    <w:rsid w:val="7B7C4ED1"/>
    <w:rsid w:val="7B872DAB"/>
    <w:rsid w:val="7BB13620"/>
    <w:rsid w:val="7BBA5E68"/>
    <w:rsid w:val="7BC7163F"/>
    <w:rsid w:val="7BC92762"/>
    <w:rsid w:val="7BC96C5E"/>
    <w:rsid w:val="7BCA02B2"/>
    <w:rsid w:val="7BCF19A0"/>
    <w:rsid w:val="7BD01566"/>
    <w:rsid w:val="7BE307E7"/>
    <w:rsid w:val="7BE35474"/>
    <w:rsid w:val="7BFA5658"/>
    <w:rsid w:val="7C1C539B"/>
    <w:rsid w:val="7C2B5ACB"/>
    <w:rsid w:val="7C30326B"/>
    <w:rsid w:val="7C33006F"/>
    <w:rsid w:val="7C411BDF"/>
    <w:rsid w:val="7C56302C"/>
    <w:rsid w:val="7C59178C"/>
    <w:rsid w:val="7C5E5C42"/>
    <w:rsid w:val="7C6111A4"/>
    <w:rsid w:val="7C6F071E"/>
    <w:rsid w:val="7C7C6A3F"/>
    <w:rsid w:val="7C885555"/>
    <w:rsid w:val="7C891D0D"/>
    <w:rsid w:val="7C8950B7"/>
    <w:rsid w:val="7C8D0E31"/>
    <w:rsid w:val="7C9567F4"/>
    <w:rsid w:val="7C961F7D"/>
    <w:rsid w:val="7C9E14D5"/>
    <w:rsid w:val="7CA13E1C"/>
    <w:rsid w:val="7CB56D7D"/>
    <w:rsid w:val="7CC916E8"/>
    <w:rsid w:val="7CC92BE4"/>
    <w:rsid w:val="7CEC38E6"/>
    <w:rsid w:val="7CEE536B"/>
    <w:rsid w:val="7CFF1283"/>
    <w:rsid w:val="7CFFEFA1"/>
    <w:rsid w:val="7D00284C"/>
    <w:rsid w:val="7D0A7401"/>
    <w:rsid w:val="7D0E042B"/>
    <w:rsid w:val="7D1E3FBC"/>
    <w:rsid w:val="7D2021D2"/>
    <w:rsid w:val="7D214496"/>
    <w:rsid w:val="7D342C2D"/>
    <w:rsid w:val="7D346302"/>
    <w:rsid w:val="7D3A7495"/>
    <w:rsid w:val="7D44014B"/>
    <w:rsid w:val="7D52089B"/>
    <w:rsid w:val="7D5C2AB9"/>
    <w:rsid w:val="7D5E1AB7"/>
    <w:rsid w:val="7D65430E"/>
    <w:rsid w:val="7D7F7019"/>
    <w:rsid w:val="7D8852F8"/>
    <w:rsid w:val="7D94398B"/>
    <w:rsid w:val="7D971692"/>
    <w:rsid w:val="7D9865FF"/>
    <w:rsid w:val="7D9B45F9"/>
    <w:rsid w:val="7D9F66B2"/>
    <w:rsid w:val="7DA036B4"/>
    <w:rsid w:val="7DAC7021"/>
    <w:rsid w:val="7DD02D0F"/>
    <w:rsid w:val="7DD345AE"/>
    <w:rsid w:val="7DD85480"/>
    <w:rsid w:val="7DDDCE29"/>
    <w:rsid w:val="7DE642E1"/>
    <w:rsid w:val="7DF616D0"/>
    <w:rsid w:val="7DF804D1"/>
    <w:rsid w:val="7E097B7D"/>
    <w:rsid w:val="7E0A3645"/>
    <w:rsid w:val="7E261F2C"/>
    <w:rsid w:val="7E3056E0"/>
    <w:rsid w:val="7E305AC4"/>
    <w:rsid w:val="7E327D9E"/>
    <w:rsid w:val="7E396341"/>
    <w:rsid w:val="7E3F1D1F"/>
    <w:rsid w:val="7E6063D6"/>
    <w:rsid w:val="7E64706F"/>
    <w:rsid w:val="7E712CB7"/>
    <w:rsid w:val="7E7C0838"/>
    <w:rsid w:val="7E7C1973"/>
    <w:rsid w:val="7E7F2C24"/>
    <w:rsid w:val="7E8D3214"/>
    <w:rsid w:val="7E915650"/>
    <w:rsid w:val="7E923BFA"/>
    <w:rsid w:val="7E9674C8"/>
    <w:rsid w:val="7EB73BF1"/>
    <w:rsid w:val="7EB75F10"/>
    <w:rsid w:val="7EB80529"/>
    <w:rsid w:val="7EB92E8B"/>
    <w:rsid w:val="7EC322B5"/>
    <w:rsid w:val="7EC52331"/>
    <w:rsid w:val="7EC608D6"/>
    <w:rsid w:val="7ECF5F7A"/>
    <w:rsid w:val="7ED04D1C"/>
    <w:rsid w:val="7ED752CD"/>
    <w:rsid w:val="7EEC1096"/>
    <w:rsid w:val="7EFC0461"/>
    <w:rsid w:val="7F0D1D41"/>
    <w:rsid w:val="7F1B05FD"/>
    <w:rsid w:val="7F337199"/>
    <w:rsid w:val="7F390D88"/>
    <w:rsid w:val="7F40213C"/>
    <w:rsid w:val="7F4C0ED5"/>
    <w:rsid w:val="7F5C3BF7"/>
    <w:rsid w:val="7F695587"/>
    <w:rsid w:val="7F76D771"/>
    <w:rsid w:val="7F8440CB"/>
    <w:rsid w:val="7F943F09"/>
    <w:rsid w:val="7F965547"/>
    <w:rsid w:val="7F98785D"/>
    <w:rsid w:val="7F9A1937"/>
    <w:rsid w:val="7F9E51A4"/>
    <w:rsid w:val="7FA00957"/>
    <w:rsid w:val="7FA04963"/>
    <w:rsid w:val="7FA072B5"/>
    <w:rsid w:val="7FA62219"/>
    <w:rsid w:val="7FAE0F58"/>
    <w:rsid w:val="7FB76872"/>
    <w:rsid w:val="7FBF9542"/>
    <w:rsid w:val="7FC932D6"/>
    <w:rsid w:val="7FE93226"/>
    <w:rsid w:val="7FF35F6F"/>
    <w:rsid w:val="7FF739AB"/>
    <w:rsid w:val="7FF847B0"/>
    <w:rsid w:val="7FFE098B"/>
    <w:rsid w:val="7FFF55D0"/>
    <w:rsid w:val="7FFFBC06"/>
    <w:rsid w:val="9ECF4E12"/>
    <w:rsid w:val="9F7F0CC7"/>
    <w:rsid w:val="A3FD840D"/>
    <w:rsid w:val="B5FCB43E"/>
    <w:rsid w:val="B6F56A9A"/>
    <w:rsid w:val="B7FDAA39"/>
    <w:rsid w:val="BA7B23C6"/>
    <w:rsid w:val="BB5BC08A"/>
    <w:rsid w:val="BBEF4418"/>
    <w:rsid w:val="BE4E91EE"/>
    <w:rsid w:val="BFCF897A"/>
    <w:rsid w:val="BFE6DD2C"/>
    <w:rsid w:val="C0F64476"/>
    <w:rsid w:val="CBEF6EF8"/>
    <w:rsid w:val="DE7D76AF"/>
    <w:rsid w:val="DFEFA6F6"/>
    <w:rsid w:val="E9D6DDAA"/>
    <w:rsid w:val="EEAF5766"/>
    <w:rsid w:val="EEFCB4F8"/>
    <w:rsid w:val="EFAEFBD7"/>
    <w:rsid w:val="EFFEADF8"/>
    <w:rsid w:val="EFFF1A8E"/>
    <w:rsid w:val="F1F3E90F"/>
    <w:rsid w:val="F6E32FED"/>
    <w:rsid w:val="F7B4796E"/>
    <w:rsid w:val="F8FAD7A1"/>
    <w:rsid w:val="FAEFD0B4"/>
    <w:rsid w:val="FB27EE18"/>
    <w:rsid w:val="FC7D4D40"/>
    <w:rsid w:val="FC7F8352"/>
    <w:rsid w:val="FDD34B8F"/>
    <w:rsid w:val="FE7DFF5C"/>
    <w:rsid w:val="FEFD66C9"/>
    <w:rsid w:val="FFBF6C09"/>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7"/>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6">
    <w:name w:val="heading 6"/>
    <w:basedOn w:val="1"/>
    <w:next w:val="1"/>
    <w:link w:val="58"/>
    <w:qFormat/>
    <w:uiPriority w:val="0"/>
    <w:pPr>
      <w:keepNext/>
      <w:keepLines/>
      <w:spacing w:before="240" w:after="64" w:line="320" w:lineRule="auto"/>
      <w:outlineLvl w:val="5"/>
    </w:pPr>
    <w:rPr>
      <w:rFonts w:ascii="Cambria" w:hAnsi="Cambria"/>
      <w:b/>
      <w:bCs/>
      <w:sz w:val="24"/>
    </w:rPr>
  </w:style>
  <w:style w:type="paragraph" w:styleId="7">
    <w:name w:val="heading 8"/>
    <w:basedOn w:val="1"/>
    <w:next w:val="1"/>
    <w:qFormat/>
    <w:uiPriority w:val="1"/>
    <w:pPr>
      <w:ind w:left="220" w:hanging="223"/>
      <w:outlineLvl w:val="7"/>
    </w:pPr>
    <w:rPr>
      <w:rFonts w:ascii="宋体" w:hAnsi="宋体" w:cs="宋体"/>
      <w:sz w:val="22"/>
      <w:szCs w:val="22"/>
      <w:lang w:val="zh-CN" w:bidi="zh-CN"/>
    </w:rPr>
  </w:style>
  <w:style w:type="paragraph" w:styleId="8">
    <w:name w:val="heading 9"/>
    <w:basedOn w:val="1"/>
    <w:next w:val="1"/>
    <w:qFormat/>
    <w:uiPriority w:val="1"/>
    <w:pPr>
      <w:ind w:left="640"/>
      <w:outlineLvl w:val="8"/>
    </w:pPr>
    <w:rPr>
      <w:rFonts w:ascii="宋体" w:hAnsi="宋体" w:cs="宋体"/>
      <w:b/>
      <w:bCs/>
      <w:szCs w:val="21"/>
      <w:lang w:val="zh-CN" w:bidi="zh-CN"/>
    </w:rPr>
  </w:style>
  <w:style w:type="character" w:default="1" w:styleId="38">
    <w:name w:val="Default Paragraph Font"/>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9">
    <w:name w:val="List Number"/>
    <w:basedOn w:val="1"/>
    <w:qFormat/>
    <w:uiPriority w:val="0"/>
    <w:pPr>
      <w:widowControl/>
      <w:numPr>
        <w:ilvl w:val="0"/>
        <w:numId w:val="1"/>
      </w:numPr>
      <w:tabs>
        <w:tab w:val="left" w:pos="454"/>
        <w:tab w:val="left" w:pos="720"/>
      </w:tabs>
      <w:spacing w:after="156" w:afterLines="50"/>
      <w:jc w:val="left"/>
    </w:pPr>
    <w:rPr>
      <w:kern w:val="0"/>
      <w:sz w:val="24"/>
      <w:szCs w:val="20"/>
    </w:rPr>
  </w:style>
  <w:style w:type="paragraph" w:styleId="10">
    <w:name w:val="Normal Indent"/>
    <w:basedOn w:val="1"/>
    <w:next w:val="1"/>
    <w:link w:val="83"/>
    <w:qFormat/>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66"/>
    <w:qFormat/>
    <w:uiPriority w:val="0"/>
    <w:rPr>
      <w:rFonts w:ascii="Helvetica" w:hAnsi="Helvetica"/>
      <w:sz w:val="24"/>
    </w:rPr>
  </w:style>
  <w:style w:type="paragraph" w:styleId="13">
    <w:name w:val="annotation text"/>
    <w:basedOn w:val="1"/>
    <w:link w:val="68"/>
    <w:qFormat/>
    <w:uiPriority w:val="0"/>
    <w:pPr>
      <w:jc w:val="left"/>
    </w:pPr>
  </w:style>
  <w:style w:type="paragraph" w:styleId="14">
    <w:name w:val="Body Text 3"/>
    <w:basedOn w:val="1"/>
    <w:link w:val="53"/>
    <w:qFormat/>
    <w:uiPriority w:val="0"/>
    <w:pPr>
      <w:spacing w:after="120"/>
    </w:pPr>
    <w:rPr>
      <w:sz w:val="16"/>
      <w:szCs w:val="16"/>
    </w:rPr>
  </w:style>
  <w:style w:type="paragraph" w:styleId="15">
    <w:name w:val="Body Text"/>
    <w:basedOn w:val="1"/>
    <w:next w:val="16"/>
    <w:link w:val="55"/>
    <w:qFormat/>
    <w:uiPriority w:val="0"/>
    <w:pPr>
      <w:spacing w:after="120"/>
    </w:pPr>
  </w:style>
  <w:style w:type="paragraph" w:styleId="16">
    <w:name w:val="Body Text First Indent"/>
    <w:basedOn w:val="15"/>
    <w:next w:val="1"/>
    <w:unhideWhenUsed/>
    <w:qFormat/>
    <w:uiPriority w:val="99"/>
    <w:pPr>
      <w:spacing w:line="360" w:lineRule="auto"/>
      <w:ind w:firstLine="200" w:firstLineChars="200"/>
    </w:pPr>
    <w:rPr>
      <w:rFonts w:ascii="仿宋_GB2312" w:eastAsia="仿宋_GB2312"/>
      <w:bCs/>
      <w:sz w:val="30"/>
    </w:rPr>
  </w:style>
  <w:style w:type="paragraph" w:styleId="17">
    <w:name w:val="Body Text Indent"/>
    <w:basedOn w:val="1"/>
    <w:next w:val="10"/>
    <w:qFormat/>
    <w:uiPriority w:val="0"/>
    <w:pPr>
      <w:spacing w:after="120"/>
      <w:ind w:left="420" w:leftChars="200"/>
    </w:pPr>
  </w:style>
  <w:style w:type="paragraph" w:styleId="18">
    <w:name w:val="List 2"/>
    <w:basedOn w:val="1"/>
    <w:qFormat/>
    <w:uiPriority w:val="0"/>
    <w:pPr>
      <w:ind w:left="100" w:leftChars="200" w:hanging="200" w:hangingChars="200"/>
    </w:pPr>
  </w:style>
  <w:style w:type="paragraph" w:styleId="19">
    <w:name w:val="Plain Text"/>
    <w:basedOn w:val="1"/>
    <w:next w:val="1"/>
    <w:link w:val="61"/>
    <w:qFormat/>
    <w:uiPriority w:val="0"/>
    <w:rPr>
      <w:sz w:val="24"/>
      <w:szCs w:val="20"/>
    </w:rPr>
  </w:style>
  <w:style w:type="paragraph" w:styleId="20">
    <w:name w:val="Date"/>
    <w:basedOn w:val="1"/>
    <w:next w:val="1"/>
    <w:link w:val="71"/>
    <w:qFormat/>
    <w:uiPriority w:val="0"/>
    <w:pPr>
      <w:ind w:left="2500" w:leftChars="2500"/>
    </w:pPr>
    <w:rPr>
      <w:rFonts w:eastAsia="楷体_GB2312"/>
      <w:sz w:val="32"/>
      <w:szCs w:val="20"/>
    </w:rPr>
  </w:style>
  <w:style w:type="paragraph" w:styleId="21">
    <w:name w:val="Body Text Indent 2"/>
    <w:basedOn w:val="1"/>
    <w:link w:val="65"/>
    <w:qFormat/>
    <w:uiPriority w:val="0"/>
    <w:pPr>
      <w:spacing w:after="120" w:line="480" w:lineRule="auto"/>
      <w:ind w:left="420" w:leftChars="200"/>
    </w:pPr>
  </w:style>
  <w:style w:type="paragraph" w:styleId="22">
    <w:name w:val="endnote text"/>
    <w:basedOn w:val="1"/>
    <w:link w:val="54"/>
    <w:qFormat/>
    <w:uiPriority w:val="0"/>
    <w:pPr>
      <w:snapToGrid w:val="0"/>
      <w:jc w:val="left"/>
    </w:pPr>
  </w:style>
  <w:style w:type="paragraph" w:styleId="23">
    <w:name w:val="Balloon Text"/>
    <w:basedOn w:val="1"/>
    <w:link w:val="74"/>
    <w:qFormat/>
    <w:uiPriority w:val="0"/>
    <w:rPr>
      <w:sz w:val="18"/>
      <w:szCs w:val="18"/>
    </w:rPr>
  </w:style>
  <w:style w:type="paragraph" w:styleId="24">
    <w:name w:val="footer"/>
    <w:basedOn w:val="1"/>
    <w:next w:val="25"/>
    <w:link w:val="69"/>
    <w:qFormat/>
    <w:uiPriority w:val="99"/>
    <w:pPr>
      <w:tabs>
        <w:tab w:val="center" w:pos="4153"/>
        <w:tab w:val="right" w:pos="8306"/>
      </w:tabs>
      <w:snapToGrid w:val="0"/>
      <w:jc w:val="left"/>
    </w:pPr>
    <w:rPr>
      <w:sz w:val="18"/>
      <w:szCs w:val="18"/>
    </w:rPr>
  </w:style>
  <w:style w:type="paragraph" w:styleId="25">
    <w:name w:val="toc 2"/>
    <w:basedOn w:val="1"/>
    <w:next w:val="1"/>
    <w:qFormat/>
    <w:uiPriority w:val="39"/>
    <w:pPr>
      <w:ind w:left="420" w:leftChars="200"/>
    </w:pPr>
  </w:style>
  <w:style w:type="paragraph" w:styleId="26">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List"/>
    <w:basedOn w:val="1"/>
    <w:qFormat/>
    <w:uiPriority w:val="0"/>
    <w:pPr>
      <w:ind w:left="200" w:hanging="200" w:hangingChars="200"/>
    </w:pPr>
  </w:style>
  <w:style w:type="paragraph" w:styleId="29">
    <w:name w:val="toc 6"/>
    <w:basedOn w:val="1"/>
    <w:next w:val="1"/>
    <w:unhideWhenUsed/>
    <w:qFormat/>
    <w:uiPriority w:val="39"/>
    <w:pPr>
      <w:ind w:left="2100" w:leftChars="1000"/>
    </w:pPr>
  </w:style>
  <w:style w:type="paragraph" w:styleId="30">
    <w:name w:val="Body Text Indent 3"/>
    <w:basedOn w:val="1"/>
    <w:link w:val="59"/>
    <w:qFormat/>
    <w:uiPriority w:val="0"/>
    <w:pPr>
      <w:ind w:firstLine="435"/>
    </w:pPr>
  </w:style>
  <w:style w:type="paragraph" w:styleId="31">
    <w:name w:val="Body Text 2"/>
    <w:basedOn w:val="1"/>
    <w:link w:val="60"/>
    <w:qFormat/>
    <w:uiPriority w:val="0"/>
    <w:pPr>
      <w:spacing w:after="120" w:line="480" w:lineRule="auto"/>
    </w:pPr>
  </w:style>
  <w:style w:type="paragraph" w:styleId="32">
    <w:name w:val="Normal (Web)"/>
    <w:basedOn w:val="1"/>
    <w:next w:val="1"/>
    <w:unhideWhenUsed/>
    <w:qFormat/>
    <w:uiPriority w:val="0"/>
    <w:pPr>
      <w:widowControl/>
      <w:spacing w:before="240" w:after="240"/>
      <w:jc w:val="left"/>
    </w:pPr>
    <w:rPr>
      <w:rFonts w:ascii="宋体" w:hAnsi="宋体" w:cs="宋体"/>
      <w:kern w:val="0"/>
      <w:sz w:val="24"/>
    </w:rPr>
  </w:style>
  <w:style w:type="paragraph" w:styleId="33">
    <w:name w:val="Title"/>
    <w:basedOn w:val="1"/>
    <w:next w:val="1"/>
    <w:link w:val="82"/>
    <w:qFormat/>
    <w:uiPriority w:val="10"/>
    <w:pPr>
      <w:spacing w:before="240" w:after="60"/>
      <w:jc w:val="center"/>
      <w:outlineLvl w:val="0"/>
    </w:pPr>
    <w:rPr>
      <w:rFonts w:ascii="Cambria" w:hAnsi="Cambria"/>
      <w:b/>
      <w:bCs/>
      <w:sz w:val="32"/>
      <w:szCs w:val="32"/>
    </w:rPr>
  </w:style>
  <w:style w:type="paragraph" w:styleId="34">
    <w:name w:val="annotation subject"/>
    <w:basedOn w:val="13"/>
    <w:next w:val="13"/>
    <w:link w:val="73"/>
    <w:qFormat/>
    <w:uiPriority w:val="0"/>
    <w:rPr>
      <w:b/>
      <w:bCs/>
    </w:rPr>
  </w:style>
  <w:style w:type="paragraph" w:styleId="35">
    <w:name w:val="Body Text First Indent 2"/>
    <w:basedOn w:val="17"/>
    <w:next w:val="17"/>
    <w:qFormat/>
    <w:uiPriority w:val="0"/>
    <w:pPr>
      <w:autoSpaceDE w:val="0"/>
      <w:autoSpaceDN w:val="0"/>
      <w:adjustRightInd w:val="0"/>
      <w:ind w:firstLine="420" w:firstLineChars="200"/>
      <w:jc w:val="left"/>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rPr>
  </w:style>
  <w:style w:type="character" w:styleId="40">
    <w:name w:val="endnote reference"/>
    <w:qFormat/>
    <w:uiPriority w:val="0"/>
    <w:rPr>
      <w:vertAlign w:val="superscript"/>
    </w:rPr>
  </w:style>
  <w:style w:type="character" w:styleId="41">
    <w:name w:val="page number"/>
    <w:basedOn w:val="38"/>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paragraph" w:customStyle="1" w:styleId="45">
    <w:name w:val="样式 标题 1 + 四号 加粗"/>
    <w:basedOn w:val="2"/>
    <w:qFormat/>
    <w:uiPriority w:val="0"/>
    <w:pPr>
      <w:numPr>
        <w:ilvl w:val="0"/>
        <w:numId w:val="0"/>
      </w:numPr>
      <w:adjustRightInd/>
    </w:pPr>
    <w:rPr>
      <w:rFonts w:ascii="Times New Roman" w:hAnsi="Times New Roman" w:eastAsia="黑体"/>
      <w:lang w:val="en-US"/>
    </w:rPr>
  </w:style>
  <w:style w:type="paragraph" w:customStyle="1" w:styleId="46">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7">
    <w:name w:val="样式 表格正文 + 两端对齐"/>
    <w:basedOn w:val="1"/>
    <w:next w:val="48"/>
    <w:qFormat/>
    <w:uiPriority w:val="0"/>
    <w:pPr>
      <w:spacing w:line="300" w:lineRule="auto"/>
    </w:pPr>
  </w:style>
  <w:style w:type="paragraph" w:customStyle="1" w:styleId="48">
    <w:name w:val="正文1"/>
    <w:basedOn w:val="12"/>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49">
    <w:name w:val="表格文字"/>
    <w:next w:val="15"/>
    <w:link w:val="78"/>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0">
    <w:name w:val="NormalCharacter"/>
    <w:qFormat/>
    <w:uiPriority w:val="0"/>
    <w:rPr>
      <w:rFonts w:ascii="Times New Roman" w:hAnsi="Times New Roman" w:eastAsia="宋体" w:cs="Times New Roman"/>
    </w:rPr>
  </w:style>
  <w:style w:type="character" w:customStyle="1" w:styleId="51">
    <w:name w:val="标3 Char"/>
    <w:link w:val="52"/>
    <w:qFormat/>
    <w:uiPriority w:val="0"/>
    <w:rPr>
      <w:rFonts w:ascii="Arial Narrow" w:hAnsi="Arial Narrow" w:eastAsia="仿宋_GB2312"/>
      <w:sz w:val="32"/>
      <w:szCs w:val="32"/>
    </w:rPr>
  </w:style>
  <w:style w:type="paragraph" w:customStyle="1" w:styleId="52">
    <w:name w:val="标3"/>
    <w:basedOn w:val="1"/>
    <w:link w:val="51"/>
    <w:qFormat/>
    <w:uiPriority w:val="0"/>
    <w:pPr>
      <w:numPr>
        <w:ilvl w:val="2"/>
        <w:numId w:val="2"/>
      </w:numPr>
      <w:adjustRightInd w:val="0"/>
      <w:snapToGrid w:val="0"/>
      <w:spacing w:before="156" w:beforeLines="50"/>
      <w:outlineLvl w:val="2"/>
    </w:pPr>
    <w:rPr>
      <w:rFonts w:ascii="Arial Narrow" w:hAnsi="Arial Narrow" w:eastAsia="仿宋_GB2312"/>
      <w:kern w:val="0"/>
      <w:sz w:val="32"/>
      <w:szCs w:val="32"/>
    </w:rPr>
  </w:style>
  <w:style w:type="character" w:customStyle="1" w:styleId="53">
    <w:name w:val="正文文本 3 字符"/>
    <w:link w:val="14"/>
    <w:qFormat/>
    <w:uiPriority w:val="0"/>
    <w:rPr>
      <w:kern w:val="2"/>
      <w:sz w:val="16"/>
      <w:szCs w:val="16"/>
    </w:rPr>
  </w:style>
  <w:style w:type="character" w:customStyle="1" w:styleId="54">
    <w:name w:val="尾注文本 字符"/>
    <w:link w:val="22"/>
    <w:qFormat/>
    <w:uiPriority w:val="0"/>
    <w:rPr>
      <w:kern w:val="2"/>
      <w:sz w:val="21"/>
      <w:szCs w:val="24"/>
    </w:rPr>
  </w:style>
  <w:style w:type="character" w:customStyle="1" w:styleId="55">
    <w:name w:val="正文文本 字符"/>
    <w:link w:val="15"/>
    <w:qFormat/>
    <w:uiPriority w:val="0"/>
    <w:rPr>
      <w:kern w:val="2"/>
      <w:sz w:val="21"/>
      <w:szCs w:val="24"/>
    </w:rPr>
  </w:style>
  <w:style w:type="character" w:customStyle="1" w:styleId="56">
    <w:name w:val="font31"/>
    <w:qFormat/>
    <w:uiPriority w:val="0"/>
    <w:rPr>
      <w:rFonts w:hint="eastAsia" w:ascii="宋体" w:hAnsi="宋体" w:eastAsia="宋体" w:cs="宋体"/>
      <w:color w:val="000000"/>
      <w:sz w:val="24"/>
      <w:szCs w:val="24"/>
      <w:u w:val="none"/>
    </w:rPr>
  </w:style>
  <w:style w:type="character" w:customStyle="1" w:styleId="57">
    <w:name w:val="标题 3 字符"/>
    <w:link w:val="4"/>
    <w:qFormat/>
    <w:uiPriority w:val="0"/>
    <w:rPr>
      <w:b/>
      <w:bCs/>
      <w:kern w:val="2"/>
      <w:sz w:val="32"/>
      <w:szCs w:val="32"/>
    </w:rPr>
  </w:style>
  <w:style w:type="character" w:customStyle="1" w:styleId="58">
    <w:name w:val="标题 6 字符"/>
    <w:link w:val="6"/>
    <w:semiHidden/>
    <w:qFormat/>
    <w:uiPriority w:val="0"/>
    <w:rPr>
      <w:rFonts w:ascii="Cambria" w:hAnsi="Cambria" w:eastAsia="宋体" w:cs="Times New Roman"/>
      <w:b/>
      <w:bCs/>
      <w:kern w:val="2"/>
      <w:sz w:val="24"/>
      <w:szCs w:val="24"/>
    </w:rPr>
  </w:style>
  <w:style w:type="character" w:customStyle="1" w:styleId="59">
    <w:name w:val="正文文本缩进 3 字符"/>
    <w:link w:val="30"/>
    <w:qFormat/>
    <w:uiPriority w:val="0"/>
    <w:rPr>
      <w:kern w:val="2"/>
      <w:sz w:val="21"/>
      <w:szCs w:val="24"/>
    </w:rPr>
  </w:style>
  <w:style w:type="character" w:customStyle="1" w:styleId="60">
    <w:name w:val="正文文本 2 字符"/>
    <w:link w:val="31"/>
    <w:qFormat/>
    <w:uiPriority w:val="0"/>
    <w:rPr>
      <w:kern w:val="2"/>
      <w:sz w:val="21"/>
      <w:szCs w:val="24"/>
    </w:rPr>
  </w:style>
  <w:style w:type="character" w:customStyle="1" w:styleId="61">
    <w:name w:val="纯文本 字符"/>
    <w:link w:val="19"/>
    <w:qFormat/>
    <w:uiPriority w:val="0"/>
    <w:rPr>
      <w:rFonts w:eastAsia="宋体"/>
      <w:kern w:val="2"/>
      <w:sz w:val="24"/>
      <w:lang w:val="en-US" w:eastAsia="zh-CN" w:bidi="ar-SA"/>
    </w:rPr>
  </w:style>
  <w:style w:type="character" w:customStyle="1" w:styleId="62">
    <w:name w:val="标题 1字符"/>
    <w:qFormat/>
    <w:uiPriority w:val="0"/>
    <w:rPr>
      <w:b/>
      <w:bCs/>
      <w:kern w:val="44"/>
      <w:sz w:val="44"/>
      <w:szCs w:val="44"/>
    </w:rPr>
  </w:style>
  <w:style w:type="character" w:customStyle="1" w:styleId="63">
    <w:name w:val="无"/>
    <w:qFormat/>
    <w:uiPriority w:val="99"/>
  </w:style>
  <w:style w:type="character" w:customStyle="1" w:styleId="64">
    <w:name w:val="标题 2 字符"/>
    <w:link w:val="3"/>
    <w:qFormat/>
    <w:uiPriority w:val="9"/>
    <w:rPr>
      <w:rFonts w:ascii="Arial" w:hAnsi="Arial" w:eastAsia="黑体"/>
      <w:b/>
      <w:bCs/>
      <w:kern w:val="2"/>
      <w:sz w:val="32"/>
      <w:szCs w:val="32"/>
    </w:rPr>
  </w:style>
  <w:style w:type="character" w:customStyle="1" w:styleId="65">
    <w:name w:val="正文文本缩进 2 字符"/>
    <w:link w:val="21"/>
    <w:qFormat/>
    <w:uiPriority w:val="0"/>
    <w:rPr>
      <w:kern w:val="2"/>
      <w:sz w:val="21"/>
      <w:szCs w:val="24"/>
    </w:rPr>
  </w:style>
  <w:style w:type="character" w:customStyle="1" w:styleId="66">
    <w:name w:val="文档结构图 字符"/>
    <w:link w:val="12"/>
    <w:qFormat/>
    <w:uiPriority w:val="0"/>
    <w:rPr>
      <w:rFonts w:ascii="Helvetica" w:hAnsi="Helvetica"/>
      <w:kern w:val="2"/>
      <w:sz w:val="24"/>
      <w:szCs w:val="24"/>
    </w:rPr>
  </w:style>
  <w:style w:type="character" w:customStyle="1" w:styleId="67">
    <w:name w:val="Char Char Char"/>
    <w:qFormat/>
    <w:uiPriority w:val="0"/>
    <w:rPr>
      <w:rFonts w:ascii="宋体" w:hAnsi="Courier New" w:eastAsia="宋体"/>
      <w:kern w:val="2"/>
      <w:sz w:val="24"/>
      <w:szCs w:val="24"/>
      <w:lang w:val="en-US" w:eastAsia="zh-CN" w:bidi="ar-SA"/>
    </w:rPr>
  </w:style>
  <w:style w:type="character" w:customStyle="1" w:styleId="68">
    <w:name w:val="批注文字 字符"/>
    <w:link w:val="13"/>
    <w:qFormat/>
    <w:uiPriority w:val="0"/>
    <w:rPr>
      <w:kern w:val="2"/>
      <w:sz w:val="21"/>
      <w:szCs w:val="24"/>
    </w:rPr>
  </w:style>
  <w:style w:type="character" w:customStyle="1" w:styleId="69">
    <w:name w:val="页脚 字符"/>
    <w:link w:val="24"/>
    <w:qFormat/>
    <w:uiPriority w:val="99"/>
    <w:rPr>
      <w:kern w:val="2"/>
      <w:sz w:val="18"/>
      <w:szCs w:val="18"/>
    </w:rPr>
  </w:style>
  <w:style w:type="character" w:customStyle="1" w:styleId="70">
    <w:name w:val="纯文本 Char1"/>
    <w:qFormat/>
    <w:locked/>
    <w:uiPriority w:val="0"/>
    <w:rPr>
      <w:rFonts w:ascii="宋体" w:hAnsi="Courier New" w:eastAsia="宋体" w:cs="Times New Roman"/>
      <w:szCs w:val="21"/>
    </w:rPr>
  </w:style>
  <w:style w:type="character" w:customStyle="1" w:styleId="71">
    <w:name w:val="日期 字符"/>
    <w:link w:val="20"/>
    <w:qFormat/>
    <w:uiPriority w:val="0"/>
    <w:rPr>
      <w:rFonts w:eastAsia="楷体_GB2312"/>
      <w:kern w:val="2"/>
      <w:sz w:val="32"/>
    </w:rPr>
  </w:style>
  <w:style w:type="character" w:customStyle="1" w:styleId="72">
    <w:name w:val="Char Char"/>
    <w:qFormat/>
    <w:uiPriority w:val="0"/>
    <w:rPr>
      <w:rFonts w:ascii="宋体" w:hAnsi="Courier New" w:eastAsia="宋体"/>
      <w:kern w:val="2"/>
      <w:sz w:val="24"/>
      <w:szCs w:val="24"/>
      <w:lang w:val="en-US" w:eastAsia="zh-CN" w:bidi="ar-SA"/>
    </w:rPr>
  </w:style>
  <w:style w:type="character" w:customStyle="1" w:styleId="73">
    <w:name w:val="批注主题 字符"/>
    <w:link w:val="34"/>
    <w:qFormat/>
    <w:uiPriority w:val="0"/>
    <w:rPr>
      <w:b/>
      <w:bCs/>
      <w:kern w:val="2"/>
      <w:sz w:val="21"/>
      <w:szCs w:val="24"/>
    </w:rPr>
  </w:style>
  <w:style w:type="character" w:customStyle="1" w:styleId="74">
    <w:name w:val="批注框文本 字符"/>
    <w:link w:val="23"/>
    <w:qFormat/>
    <w:uiPriority w:val="0"/>
    <w:rPr>
      <w:kern w:val="2"/>
      <w:sz w:val="18"/>
      <w:szCs w:val="18"/>
    </w:rPr>
  </w:style>
  <w:style w:type="character" w:customStyle="1" w:styleId="75">
    <w:name w:val="font01"/>
    <w:qFormat/>
    <w:uiPriority w:val="0"/>
    <w:rPr>
      <w:rFonts w:hint="default" w:ascii="Arial" w:hAnsi="Arial" w:cs="Arial"/>
      <w:color w:val="000000"/>
      <w:sz w:val="24"/>
      <w:szCs w:val="24"/>
      <w:u w:val="none"/>
    </w:rPr>
  </w:style>
  <w:style w:type="character" w:customStyle="1" w:styleId="76">
    <w:name w:val="font11"/>
    <w:qFormat/>
    <w:uiPriority w:val="0"/>
    <w:rPr>
      <w:rFonts w:hint="eastAsia" w:ascii="宋体" w:hAnsi="宋体" w:eastAsia="宋体" w:cs="宋体"/>
      <w:b/>
      <w:color w:val="000000"/>
      <w:sz w:val="24"/>
      <w:szCs w:val="24"/>
      <w:u w:val="none"/>
    </w:rPr>
  </w:style>
  <w:style w:type="character" w:customStyle="1" w:styleId="77">
    <w:name w:val="apple-converted-space"/>
    <w:qFormat/>
    <w:uiPriority w:val="0"/>
  </w:style>
  <w:style w:type="character" w:customStyle="1" w:styleId="78">
    <w:name w:val="表格文字 Char Char"/>
    <w:link w:val="49"/>
    <w:qFormat/>
    <w:locked/>
    <w:uiPriority w:val="0"/>
    <w:rPr>
      <w:kern w:val="2"/>
      <w:sz w:val="24"/>
      <w:szCs w:val="28"/>
      <w:lang w:val="en-US" w:eastAsia="zh-CN" w:bidi="ar-SA"/>
    </w:rPr>
  </w:style>
  <w:style w:type="character" w:customStyle="1" w:styleId="79">
    <w:name w:val="标题 1 字符"/>
    <w:link w:val="2"/>
    <w:qFormat/>
    <w:uiPriority w:val="0"/>
    <w:rPr>
      <w:rFonts w:ascii="Times New Roman" w:hAnsi="Times New Roman" w:eastAsia="宋体"/>
      <w:b/>
      <w:bCs/>
      <w:kern w:val="44"/>
      <w:sz w:val="44"/>
      <w:szCs w:val="44"/>
      <w:lang w:val="en-US" w:eastAsia="zh-CN" w:bidi="ar-SA"/>
    </w:rPr>
  </w:style>
  <w:style w:type="character" w:customStyle="1" w:styleId="80">
    <w:name w:val="页眉 字符"/>
    <w:link w:val="26"/>
    <w:qFormat/>
    <w:uiPriority w:val="99"/>
    <w:rPr>
      <w:kern w:val="2"/>
      <w:sz w:val="18"/>
      <w:szCs w:val="18"/>
    </w:rPr>
  </w:style>
  <w:style w:type="character" w:customStyle="1" w:styleId="81">
    <w:name w:val="标题 1 Char1"/>
    <w:qFormat/>
    <w:uiPriority w:val="0"/>
    <w:rPr>
      <w:rFonts w:ascii="Times New Roman" w:hAnsi="Times New Roman" w:eastAsia="宋体"/>
      <w:b/>
      <w:bCs/>
      <w:kern w:val="44"/>
      <w:sz w:val="44"/>
      <w:szCs w:val="44"/>
      <w:lang w:val="en-US" w:eastAsia="zh-CN" w:bidi="ar-SA"/>
    </w:rPr>
  </w:style>
  <w:style w:type="character" w:customStyle="1" w:styleId="82">
    <w:name w:val="标题 字符"/>
    <w:link w:val="33"/>
    <w:qFormat/>
    <w:uiPriority w:val="10"/>
    <w:rPr>
      <w:rFonts w:ascii="Cambria" w:hAnsi="Cambria"/>
      <w:b/>
      <w:bCs/>
      <w:kern w:val="2"/>
      <w:sz w:val="32"/>
      <w:szCs w:val="32"/>
    </w:rPr>
  </w:style>
  <w:style w:type="character" w:customStyle="1" w:styleId="83">
    <w:name w:val="正文缩进 字符"/>
    <w:link w:val="10"/>
    <w:qFormat/>
    <w:uiPriority w:val="0"/>
    <w:rPr>
      <w:kern w:val="2"/>
      <w:sz w:val="21"/>
    </w:rPr>
  </w:style>
  <w:style w:type="character" w:customStyle="1" w:styleId="84">
    <w:name w:val="font21"/>
    <w:qFormat/>
    <w:uiPriority w:val="0"/>
    <w:rPr>
      <w:rFonts w:ascii="幼圆" w:hAnsi="幼圆" w:eastAsia="幼圆" w:cs="幼圆"/>
      <w:color w:val="000000"/>
      <w:sz w:val="20"/>
      <w:szCs w:val="20"/>
      <w:u w:val="none"/>
    </w:rPr>
  </w:style>
  <w:style w:type="paragraph" w:customStyle="1" w:styleId="85">
    <w:name w:val="章正文"/>
    <w:basedOn w:val="1"/>
    <w:qFormat/>
    <w:uiPriority w:val="99"/>
    <w:pPr>
      <w:spacing w:before="156" w:beforeLines="50" w:after="120" w:line="300" w:lineRule="auto"/>
      <w:ind w:firstLine="480"/>
    </w:pPr>
    <w:rPr>
      <w:rFonts w:ascii="Helvetica" w:hAnsi="Helvetica"/>
      <w:kern w:val="0"/>
      <w:sz w:val="24"/>
    </w:rPr>
  </w:style>
  <w:style w:type="paragraph" w:customStyle="1" w:styleId="86">
    <w:name w:val="Char Char3"/>
    <w:basedOn w:val="1"/>
    <w:qFormat/>
    <w:uiPriority w:val="0"/>
  </w:style>
  <w:style w:type="paragraph" w:customStyle="1" w:styleId="87">
    <w:name w:val="彩色列表1"/>
    <w:basedOn w:val="1"/>
    <w:qFormat/>
    <w:uiPriority w:val="34"/>
    <w:pPr>
      <w:ind w:firstLine="420" w:firstLineChars="200"/>
    </w:pPr>
    <w:rPr>
      <w:rFonts w:ascii="Verdana" w:hAnsi="Verdana" w:eastAsia="微软雅黑"/>
      <w:szCs w:val="22"/>
    </w:rPr>
  </w:style>
  <w:style w:type="paragraph" w:customStyle="1" w:styleId="88">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89">
    <w:name w:val="p0"/>
    <w:basedOn w:val="1"/>
    <w:qFormat/>
    <w:uiPriority w:val="0"/>
    <w:pPr>
      <w:widowControl/>
    </w:pPr>
    <w:rPr>
      <w:rFonts w:ascii="Calibri" w:hAnsi="Calibri"/>
      <w:kern w:val="0"/>
      <w:szCs w:val="21"/>
    </w:rPr>
  </w:style>
  <w:style w:type="paragraph" w:customStyle="1" w:styleId="90">
    <w:name w:val="正文样式"/>
    <w:basedOn w:val="1"/>
    <w:unhideWhenUsed/>
    <w:qFormat/>
    <w:uiPriority w:val="7"/>
    <w:pPr>
      <w:spacing w:line="360" w:lineRule="auto"/>
      <w:ind w:firstLine="480" w:firstLineChars="200"/>
    </w:pPr>
    <w:rPr>
      <w:rFonts w:hAnsi="Calibri"/>
      <w:sz w:val="24"/>
      <w:szCs w:val="20"/>
    </w:rPr>
  </w:style>
  <w:style w:type="paragraph" w:customStyle="1" w:styleId="91">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9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_Style 1"/>
    <w:qFormat/>
    <w:uiPriority w:val="0"/>
    <w:rPr>
      <w:rFonts w:ascii="Times New Roman" w:hAnsi="Times New Roman" w:eastAsia="宋体" w:cs="Times New Roman"/>
      <w:kern w:val="2"/>
      <w:sz w:val="28"/>
      <w:szCs w:val="22"/>
      <w:lang w:val="en-US" w:eastAsia="zh-CN" w:bidi="ar-SA"/>
    </w:rPr>
  </w:style>
  <w:style w:type="paragraph" w:customStyle="1" w:styleId="94">
    <w:name w:val="_Style 40"/>
    <w:basedOn w:val="1"/>
    <w:qFormat/>
    <w:uiPriority w:val="0"/>
  </w:style>
  <w:style w:type="paragraph" w:customStyle="1" w:styleId="95">
    <w:name w:val="Char Char5"/>
    <w:basedOn w:val="1"/>
    <w:qFormat/>
    <w:uiPriority w:val="0"/>
  </w:style>
  <w:style w:type="paragraph" w:customStyle="1" w:styleId="96">
    <w:name w:val="Table Paragraph"/>
    <w:basedOn w:val="1"/>
    <w:qFormat/>
    <w:uiPriority w:val="1"/>
  </w:style>
  <w:style w:type="paragraph" w:customStyle="1" w:styleId="97">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98">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99">
    <w:name w:val="彩色列表 - 强调文字颜色 11"/>
    <w:basedOn w:val="1"/>
    <w:qFormat/>
    <w:uiPriority w:val="34"/>
    <w:pPr>
      <w:ind w:firstLine="420" w:firstLineChars="200"/>
    </w:pPr>
    <w:rPr>
      <w:rFonts w:ascii="Calibri" w:hAnsi="Calibri"/>
      <w:szCs w:val="22"/>
    </w:rPr>
  </w:style>
  <w:style w:type="paragraph" w:customStyle="1" w:styleId="100">
    <w:name w:val="_Style 23"/>
    <w:basedOn w:val="1"/>
    <w:qFormat/>
    <w:uiPriority w:val="0"/>
  </w:style>
  <w:style w:type="paragraph" w:customStyle="1" w:styleId="101">
    <w:name w:val="_Style 10"/>
    <w:basedOn w:val="1"/>
    <w:qFormat/>
    <w:uiPriority w:val="0"/>
    <w:rPr>
      <w:rFonts w:ascii="仿宋_GB2312" w:eastAsia="仿宋_GB2312"/>
      <w:b/>
      <w:sz w:val="32"/>
      <w:szCs w:val="32"/>
    </w:rPr>
  </w:style>
  <w:style w:type="paragraph" w:customStyle="1" w:styleId="102">
    <w:name w:val="列表段落1"/>
    <w:basedOn w:val="1"/>
    <w:qFormat/>
    <w:uiPriority w:val="0"/>
    <w:pPr>
      <w:ind w:firstLine="420" w:firstLineChars="200"/>
    </w:pPr>
    <w:rPr>
      <w:rFonts w:ascii="Calibri" w:hAnsi="Calibri"/>
      <w:szCs w:val="22"/>
    </w:rPr>
  </w:style>
  <w:style w:type="paragraph" w:customStyle="1" w:styleId="103">
    <w:name w:val="Char Char Char Char Char Char Char"/>
    <w:basedOn w:val="1"/>
    <w:qFormat/>
    <w:uiPriority w:val="0"/>
  </w:style>
  <w:style w:type="paragraph" w:customStyle="1" w:styleId="10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05">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06">
    <w:name w:val="正文2"/>
    <w:basedOn w:val="1"/>
    <w:qFormat/>
    <w:uiPriority w:val="0"/>
    <w:pPr>
      <w:spacing w:before="156" w:line="360" w:lineRule="auto"/>
      <w:ind w:firstLine="510" w:firstLineChars="200"/>
    </w:pPr>
    <w:rPr>
      <w:sz w:val="24"/>
      <w:szCs w:val="20"/>
    </w:rPr>
  </w:style>
  <w:style w:type="paragraph" w:customStyle="1" w:styleId="10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8">
    <w:name w:val="彩色列表2"/>
    <w:basedOn w:val="1"/>
    <w:qFormat/>
    <w:uiPriority w:val="34"/>
    <w:pPr>
      <w:ind w:firstLine="420" w:firstLineChars="200"/>
    </w:pPr>
  </w:style>
  <w:style w:type="paragraph" w:customStyle="1" w:styleId="109">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1">
    <w:name w:val="首行缩进"/>
    <w:basedOn w:val="1"/>
    <w:qFormat/>
    <w:uiPriority w:val="0"/>
    <w:pPr>
      <w:spacing w:line="360" w:lineRule="auto"/>
      <w:ind w:firstLine="480" w:firstLineChars="200"/>
    </w:pPr>
    <w:rPr>
      <w:sz w:val="24"/>
      <w:szCs w:val="22"/>
      <w:lang w:val="zh-CN"/>
    </w:rPr>
  </w:style>
  <w:style w:type="paragraph" w:customStyle="1" w:styleId="112">
    <w:name w:val="默认段落字体 Para Char Char Char Char Char Char Char Char Char1 Char Char Char Char"/>
    <w:basedOn w:val="1"/>
    <w:qFormat/>
    <w:uiPriority w:val="0"/>
    <w:rPr>
      <w:rFonts w:ascii="Tahoma" w:hAnsi="Tahoma"/>
      <w:sz w:val="24"/>
      <w:szCs w:val="20"/>
    </w:rPr>
  </w:style>
  <w:style w:type="paragraph" w:customStyle="1" w:styleId="113">
    <w:name w:val="彩色列表11"/>
    <w:basedOn w:val="1"/>
    <w:qFormat/>
    <w:uiPriority w:val="34"/>
    <w:pPr>
      <w:ind w:firstLine="420" w:firstLineChars="200"/>
    </w:pPr>
  </w:style>
  <w:style w:type="paragraph" w:customStyle="1" w:styleId="114">
    <w:name w:val="WPSOffice手动目录 1"/>
    <w:qFormat/>
    <w:uiPriority w:val="0"/>
    <w:pPr>
      <w:ind w:leftChars="0"/>
    </w:pPr>
    <w:rPr>
      <w:rFonts w:ascii="Times New Roman" w:hAnsi="Times New Roman" w:eastAsia="宋体" w:cs="Times New Roman"/>
      <w:sz w:val="20"/>
      <w:szCs w:val="20"/>
    </w:rPr>
  </w:style>
  <w:style w:type="paragraph" w:customStyle="1" w:styleId="115">
    <w:name w:val="WPSOffice手动目录 2"/>
    <w:qFormat/>
    <w:uiPriority w:val="0"/>
    <w:pPr>
      <w:ind w:leftChars="200"/>
    </w:pPr>
    <w:rPr>
      <w:rFonts w:ascii="Times New Roman" w:hAnsi="Times New Roman" w:eastAsia="宋体" w:cs="Times New Roman"/>
      <w:sz w:val="20"/>
      <w:szCs w:val="20"/>
    </w:rPr>
  </w:style>
  <w:style w:type="paragraph" w:styleId="1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26217</Words>
  <Characters>27985</Characters>
  <Lines>87</Lines>
  <Paragraphs>73</Paragraphs>
  <TotalTime>4</TotalTime>
  <ScaleCrop>false</ScaleCrop>
  <LinksUpToDate>false</LinksUpToDate>
  <CharactersWithSpaces>28414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2021-07-11T02:15:00Z</dcterms:created>
  <dc:creator>Administrator</dc:creator>
  <cp:lastModifiedBy>行走的兔子</cp:lastModifiedBy>
  <cp:lastPrinted>2024-12-19T04:59:00Z</cp:lastPrinted>
  <dcterms:modified xsi:type="dcterms:W3CDTF">2024-12-19T07:28:33Z</dcterms:modified>
  <dc:title>东阳市鑫盛工程咨询有限公司关于东阳市广福路以南、望江路以西地块-上王公寓</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9A2A7765BDF7401F809B275252EB6C3C</vt:lpwstr>
  </property>
</Properties>
</file>